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7701053"/>
    <w:bookmarkStart w:id="1" w:name="_Toc158909615"/>
    <w:bookmarkStart w:id="2" w:name="_Toc159331271"/>
    <w:bookmarkStart w:id="3" w:name="_Toc159513541"/>
    <w:p w14:paraId="7E4E07A5" w14:textId="2618599D" w:rsidR="00E83F26" w:rsidRPr="00FA1A19" w:rsidRDefault="00895C63" w:rsidP="0016484E">
      <w:pPr>
        <w:pStyle w:val="CoverTitleMain"/>
        <w:spacing w:before="10080"/>
        <w:ind w:right="1871"/>
      </w:pPr>
      <w:sdt>
        <w:sdtPr>
          <w:id w:val="1209766061"/>
          <w:docPartObj>
            <w:docPartGallery w:val="Cover Pages"/>
            <w:docPartUnique/>
          </w:docPartObj>
        </w:sdtPr>
        <w:sdtEndPr/>
        <w:sdtContent>
          <w:r w:rsidR="007739FD" w:rsidRPr="00FA1A19">
            <w:rPr>
              <w:noProof/>
            </w:rPr>
            <w:drawing>
              <wp:anchor distT="0" distB="0" distL="114300" distR="114300" simplePos="0" relativeHeight="251658240" behindDoc="1" locked="1" layoutInCell="1" allowOverlap="1" wp14:anchorId="2F44A9AC" wp14:editId="577DCE19">
                <wp:simplePos x="0" y="0"/>
                <wp:positionH relativeFrom="page">
                  <wp:align>center</wp:align>
                </wp:positionH>
                <wp:positionV relativeFrom="page">
                  <wp:align>top</wp:align>
                </wp:positionV>
                <wp:extent cx="7562215" cy="10691495"/>
                <wp:effectExtent l="0" t="0" r="63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707" cy="10692000"/>
                        </a:xfrm>
                        <a:prstGeom prst="rect">
                          <a:avLst/>
                        </a:prstGeom>
                      </pic:spPr>
                    </pic:pic>
                  </a:graphicData>
                </a:graphic>
                <wp14:sizeRelH relativeFrom="page">
                  <wp14:pctWidth>0</wp14:pctWidth>
                </wp14:sizeRelH>
                <wp14:sizeRelV relativeFrom="page">
                  <wp14:pctHeight>0</wp14:pctHeight>
                </wp14:sizeRelV>
              </wp:anchor>
            </w:drawing>
          </w:r>
        </w:sdtContent>
      </w:sdt>
      <w:r w:rsidR="00AF57ED" w:rsidRPr="00FA1A19">
        <w:t>Review of the tax treatment</w:t>
      </w:r>
      <w:r w:rsidR="005B3915" w:rsidRPr="00FA1A19">
        <w:t xml:space="preserve"> </w:t>
      </w:r>
      <w:r w:rsidR="00AF57ED" w:rsidRPr="00FA1A19">
        <w:t>of digital assets and transactions in Australia</w:t>
      </w:r>
      <w:bookmarkEnd w:id="0"/>
      <w:bookmarkEnd w:id="1"/>
      <w:bookmarkEnd w:id="2"/>
      <w:bookmarkEnd w:id="3"/>
    </w:p>
    <w:p w14:paraId="12884A3E" w14:textId="4D35F3D4" w:rsidR="00DD18CB" w:rsidRPr="00FA1A19" w:rsidRDefault="00AF57ED" w:rsidP="0016484E">
      <w:pPr>
        <w:pStyle w:val="CoverDate"/>
        <w:spacing w:before="0" w:after="480"/>
      </w:pPr>
      <w:r w:rsidRPr="00FA1A19">
        <w:t>February 2024</w:t>
      </w:r>
      <w:r w:rsidR="008071D7" w:rsidRPr="00FA1A19">
        <w:t xml:space="preserve"> </w:t>
      </w:r>
    </w:p>
    <w:p w14:paraId="1194E566" w14:textId="77777777" w:rsidR="004C2DE1" w:rsidRPr="00FA1A19" w:rsidRDefault="004C2DE1" w:rsidP="00170ADC">
      <w:pPr>
        <w:pStyle w:val="CoverDate"/>
        <w:sectPr w:rsidR="004C2DE1" w:rsidRPr="00FA1A19" w:rsidSect="001E405B">
          <w:headerReference w:type="even" r:id="rId9"/>
          <w:footerReference w:type="even" r:id="rId10"/>
          <w:footerReference w:type="default" r:id="rId11"/>
          <w:footerReference w:type="first" r:id="rId12"/>
          <w:pgSz w:w="11909" w:h="16834" w:code="9"/>
          <w:pgMar w:top="1985" w:right="1134" w:bottom="1985" w:left="1134" w:header="1134" w:footer="1134" w:gutter="0"/>
          <w:pgNumType w:fmt="lowerRoman"/>
          <w:cols w:space="708"/>
          <w:vAlign w:val="bottom"/>
          <w:titlePg/>
          <w:docGrid w:linePitch="360"/>
        </w:sectPr>
      </w:pPr>
    </w:p>
    <w:p w14:paraId="1831285D" w14:textId="77D8C16A" w:rsidR="00486666" w:rsidRPr="00FA1A19" w:rsidRDefault="00486666" w:rsidP="00457853">
      <w:r w:rsidRPr="00FA1A19">
        <w:lastRenderedPageBreak/>
        <w:t xml:space="preserve">© Commonwealth of Australia </w:t>
      </w:r>
      <w:r w:rsidR="009C26DC" w:rsidRPr="00FA1A19">
        <w:t>2024.</w:t>
      </w:r>
    </w:p>
    <w:p w14:paraId="30E63501" w14:textId="6039FD5D" w:rsidR="00486666" w:rsidRPr="00FA1A19" w:rsidRDefault="00486666" w:rsidP="006256BA">
      <w:pPr>
        <w:rPr>
          <w:rFonts w:cstheme="minorBidi"/>
          <w:sz w:val="24"/>
          <w:szCs w:val="24"/>
        </w:rPr>
      </w:pPr>
      <w:r w:rsidRPr="00FA1A19">
        <w:t>This publication is available for your use under a</w:t>
      </w:r>
      <w:r w:rsidRPr="00FA1A19">
        <w:rPr>
          <w:rFonts w:cstheme="minorHAnsi"/>
          <w:sz w:val="24"/>
          <w:szCs w:val="24"/>
        </w:rPr>
        <w:t xml:space="preserve"> </w:t>
      </w:r>
      <w:hyperlink r:id="rId13" w:history="1">
        <w:r w:rsidRPr="00FA1A19">
          <w:rPr>
            <w:rStyle w:val="Hyperlink"/>
          </w:rPr>
          <w:t>Creative Commons Attribution 3.0 Australia</w:t>
        </w:r>
      </w:hyperlink>
      <w:r w:rsidRPr="00FA1A19">
        <w:rPr>
          <w:rFonts w:cstheme="minorHAnsi"/>
          <w:sz w:val="24"/>
          <w:szCs w:val="24"/>
        </w:rPr>
        <w:t xml:space="preserve"> </w:t>
      </w:r>
      <w:r w:rsidRPr="00FA1A19">
        <w:t>licence, with the exception of the Commonwealth Coat of Arms, the Treasury logo, photographs, images, signatures and where otherwise stated</w:t>
      </w:r>
      <w:r w:rsidR="00621BE3" w:rsidRPr="00FA1A19">
        <w:t xml:space="preserve">. </w:t>
      </w:r>
      <w:r w:rsidRPr="00FA1A19">
        <w:t>The full licence terms are available from</w:t>
      </w:r>
      <w:r w:rsidRPr="00FA1A19">
        <w:rPr>
          <w:rFonts w:cstheme="minorHAnsi"/>
          <w:sz w:val="24"/>
          <w:szCs w:val="24"/>
        </w:rPr>
        <w:t xml:space="preserve"> </w:t>
      </w:r>
      <w:hyperlink r:id="rId14" w:history="1">
        <w:r w:rsidRPr="00FA1A19">
          <w:rPr>
            <w:rStyle w:val="Hyperlink"/>
          </w:rPr>
          <w:t>http://creativecommons.org/licenses/by/3.0/au/legalcode</w:t>
        </w:r>
      </w:hyperlink>
      <w:r w:rsidRPr="00FA1A19">
        <w:rPr>
          <w:rStyle w:val="Hyperlink"/>
        </w:rPr>
        <w:t>.</w:t>
      </w:r>
      <w:r w:rsidRPr="00FA1A19">
        <w:rPr>
          <w:sz w:val="24"/>
          <w:szCs w:val="24"/>
        </w:rPr>
        <w:t xml:space="preserve"> </w:t>
      </w:r>
    </w:p>
    <w:p w14:paraId="0A8C2A34" w14:textId="77777777" w:rsidR="00486666" w:rsidRPr="00FA1A19" w:rsidRDefault="00486666" w:rsidP="006256BA">
      <w:pPr>
        <w:pStyle w:val="ChartGraphic"/>
        <w:spacing w:after="120"/>
        <w:jc w:val="left"/>
      </w:pPr>
      <w:r w:rsidRPr="00FA1A19">
        <w:rPr>
          <w:noProof/>
        </w:rPr>
        <w:drawing>
          <wp:inline distT="0" distB="0" distL="0" distR="0" wp14:anchorId="18D9CF77" wp14:editId="76F8C332">
            <wp:extent cx="809625" cy="285750"/>
            <wp:effectExtent l="0" t="0" r="9525" b="0"/>
            <wp:docPr id="2" name="Picture 2"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E3BC144" w14:textId="49A5E611" w:rsidR="00486666" w:rsidRPr="00FA1A19" w:rsidRDefault="00486666" w:rsidP="006256BA">
      <w:r w:rsidRPr="00FA1A19">
        <w:t>Use of Treasury material under a</w:t>
      </w:r>
      <w:r w:rsidRPr="00FA1A19">
        <w:rPr>
          <w:rFonts w:cstheme="minorHAnsi"/>
          <w:sz w:val="24"/>
          <w:szCs w:val="24"/>
        </w:rPr>
        <w:t xml:space="preserve"> </w:t>
      </w:r>
      <w:hyperlink r:id="rId16" w:history="1">
        <w:r w:rsidRPr="00FA1A19">
          <w:rPr>
            <w:rStyle w:val="Hyperlink"/>
          </w:rPr>
          <w:t>Creative Commons Attribution 3.0 Australia</w:t>
        </w:r>
      </w:hyperlink>
      <w:r w:rsidRPr="00FA1A19">
        <w:rPr>
          <w:rStyle w:val="Hyperlink"/>
        </w:rPr>
        <w:t xml:space="preserve"> </w:t>
      </w:r>
      <w:r w:rsidRPr="00FA1A19">
        <w:t>licence requires you to attribute the work (but not in any way that suggests that the Treasury endorses you or your use of the work).</w:t>
      </w:r>
    </w:p>
    <w:p w14:paraId="15722645" w14:textId="62E16D2C" w:rsidR="00486666" w:rsidRPr="00A903F3" w:rsidRDefault="00486666" w:rsidP="006256BA">
      <w:pPr>
        <w:rPr>
          <w:rStyle w:val="Strong"/>
        </w:rPr>
      </w:pPr>
      <w:r w:rsidRPr="00A903F3">
        <w:rPr>
          <w:rStyle w:val="Strong"/>
        </w:rPr>
        <w:t xml:space="preserve">Treasury material used </w:t>
      </w:r>
      <w:r w:rsidR="00F75232">
        <w:rPr>
          <w:rStyle w:val="Strong"/>
        </w:rPr>
        <w:t>‘</w:t>
      </w:r>
      <w:r w:rsidRPr="00A903F3">
        <w:rPr>
          <w:rStyle w:val="Strong"/>
        </w:rPr>
        <w:t>as supplied</w:t>
      </w:r>
      <w:r w:rsidR="00F75232">
        <w:rPr>
          <w:rStyle w:val="Strong"/>
        </w:rPr>
        <w:t>’</w:t>
      </w:r>
      <w:r w:rsidRPr="00A903F3">
        <w:rPr>
          <w:rStyle w:val="Strong"/>
        </w:rPr>
        <w:t>.</w:t>
      </w:r>
    </w:p>
    <w:p w14:paraId="5732F35E" w14:textId="379B1659" w:rsidR="00486666" w:rsidRPr="00FA1A19" w:rsidRDefault="00486666" w:rsidP="006256BA">
      <w:r w:rsidRPr="00FA1A19">
        <w:t>Provided you have not modified or transformed Treasury material in any way including, for example, by changing the Treasury text; calculating percentage changes; graphing or charting data; or deriving new statistics from published Treasury statistics</w:t>
      </w:r>
      <w:r w:rsidR="00DD7E85">
        <w:t xml:space="preserve"> – </w:t>
      </w:r>
      <w:r w:rsidRPr="00FA1A19">
        <w:t xml:space="preserve">then Treasury prefers the following attribution: </w:t>
      </w:r>
    </w:p>
    <w:p w14:paraId="58AF2FDE" w14:textId="10901893" w:rsidR="00486666" w:rsidRPr="00FA1A19" w:rsidRDefault="00486666" w:rsidP="00A43962">
      <w:pPr>
        <w:ind w:firstLine="720"/>
      </w:pPr>
      <w:r w:rsidRPr="00FA1A19">
        <w:rPr>
          <w:i/>
        </w:rPr>
        <w:t>Source: The Board of Taxation</w:t>
      </w:r>
      <w:r w:rsidRPr="00FA1A19">
        <w:t>.</w:t>
      </w:r>
    </w:p>
    <w:p w14:paraId="53CC45DE" w14:textId="77777777" w:rsidR="00486666" w:rsidRPr="00A903F3" w:rsidRDefault="00486666" w:rsidP="006256BA">
      <w:pPr>
        <w:rPr>
          <w:rStyle w:val="Strong"/>
        </w:rPr>
      </w:pPr>
      <w:r w:rsidRPr="00A903F3">
        <w:rPr>
          <w:rStyle w:val="Strong"/>
        </w:rPr>
        <w:t>Derivative material</w:t>
      </w:r>
    </w:p>
    <w:p w14:paraId="5EA136E7" w14:textId="77777777" w:rsidR="00486666" w:rsidRPr="00FA1A19" w:rsidRDefault="00486666" w:rsidP="006256BA">
      <w:r w:rsidRPr="00FA1A19">
        <w:t xml:space="preserve">If you have modified or transformed Treasury material, or derived new material from those of the Treasury in any way, then Treasury prefers the following attribution: </w:t>
      </w:r>
    </w:p>
    <w:p w14:paraId="69C43347" w14:textId="4B70BD3B" w:rsidR="00486666" w:rsidRPr="00FA1A19" w:rsidRDefault="00486666" w:rsidP="00A43962">
      <w:pPr>
        <w:ind w:firstLine="720"/>
      </w:pPr>
      <w:r w:rsidRPr="00FA1A19">
        <w:rPr>
          <w:i/>
        </w:rPr>
        <w:t>Based on the Board of Taxation data</w:t>
      </w:r>
      <w:r w:rsidRPr="00FA1A19">
        <w:t xml:space="preserve"> </w:t>
      </w:r>
    </w:p>
    <w:p w14:paraId="26F01232" w14:textId="77777777" w:rsidR="00486666" w:rsidRPr="00A903F3" w:rsidRDefault="00486666" w:rsidP="006256BA">
      <w:pPr>
        <w:spacing w:before="240"/>
        <w:rPr>
          <w:rStyle w:val="Strong"/>
        </w:rPr>
      </w:pPr>
      <w:r w:rsidRPr="00A903F3">
        <w:rPr>
          <w:rStyle w:val="Strong"/>
        </w:rPr>
        <w:t>Use of the Coat of Arms</w:t>
      </w:r>
    </w:p>
    <w:p w14:paraId="62F6D51D" w14:textId="632A6D33" w:rsidR="00486666" w:rsidRPr="00FA1A19" w:rsidRDefault="00486666" w:rsidP="00820CAF">
      <w:r w:rsidRPr="00FA1A19">
        <w:t xml:space="preserve">The terms under which the Coat of Arms can be used are set out on the </w:t>
      </w:r>
      <w:r w:rsidRPr="00FA1A19">
        <w:br/>
        <w:t xml:space="preserve">Department of the Prime Minister and Cabinet website (see </w:t>
      </w:r>
      <w:r w:rsidRPr="00FA1A19">
        <w:br/>
      </w:r>
      <w:hyperlink r:id="rId17" w:history="1">
        <w:r w:rsidR="00456DC8" w:rsidRPr="00FA1A19">
          <w:rPr>
            <w:rStyle w:val="Hyperlink"/>
          </w:rPr>
          <w:t>www.pmc.gov.au/honours</w:t>
        </w:r>
        <w:r w:rsidR="00BC3F14" w:rsidRPr="00BC3F14">
          <w:rPr>
            <w:rStyle w:val="Hyperlink"/>
          </w:rPr>
          <w:t>-</w:t>
        </w:r>
        <w:r w:rsidR="00456DC8" w:rsidRPr="00FA1A19">
          <w:rPr>
            <w:rStyle w:val="Hyperlink"/>
          </w:rPr>
          <w:t>and</w:t>
        </w:r>
        <w:r w:rsidR="00BC3F14" w:rsidRPr="00BC3F14">
          <w:rPr>
            <w:rStyle w:val="Hyperlink"/>
          </w:rPr>
          <w:t>-</w:t>
        </w:r>
        <w:r w:rsidR="00456DC8" w:rsidRPr="00FA1A19">
          <w:rPr>
            <w:rStyle w:val="Hyperlink"/>
          </w:rPr>
          <w:t>symbols/commonwealth</w:t>
        </w:r>
        <w:r w:rsidR="00BC3F14" w:rsidRPr="00BC3F14">
          <w:rPr>
            <w:rStyle w:val="Hyperlink"/>
          </w:rPr>
          <w:t>-</w:t>
        </w:r>
        <w:r w:rsidR="00456DC8" w:rsidRPr="00FA1A19">
          <w:rPr>
            <w:rStyle w:val="Hyperlink"/>
          </w:rPr>
          <w:t>coat</w:t>
        </w:r>
        <w:r w:rsidR="00BC3F14" w:rsidRPr="00BC3F14">
          <w:rPr>
            <w:rStyle w:val="Hyperlink"/>
          </w:rPr>
          <w:t>-</w:t>
        </w:r>
        <w:r w:rsidR="00456DC8" w:rsidRPr="00FA1A19">
          <w:rPr>
            <w:rStyle w:val="Hyperlink"/>
          </w:rPr>
          <w:t>arms</w:t>
        </w:r>
      </w:hyperlink>
      <w:r w:rsidRPr="00FA1A19">
        <w:t>.</w:t>
      </w:r>
    </w:p>
    <w:p w14:paraId="325AA848" w14:textId="77777777" w:rsidR="00486666" w:rsidRPr="00A903F3" w:rsidRDefault="00486666" w:rsidP="006256BA">
      <w:pPr>
        <w:spacing w:before="240"/>
        <w:rPr>
          <w:rStyle w:val="Strong"/>
        </w:rPr>
      </w:pPr>
      <w:r w:rsidRPr="00A903F3">
        <w:rPr>
          <w:rStyle w:val="Strong"/>
        </w:rPr>
        <w:t>Other uses</w:t>
      </w:r>
    </w:p>
    <w:p w14:paraId="5AF69777" w14:textId="77777777" w:rsidR="00486666" w:rsidRPr="00FA1A19" w:rsidRDefault="00486666" w:rsidP="00A43962">
      <w:r w:rsidRPr="00FA1A19">
        <w:t>Enquiries regarding this licence and any other use of this document are welcome at:</w:t>
      </w:r>
    </w:p>
    <w:p w14:paraId="411D8ABE" w14:textId="4532F77D" w:rsidR="00486666" w:rsidRPr="00FA1A19" w:rsidRDefault="00486666" w:rsidP="006256BA">
      <w:pPr>
        <w:ind w:left="720"/>
        <w:rPr>
          <w:rStyle w:val="Hyperlink"/>
        </w:rPr>
      </w:pPr>
      <w:r w:rsidRPr="00FA1A19">
        <w:t>Manager</w:t>
      </w:r>
      <w:r w:rsidRPr="00FA1A19">
        <w:br/>
        <w:t>Media Unit</w:t>
      </w:r>
      <w:r w:rsidRPr="00FA1A19">
        <w:br/>
        <w:t>The Treasury</w:t>
      </w:r>
      <w:r w:rsidRPr="00FA1A19">
        <w:br/>
        <w:t xml:space="preserve">Langton Crescent </w:t>
      </w:r>
      <w:r w:rsidRPr="00FA1A19">
        <w:br/>
        <w:t>Parkes</w:t>
      </w:r>
      <w:r w:rsidR="004F0A51" w:rsidRPr="00FA1A19">
        <w:t xml:space="preserve"> </w:t>
      </w:r>
      <w:r w:rsidRPr="00FA1A19">
        <w:t>ACT</w:t>
      </w:r>
      <w:r w:rsidR="004F0A51" w:rsidRPr="00FA1A19">
        <w:t xml:space="preserve"> </w:t>
      </w:r>
      <w:r w:rsidRPr="00FA1A19">
        <w:t>2600</w:t>
      </w:r>
      <w:r w:rsidRPr="00FA1A19">
        <w:br/>
        <w:t xml:space="preserve">Email: </w:t>
      </w:r>
      <w:hyperlink r:id="rId18" w:history="1">
        <w:r w:rsidRPr="00FA1A19">
          <w:rPr>
            <w:rStyle w:val="Hyperlink"/>
          </w:rPr>
          <w:t>media@treasury.gov.au</w:t>
        </w:r>
      </w:hyperlink>
    </w:p>
    <w:p w14:paraId="2560850D" w14:textId="77777777" w:rsidR="001D6A8A" w:rsidRPr="00FA1A19" w:rsidRDefault="001D6A8A">
      <w:pPr>
        <w:spacing w:before="0" w:after="0"/>
        <w:sectPr w:rsidR="001D6A8A" w:rsidRPr="00FA1A19" w:rsidSect="00320772">
          <w:headerReference w:type="even" r:id="rId19"/>
          <w:headerReference w:type="default" r:id="rId20"/>
          <w:footerReference w:type="even" r:id="rId21"/>
          <w:footerReference w:type="default" r:id="rId22"/>
          <w:headerReference w:type="first" r:id="rId23"/>
          <w:footerReference w:type="first" r:id="rId24"/>
          <w:pgSz w:w="11909" w:h="16834" w:code="9"/>
          <w:pgMar w:top="1985" w:right="1134" w:bottom="1985" w:left="1134" w:header="1134" w:footer="1134" w:gutter="0"/>
          <w:pgNumType w:fmt="lowerRoman"/>
          <w:cols w:space="708"/>
          <w:titlePg/>
          <w:docGrid w:linePitch="360"/>
        </w:sectPr>
      </w:pPr>
    </w:p>
    <w:p w14:paraId="02DCF807" w14:textId="77777777" w:rsidR="006256BA" w:rsidRPr="00FA1A19" w:rsidRDefault="006256BA" w:rsidP="00B9543D">
      <w:pPr>
        <w:pStyle w:val="ContentsHeading"/>
      </w:pPr>
      <w:bookmarkStart w:id="4" w:name="_Toc157701054"/>
      <w:bookmarkStart w:id="5" w:name="_Toc158909616"/>
      <w:bookmarkStart w:id="6" w:name="_Toc159331272"/>
      <w:bookmarkStart w:id="7" w:name="_Toc159513542"/>
      <w:r w:rsidRPr="00FA1A19">
        <w:lastRenderedPageBreak/>
        <w:t>Contents</w:t>
      </w:r>
      <w:bookmarkEnd w:id="4"/>
      <w:bookmarkEnd w:id="5"/>
      <w:bookmarkEnd w:id="6"/>
      <w:bookmarkEnd w:id="7"/>
    </w:p>
    <w:p w14:paraId="793DB4FB" w14:textId="1C055159" w:rsidR="00CF6F4B" w:rsidRDefault="00785BA4">
      <w:pPr>
        <w:pStyle w:val="TOC1"/>
        <w:rPr>
          <w:rFonts w:asciiTheme="minorHAnsi" w:eastAsiaTheme="minorEastAsia" w:hAnsiTheme="minorHAnsi" w:cstheme="minorBidi"/>
          <w:noProof/>
          <w:color w:val="auto"/>
          <w:kern w:val="2"/>
          <w:sz w:val="22"/>
          <w14:ligatures w14:val="standardContextual"/>
        </w:rPr>
      </w:pPr>
      <w:r w:rsidRPr="00FA1A19">
        <w:rPr>
          <w:rFonts w:asciiTheme="majorHAnsi" w:hAnsiTheme="majorHAnsi"/>
          <w:smallCaps/>
        </w:rPr>
        <w:fldChar w:fldCharType="begin"/>
      </w:r>
      <w:r w:rsidRPr="00FA1A19">
        <w:instrText xml:space="preserve"> TOC \o "1-1" \t "Heading 2,2,PreChapterHeading,1" </w:instrText>
      </w:r>
      <w:r w:rsidRPr="00FA1A19">
        <w:rPr>
          <w:rFonts w:asciiTheme="majorHAnsi" w:hAnsiTheme="majorHAnsi"/>
          <w:smallCaps/>
        </w:rPr>
        <w:fldChar w:fldCharType="separate"/>
      </w:r>
      <w:r w:rsidR="00CF6F4B">
        <w:rPr>
          <w:noProof/>
        </w:rPr>
        <w:t>Foreword</w:t>
      </w:r>
      <w:r w:rsidR="00CF6F4B">
        <w:rPr>
          <w:noProof/>
        </w:rPr>
        <w:tab/>
      </w:r>
      <w:r w:rsidR="00CF6F4B">
        <w:rPr>
          <w:noProof/>
        </w:rPr>
        <w:fldChar w:fldCharType="begin"/>
      </w:r>
      <w:r w:rsidR="00CF6F4B">
        <w:rPr>
          <w:noProof/>
        </w:rPr>
        <w:instrText xml:space="preserve"> PAGEREF _Toc159513543 \h </w:instrText>
      </w:r>
      <w:r w:rsidR="00CF6F4B">
        <w:rPr>
          <w:noProof/>
        </w:rPr>
      </w:r>
      <w:r w:rsidR="00CF6F4B">
        <w:rPr>
          <w:noProof/>
        </w:rPr>
        <w:fldChar w:fldCharType="separate"/>
      </w:r>
      <w:r w:rsidR="00054A40">
        <w:rPr>
          <w:noProof/>
        </w:rPr>
        <w:t>1</w:t>
      </w:r>
      <w:r w:rsidR="00CF6F4B">
        <w:rPr>
          <w:noProof/>
        </w:rPr>
        <w:fldChar w:fldCharType="end"/>
      </w:r>
    </w:p>
    <w:p w14:paraId="4F54F732" w14:textId="30C4E8C6"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Executive Summary</w:t>
      </w:r>
      <w:r>
        <w:rPr>
          <w:noProof/>
        </w:rPr>
        <w:tab/>
      </w:r>
      <w:r>
        <w:rPr>
          <w:noProof/>
        </w:rPr>
        <w:fldChar w:fldCharType="begin"/>
      </w:r>
      <w:r>
        <w:rPr>
          <w:noProof/>
        </w:rPr>
        <w:instrText xml:space="preserve"> PAGEREF _Toc159513544 \h </w:instrText>
      </w:r>
      <w:r>
        <w:rPr>
          <w:noProof/>
        </w:rPr>
      </w:r>
      <w:r>
        <w:rPr>
          <w:noProof/>
        </w:rPr>
        <w:fldChar w:fldCharType="separate"/>
      </w:r>
      <w:r w:rsidR="00054A40">
        <w:rPr>
          <w:noProof/>
        </w:rPr>
        <w:t>2</w:t>
      </w:r>
      <w:r>
        <w:rPr>
          <w:noProof/>
        </w:rPr>
        <w:fldChar w:fldCharType="end"/>
      </w:r>
    </w:p>
    <w:p w14:paraId="099C164E" w14:textId="078B1ACA"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Report at a glance</w:t>
      </w:r>
      <w:r>
        <w:rPr>
          <w:noProof/>
        </w:rPr>
        <w:tab/>
      </w:r>
      <w:r>
        <w:rPr>
          <w:noProof/>
        </w:rPr>
        <w:fldChar w:fldCharType="begin"/>
      </w:r>
      <w:r>
        <w:rPr>
          <w:noProof/>
        </w:rPr>
        <w:instrText xml:space="preserve"> PAGEREF _Toc159513545 \h </w:instrText>
      </w:r>
      <w:r>
        <w:rPr>
          <w:noProof/>
        </w:rPr>
      </w:r>
      <w:r>
        <w:rPr>
          <w:noProof/>
        </w:rPr>
        <w:fldChar w:fldCharType="separate"/>
      </w:r>
      <w:r w:rsidR="00054A40">
        <w:rPr>
          <w:noProof/>
        </w:rPr>
        <w:t>4</w:t>
      </w:r>
      <w:r>
        <w:rPr>
          <w:noProof/>
        </w:rPr>
        <w:fldChar w:fldCharType="end"/>
      </w:r>
    </w:p>
    <w:p w14:paraId="44105958" w14:textId="60E915BC"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Recommendations and observations</w:t>
      </w:r>
      <w:r>
        <w:rPr>
          <w:noProof/>
        </w:rPr>
        <w:tab/>
      </w:r>
      <w:r>
        <w:rPr>
          <w:noProof/>
        </w:rPr>
        <w:fldChar w:fldCharType="begin"/>
      </w:r>
      <w:r>
        <w:rPr>
          <w:noProof/>
        </w:rPr>
        <w:instrText xml:space="preserve"> PAGEREF _Toc159513546 \h </w:instrText>
      </w:r>
      <w:r>
        <w:rPr>
          <w:noProof/>
        </w:rPr>
      </w:r>
      <w:r>
        <w:rPr>
          <w:noProof/>
        </w:rPr>
        <w:fldChar w:fldCharType="separate"/>
      </w:r>
      <w:r w:rsidR="00054A40">
        <w:rPr>
          <w:noProof/>
        </w:rPr>
        <w:t>5</w:t>
      </w:r>
      <w:r>
        <w:rPr>
          <w:noProof/>
        </w:rPr>
        <w:fldChar w:fldCharType="end"/>
      </w:r>
    </w:p>
    <w:p w14:paraId="424068D9" w14:textId="6B2E0408"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Detailed list</w:t>
      </w:r>
      <w:r>
        <w:rPr>
          <w:noProof/>
        </w:rPr>
        <w:tab/>
      </w:r>
      <w:r>
        <w:rPr>
          <w:noProof/>
        </w:rPr>
        <w:fldChar w:fldCharType="begin"/>
      </w:r>
      <w:r>
        <w:rPr>
          <w:noProof/>
        </w:rPr>
        <w:instrText xml:space="preserve"> PAGEREF _Toc159513547 \h </w:instrText>
      </w:r>
      <w:r>
        <w:rPr>
          <w:noProof/>
        </w:rPr>
      </w:r>
      <w:r>
        <w:rPr>
          <w:noProof/>
        </w:rPr>
        <w:fldChar w:fldCharType="separate"/>
      </w:r>
      <w:r w:rsidR="00054A40">
        <w:rPr>
          <w:noProof/>
        </w:rPr>
        <w:t>5</w:t>
      </w:r>
      <w:r>
        <w:rPr>
          <w:noProof/>
        </w:rPr>
        <w:fldChar w:fldCharType="end"/>
      </w:r>
    </w:p>
    <w:p w14:paraId="3C032B8B" w14:textId="26F1EE25"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rFonts w:eastAsiaTheme="minorHAnsi"/>
          <w:noProof/>
          <w:lang w:eastAsia="en-US"/>
        </w:rPr>
        <w:t>Context of observations and recommendations</w:t>
      </w:r>
      <w:r>
        <w:rPr>
          <w:noProof/>
        </w:rPr>
        <w:tab/>
      </w:r>
      <w:r>
        <w:rPr>
          <w:noProof/>
        </w:rPr>
        <w:fldChar w:fldCharType="begin"/>
      </w:r>
      <w:r>
        <w:rPr>
          <w:noProof/>
        </w:rPr>
        <w:instrText xml:space="preserve"> PAGEREF _Toc159513548 \h </w:instrText>
      </w:r>
      <w:r>
        <w:rPr>
          <w:noProof/>
        </w:rPr>
      </w:r>
      <w:r>
        <w:rPr>
          <w:noProof/>
        </w:rPr>
        <w:fldChar w:fldCharType="separate"/>
      </w:r>
      <w:r w:rsidR="00054A40">
        <w:rPr>
          <w:noProof/>
        </w:rPr>
        <w:t>17</w:t>
      </w:r>
      <w:r>
        <w:rPr>
          <w:noProof/>
        </w:rPr>
        <w:fldChar w:fldCharType="end"/>
      </w:r>
    </w:p>
    <w:p w14:paraId="60AA3DC0" w14:textId="6BB3AA40"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Glossary</w:t>
      </w:r>
      <w:r>
        <w:rPr>
          <w:noProof/>
        </w:rPr>
        <w:tab/>
      </w:r>
      <w:r>
        <w:rPr>
          <w:noProof/>
        </w:rPr>
        <w:fldChar w:fldCharType="begin"/>
      </w:r>
      <w:r>
        <w:rPr>
          <w:noProof/>
        </w:rPr>
        <w:instrText xml:space="preserve"> PAGEREF _Toc159513549 \h </w:instrText>
      </w:r>
      <w:r>
        <w:rPr>
          <w:noProof/>
        </w:rPr>
      </w:r>
      <w:r>
        <w:rPr>
          <w:noProof/>
        </w:rPr>
        <w:fldChar w:fldCharType="separate"/>
      </w:r>
      <w:r w:rsidR="00054A40">
        <w:rPr>
          <w:noProof/>
        </w:rPr>
        <w:t>18</w:t>
      </w:r>
      <w:r>
        <w:rPr>
          <w:noProof/>
        </w:rPr>
        <w:fldChar w:fldCharType="end"/>
      </w:r>
    </w:p>
    <w:p w14:paraId="7E0FC8CF" w14:textId="57D6A2E2"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List of Abbreviations</w:t>
      </w:r>
      <w:r>
        <w:rPr>
          <w:noProof/>
        </w:rPr>
        <w:tab/>
      </w:r>
      <w:r>
        <w:rPr>
          <w:noProof/>
        </w:rPr>
        <w:fldChar w:fldCharType="begin"/>
      </w:r>
      <w:r>
        <w:rPr>
          <w:noProof/>
        </w:rPr>
        <w:instrText xml:space="preserve"> PAGEREF _Toc159513550 \h </w:instrText>
      </w:r>
      <w:r>
        <w:rPr>
          <w:noProof/>
        </w:rPr>
      </w:r>
      <w:r>
        <w:rPr>
          <w:noProof/>
        </w:rPr>
        <w:fldChar w:fldCharType="separate"/>
      </w:r>
      <w:r w:rsidR="00054A40">
        <w:rPr>
          <w:noProof/>
        </w:rPr>
        <w:t>21</w:t>
      </w:r>
      <w:r>
        <w:rPr>
          <w:noProof/>
        </w:rPr>
        <w:fldChar w:fldCharType="end"/>
      </w:r>
    </w:p>
    <w:p w14:paraId="3E97BA24" w14:textId="3730282E"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1: Introduction</w:t>
      </w:r>
      <w:r>
        <w:rPr>
          <w:noProof/>
        </w:rPr>
        <w:tab/>
      </w:r>
      <w:r>
        <w:rPr>
          <w:noProof/>
        </w:rPr>
        <w:fldChar w:fldCharType="begin"/>
      </w:r>
      <w:r>
        <w:rPr>
          <w:noProof/>
        </w:rPr>
        <w:instrText xml:space="preserve"> PAGEREF _Toc159513551 \h </w:instrText>
      </w:r>
      <w:r>
        <w:rPr>
          <w:noProof/>
        </w:rPr>
      </w:r>
      <w:r>
        <w:rPr>
          <w:noProof/>
        </w:rPr>
        <w:fldChar w:fldCharType="separate"/>
      </w:r>
      <w:r w:rsidR="00054A40">
        <w:rPr>
          <w:noProof/>
        </w:rPr>
        <w:t>23</w:t>
      </w:r>
      <w:r>
        <w:rPr>
          <w:noProof/>
        </w:rPr>
        <w:fldChar w:fldCharType="end"/>
      </w:r>
    </w:p>
    <w:p w14:paraId="5DCCC42E" w14:textId="160AECBD"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Background</w:t>
      </w:r>
      <w:r>
        <w:rPr>
          <w:noProof/>
        </w:rPr>
        <w:tab/>
      </w:r>
      <w:r>
        <w:rPr>
          <w:noProof/>
        </w:rPr>
        <w:fldChar w:fldCharType="begin"/>
      </w:r>
      <w:r>
        <w:rPr>
          <w:noProof/>
        </w:rPr>
        <w:instrText xml:space="preserve"> PAGEREF _Toc159513552 \h </w:instrText>
      </w:r>
      <w:r>
        <w:rPr>
          <w:noProof/>
        </w:rPr>
      </w:r>
      <w:r>
        <w:rPr>
          <w:noProof/>
        </w:rPr>
        <w:fldChar w:fldCharType="separate"/>
      </w:r>
      <w:r w:rsidR="00054A40">
        <w:rPr>
          <w:noProof/>
        </w:rPr>
        <w:t>23</w:t>
      </w:r>
      <w:r>
        <w:rPr>
          <w:noProof/>
        </w:rPr>
        <w:fldChar w:fldCharType="end"/>
      </w:r>
    </w:p>
    <w:p w14:paraId="138EEF08" w14:textId="04FF8F9F"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Terms of Reference</w:t>
      </w:r>
      <w:r>
        <w:rPr>
          <w:noProof/>
        </w:rPr>
        <w:tab/>
      </w:r>
      <w:r>
        <w:rPr>
          <w:noProof/>
        </w:rPr>
        <w:fldChar w:fldCharType="begin"/>
      </w:r>
      <w:r>
        <w:rPr>
          <w:noProof/>
        </w:rPr>
        <w:instrText xml:space="preserve"> PAGEREF _Toc159513553 \h </w:instrText>
      </w:r>
      <w:r>
        <w:rPr>
          <w:noProof/>
        </w:rPr>
      </w:r>
      <w:r>
        <w:rPr>
          <w:noProof/>
        </w:rPr>
        <w:fldChar w:fldCharType="separate"/>
      </w:r>
      <w:r w:rsidR="00054A40">
        <w:rPr>
          <w:noProof/>
        </w:rPr>
        <w:t>23</w:t>
      </w:r>
      <w:r>
        <w:rPr>
          <w:noProof/>
        </w:rPr>
        <w:fldChar w:fldCharType="end"/>
      </w:r>
    </w:p>
    <w:p w14:paraId="6D74C2F8" w14:textId="2C323842"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Consultation</w:t>
      </w:r>
      <w:r>
        <w:rPr>
          <w:noProof/>
        </w:rPr>
        <w:tab/>
      </w:r>
      <w:r>
        <w:rPr>
          <w:noProof/>
        </w:rPr>
        <w:fldChar w:fldCharType="begin"/>
      </w:r>
      <w:r>
        <w:rPr>
          <w:noProof/>
        </w:rPr>
        <w:instrText xml:space="preserve"> PAGEREF _Toc159513554 \h </w:instrText>
      </w:r>
      <w:r>
        <w:rPr>
          <w:noProof/>
        </w:rPr>
      </w:r>
      <w:r>
        <w:rPr>
          <w:noProof/>
        </w:rPr>
        <w:fldChar w:fldCharType="separate"/>
      </w:r>
      <w:r w:rsidR="00054A40">
        <w:rPr>
          <w:noProof/>
        </w:rPr>
        <w:t>23</w:t>
      </w:r>
      <w:r>
        <w:rPr>
          <w:noProof/>
        </w:rPr>
        <w:fldChar w:fldCharType="end"/>
      </w:r>
    </w:p>
    <w:p w14:paraId="3368A5B9" w14:textId="5F237D0A"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Timing</w:t>
      </w:r>
      <w:r>
        <w:rPr>
          <w:noProof/>
        </w:rPr>
        <w:tab/>
      </w:r>
      <w:r>
        <w:rPr>
          <w:noProof/>
        </w:rPr>
        <w:fldChar w:fldCharType="begin"/>
      </w:r>
      <w:r>
        <w:rPr>
          <w:noProof/>
        </w:rPr>
        <w:instrText xml:space="preserve"> PAGEREF _Toc159513555 \h </w:instrText>
      </w:r>
      <w:r>
        <w:rPr>
          <w:noProof/>
        </w:rPr>
      </w:r>
      <w:r>
        <w:rPr>
          <w:noProof/>
        </w:rPr>
        <w:fldChar w:fldCharType="separate"/>
      </w:r>
      <w:r w:rsidR="00054A40">
        <w:rPr>
          <w:noProof/>
        </w:rPr>
        <w:t>24</w:t>
      </w:r>
      <w:r>
        <w:rPr>
          <w:noProof/>
        </w:rPr>
        <w:fldChar w:fldCharType="end"/>
      </w:r>
    </w:p>
    <w:p w14:paraId="50AA66F9" w14:textId="3B5DBA5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The Review Team</w:t>
      </w:r>
      <w:r>
        <w:rPr>
          <w:noProof/>
        </w:rPr>
        <w:tab/>
      </w:r>
      <w:r>
        <w:rPr>
          <w:noProof/>
        </w:rPr>
        <w:fldChar w:fldCharType="begin"/>
      </w:r>
      <w:r>
        <w:rPr>
          <w:noProof/>
        </w:rPr>
        <w:instrText xml:space="preserve"> PAGEREF _Toc159513556 \h </w:instrText>
      </w:r>
      <w:r>
        <w:rPr>
          <w:noProof/>
        </w:rPr>
      </w:r>
      <w:r>
        <w:rPr>
          <w:noProof/>
        </w:rPr>
        <w:fldChar w:fldCharType="separate"/>
      </w:r>
      <w:r w:rsidR="00054A40">
        <w:rPr>
          <w:noProof/>
        </w:rPr>
        <w:t>24</w:t>
      </w:r>
      <w:r>
        <w:rPr>
          <w:noProof/>
        </w:rPr>
        <w:fldChar w:fldCharType="end"/>
      </w:r>
    </w:p>
    <w:p w14:paraId="343D4436" w14:textId="7CC81E0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Consultation Process</w:t>
      </w:r>
      <w:r>
        <w:rPr>
          <w:noProof/>
        </w:rPr>
        <w:tab/>
      </w:r>
      <w:r>
        <w:rPr>
          <w:noProof/>
        </w:rPr>
        <w:fldChar w:fldCharType="begin"/>
      </w:r>
      <w:r>
        <w:rPr>
          <w:noProof/>
        </w:rPr>
        <w:instrText xml:space="preserve"> PAGEREF _Toc159513557 \h </w:instrText>
      </w:r>
      <w:r>
        <w:rPr>
          <w:noProof/>
        </w:rPr>
      </w:r>
      <w:r>
        <w:rPr>
          <w:noProof/>
        </w:rPr>
        <w:fldChar w:fldCharType="separate"/>
      </w:r>
      <w:r w:rsidR="00054A40">
        <w:rPr>
          <w:noProof/>
        </w:rPr>
        <w:t>24</w:t>
      </w:r>
      <w:r>
        <w:rPr>
          <w:noProof/>
        </w:rPr>
        <w:fldChar w:fldCharType="end"/>
      </w:r>
    </w:p>
    <w:p w14:paraId="2D6E98B8" w14:textId="34701C5D"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Submissions</w:t>
      </w:r>
      <w:r>
        <w:rPr>
          <w:noProof/>
        </w:rPr>
        <w:tab/>
      </w:r>
      <w:r>
        <w:rPr>
          <w:noProof/>
        </w:rPr>
        <w:fldChar w:fldCharType="begin"/>
      </w:r>
      <w:r>
        <w:rPr>
          <w:noProof/>
        </w:rPr>
        <w:instrText xml:space="preserve"> PAGEREF _Toc159513558 \h </w:instrText>
      </w:r>
      <w:r>
        <w:rPr>
          <w:noProof/>
        </w:rPr>
      </w:r>
      <w:r>
        <w:rPr>
          <w:noProof/>
        </w:rPr>
        <w:fldChar w:fldCharType="separate"/>
      </w:r>
      <w:r w:rsidR="00054A40">
        <w:rPr>
          <w:noProof/>
        </w:rPr>
        <w:t>24</w:t>
      </w:r>
      <w:r>
        <w:rPr>
          <w:noProof/>
        </w:rPr>
        <w:fldChar w:fldCharType="end"/>
      </w:r>
    </w:p>
    <w:p w14:paraId="06E5A12A" w14:textId="3FCFCAA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Structure of this Report</w:t>
      </w:r>
      <w:r>
        <w:rPr>
          <w:noProof/>
        </w:rPr>
        <w:tab/>
      </w:r>
      <w:r>
        <w:rPr>
          <w:noProof/>
        </w:rPr>
        <w:fldChar w:fldCharType="begin"/>
      </w:r>
      <w:r>
        <w:rPr>
          <w:noProof/>
        </w:rPr>
        <w:instrText xml:space="preserve"> PAGEREF _Toc159513559 \h </w:instrText>
      </w:r>
      <w:r>
        <w:rPr>
          <w:noProof/>
        </w:rPr>
      </w:r>
      <w:r>
        <w:rPr>
          <w:noProof/>
        </w:rPr>
        <w:fldChar w:fldCharType="separate"/>
      </w:r>
      <w:r w:rsidR="00054A40">
        <w:rPr>
          <w:noProof/>
        </w:rPr>
        <w:t>25</w:t>
      </w:r>
      <w:r>
        <w:rPr>
          <w:noProof/>
        </w:rPr>
        <w:fldChar w:fldCharType="end"/>
      </w:r>
    </w:p>
    <w:p w14:paraId="32648553" w14:textId="6B06A8E2"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2: Context of the Review</w:t>
      </w:r>
      <w:r>
        <w:rPr>
          <w:noProof/>
        </w:rPr>
        <w:tab/>
      </w:r>
      <w:r>
        <w:rPr>
          <w:noProof/>
        </w:rPr>
        <w:fldChar w:fldCharType="begin"/>
      </w:r>
      <w:r>
        <w:rPr>
          <w:noProof/>
        </w:rPr>
        <w:instrText xml:space="preserve"> PAGEREF _Toc159513560 \h </w:instrText>
      </w:r>
      <w:r>
        <w:rPr>
          <w:noProof/>
        </w:rPr>
      </w:r>
      <w:r>
        <w:rPr>
          <w:noProof/>
        </w:rPr>
        <w:fldChar w:fldCharType="separate"/>
      </w:r>
      <w:r w:rsidR="00054A40">
        <w:rPr>
          <w:noProof/>
        </w:rPr>
        <w:t>26</w:t>
      </w:r>
      <w:r>
        <w:rPr>
          <w:noProof/>
        </w:rPr>
        <w:fldChar w:fldCharType="end"/>
      </w:r>
    </w:p>
    <w:p w14:paraId="555B9C6A" w14:textId="39667ABE"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_Toc159513561 \h </w:instrText>
      </w:r>
      <w:r>
        <w:rPr>
          <w:noProof/>
        </w:rPr>
      </w:r>
      <w:r>
        <w:rPr>
          <w:noProof/>
        </w:rPr>
        <w:fldChar w:fldCharType="separate"/>
      </w:r>
      <w:r w:rsidR="00054A40">
        <w:rPr>
          <w:noProof/>
        </w:rPr>
        <w:t>26</w:t>
      </w:r>
      <w:r>
        <w:rPr>
          <w:noProof/>
        </w:rPr>
        <w:fldChar w:fldCharType="end"/>
      </w:r>
    </w:p>
    <w:p w14:paraId="368C717D" w14:textId="5A5A8A2A"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_Toc159513562 \h </w:instrText>
      </w:r>
      <w:r>
        <w:rPr>
          <w:noProof/>
        </w:rPr>
      </w:r>
      <w:r>
        <w:rPr>
          <w:noProof/>
        </w:rPr>
        <w:fldChar w:fldCharType="separate"/>
      </w:r>
      <w:r w:rsidR="00054A40">
        <w:rPr>
          <w:noProof/>
        </w:rPr>
        <w:t>26</w:t>
      </w:r>
      <w:r>
        <w:rPr>
          <w:noProof/>
        </w:rPr>
        <w:fldChar w:fldCharType="end"/>
      </w:r>
    </w:p>
    <w:p w14:paraId="44EAA03A" w14:textId="0850123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Background to the Review</w:t>
      </w:r>
      <w:r>
        <w:rPr>
          <w:noProof/>
        </w:rPr>
        <w:tab/>
      </w:r>
      <w:r>
        <w:rPr>
          <w:noProof/>
        </w:rPr>
        <w:fldChar w:fldCharType="begin"/>
      </w:r>
      <w:r>
        <w:rPr>
          <w:noProof/>
        </w:rPr>
        <w:instrText xml:space="preserve"> PAGEREF _Toc159513563 \h </w:instrText>
      </w:r>
      <w:r>
        <w:rPr>
          <w:noProof/>
        </w:rPr>
      </w:r>
      <w:r>
        <w:rPr>
          <w:noProof/>
        </w:rPr>
        <w:fldChar w:fldCharType="separate"/>
      </w:r>
      <w:r w:rsidR="00054A40">
        <w:rPr>
          <w:noProof/>
        </w:rPr>
        <w:t>26</w:t>
      </w:r>
      <w:r>
        <w:rPr>
          <w:noProof/>
        </w:rPr>
        <w:fldChar w:fldCharType="end"/>
      </w:r>
    </w:p>
    <w:p w14:paraId="7811A669" w14:textId="77A35617"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Concurrent Reviews</w:t>
      </w:r>
      <w:r>
        <w:rPr>
          <w:noProof/>
        </w:rPr>
        <w:tab/>
      </w:r>
      <w:r>
        <w:rPr>
          <w:noProof/>
        </w:rPr>
        <w:fldChar w:fldCharType="begin"/>
      </w:r>
      <w:r>
        <w:rPr>
          <w:noProof/>
        </w:rPr>
        <w:instrText xml:space="preserve"> PAGEREF _Toc159513564 \h </w:instrText>
      </w:r>
      <w:r>
        <w:rPr>
          <w:noProof/>
        </w:rPr>
      </w:r>
      <w:r>
        <w:rPr>
          <w:noProof/>
        </w:rPr>
        <w:fldChar w:fldCharType="separate"/>
      </w:r>
      <w:r w:rsidR="00054A40">
        <w:rPr>
          <w:noProof/>
        </w:rPr>
        <w:t>28</w:t>
      </w:r>
      <w:r>
        <w:rPr>
          <w:noProof/>
        </w:rPr>
        <w:fldChar w:fldCharType="end"/>
      </w:r>
    </w:p>
    <w:p w14:paraId="582A0613" w14:textId="0FD8913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Size of the market</w:t>
      </w:r>
      <w:r>
        <w:rPr>
          <w:noProof/>
        </w:rPr>
        <w:tab/>
      </w:r>
      <w:r>
        <w:rPr>
          <w:noProof/>
        </w:rPr>
        <w:fldChar w:fldCharType="begin"/>
      </w:r>
      <w:r>
        <w:rPr>
          <w:noProof/>
        </w:rPr>
        <w:instrText xml:space="preserve"> PAGEREF _Toc159513565 \h </w:instrText>
      </w:r>
      <w:r>
        <w:rPr>
          <w:noProof/>
        </w:rPr>
      </w:r>
      <w:r>
        <w:rPr>
          <w:noProof/>
        </w:rPr>
        <w:fldChar w:fldCharType="separate"/>
      </w:r>
      <w:r w:rsidR="00054A40">
        <w:rPr>
          <w:noProof/>
        </w:rPr>
        <w:t>31</w:t>
      </w:r>
      <w:r>
        <w:rPr>
          <w:noProof/>
        </w:rPr>
        <w:fldChar w:fldCharType="end"/>
      </w:r>
    </w:p>
    <w:p w14:paraId="5F37F186" w14:textId="2ACEB234"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3: Digital Assets</w:t>
      </w:r>
      <w:r>
        <w:rPr>
          <w:noProof/>
        </w:rPr>
        <w:tab/>
      </w:r>
      <w:r>
        <w:rPr>
          <w:noProof/>
        </w:rPr>
        <w:fldChar w:fldCharType="begin"/>
      </w:r>
      <w:r>
        <w:rPr>
          <w:noProof/>
        </w:rPr>
        <w:instrText xml:space="preserve"> PAGEREF _Toc159513566 \h </w:instrText>
      </w:r>
      <w:r>
        <w:rPr>
          <w:noProof/>
        </w:rPr>
      </w:r>
      <w:r>
        <w:rPr>
          <w:noProof/>
        </w:rPr>
        <w:fldChar w:fldCharType="separate"/>
      </w:r>
      <w:r w:rsidR="00054A40">
        <w:rPr>
          <w:noProof/>
        </w:rPr>
        <w:t>34</w:t>
      </w:r>
      <w:r>
        <w:rPr>
          <w:noProof/>
        </w:rPr>
        <w:fldChar w:fldCharType="end"/>
      </w:r>
    </w:p>
    <w:p w14:paraId="00398DBB" w14:textId="00DD5C5A"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_Toc159513567 \h </w:instrText>
      </w:r>
      <w:r>
        <w:rPr>
          <w:noProof/>
        </w:rPr>
      </w:r>
      <w:r>
        <w:rPr>
          <w:noProof/>
        </w:rPr>
        <w:fldChar w:fldCharType="separate"/>
      </w:r>
      <w:r w:rsidR="00054A40">
        <w:rPr>
          <w:noProof/>
        </w:rPr>
        <w:t>34</w:t>
      </w:r>
      <w:r>
        <w:rPr>
          <w:noProof/>
        </w:rPr>
        <w:fldChar w:fldCharType="end"/>
      </w:r>
    </w:p>
    <w:p w14:paraId="3AFEEF90" w14:textId="15BAD24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_Toc159513568 \h </w:instrText>
      </w:r>
      <w:r>
        <w:rPr>
          <w:noProof/>
        </w:rPr>
      </w:r>
      <w:r>
        <w:rPr>
          <w:noProof/>
        </w:rPr>
        <w:fldChar w:fldCharType="separate"/>
      </w:r>
      <w:r w:rsidR="00054A40">
        <w:rPr>
          <w:noProof/>
        </w:rPr>
        <w:t>34</w:t>
      </w:r>
      <w:r>
        <w:rPr>
          <w:noProof/>
        </w:rPr>
        <w:fldChar w:fldCharType="end"/>
      </w:r>
    </w:p>
    <w:p w14:paraId="61393CBB" w14:textId="33CA99F2"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What are digital assets?</w:t>
      </w:r>
      <w:r>
        <w:rPr>
          <w:noProof/>
        </w:rPr>
        <w:tab/>
      </w:r>
      <w:r>
        <w:rPr>
          <w:noProof/>
        </w:rPr>
        <w:fldChar w:fldCharType="begin"/>
      </w:r>
      <w:r>
        <w:rPr>
          <w:noProof/>
        </w:rPr>
        <w:instrText xml:space="preserve"> PAGEREF _Toc159513569 \h </w:instrText>
      </w:r>
      <w:r>
        <w:rPr>
          <w:noProof/>
        </w:rPr>
      </w:r>
      <w:r>
        <w:rPr>
          <w:noProof/>
        </w:rPr>
        <w:fldChar w:fldCharType="separate"/>
      </w:r>
      <w:r w:rsidR="00054A40">
        <w:rPr>
          <w:noProof/>
        </w:rPr>
        <w:t>35</w:t>
      </w:r>
      <w:r>
        <w:rPr>
          <w:noProof/>
        </w:rPr>
        <w:fldChar w:fldCharType="end"/>
      </w:r>
    </w:p>
    <w:p w14:paraId="6BDBBCDB" w14:textId="293F945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Distributed ledger technology</w:t>
      </w:r>
      <w:r>
        <w:rPr>
          <w:noProof/>
        </w:rPr>
        <w:tab/>
      </w:r>
      <w:r>
        <w:rPr>
          <w:noProof/>
        </w:rPr>
        <w:fldChar w:fldCharType="begin"/>
      </w:r>
      <w:r>
        <w:rPr>
          <w:noProof/>
        </w:rPr>
        <w:instrText xml:space="preserve"> PAGEREF _Toc159513570 \h </w:instrText>
      </w:r>
      <w:r>
        <w:rPr>
          <w:noProof/>
        </w:rPr>
      </w:r>
      <w:r>
        <w:rPr>
          <w:noProof/>
        </w:rPr>
        <w:fldChar w:fldCharType="separate"/>
      </w:r>
      <w:r w:rsidR="00054A40">
        <w:rPr>
          <w:noProof/>
        </w:rPr>
        <w:t>36</w:t>
      </w:r>
      <w:r>
        <w:rPr>
          <w:noProof/>
        </w:rPr>
        <w:fldChar w:fldCharType="end"/>
      </w:r>
    </w:p>
    <w:p w14:paraId="67E8FF1D" w14:textId="7B82FD92"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Blockchain</w:t>
      </w:r>
      <w:r>
        <w:rPr>
          <w:noProof/>
        </w:rPr>
        <w:tab/>
      </w:r>
      <w:r>
        <w:rPr>
          <w:noProof/>
        </w:rPr>
        <w:fldChar w:fldCharType="begin"/>
      </w:r>
      <w:r>
        <w:rPr>
          <w:noProof/>
        </w:rPr>
        <w:instrText xml:space="preserve"> PAGEREF _Toc159513571 \h </w:instrText>
      </w:r>
      <w:r>
        <w:rPr>
          <w:noProof/>
        </w:rPr>
      </w:r>
      <w:r>
        <w:rPr>
          <w:noProof/>
        </w:rPr>
        <w:fldChar w:fldCharType="separate"/>
      </w:r>
      <w:r w:rsidR="00054A40">
        <w:rPr>
          <w:noProof/>
        </w:rPr>
        <w:t>39</w:t>
      </w:r>
      <w:r>
        <w:rPr>
          <w:noProof/>
        </w:rPr>
        <w:fldChar w:fldCharType="end"/>
      </w:r>
    </w:p>
    <w:p w14:paraId="708FE88E" w14:textId="12822409"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Consensus mechanisms: ‘Proof of Work’ vs ‘Proof of Stake’</w:t>
      </w:r>
      <w:r>
        <w:rPr>
          <w:noProof/>
        </w:rPr>
        <w:tab/>
      </w:r>
      <w:r>
        <w:rPr>
          <w:noProof/>
        </w:rPr>
        <w:fldChar w:fldCharType="begin"/>
      </w:r>
      <w:r>
        <w:rPr>
          <w:noProof/>
        </w:rPr>
        <w:instrText xml:space="preserve"> PAGEREF _Toc159513572 \h </w:instrText>
      </w:r>
      <w:r>
        <w:rPr>
          <w:noProof/>
        </w:rPr>
      </w:r>
      <w:r>
        <w:rPr>
          <w:noProof/>
        </w:rPr>
        <w:fldChar w:fldCharType="separate"/>
      </w:r>
      <w:r w:rsidR="00054A40">
        <w:rPr>
          <w:noProof/>
        </w:rPr>
        <w:t>41</w:t>
      </w:r>
      <w:r>
        <w:rPr>
          <w:noProof/>
        </w:rPr>
        <w:fldChar w:fldCharType="end"/>
      </w:r>
    </w:p>
    <w:p w14:paraId="5BD97470" w14:textId="00E76D5E"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Fiat, digital and crypto currencies</w:t>
      </w:r>
      <w:r>
        <w:rPr>
          <w:noProof/>
        </w:rPr>
        <w:tab/>
      </w:r>
      <w:r>
        <w:rPr>
          <w:noProof/>
        </w:rPr>
        <w:fldChar w:fldCharType="begin"/>
      </w:r>
      <w:r>
        <w:rPr>
          <w:noProof/>
        </w:rPr>
        <w:instrText xml:space="preserve"> PAGEREF _Toc159513573 \h </w:instrText>
      </w:r>
      <w:r>
        <w:rPr>
          <w:noProof/>
        </w:rPr>
      </w:r>
      <w:r>
        <w:rPr>
          <w:noProof/>
        </w:rPr>
        <w:fldChar w:fldCharType="separate"/>
      </w:r>
      <w:r w:rsidR="00054A40">
        <w:rPr>
          <w:noProof/>
        </w:rPr>
        <w:t>45</w:t>
      </w:r>
      <w:r>
        <w:rPr>
          <w:noProof/>
        </w:rPr>
        <w:fldChar w:fldCharType="end"/>
      </w:r>
    </w:p>
    <w:p w14:paraId="4054D969" w14:textId="53D78F4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Smart contracts</w:t>
      </w:r>
      <w:r>
        <w:rPr>
          <w:noProof/>
        </w:rPr>
        <w:tab/>
      </w:r>
      <w:r>
        <w:rPr>
          <w:noProof/>
        </w:rPr>
        <w:fldChar w:fldCharType="begin"/>
      </w:r>
      <w:r>
        <w:rPr>
          <w:noProof/>
        </w:rPr>
        <w:instrText xml:space="preserve"> PAGEREF _Toc159513574 \h </w:instrText>
      </w:r>
      <w:r>
        <w:rPr>
          <w:noProof/>
        </w:rPr>
      </w:r>
      <w:r>
        <w:rPr>
          <w:noProof/>
        </w:rPr>
        <w:fldChar w:fldCharType="separate"/>
      </w:r>
      <w:r w:rsidR="00054A40">
        <w:rPr>
          <w:noProof/>
        </w:rPr>
        <w:t>46</w:t>
      </w:r>
      <w:r>
        <w:rPr>
          <w:noProof/>
        </w:rPr>
        <w:fldChar w:fldCharType="end"/>
      </w:r>
    </w:p>
    <w:p w14:paraId="12255A21" w14:textId="33797839"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Tokens</w:t>
      </w:r>
      <w:r>
        <w:rPr>
          <w:noProof/>
        </w:rPr>
        <w:tab/>
      </w:r>
      <w:r>
        <w:rPr>
          <w:noProof/>
        </w:rPr>
        <w:fldChar w:fldCharType="begin"/>
      </w:r>
      <w:r>
        <w:rPr>
          <w:noProof/>
        </w:rPr>
        <w:instrText xml:space="preserve"> PAGEREF _Toc159513575 \h </w:instrText>
      </w:r>
      <w:r>
        <w:rPr>
          <w:noProof/>
        </w:rPr>
      </w:r>
      <w:r>
        <w:rPr>
          <w:noProof/>
        </w:rPr>
        <w:fldChar w:fldCharType="separate"/>
      </w:r>
      <w:r w:rsidR="00054A40">
        <w:rPr>
          <w:noProof/>
        </w:rPr>
        <w:t>47</w:t>
      </w:r>
      <w:r>
        <w:rPr>
          <w:noProof/>
        </w:rPr>
        <w:fldChar w:fldCharType="end"/>
      </w:r>
    </w:p>
    <w:p w14:paraId="3DFF5451" w14:textId="3A412BE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Governance</w:t>
      </w:r>
      <w:r>
        <w:rPr>
          <w:noProof/>
        </w:rPr>
        <w:tab/>
      </w:r>
      <w:r>
        <w:rPr>
          <w:noProof/>
        </w:rPr>
        <w:fldChar w:fldCharType="begin"/>
      </w:r>
      <w:r>
        <w:rPr>
          <w:noProof/>
        </w:rPr>
        <w:instrText xml:space="preserve"> PAGEREF _Toc159513576 \h </w:instrText>
      </w:r>
      <w:r>
        <w:rPr>
          <w:noProof/>
        </w:rPr>
      </w:r>
      <w:r>
        <w:rPr>
          <w:noProof/>
        </w:rPr>
        <w:fldChar w:fldCharType="separate"/>
      </w:r>
      <w:r w:rsidR="00054A40">
        <w:rPr>
          <w:noProof/>
        </w:rPr>
        <w:t>49</w:t>
      </w:r>
      <w:r>
        <w:rPr>
          <w:noProof/>
        </w:rPr>
        <w:fldChar w:fldCharType="end"/>
      </w:r>
    </w:p>
    <w:p w14:paraId="07528756" w14:textId="4BA429D6"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Forks</w:t>
      </w:r>
      <w:r>
        <w:rPr>
          <w:noProof/>
        </w:rPr>
        <w:tab/>
      </w:r>
      <w:r>
        <w:rPr>
          <w:noProof/>
        </w:rPr>
        <w:fldChar w:fldCharType="begin"/>
      </w:r>
      <w:r>
        <w:rPr>
          <w:noProof/>
        </w:rPr>
        <w:instrText xml:space="preserve"> PAGEREF _Toc159513577 \h </w:instrText>
      </w:r>
      <w:r>
        <w:rPr>
          <w:noProof/>
        </w:rPr>
      </w:r>
      <w:r>
        <w:rPr>
          <w:noProof/>
        </w:rPr>
        <w:fldChar w:fldCharType="separate"/>
      </w:r>
      <w:r w:rsidR="00054A40">
        <w:rPr>
          <w:noProof/>
        </w:rPr>
        <w:t>52</w:t>
      </w:r>
      <w:r>
        <w:rPr>
          <w:noProof/>
        </w:rPr>
        <w:fldChar w:fldCharType="end"/>
      </w:r>
    </w:p>
    <w:p w14:paraId="041EB4E7" w14:textId="52F2B0A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Decentralised Finance (DeFi)</w:t>
      </w:r>
      <w:r>
        <w:rPr>
          <w:noProof/>
        </w:rPr>
        <w:tab/>
      </w:r>
      <w:r>
        <w:rPr>
          <w:noProof/>
        </w:rPr>
        <w:fldChar w:fldCharType="begin"/>
      </w:r>
      <w:r>
        <w:rPr>
          <w:noProof/>
        </w:rPr>
        <w:instrText xml:space="preserve"> PAGEREF _Toc159513578 \h </w:instrText>
      </w:r>
      <w:r>
        <w:rPr>
          <w:noProof/>
        </w:rPr>
      </w:r>
      <w:r>
        <w:rPr>
          <w:noProof/>
        </w:rPr>
        <w:fldChar w:fldCharType="separate"/>
      </w:r>
      <w:r w:rsidR="00054A40">
        <w:rPr>
          <w:noProof/>
        </w:rPr>
        <w:t>53</w:t>
      </w:r>
      <w:r>
        <w:rPr>
          <w:noProof/>
        </w:rPr>
        <w:fldChar w:fldCharType="end"/>
      </w:r>
    </w:p>
    <w:p w14:paraId="290EC069" w14:textId="0F5FFE5E"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Other Crypto Transactions</w:t>
      </w:r>
      <w:r>
        <w:rPr>
          <w:noProof/>
        </w:rPr>
        <w:tab/>
      </w:r>
      <w:r>
        <w:rPr>
          <w:noProof/>
        </w:rPr>
        <w:fldChar w:fldCharType="begin"/>
      </w:r>
      <w:r>
        <w:rPr>
          <w:noProof/>
        </w:rPr>
        <w:instrText xml:space="preserve"> PAGEREF _Toc159513579 \h </w:instrText>
      </w:r>
      <w:r>
        <w:rPr>
          <w:noProof/>
        </w:rPr>
      </w:r>
      <w:r>
        <w:rPr>
          <w:noProof/>
        </w:rPr>
        <w:fldChar w:fldCharType="separate"/>
      </w:r>
      <w:r w:rsidR="00054A40">
        <w:rPr>
          <w:noProof/>
        </w:rPr>
        <w:t>64</w:t>
      </w:r>
      <w:r>
        <w:rPr>
          <w:noProof/>
        </w:rPr>
        <w:fldChar w:fldCharType="end"/>
      </w:r>
    </w:p>
    <w:p w14:paraId="35F8425A" w14:textId="5F248F9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Regulating digital asset platforms</w:t>
      </w:r>
      <w:r>
        <w:rPr>
          <w:noProof/>
        </w:rPr>
        <w:tab/>
      </w:r>
      <w:r>
        <w:rPr>
          <w:noProof/>
        </w:rPr>
        <w:fldChar w:fldCharType="begin"/>
      </w:r>
      <w:r>
        <w:rPr>
          <w:noProof/>
        </w:rPr>
        <w:instrText xml:space="preserve"> PAGEREF _Toc159513580 \h </w:instrText>
      </w:r>
      <w:r>
        <w:rPr>
          <w:noProof/>
        </w:rPr>
      </w:r>
      <w:r>
        <w:rPr>
          <w:noProof/>
        </w:rPr>
        <w:fldChar w:fldCharType="separate"/>
      </w:r>
      <w:r w:rsidR="00054A40">
        <w:rPr>
          <w:noProof/>
        </w:rPr>
        <w:t>68</w:t>
      </w:r>
      <w:r>
        <w:rPr>
          <w:noProof/>
        </w:rPr>
        <w:fldChar w:fldCharType="end"/>
      </w:r>
    </w:p>
    <w:p w14:paraId="1016581B" w14:textId="39E7CF5E"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4: Classification and Nature of Digital Assets</w:t>
      </w:r>
      <w:r>
        <w:rPr>
          <w:noProof/>
        </w:rPr>
        <w:tab/>
      </w:r>
      <w:r>
        <w:rPr>
          <w:noProof/>
        </w:rPr>
        <w:fldChar w:fldCharType="begin"/>
      </w:r>
      <w:r>
        <w:rPr>
          <w:noProof/>
        </w:rPr>
        <w:instrText xml:space="preserve"> PAGEREF _Toc159513581 \h </w:instrText>
      </w:r>
      <w:r>
        <w:rPr>
          <w:noProof/>
        </w:rPr>
      </w:r>
      <w:r>
        <w:rPr>
          <w:noProof/>
        </w:rPr>
        <w:fldChar w:fldCharType="separate"/>
      </w:r>
      <w:r w:rsidR="00054A40">
        <w:rPr>
          <w:noProof/>
        </w:rPr>
        <w:t>69</w:t>
      </w:r>
      <w:r>
        <w:rPr>
          <w:noProof/>
        </w:rPr>
        <w:fldChar w:fldCharType="end"/>
      </w:r>
    </w:p>
    <w:p w14:paraId="443EBC61" w14:textId="7CCBF24A"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_Toc159513582 \h </w:instrText>
      </w:r>
      <w:r>
        <w:rPr>
          <w:noProof/>
        </w:rPr>
      </w:r>
      <w:r>
        <w:rPr>
          <w:noProof/>
        </w:rPr>
        <w:fldChar w:fldCharType="separate"/>
      </w:r>
      <w:r w:rsidR="00054A40">
        <w:rPr>
          <w:noProof/>
        </w:rPr>
        <w:t>69</w:t>
      </w:r>
      <w:r>
        <w:rPr>
          <w:noProof/>
        </w:rPr>
        <w:fldChar w:fldCharType="end"/>
      </w:r>
    </w:p>
    <w:p w14:paraId="35CDB466" w14:textId="2114059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_Toc159513583 \h </w:instrText>
      </w:r>
      <w:r>
        <w:rPr>
          <w:noProof/>
        </w:rPr>
      </w:r>
      <w:r>
        <w:rPr>
          <w:noProof/>
        </w:rPr>
        <w:fldChar w:fldCharType="separate"/>
      </w:r>
      <w:r w:rsidR="00054A40">
        <w:rPr>
          <w:noProof/>
        </w:rPr>
        <w:t>69</w:t>
      </w:r>
      <w:r>
        <w:rPr>
          <w:noProof/>
        </w:rPr>
        <w:fldChar w:fldCharType="end"/>
      </w:r>
    </w:p>
    <w:p w14:paraId="2F8E7AC2" w14:textId="48EB89E3"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Classifying crypto assets</w:t>
      </w:r>
      <w:r>
        <w:rPr>
          <w:noProof/>
        </w:rPr>
        <w:tab/>
      </w:r>
      <w:r>
        <w:rPr>
          <w:noProof/>
        </w:rPr>
        <w:fldChar w:fldCharType="begin"/>
      </w:r>
      <w:r>
        <w:rPr>
          <w:noProof/>
        </w:rPr>
        <w:instrText xml:space="preserve"> PAGEREF _Toc159513584 \h </w:instrText>
      </w:r>
      <w:r>
        <w:rPr>
          <w:noProof/>
        </w:rPr>
      </w:r>
      <w:r>
        <w:rPr>
          <w:noProof/>
        </w:rPr>
        <w:fldChar w:fldCharType="separate"/>
      </w:r>
      <w:r w:rsidR="00054A40">
        <w:rPr>
          <w:noProof/>
        </w:rPr>
        <w:t>70</w:t>
      </w:r>
      <w:r>
        <w:rPr>
          <w:noProof/>
        </w:rPr>
        <w:fldChar w:fldCharType="end"/>
      </w:r>
    </w:p>
    <w:p w14:paraId="080825D1" w14:textId="4E2F0199"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Crypto assets as property</w:t>
      </w:r>
      <w:r>
        <w:rPr>
          <w:noProof/>
        </w:rPr>
        <w:tab/>
      </w:r>
      <w:r>
        <w:rPr>
          <w:noProof/>
        </w:rPr>
        <w:fldChar w:fldCharType="begin"/>
      </w:r>
      <w:r>
        <w:rPr>
          <w:noProof/>
        </w:rPr>
        <w:instrText xml:space="preserve"> PAGEREF _Toc159513585 \h </w:instrText>
      </w:r>
      <w:r>
        <w:rPr>
          <w:noProof/>
        </w:rPr>
      </w:r>
      <w:r>
        <w:rPr>
          <w:noProof/>
        </w:rPr>
        <w:fldChar w:fldCharType="separate"/>
      </w:r>
      <w:r w:rsidR="00054A40">
        <w:rPr>
          <w:noProof/>
        </w:rPr>
        <w:t>73</w:t>
      </w:r>
      <w:r>
        <w:rPr>
          <w:noProof/>
        </w:rPr>
        <w:fldChar w:fldCharType="end"/>
      </w:r>
    </w:p>
    <w:p w14:paraId="3B9F8563" w14:textId="1F6D10D4"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Crypto assets as foreign currency</w:t>
      </w:r>
      <w:r>
        <w:rPr>
          <w:noProof/>
        </w:rPr>
        <w:tab/>
      </w:r>
      <w:r>
        <w:rPr>
          <w:noProof/>
        </w:rPr>
        <w:fldChar w:fldCharType="begin"/>
      </w:r>
      <w:r>
        <w:rPr>
          <w:noProof/>
        </w:rPr>
        <w:instrText xml:space="preserve"> PAGEREF _Toc159513586 \h </w:instrText>
      </w:r>
      <w:r>
        <w:rPr>
          <w:noProof/>
        </w:rPr>
      </w:r>
      <w:r>
        <w:rPr>
          <w:noProof/>
        </w:rPr>
        <w:fldChar w:fldCharType="separate"/>
      </w:r>
      <w:r w:rsidR="00054A40">
        <w:rPr>
          <w:noProof/>
        </w:rPr>
        <w:t>78</w:t>
      </w:r>
      <w:r>
        <w:rPr>
          <w:noProof/>
        </w:rPr>
        <w:fldChar w:fldCharType="end"/>
      </w:r>
    </w:p>
    <w:p w14:paraId="71CD0539" w14:textId="35A59A27"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Potential risks and concerns</w:t>
      </w:r>
      <w:r>
        <w:rPr>
          <w:noProof/>
        </w:rPr>
        <w:tab/>
      </w:r>
      <w:r>
        <w:rPr>
          <w:noProof/>
        </w:rPr>
        <w:fldChar w:fldCharType="begin"/>
      </w:r>
      <w:r>
        <w:rPr>
          <w:noProof/>
        </w:rPr>
        <w:instrText xml:space="preserve"> PAGEREF _Toc159513587 \h </w:instrText>
      </w:r>
      <w:r>
        <w:rPr>
          <w:noProof/>
        </w:rPr>
      </w:r>
      <w:r>
        <w:rPr>
          <w:noProof/>
        </w:rPr>
        <w:fldChar w:fldCharType="separate"/>
      </w:r>
      <w:r w:rsidR="00054A40">
        <w:rPr>
          <w:noProof/>
        </w:rPr>
        <w:t>80</w:t>
      </w:r>
      <w:r>
        <w:rPr>
          <w:noProof/>
        </w:rPr>
        <w:fldChar w:fldCharType="end"/>
      </w:r>
    </w:p>
    <w:p w14:paraId="614E48E0" w14:textId="7E7D3816"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5: Principles Framework</w:t>
      </w:r>
      <w:r>
        <w:rPr>
          <w:noProof/>
        </w:rPr>
        <w:tab/>
      </w:r>
      <w:r>
        <w:rPr>
          <w:noProof/>
        </w:rPr>
        <w:fldChar w:fldCharType="begin"/>
      </w:r>
      <w:r>
        <w:rPr>
          <w:noProof/>
        </w:rPr>
        <w:instrText xml:space="preserve"> PAGEREF _Toc159513588 \h </w:instrText>
      </w:r>
      <w:r>
        <w:rPr>
          <w:noProof/>
        </w:rPr>
      </w:r>
      <w:r>
        <w:rPr>
          <w:noProof/>
        </w:rPr>
        <w:fldChar w:fldCharType="separate"/>
      </w:r>
      <w:r w:rsidR="00054A40">
        <w:rPr>
          <w:noProof/>
        </w:rPr>
        <w:t>83</w:t>
      </w:r>
      <w:r>
        <w:rPr>
          <w:noProof/>
        </w:rPr>
        <w:fldChar w:fldCharType="end"/>
      </w:r>
    </w:p>
    <w:p w14:paraId="134EAC3E" w14:textId="644D36CA"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_Toc159513589 \h </w:instrText>
      </w:r>
      <w:r>
        <w:rPr>
          <w:noProof/>
        </w:rPr>
      </w:r>
      <w:r>
        <w:rPr>
          <w:noProof/>
        </w:rPr>
        <w:fldChar w:fldCharType="separate"/>
      </w:r>
      <w:r w:rsidR="00054A40">
        <w:rPr>
          <w:noProof/>
        </w:rPr>
        <w:t>83</w:t>
      </w:r>
      <w:r>
        <w:rPr>
          <w:noProof/>
        </w:rPr>
        <w:fldChar w:fldCharType="end"/>
      </w:r>
    </w:p>
    <w:p w14:paraId="4C328B75" w14:textId="70BF2CD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_Toc159513590 \h </w:instrText>
      </w:r>
      <w:r>
        <w:rPr>
          <w:noProof/>
        </w:rPr>
      </w:r>
      <w:r>
        <w:rPr>
          <w:noProof/>
        </w:rPr>
        <w:fldChar w:fldCharType="separate"/>
      </w:r>
      <w:r w:rsidR="00054A40">
        <w:rPr>
          <w:noProof/>
        </w:rPr>
        <w:t>83</w:t>
      </w:r>
      <w:r>
        <w:rPr>
          <w:noProof/>
        </w:rPr>
        <w:fldChar w:fldCharType="end"/>
      </w:r>
    </w:p>
    <w:p w14:paraId="4A1CE58A" w14:textId="4B6C69D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Context and purpose</w:t>
      </w:r>
      <w:r>
        <w:rPr>
          <w:noProof/>
        </w:rPr>
        <w:tab/>
      </w:r>
      <w:r>
        <w:rPr>
          <w:noProof/>
        </w:rPr>
        <w:fldChar w:fldCharType="begin"/>
      </w:r>
      <w:r>
        <w:rPr>
          <w:noProof/>
        </w:rPr>
        <w:instrText xml:space="preserve"> PAGEREF _Toc159513591 \h </w:instrText>
      </w:r>
      <w:r>
        <w:rPr>
          <w:noProof/>
        </w:rPr>
      </w:r>
      <w:r>
        <w:rPr>
          <w:noProof/>
        </w:rPr>
        <w:fldChar w:fldCharType="separate"/>
      </w:r>
      <w:r w:rsidR="00054A40">
        <w:rPr>
          <w:noProof/>
        </w:rPr>
        <w:t>83</w:t>
      </w:r>
      <w:r>
        <w:rPr>
          <w:noProof/>
        </w:rPr>
        <w:fldChar w:fldCharType="end"/>
      </w:r>
    </w:p>
    <w:p w14:paraId="519EB766" w14:textId="634CC7E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Consultation</w:t>
      </w:r>
      <w:r>
        <w:rPr>
          <w:noProof/>
        </w:rPr>
        <w:tab/>
      </w:r>
      <w:r>
        <w:rPr>
          <w:noProof/>
        </w:rPr>
        <w:fldChar w:fldCharType="begin"/>
      </w:r>
      <w:r>
        <w:rPr>
          <w:noProof/>
        </w:rPr>
        <w:instrText xml:space="preserve"> PAGEREF _Toc159513592 \h </w:instrText>
      </w:r>
      <w:r>
        <w:rPr>
          <w:noProof/>
        </w:rPr>
      </w:r>
      <w:r>
        <w:rPr>
          <w:noProof/>
        </w:rPr>
        <w:fldChar w:fldCharType="separate"/>
      </w:r>
      <w:r w:rsidR="00054A40">
        <w:rPr>
          <w:noProof/>
        </w:rPr>
        <w:t>84</w:t>
      </w:r>
      <w:r>
        <w:rPr>
          <w:noProof/>
        </w:rPr>
        <w:fldChar w:fldCharType="end"/>
      </w:r>
    </w:p>
    <w:p w14:paraId="50EE9CD8" w14:textId="428B5882"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Policy Objectives</w:t>
      </w:r>
      <w:r>
        <w:rPr>
          <w:noProof/>
        </w:rPr>
        <w:tab/>
      </w:r>
      <w:r>
        <w:rPr>
          <w:noProof/>
        </w:rPr>
        <w:fldChar w:fldCharType="begin"/>
      </w:r>
      <w:r>
        <w:rPr>
          <w:noProof/>
        </w:rPr>
        <w:instrText xml:space="preserve"> PAGEREF _Toc159513593 \h </w:instrText>
      </w:r>
      <w:r>
        <w:rPr>
          <w:noProof/>
        </w:rPr>
      </w:r>
      <w:r>
        <w:rPr>
          <w:noProof/>
        </w:rPr>
        <w:fldChar w:fldCharType="separate"/>
      </w:r>
      <w:r w:rsidR="00054A40">
        <w:rPr>
          <w:noProof/>
        </w:rPr>
        <w:t>84</w:t>
      </w:r>
      <w:r>
        <w:rPr>
          <w:noProof/>
        </w:rPr>
        <w:fldChar w:fldCharType="end"/>
      </w:r>
    </w:p>
    <w:p w14:paraId="6D03EDAC" w14:textId="06EC77F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The Board’s view</w:t>
      </w:r>
      <w:r>
        <w:rPr>
          <w:noProof/>
        </w:rPr>
        <w:tab/>
      </w:r>
      <w:r>
        <w:rPr>
          <w:noProof/>
        </w:rPr>
        <w:fldChar w:fldCharType="begin"/>
      </w:r>
      <w:r>
        <w:rPr>
          <w:noProof/>
        </w:rPr>
        <w:instrText xml:space="preserve"> PAGEREF _Toc159513594 \h </w:instrText>
      </w:r>
      <w:r>
        <w:rPr>
          <w:noProof/>
        </w:rPr>
      </w:r>
      <w:r>
        <w:rPr>
          <w:noProof/>
        </w:rPr>
        <w:fldChar w:fldCharType="separate"/>
      </w:r>
      <w:r w:rsidR="00054A40">
        <w:rPr>
          <w:noProof/>
        </w:rPr>
        <w:t>85</w:t>
      </w:r>
      <w:r>
        <w:rPr>
          <w:noProof/>
        </w:rPr>
        <w:fldChar w:fldCharType="end"/>
      </w:r>
    </w:p>
    <w:p w14:paraId="4AC1CC34" w14:textId="212790C4"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Principles</w:t>
      </w:r>
      <w:r>
        <w:rPr>
          <w:noProof/>
        </w:rPr>
        <w:tab/>
      </w:r>
      <w:r>
        <w:rPr>
          <w:noProof/>
        </w:rPr>
        <w:fldChar w:fldCharType="begin"/>
      </w:r>
      <w:r>
        <w:rPr>
          <w:noProof/>
        </w:rPr>
        <w:instrText xml:space="preserve"> PAGEREF _Toc159513595 \h </w:instrText>
      </w:r>
      <w:r>
        <w:rPr>
          <w:noProof/>
        </w:rPr>
      </w:r>
      <w:r>
        <w:rPr>
          <w:noProof/>
        </w:rPr>
        <w:fldChar w:fldCharType="separate"/>
      </w:r>
      <w:r w:rsidR="00054A40">
        <w:rPr>
          <w:noProof/>
        </w:rPr>
        <w:t>86</w:t>
      </w:r>
      <w:r>
        <w:rPr>
          <w:noProof/>
        </w:rPr>
        <w:fldChar w:fldCharType="end"/>
      </w:r>
    </w:p>
    <w:p w14:paraId="07C3D650" w14:textId="6AC28219"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Conclusion</w:t>
      </w:r>
      <w:r>
        <w:rPr>
          <w:noProof/>
        </w:rPr>
        <w:tab/>
      </w:r>
      <w:r>
        <w:rPr>
          <w:noProof/>
        </w:rPr>
        <w:fldChar w:fldCharType="begin"/>
      </w:r>
      <w:r>
        <w:rPr>
          <w:noProof/>
        </w:rPr>
        <w:instrText xml:space="preserve"> PAGEREF _Toc159513596 \h </w:instrText>
      </w:r>
      <w:r>
        <w:rPr>
          <w:noProof/>
        </w:rPr>
      </w:r>
      <w:r>
        <w:rPr>
          <w:noProof/>
        </w:rPr>
        <w:fldChar w:fldCharType="separate"/>
      </w:r>
      <w:r w:rsidR="00054A40">
        <w:rPr>
          <w:noProof/>
        </w:rPr>
        <w:t>89</w:t>
      </w:r>
      <w:r>
        <w:rPr>
          <w:noProof/>
        </w:rPr>
        <w:fldChar w:fldCharType="end"/>
      </w:r>
    </w:p>
    <w:p w14:paraId="7F01725B" w14:textId="5459584C"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6: Taxpayer awareness and support</w:t>
      </w:r>
      <w:r>
        <w:rPr>
          <w:noProof/>
        </w:rPr>
        <w:tab/>
      </w:r>
      <w:r>
        <w:rPr>
          <w:noProof/>
        </w:rPr>
        <w:fldChar w:fldCharType="begin"/>
      </w:r>
      <w:r>
        <w:rPr>
          <w:noProof/>
        </w:rPr>
        <w:instrText xml:space="preserve"> PAGEREF _Toc159513597 \h </w:instrText>
      </w:r>
      <w:r>
        <w:rPr>
          <w:noProof/>
        </w:rPr>
      </w:r>
      <w:r>
        <w:rPr>
          <w:noProof/>
        </w:rPr>
        <w:fldChar w:fldCharType="separate"/>
      </w:r>
      <w:r w:rsidR="00054A40">
        <w:rPr>
          <w:noProof/>
        </w:rPr>
        <w:t>90</w:t>
      </w:r>
      <w:r>
        <w:rPr>
          <w:noProof/>
        </w:rPr>
        <w:fldChar w:fldCharType="end"/>
      </w:r>
    </w:p>
    <w:p w14:paraId="758D0F35" w14:textId="66E6EE1E"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_Toc159513598 \h </w:instrText>
      </w:r>
      <w:r>
        <w:rPr>
          <w:noProof/>
        </w:rPr>
      </w:r>
      <w:r>
        <w:rPr>
          <w:noProof/>
        </w:rPr>
        <w:fldChar w:fldCharType="separate"/>
      </w:r>
      <w:r w:rsidR="00054A40">
        <w:rPr>
          <w:noProof/>
        </w:rPr>
        <w:t>90</w:t>
      </w:r>
      <w:r>
        <w:rPr>
          <w:noProof/>
        </w:rPr>
        <w:fldChar w:fldCharType="end"/>
      </w:r>
    </w:p>
    <w:p w14:paraId="3F8D51B9" w14:textId="5F50888A"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_Toc159513599 \h </w:instrText>
      </w:r>
      <w:r>
        <w:rPr>
          <w:noProof/>
        </w:rPr>
      </w:r>
      <w:r>
        <w:rPr>
          <w:noProof/>
        </w:rPr>
        <w:fldChar w:fldCharType="separate"/>
      </w:r>
      <w:r w:rsidR="00054A40">
        <w:rPr>
          <w:noProof/>
        </w:rPr>
        <w:t>90</w:t>
      </w:r>
      <w:r>
        <w:rPr>
          <w:noProof/>
        </w:rPr>
        <w:fldChar w:fldCharType="end"/>
      </w:r>
    </w:p>
    <w:p w14:paraId="2B850E95" w14:textId="359F3784"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Operation of the tax system</w:t>
      </w:r>
      <w:r>
        <w:rPr>
          <w:noProof/>
        </w:rPr>
        <w:tab/>
      </w:r>
      <w:r>
        <w:rPr>
          <w:noProof/>
        </w:rPr>
        <w:fldChar w:fldCharType="begin"/>
      </w:r>
      <w:r>
        <w:rPr>
          <w:noProof/>
        </w:rPr>
        <w:instrText xml:space="preserve"> PAGEREF _Toc159513600 \h </w:instrText>
      </w:r>
      <w:r>
        <w:rPr>
          <w:noProof/>
        </w:rPr>
      </w:r>
      <w:r>
        <w:rPr>
          <w:noProof/>
        </w:rPr>
        <w:fldChar w:fldCharType="separate"/>
      </w:r>
      <w:r w:rsidR="00054A40">
        <w:rPr>
          <w:noProof/>
        </w:rPr>
        <w:t>90</w:t>
      </w:r>
      <w:r>
        <w:rPr>
          <w:noProof/>
        </w:rPr>
        <w:fldChar w:fldCharType="end"/>
      </w:r>
    </w:p>
    <w:p w14:paraId="2A8D44F2" w14:textId="790531E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Awareness and education</w:t>
      </w:r>
      <w:r>
        <w:rPr>
          <w:noProof/>
        </w:rPr>
        <w:tab/>
      </w:r>
      <w:r>
        <w:rPr>
          <w:noProof/>
        </w:rPr>
        <w:fldChar w:fldCharType="begin"/>
      </w:r>
      <w:r>
        <w:rPr>
          <w:noProof/>
        </w:rPr>
        <w:instrText xml:space="preserve"> PAGEREF _Toc159513601 \h </w:instrText>
      </w:r>
      <w:r>
        <w:rPr>
          <w:noProof/>
        </w:rPr>
      </w:r>
      <w:r>
        <w:rPr>
          <w:noProof/>
        </w:rPr>
        <w:fldChar w:fldCharType="separate"/>
      </w:r>
      <w:r w:rsidR="00054A40">
        <w:rPr>
          <w:noProof/>
        </w:rPr>
        <w:t>95</w:t>
      </w:r>
      <w:r>
        <w:rPr>
          <w:noProof/>
        </w:rPr>
        <w:fldChar w:fldCharType="end"/>
      </w:r>
    </w:p>
    <w:p w14:paraId="089AB117" w14:textId="6856D419"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7: Income Tax – General Principles</w:t>
      </w:r>
      <w:r>
        <w:rPr>
          <w:noProof/>
        </w:rPr>
        <w:tab/>
      </w:r>
      <w:r>
        <w:rPr>
          <w:noProof/>
        </w:rPr>
        <w:fldChar w:fldCharType="begin"/>
      </w:r>
      <w:r>
        <w:rPr>
          <w:noProof/>
        </w:rPr>
        <w:instrText xml:space="preserve"> PAGEREF _Toc159513602 \h </w:instrText>
      </w:r>
      <w:r>
        <w:rPr>
          <w:noProof/>
        </w:rPr>
      </w:r>
      <w:r>
        <w:rPr>
          <w:noProof/>
        </w:rPr>
        <w:fldChar w:fldCharType="separate"/>
      </w:r>
      <w:r w:rsidR="00054A40">
        <w:rPr>
          <w:noProof/>
        </w:rPr>
        <w:t>108</w:t>
      </w:r>
      <w:r>
        <w:rPr>
          <w:noProof/>
        </w:rPr>
        <w:fldChar w:fldCharType="end"/>
      </w:r>
    </w:p>
    <w:p w14:paraId="3188632C" w14:textId="1B91633A"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_Toc159513603 \h </w:instrText>
      </w:r>
      <w:r>
        <w:rPr>
          <w:noProof/>
        </w:rPr>
      </w:r>
      <w:r>
        <w:rPr>
          <w:noProof/>
        </w:rPr>
        <w:fldChar w:fldCharType="separate"/>
      </w:r>
      <w:r w:rsidR="00054A40">
        <w:rPr>
          <w:noProof/>
        </w:rPr>
        <w:t>108</w:t>
      </w:r>
      <w:r>
        <w:rPr>
          <w:noProof/>
        </w:rPr>
        <w:fldChar w:fldCharType="end"/>
      </w:r>
    </w:p>
    <w:p w14:paraId="58516214" w14:textId="766A422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_Toc159513604 \h </w:instrText>
      </w:r>
      <w:r>
        <w:rPr>
          <w:noProof/>
        </w:rPr>
      </w:r>
      <w:r>
        <w:rPr>
          <w:noProof/>
        </w:rPr>
        <w:fldChar w:fldCharType="separate"/>
      </w:r>
      <w:r w:rsidR="00054A40">
        <w:rPr>
          <w:noProof/>
        </w:rPr>
        <w:t>108</w:t>
      </w:r>
      <w:r>
        <w:rPr>
          <w:noProof/>
        </w:rPr>
        <w:fldChar w:fldCharType="end"/>
      </w:r>
    </w:p>
    <w:p w14:paraId="452C83F7" w14:textId="3BDC6B2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Background</w:t>
      </w:r>
      <w:r>
        <w:rPr>
          <w:noProof/>
        </w:rPr>
        <w:tab/>
      </w:r>
      <w:r>
        <w:rPr>
          <w:noProof/>
        </w:rPr>
        <w:fldChar w:fldCharType="begin"/>
      </w:r>
      <w:r>
        <w:rPr>
          <w:noProof/>
        </w:rPr>
        <w:instrText xml:space="preserve"> PAGEREF _Toc159513605 \h </w:instrText>
      </w:r>
      <w:r>
        <w:rPr>
          <w:noProof/>
        </w:rPr>
      </w:r>
      <w:r>
        <w:rPr>
          <w:noProof/>
        </w:rPr>
        <w:fldChar w:fldCharType="separate"/>
      </w:r>
      <w:r w:rsidR="00054A40">
        <w:rPr>
          <w:noProof/>
        </w:rPr>
        <w:t>109</w:t>
      </w:r>
      <w:r>
        <w:rPr>
          <w:noProof/>
        </w:rPr>
        <w:fldChar w:fldCharType="end"/>
      </w:r>
    </w:p>
    <w:p w14:paraId="57CF6762" w14:textId="39F9052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Existing taxation framework</w:t>
      </w:r>
      <w:r>
        <w:rPr>
          <w:noProof/>
        </w:rPr>
        <w:tab/>
      </w:r>
      <w:r>
        <w:rPr>
          <w:noProof/>
        </w:rPr>
        <w:fldChar w:fldCharType="begin"/>
      </w:r>
      <w:r>
        <w:rPr>
          <w:noProof/>
        </w:rPr>
        <w:instrText xml:space="preserve"> PAGEREF _Toc159513606 \h </w:instrText>
      </w:r>
      <w:r>
        <w:rPr>
          <w:noProof/>
        </w:rPr>
      </w:r>
      <w:r>
        <w:rPr>
          <w:noProof/>
        </w:rPr>
        <w:fldChar w:fldCharType="separate"/>
      </w:r>
      <w:r w:rsidR="00054A40">
        <w:rPr>
          <w:noProof/>
        </w:rPr>
        <w:t>110</w:t>
      </w:r>
      <w:r>
        <w:rPr>
          <w:noProof/>
        </w:rPr>
        <w:fldChar w:fldCharType="end"/>
      </w:r>
    </w:p>
    <w:p w14:paraId="4ABDED79" w14:textId="64D21F8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ATO guidance regarding the taxation of crypto assets</w:t>
      </w:r>
      <w:r>
        <w:rPr>
          <w:noProof/>
        </w:rPr>
        <w:tab/>
      </w:r>
      <w:r>
        <w:rPr>
          <w:noProof/>
        </w:rPr>
        <w:fldChar w:fldCharType="begin"/>
      </w:r>
      <w:r>
        <w:rPr>
          <w:noProof/>
        </w:rPr>
        <w:instrText xml:space="preserve"> PAGEREF _Toc159513607 \h </w:instrText>
      </w:r>
      <w:r>
        <w:rPr>
          <w:noProof/>
        </w:rPr>
      </w:r>
      <w:r>
        <w:rPr>
          <w:noProof/>
        </w:rPr>
        <w:fldChar w:fldCharType="separate"/>
      </w:r>
      <w:r w:rsidR="00054A40">
        <w:rPr>
          <w:noProof/>
        </w:rPr>
        <w:t>118</w:t>
      </w:r>
      <w:r>
        <w:rPr>
          <w:noProof/>
        </w:rPr>
        <w:fldChar w:fldCharType="end"/>
      </w:r>
    </w:p>
    <w:p w14:paraId="734C10BF" w14:textId="6B41EC19"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Board’s Consideration</w:t>
      </w:r>
      <w:r>
        <w:rPr>
          <w:noProof/>
        </w:rPr>
        <w:tab/>
      </w:r>
      <w:r>
        <w:rPr>
          <w:noProof/>
        </w:rPr>
        <w:fldChar w:fldCharType="begin"/>
      </w:r>
      <w:r>
        <w:rPr>
          <w:noProof/>
        </w:rPr>
        <w:instrText xml:space="preserve"> PAGEREF _Toc159513608 \h </w:instrText>
      </w:r>
      <w:r>
        <w:rPr>
          <w:noProof/>
        </w:rPr>
      </w:r>
      <w:r>
        <w:rPr>
          <w:noProof/>
        </w:rPr>
        <w:fldChar w:fldCharType="separate"/>
      </w:r>
      <w:r w:rsidR="00054A40">
        <w:rPr>
          <w:noProof/>
        </w:rPr>
        <w:t>119</w:t>
      </w:r>
      <w:r>
        <w:rPr>
          <w:noProof/>
        </w:rPr>
        <w:fldChar w:fldCharType="end"/>
      </w:r>
    </w:p>
    <w:p w14:paraId="482B6EC4" w14:textId="5D836AF2"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8: Income Tax – Specific Taxation Regimes</w:t>
      </w:r>
      <w:r>
        <w:rPr>
          <w:noProof/>
        </w:rPr>
        <w:tab/>
      </w:r>
      <w:r>
        <w:rPr>
          <w:noProof/>
        </w:rPr>
        <w:fldChar w:fldCharType="begin"/>
      </w:r>
      <w:r>
        <w:rPr>
          <w:noProof/>
        </w:rPr>
        <w:instrText xml:space="preserve"> PAGEREF _Toc159513609 \h </w:instrText>
      </w:r>
      <w:r>
        <w:rPr>
          <w:noProof/>
        </w:rPr>
      </w:r>
      <w:r>
        <w:rPr>
          <w:noProof/>
        </w:rPr>
        <w:fldChar w:fldCharType="separate"/>
      </w:r>
      <w:r w:rsidR="00054A40">
        <w:rPr>
          <w:noProof/>
        </w:rPr>
        <w:t>152</w:t>
      </w:r>
      <w:r>
        <w:rPr>
          <w:noProof/>
        </w:rPr>
        <w:fldChar w:fldCharType="end"/>
      </w:r>
    </w:p>
    <w:p w14:paraId="454526F3" w14:textId="4E355B7B"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_Toc159513610 \h </w:instrText>
      </w:r>
      <w:r>
        <w:rPr>
          <w:noProof/>
        </w:rPr>
      </w:r>
      <w:r>
        <w:rPr>
          <w:noProof/>
        </w:rPr>
        <w:fldChar w:fldCharType="separate"/>
      </w:r>
      <w:r w:rsidR="00054A40">
        <w:rPr>
          <w:noProof/>
        </w:rPr>
        <w:t>152</w:t>
      </w:r>
      <w:r>
        <w:rPr>
          <w:noProof/>
        </w:rPr>
        <w:fldChar w:fldCharType="end"/>
      </w:r>
    </w:p>
    <w:p w14:paraId="08F418A4" w14:textId="4E9CFAAF"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_Toc159513611 \h </w:instrText>
      </w:r>
      <w:r>
        <w:rPr>
          <w:noProof/>
        </w:rPr>
      </w:r>
      <w:r>
        <w:rPr>
          <w:noProof/>
        </w:rPr>
        <w:fldChar w:fldCharType="separate"/>
      </w:r>
      <w:r w:rsidR="00054A40">
        <w:rPr>
          <w:noProof/>
        </w:rPr>
        <w:t>152</w:t>
      </w:r>
      <w:r>
        <w:rPr>
          <w:noProof/>
        </w:rPr>
        <w:fldChar w:fldCharType="end"/>
      </w:r>
    </w:p>
    <w:p w14:paraId="1761EF52" w14:textId="68352DB7"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Managed Investment Trusts</w:t>
      </w:r>
      <w:r>
        <w:rPr>
          <w:noProof/>
        </w:rPr>
        <w:tab/>
      </w:r>
      <w:r>
        <w:rPr>
          <w:noProof/>
        </w:rPr>
        <w:fldChar w:fldCharType="begin"/>
      </w:r>
      <w:r>
        <w:rPr>
          <w:noProof/>
        </w:rPr>
        <w:instrText xml:space="preserve"> PAGEREF _Toc159513612 \h </w:instrText>
      </w:r>
      <w:r>
        <w:rPr>
          <w:noProof/>
        </w:rPr>
      </w:r>
      <w:r>
        <w:rPr>
          <w:noProof/>
        </w:rPr>
        <w:fldChar w:fldCharType="separate"/>
      </w:r>
      <w:r w:rsidR="00054A40">
        <w:rPr>
          <w:noProof/>
        </w:rPr>
        <w:t>152</w:t>
      </w:r>
      <w:r>
        <w:rPr>
          <w:noProof/>
        </w:rPr>
        <w:fldChar w:fldCharType="end"/>
      </w:r>
    </w:p>
    <w:p w14:paraId="2326E8EB" w14:textId="1A8AD94A"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Superannuation Funds</w:t>
      </w:r>
      <w:r>
        <w:rPr>
          <w:noProof/>
        </w:rPr>
        <w:tab/>
      </w:r>
      <w:r>
        <w:rPr>
          <w:noProof/>
        </w:rPr>
        <w:fldChar w:fldCharType="begin"/>
      </w:r>
      <w:r>
        <w:rPr>
          <w:noProof/>
        </w:rPr>
        <w:instrText xml:space="preserve"> PAGEREF _Toc159513613 \h </w:instrText>
      </w:r>
      <w:r>
        <w:rPr>
          <w:noProof/>
        </w:rPr>
      </w:r>
      <w:r>
        <w:rPr>
          <w:noProof/>
        </w:rPr>
        <w:fldChar w:fldCharType="separate"/>
      </w:r>
      <w:r w:rsidR="00054A40">
        <w:rPr>
          <w:noProof/>
        </w:rPr>
        <w:t>155</w:t>
      </w:r>
      <w:r>
        <w:rPr>
          <w:noProof/>
        </w:rPr>
        <w:fldChar w:fldCharType="end"/>
      </w:r>
    </w:p>
    <w:p w14:paraId="26C247D4" w14:textId="3EEDF05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Fringe Benefits Tax</w:t>
      </w:r>
      <w:r>
        <w:rPr>
          <w:noProof/>
        </w:rPr>
        <w:tab/>
      </w:r>
      <w:r>
        <w:rPr>
          <w:noProof/>
        </w:rPr>
        <w:fldChar w:fldCharType="begin"/>
      </w:r>
      <w:r>
        <w:rPr>
          <w:noProof/>
        </w:rPr>
        <w:instrText xml:space="preserve"> PAGEREF _Toc159513614 \h </w:instrText>
      </w:r>
      <w:r>
        <w:rPr>
          <w:noProof/>
        </w:rPr>
      </w:r>
      <w:r>
        <w:rPr>
          <w:noProof/>
        </w:rPr>
        <w:fldChar w:fldCharType="separate"/>
      </w:r>
      <w:r w:rsidR="00054A40">
        <w:rPr>
          <w:noProof/>
        </w:rPr>
        <w:t>157</w:t>
      </w:r>
      <w:r>
        <w:rPr>
          <w:noProof/>
        </w:rPr>
        <w:fldChar w:fldCharType="end"/>
      </w:r>
    </w:p>
    <w:p w14:paraId="064A5C4C" w14:textId="45C1202D"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Charitable donations</w:t>
      </w:r>
      <w:r>
        <w:rPr>
          <w:noProof/>
        </w:rPr>
        <w:tab/>
      </w:r>
      <w:r>
        <w:rPr>
          <w:noProof/>
        </w:rPr>
        <w:fldChar w:fldCharType="begin"/>
      </w:r>
      <w:r>
        <w:rPr>
          <w:noProof/>
        </w:rPr>
        <w:instrText xml:space="preserve"> PAGEREF _Toc159513615 \h </w:instrText>
      </w:r>
      <w:r>
        <w:rPr>
          <w:noProof/>
        </w:rPr>
      </w:r>
      <w:r>
        <w:rPr>
          <w:noProof/>
        </w:rPr>
        <w:fldChar w:fldCharType="separate"/>
      </w:r>
      <w:r w:rsidR="00054A40">
        <w:rPr>
          <w:noProof/>
        </w:rPr>
        <w:t>158</w:t>
      </w:r>
      <w:r>
        <w:rPr>
          <w:noProof/>
        </w:rPr>
        <w:fldChar w:fldCharType="end"/>
      </w:r>
    </w:p>
    <w:p w14:paraId="6DC37FA3" w14:textId="13CD920F"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Not</w:t>
      </w:r>
      <w:r>
        <w:rPr>
          <w:noProof/>
        </w:rPr>
        <w:noBreakHyphen/>
        <w:t>for</w:t>
      </w:r>
      <w:r>
        <w:rPr>
          <w:noProof/>
        </w:rPr>
        <w:noBreakHyphen/>
        <w:t>profit sector</w:t>
      </w:r>
      <w:r>
        <w:rPr>
          <w:noProof/>
        </w:rPr>
        <w:tab/>
      </w:r>
      <w:r>
        <w:rPr>
          <w:noProof/>
        </w:rPr>
        <w:fldChar w:fldCharType="begin"/>
      </w:r>
      <w:r>
        <w:rPr>
          <w:noProof/>
        </w:rPr>
        <w:instrText xml:space="preserve"> PAGEREF _Toc159513616 \h </w:instrText>
      </w:r>
      <w:r>
        <w:rPr>
          <w:noProof/>
        </w:rPr>
      </w:r>
      <w:r>
        <w:rPr>
          <w:noProof/>
        </w:rPr>
        <w:fldChar w:fldCharType="separate"/>
      </w:r>
      <w:r w:rsidR="00054A40">
        <w:rPr>
          <w:noProof/>
        </w:rPr>
        <w:t>162</w:t>
      </w:r>
      <w:r>
        <w:rPr>
          <w:noProof/>
        </w:rPr>
        <w:fldChar w:fldCharType="end"/>
      </w:r>
    </w:p>
    <w:p w14:paraId="00047A9E" w14:textId="696DC2BB"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9: Income Tax – Specific Digital Asset Transactions</w:t>
      </w:r>
      <w:r>
        <w:rPr>
          <w:noProof/>
        </w:rPr>
        <w:tab/>
      </w:r>
      <w:r>
        <w:rPr>
          <w:noProof/>
        </w:rPr>
        <w:fldChar w:fldCharType="begin"/>
      </w:r>
      <w:r>
        <w:rPr>
          <w:noProof/>
        </w:rPr>
        <w:instrText xml:space="preserve"> PAGEREF _Toc159513617 \h </w:instrText>
      </w:r>
      <w:r>
        <w:rPr>
          <w:noProof/>
        </w:rPr>
      </w:r>
      <w:r>
        <w:rPr>
          <w:noProof/>
        </w:rPr>
        <w:fldChar w:fldCharType="separate"/>
      </w:r>
      <w:r w:rsidR="00054A40">
        <w:rPr>
          <w:noProof/>
        </w:rPr>
        <w:t>164</w:t>
      </w:r>
      <w:r>
        <w:rPr>
          <w:noProof/>
        </w:rPr>
        <w:fldChar w:fldCharType="end"/>
      </w:r>
    </w:p>
    <w:p w14:paraId="46E0B02D" w14:textId="18B584E5"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_Toc159513618 \h </w:instrText>
      </w:r>
      <w:r>
        <w:rPr>
          <w:noProof/>
        </w:rPr>
      </w:r>
      <w:r>
        <w:rPr>
          <w:noProof/>
        </w:rPr>
        <w:fldChar w:fldCharType="separate"/>
      </w:r>
      <w:r w:rsidR="00054A40">
        <w:rPr>
          <w:noProof/>
        </w:rPr>
        <w:t>164</w:t>
      </w:r>
      <w:r>
        <w:rPr>
          <w:noProof/>
        </w:rPr>
        <w:fldChar w:fldCharType="end"/>
      </w:r>
    </w:p>
    <w:p w14:paraId="34D391B4" w14:textId="5E40E1F6"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_Toc159513619 \h </w:instrText>
      </w:r>
      <w:r>
        <w:rPr>
          <w:noProof/>
        </w:rPr>
      </w:r>
      <w:r>
        <w:rPr>
          <w:noProof/>
        </w:rPr>
        <w:fldChar w:fldCharType="separate"/>
      </w:r>
      <w:r w:rsidR="00054A40">
        <w:rPr>
          <w:noProof/>
        </w:rPr>
        <w:t>164</w:t>
      </w:r>
      <w:r>
        <w:rPr>
          <w:noProof/>
        </w:rPr>
        <w:fldChar w:fldCharType="end"/>
      </w:r>
    </w:p>
    <w:p w14:paraId="3389888C" w14:textId="22CC2D6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Mapping the Lifecycle of Cryptocurrency</w:t>
      </w:r>
      <w:r>
        <w:rPr>
          <w:noProof/>
        </w:rPr>
        <w:tab/>
      </w:r>
      <w:r>
        <w:rPr>
          <w:noProof/>
        </w:rPr>
        <w:fldChar w:fldCharType="begin"/>
      </w:r>
      <w:r>
        <w:rPr>
          <w:noProof/>
        </w:rPr>
        <w:instrText xml:space="preserve"> PAGEREF _Toc159513620 \h </w:instrText>
      </w:r>
      <w:r>
        <w:rPr>
          <w:noProof/>
        </w:rPr>
      </w:r>
      <w:r>
        <w:rPr>
          <w:noProof/>
        </w:rPr>
        <w:fldChar w:fldCharType="separate"/>
      </w:r>
      <w:r w:rsidR="00054A40">
        <w:rPr>
          <w:noProof/>
        </w:rPr>
        <w:t>165</w:t>
      </w:r>
      <w:r>
        <w:rPr>
          <w:noProof/>
        </w:rPr>
        <w:fldChar w:fldCharType="end"/>
      </w:r>
    </w:p>
    <w:p w14:paraId="3E483AC0" w14:textId="3A8D3E7F"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Tax treatment of specific crypto asset transactions</w:t>
      </w:r>
      <w:r>
        <w:rPr>
          <w:noProof/>
        </w:rPr>
        <w:tab/>
      </w:r>
      <w:r>
        <w:rPr>
          <w:noProof/>
        </w:rPr>
        <w:fldChar w:fldCharType="begin"/>
      </w:r>
      <w:r>
        <w:rPr>
          <w:noProof/>
        </w:rPr>
        <w:instrText xml:space="preserve"> PAGEREF _Toc159513621 \h </w:instrText>
      </w:r>
      <w:r>
        <w:rPr>
          <w:noProof/>
        </w:rPr>
      </w:r>
      <w:r>
        <w:rPr>
          <w:noProof/>
        </w:rPr>
        <w:fldChar w:fldCharType="separate"/>
      </w:r>
      <w:r w:rsidR="00054A40">
        <w:rPr>
          <w:noProof/>
        </w:rPr>
        <w:t>168</w:t>
      </w:r>
      <w:r>
        <w:rPr>
          <w:noProof/>
        </w:rPr>
        <w:fldChar w:fldCharType="end"/>
      </w:r>
    </w:p>
    <w:p w14:paraId="7402B40F" w14:textId="342064C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Holding Crypto Assets</w:t>
      </w:r>
      <w:r>
        <w:rPr>
          <w:noProof/>
        </w:rPr>
        <w:tab/>
      </w:r>
      <w:r>
        <w:rPr>
          <w:noProof/>
        </w:rPr>
        <w:fldChar w:fldCharType="begin"/>
      </w:r>
      <w:r>
        <w:rPr>
          <w:noProof/>
        </w:rPr>
        <w:instrText xml:space="preserve"> PAGEREF _Toc159513622 \h </w:instrText>
      </w:r>
      <w:r>
        <w:rPr>
          <w:noProof/>
        </w:rPr>
      </w:r>
      <w:r>
        <w:rPr>
          <w:noProof/>
        </w:rPr>
        <w:fldChar w:fldCharType="separate"/>
      </w:r>
      <w:r w:rsidR="00054A40">
        <w:rPr>
          <w:noProof/>
        </w:rPr>
        <w:t>178</w:t>
      </w:r>
      <w:r>
        <w:rPr>
          <w:noProof/>
        </w:rPr>
        <w:fldChar w:fldCharType="end"/>
      </w:r>
    </w:p>
    <w:p w14:paraId="26C29B43" w14:textId="18A34A9A"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Evolution of Crypto Assets</w:t>
      </w:r>
      <w:r>
        <w:rPr>
          <w:noProof/>
        </w:rPr>
        <w:tab/>
      </w:r>
      <w:r>
        <w:rPr>
          <w:noProof/>
        </w:rPr>
        <w:fldChar w:fldCharType="begin"/>
      </w:r>
      <w:r>
        <w:rPr>
          <w:noProof/>
        </w:rPr>
        <w:instrText xml:space="preserve"> PAGEREF _Toc159513623 \h </w:instrText>
      </w:r>
      <w:r>
        <w:rPr>
          <w:noProof/>
        </w:rPr>
      </w:r>
      <w:r>
        <w:rPr>
          <w:noProof/>
        </w:rPr>
        <w:fldChar w:fldCharType="separate"/>
      </w:r>
      <w:r w:rsidR="00054A40">
        <w:rPr>
          <w:noProof/>
        </w:rPr>
        <w:t>182</w:t>
      </w:r>
      <w:r>
        <w:rPr>
          <w:noProof/>
        </w:rPr>
        <w:fldChar w:fldCharType="end"/>
      </w:r>
    </w:p>
    <w:p w14:paraId="12CB1DE7" w14:textId="63749AC8"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Disposing of Crypto Assets</w:t>
      </w:r>
      <w:r>
        <w:rPr>
          <w:noProof/>
        </w:rPr>
        <w:tab/>
      </w:r>
      <w:r>
        <w:rPr>
          <w:noProof/>
        </w:rPr>
        <w:fldChar w:fldCharType="begin"/>
      </w:r>
      <w:r>
        <w:rPr>
          <w:noProof/>
        </w:rPr>
        <w:instrText xml:space="preserve"> PAGEREF _Toc159513624 \h </w:instrText>
      </w:r>
      <w:r>
        <w:rPr>
          <w:noProof/>
        </w:rPr>
      </w:r>
      <w:r>
        <w:rPr>
          <w:noProof/>
        </w:rPr>
        <w:fldChar w:fldCharType="separate"/>
      </w:r>
      <w:r w:rsidR="00054A40">
        <w:rPr>
          <w:noProof/>
        </w:rPr>
        <w:t>184</w:t>
      </w:r>
      <w:r>
        <w:rPr>
          <w:noProof/>
        </w:rPr>
        <w:fldChar w:fldCharType="end"/>
      </w:r>
    </w:p>
    <w:p w14:paraId="1546E21D" w14:textId="6B68DC25"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10: Goods and Services Tax</w:t>
      </w:r>
      <w:r>
        <w:rPr>
          <w:noProof/>
        </w:rPr>
        <w:tab/>
      </w:r>
      <w:r>
        <w:rPr>
          <w:noProof/>
        </w:rPr>
        <w:fldChar w:fldCharType="begin"/>
      </w:r>
      <w:r>
        <w:rPr>
          <w:noProof/>
        </w:rPr>
        <w:instrText xml:space="preserve"> PAGEREF _Toc159513625 \h </w:instrText>
      </w:r>
      <w:r>
        <w:rPr>
          <w:noProof/>
        </w:rPr>
      </w:r>
      <w:r>
        <w:rPr>
          <w:noProof/>
        </w:rPr>
        <w:fldChar w:fldCharType="separate"/>
      </w:r>
      <w:r w:rsidR="00054A40">
        <w:rPr>
          <w:noProof/>
        </w:rPr>
        <w:t>185</w:t>
      </w:r>
      <w:r>
        <w:rPr>
          <w:noProof/>
        </w:rPr>
        <w:fldChar w:fldCharType="end"/>
      </w:r>
    </w:p>
    <w:p w14:paraId="5B5D390B" w14:textId="13C39805"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_Toc159513626 \h </w:instrText>
      </w:r>
      <w:r>
        <w:rPr>
          <w:noProof/>
        </w:rPr>
      </w:r>
      <w:r>
        <w:rPr>
          <w:noProof/>
        </w:rPr>
        <w:fldChar w:fldCharType="separate"/>
      </w:r>
      <w:r w:rsidR="00054A40">
        <w:rPr>
          <w:noProof/>
        </w:rPr>
        <w:t>185</w:t>
      </w:r>
      <w:r>
        <w:rPr>
          <w:noProof/>
        </w:rPr>
        <w:fldChar w:fldCharType="end"/>
      </w:r>
    </w:p>
    <w:p w14:paraId="226231EA" w14:textId="4515E88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_Toc159513627 \h </w:instrText>
      </w:r>
      <w:r>
        <w:rPr>
          <w:noProof/>
        </w:rPr>
      </w:r>
      <w:r>
        <w:rPr>
          <w:noProof/>
        </w:rPr>
        <w:fldChar w:fldCharType="separate"/>
      </w:r>
      <w:r w:rsidR="00054A40">
        <w:rPr>
          <w:noProof/>
        </w:rPr>
        <w:t>185</w:t>
      </w:r>
      <w:r>
        <w:rPr>
          <w:noProof/>
        </w:rPr>
        <w:fldChar w:fldCharType="end"/>
      </w:r>
    </w:p>
    <w:p w14:paraId="2C21AC76" w14:textId="7851B6A9"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Goods and services tax</w:t>
      </w:r>
      <w:r>
        <w:rPr>
          <w:noProof/>
        </w:rPr>
        <w:tab/>
      </w:r>
      <w:r>
        <w:rPr>
          <w:noProof/>
        </w:rPr>
        <w:fldChar w:fldCharType="begin"/>
      </w:r>
      <w:r>
        <w:rPr>
          <w:noProof/>
        </w:rPr>
        <w:instrText xml:space="preserve"> PAGEREF _Toc159513628 \h </w:instrText>
      </w:r>
      <w:r>
        <w:rPr>
          <w:noProof/>
        </w:rPr>
      </w:r>
      <w:r>
        <w:rPr>
          <w:noProof/>
        </w:rPr>
        <w:fldChar w:fldCharType="separate"/>
      </w:r>
      <w:r w:rsidR="00054A40">
        <w:rPr>
          <w:noProof/>
        </w:rPr>
        <w:t>185</w:t>
      </w:r>
      <w:r>
        <w:rPr>
          <w:noProof/>
        </w:rPr>
        <w:fldChar w:fldCharType="end"/>
      </w:r>
    </w:p>
    <w:p w14:paraId="22E1E52A" w14:textId="3E830558"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11: Record keeping and tax compliance</w:t>
      </w:r>
      <w:r>
        <w:rPr>
          <w:noProof/>
        </w:rPr>
        <w:tab/>
      </w:r>
      <w:r>
        <w:rPr>
          <w:noProof/>
        </w:rPr>
        <w:fldChar w:fldCharType="begin"/>
      </w:r>
      <w:r>
        <w:rPr>
          <w:noProof/>
        </w:rPr>
        <w:instrText xml:space="preserve"> PAGEREF _Toc159513629 \h </w:instrText>
      </w:r>
      <w:r>
        <w:rPr>
          <w:noProof/>
        </w:rPr>
      </w:r>
      <w:r>
        <w:rPr>
          <w:noProof/>
        </w:rPr>
        <w:fldChar w:fldCharType="separate"/>
      </w:r>
      <w:r w:rsidR="00054A40">
        <w:rPr>
          <w:noProof/>
        </w:rPr>
        <w:t>203</w:t>
      </w:r>
      <w:r>
        <w:rPr>
          <w:noProof/>
        </w:rPr>
        <w:fldChar w:fldCharType="end"/>
      </w:r>
    </w:p>
    <w:p w14:paraId="4F213BDF" w14:textId="5DA9304C"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_Toc159513630 \h </w:instrText>
      </w:r>
      <w:r>
        <w:rPr>
          <w:noProof/>
        </w:rPr>
      </w:r>
      <w:r>
        <w:rPr>
          <w:noProof/>
        </w:rPr>
        <w:fldChar w:fldCharType="separate"/>
      </w:r>
      <w:r w:rsidR="00054A40">
        <w:rPr>
          <w:noProof/>
        </w:rPr>
        <w:t>203</w:t>
      </w:r>
      <w:r>
        <w:rPr>
          <w:noProof/>
        </w:rPr>
        <w:fldChar w:fldCharType="end"/>
      </w:r>
    </w:p>
    <w:p w14:paraId="4902BC05" w14:textId="5193C02B"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_Toc159513631 \h </w:instrText>
      </w:r>
      <w:r>
        <w:rPr>
          <w:noProof/>
        </w:rPr>
      </w:r>
      <w:r>
        <w:rPr>
          <w:noProof/>
        </w:rPr>
        <w:fldChar w:fldCharType="separate"/>
      </w:r>
      <w:r w:rsidR="00054A40">
        <w:rPr>
          <w:noProof/>
        </w:rPr>
        <w:t>203</w:t>
      </w:r>
      <w:r>
        <w:rPr>
          <w:noProof/>
        </w:rPr>
        <w:fldChar w:fldCharType="end"/>
      </w:r>
    </w:p>
    <w:p w14:paraId="08F3D5C6" w14:textId="311E32DE"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Record keeping for crypto assets</w:t>
      </w:r>
      <w:r>
        <w:rPr>
          <w:noProof/>
        </w:rPr>
        <w:tab/>
      </w:r>
      <w:r>
        <w:rPr>
          <w:noProof/>
        </w:rPr>
        <w:fldChar w:fldCharType="begin"/>
      </w:r>
      <w:r>
        <w:rPr>
          <w:noProof/>
        </w:rPr>
        <w:instrText xml:space="preserve"> PAGEREF _Toc159513632 \h </w:instrText>
      </w:r>
      <w:r>
        <w:rPr>
          <w:noProof/>
        </w:rPr>
      </w:r>
      <w:r>
        <w:rPr>
          <w:noProof/>
        </w:rPr>
        <w:fldChar w:fldCharType="separate"/>
      </w:r>
      <w:r w:rsidR="00054A40">
        <w:rPr>
          <w:noProof/>
        </w:rPr>
        <w:t>203</w:t>
      </w:r>
      <w:r>
        <w:rPr>
          <w:noProof/>
        </w:rPr>
        <w:fldChar w:fldCharType="end"/>
      </w:r>
    </w:p>
    <w:p w14:paraId="0D5CCB20" w14:textId="79DA58C6"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Role of software providers</w:t>
      </w:r>
      <w:r>
        <w:rPr>
          <w:noProof/>
        </w:rPr>
        <w:tab/>
      </w:r>
      <w:r>
        <w:rPr>
          <w:noProof/>
        </w:rPr>
        <w:fldChar w:fldCharType="begin"/>
      </w:r>
      <w:r>
        <w:rPr>
          <w:noProof/>
        </w:rPr>
        <w:instrText xml:space="preserve"> PAGEREF _Toc159513633 \h </w:instrText>
      </w:r>
      <w:r>
        <w:rPr>
          <w:noProof/>
        </w:rPr>
      </w:r>
      <w:r>
        <w:rPr>
          <w:noProof/>
        </w:rPr>
        <w:fldChar w:fldCharType="separate"/>
      </w:r>
      <w:r w:rsidR="00054A40">
        <w:rPr>
          <w:noProof/>
        </w:rPr>
        <w:t>211</w:t>
      </w:r>
      <w:r>
        <w:rPr>
          <w:noProof/>
        </w:rPr>
        <w:fldChar w:fldCharType="end"/>
      </w:r>
    </w:p>
    <w:p w14:paraId="3BE934F6" w14:textId="547095E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ATO Administration</w:t>
      </w:r>
      <w:r>
        <w:rPr>
          <w:noProof/>
        </w:rPr>
        <w:tab/>
      </w:r>
      <w:r>
        <w:rPr>
          <w:noProof/>
        </w:rPr>
        <w:fldChar w:fldCharType="begin"/>
      </w:r>
      <w:r>
        <w:rPr>
          <w:noProof/>
        </w:rPr>
        <w:instrText xml:space="preserve"> PAGEREF _Toc159513634 \h </w:instrText>
      </w:r>
      <w:r>
        <w:rPr>
          <w:noProof/>
        </w:rPr>
      </w:r>
      <w:r>
        <w:rPr>
          <w:noProof/>
        </w:rPr>
        <w:fldChar w:fldCharType="separate"/>
      </w:r>
      <w:r w:rsidR="00054A40">
        <w:rPr>
          <w:noProof/>
        </w:rPr>
        <w:t>214</w:t>
      </w:r>
      <w:r>
        <w:rPr>
          <w:noProof/>
        </w:rPr>
        <w:fldChar w:fldCharType="end"/>
      </w:r>
    </w:p>
    <w:p w14:paraId="7CA18CE4" w14:textId="1099C4D9"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12: International Taxation of Digital Assets and Transactions</w:t>
      </w:r>
      <w:r>
        <w:rPr>
          <w:noProof/>
        </w:rPr>
        <w:tab/>
      </w:r>
      <w:r>
        <w:rPr>
          <w:noProof/>
        </w:rPr>
        <w:fldChar w:fldCharType="begin"/>
      </w:r>
      <w:r>
        <w:rPr>
          <w:noProof/>
        </w:rPr>
        <w:instrText xml:space="preserve"> PAGEREF _Toc159513635 \h </w:instrText>
      </w:r>
      <w:r>
        <w:rPr>
          <w:noProof/>
        </w:rPr>
      </w:r>
      <w:r>
        <w:rPr>
          <w:noProof/>
        </w:rPr>
        <w:fldChar w:fldCharType="separate"/>
      </w:r>
      <w:r w:rsidR="00054A40">
        <w:rPr>
          <w:noProof/>
        </w:rPr>
        <w:t>221</w:t>
      </w:r>
      <w:r>
        <w:rPr>
          <w:noProof/>
        </w:rPr>
        <w:fldChar w:fldCharType="end"/>
      </w:r>
    </w:p>
    <w:p w14:paraId="5CA70AA0" w14:textId="7E5880EF"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_Toc159513636 \h </w:instrText>
      </w:r>
      <w:r>
        <w:rPr>
          <w:noProof/>
        </w:rPr>
      </w:r>
      <w:r>
        <w:rPr>
          <w:noProof/>
        </w:rPr>
        <w:fldChar w:fldCharType="separate"/>
      </w:r>
      <w:r w:rsidR="00054A40">
        <w:rPr>
          <w:noProof/>
        </w:rPr>
        <w:t>221</w:t>
      </w:r>
      <w:r>
        <w:rPr>
          <w:noProof/>
        </w:rPr>
        <w:fldChar w:fldCharType="end"/>
      </w:r>
    </w:p>
    <w:p w14:paraId="0F4F8973" w14:textId="423CE8C7"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_Toc159513637 \h </w:instrText>
      </w:r>
      <w:r>
        <w:rPr>
          <w:noProof/>
        </w:rPr>
      </w:r>
      <w:r>
        <w:rPr>
          <w:noProof/>
        </w:rPr>
        <w:fldChar w:fldCharType="separate"/>
      </w:r>
      <w:r w:rsidR="00054A40">
        <w:rPr>
          <w:noProof/>
        </w:rPr>
        <w:t>221</w:t>
      </w:r>
      <w:r>
        <w:rPr>
          <w:noProof/>
        </w:rPr>
        <w:fldChar w:fldCharType="end"/>
      </w:r>
    </w:p>
    <w:p w14:paraId="7958B4C6" w14:textId="5E43446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Summary of the tax treatment of crypto assets and transactions in Comparable Jurisdictions</w:t>
      </w:r>
      <w:r>
        <w:rPr>
          <w:noProof/>
        </w:rPr>
        <w:tab/>
      </w:r>
      <w:r>
        <w:rPr>
          <w:noProof/>
        </w:rPr>
        <w:fldChar w:fldCharType="begin"/>
      </w:r>
      <w:r>
        <w:rPr>
          <w:noProof/>
        </w:rPr>
        <w:instrText xml:space="preserve"> PAGEREF _Toc159513638 \h </w:instrText>
      </w:r>
      <w:r>
        <w:rPr>
          <w:noProof/>
        </w:rPr>
      </w:r>
      <w:r>
        <w:rPr>
          <w:noProof/>
        </w:rPr>
        <w:fldChar w:fldCharType="separate"/>
      </w:r>
      <w:r w:rsidR="00054A40">
        <w:rPr>
          <w:noProof/>
        </w:rPr>
        <w:t>222</w:t>
      </w:r>
      <w:r>
        <w:rPr>
          <w:noProof/>
        </w:rPr>
        <w:fldChar w:fldCharType="end"/>
      </w:r>
    </w:p>
    <w:p w14:paraId="5B1C1261" w14:textId="07025D3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Board’s analysis of responses to questions</w:t>
      </w:r>
      <w:r>
        <w:rPr>
          <w:noProof/>
        </w:rPr>
        <w:tab/>
      </w:r>
      <w:r>
        <w:rPr>
          <w:noProof/>
        </w:rPr>
        <w:fldChar w:fldCharType="begin"/>
      </w:r>
      <w:r>
        <w:rPr>
          <w:noProof/>
        </w:rPr>
        <w:instrText xml:space="preserve"> PAGEREF _Toc159513639 \h </w:instrText>
      </w:r>
      <w:r>
        <w:rPr>
          <w:noProof/>
        </w:rPr>
      </w:r>
      <w:r>
        <w:rPr>
          <w:noProof/>
        </w:rPr>
        <w:fldChar w:fldCharType="separate"/>
      </w:r>
      <w:r w:rsidR="00054A40">
        <w:rPr>
          <w:noProof/>
        </w:rPr>
        <w:t>241</w:t>
      </w:r>
      <w:r>
        <w:rPr>
          <w:noProof/>
        </w:rPr>
        <w:fldChar w:fldCharType="end"/>
      </w:r>
    </w:p>
    <w:p w14:paraId="5EF9F638" w14:textId="0AB9B9A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Other Jurisdictions’ Tax Regimes</w:t>
      </w:r>
      <w:r>
        <w:rPr>
          <w:noProof/>
        </w:rPr>
        <w:tab/>
      </w:r>
      <w:r>
        <w:rPr>
          <w:noProof/>
        </w:rPr>
        <w:fldChar w:fldCharType="begin"/>
      </w:r>
      <w:r>
        <w:rPr>
          <w:noProof/>
        </w:rPr>
        <w:instrText xml:space="preserve"> PAGEREF _Toc159513640 \h </w:instrText>
      </w:r>
      <w:r>
        <w:rPr>
          <w:noProof/>
        </w:rPr>
      </w:r>
      <w:r>
        <w:rPr>
          <w:noProof/>
        </w:rPr>
        <w:fldChar w:fldCharType="separate"/>
      </w:r>
      <w:r w:rsidR="00054A40">
        <w:rPr>
          <w:noProof/>
        </w:rPr>
        <w:t>244</w:t>
      </w:r>
      <w:r>
        <w:rPr>
          <w:noProof/>
        </w:rPr>
        <w:fldChar w:fldCharType="end"/>
      </w:r>
    </w:p>
    <w:p w14:paraId="36679A29" w14:textId="3D04E200"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Chapter 13: Looking to the Future</w:t>
      </w:r>
      <w:r>
        <w:rPr>
          <w:noProof/>
        </w:rPr>
        <w:tab/>
      </w:r>
      <w:r>
        <w:rPr>
          <w:noProof/>
        </w:rPr>
        <w:fldChar w:fldCharType="begin"/>
      </w:r>
      <w:r>
        <w:rPr>
          <w:noProof/>
        </w:rPr>
        <w:instrText xml:space="preserve"> PAGEREF _Toc159513641 \h </w:instrText>
      </w:r>
      <w:r>
        <w:rPr>
          <w:noProof/>
        </w:rPr>
      </w:r>
      <w:r>
        <w:rPr>
          <w:noProof/>
        </w:rPr>
        <w:fldChar w:fldCharType="separate"/>
      </w:r>
      <w:r w:rsidR="00054A40">
        <w:rPr>
          <w:noProof/>
        </w:rPr>
        <w:t>246</w:t>
      </w:r>
      <w:r>
        <w:rPr>
          <w:noProof/>
        </w:rPr>
        <w:fldChar w:fldCharType="end"/>
      </w:r>
    </w:p>
    <w:p w14:paraId="3F91EC3D" w14:textId="78010935" w:rsidR="00CF6F4B" w:rsidRDefault="00CF6F4B">
      <w:pPr>
        <w:pStyle w:val="TOC2"/>
        <w:rPr>
          <w:rFonts w:asciiTheme="minorHAnsi" w:eastAsiaTheme="minorEastAsia" w:hAnsiTheme="minorHAnsi" w:cstheme="minorBidi"/>
          <w:noProof/>
          <w:color w:val="auto"/>
          <w:kern w:val="2"/>
          <w:sz w:val="22"/>
          <w:szCs w:val="22"/>
          <w14:ligatures w14:val="standardContextual"/>
        </w:rPr>
      </w:pPr>
      <w:r w:rsidRPr="00D35B85">
        <w:rPr>
          <w:i/>
          <w:noProof/>
        </w:rPr>
        <w:t>Key Points</w:t>
      </w:r>
      <w:r>
        <w:rPr>
          <w:noProof/>
        </w:rPr>
        <w:tab/>
      </w:r>
      <w:r>
        <w:rPr>
          <w:noProof/>
        </w:rPr>
        <w:fldChar w:fldCharType="begin"/>
      </w:r>
      <w:r>
        <w:rPr>
          <w:noProof/>
        </w:rPr>
        <w:instrText xml:space="preserve"> PAGEREF _Toc159513642 \h </w:instrText>
      </w:r>
      <w:r>
        <w:rPr>
          <w:noProof/>
        </w:rPr>
      </w:r>
      <w:r>
        <w:rPr>
          <w:noProof/>
        </w:rPr>
        <w:fldChar w:fldCharType="separate"/>
      </w:r>
      <w:r w:rsidR="00054A40">
        <w:rPr>
          <w:noProof/>
        </w:rPr>
        <w:t>246</w:t>
      </w:r>
      <w:r>
        <w:rPr>
          <w:noProof/>
        </w:rPr>
        <w:fldChar w:fldCharType="end"/>
      </w:r>
    </w:p>
    <w:p w14:paraId="5C20B5BA" w14:textId="4098FC64"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Introduction</w:t>
      </w:r>
      <w:r>
        <w:rPr>
          <w:noProof/>
        </w:rPr>
        <w:tab/>
      </w:r>
      <w:r>
        <w:rPr>
          <w:noProof/>
        </w:rPr>
        <w:fldChar w:fldCharType="begin"/>
      </w:r>
      <w:r>
        <w:rPr>
          <w:noProof/>
        </w:rPr>
        <w:instrText xml:space="preserve"> PAGEREF _Toc159513643 \h </w:instrText>
      </w:r>
      <w:r>
        <w:rPr>
          <w:noProof/>
        </w:rPr>
      </w:r>
      <w:r>
        <w:rPr>
          <w:noProof/>
        </w:rPr>
        <w:fldChar w:fldCharType="separate"/>
      </w:r>
      <w:r w:rsidR="00054A40">
        <w:rPr>
          <w:noProof/>
        </w:rPr>
        <w:t>246</w:t>
      </w:r>
      <w:r>
        <w:rPr>
          <w:noProof/>
        </w:rPr>
        <w:fldChar w:fldCharType="end"/>
      </w:r>
    </w:p>
    <w:p w14:paraId="6DE88B0A" w14:textId="41DC174A"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Potential crypto</w:t>
      </w:r>
      <w:r>
        <w:rPr>
          <w:noProof/>
        </w:rPr>
        <w:noBreakHyphen/>
        <w:t>specific income tax regimes</w:t>
      </w:r>
      <w:r>
        <w:rPr>
          <w:noProof/>
        </w:rPr>
        <w:tab/>
      </w:r>
      <w:r>
        <w:rPr>
          <w:noProof/>
        </w:rPr>
        <w:fldChar w:fldCharType="begin"/>
      </w:r>
      <w:r>
        <w:rPr>
          <w:noProof/>
        </w:rPr>
        <w:instrText xml:space="preserve"> PAGEREF _Toc159513644 \h </w:instrText>
      </w:r>
      <w:r>
        <w:rPr>
          <w:noProof/>
        </w:rPr>
      </w:r>
      <w:r>
        <w:rPr>
          <w:noProof/>
        </w:rPr>
        <w:fldChar w:fldCharType="separate"/>
      </w:r>
      <w:r w:rsidR="00054A40">
        <w:rPr>
          <w:noProof/>
        </w:rPr>
        <w:t>248</w:t>
      </w:r>
      <w:r>
        <w:rPr>
          <w:noProof/>
        </w:rPr>
        <w:fldChar w:fldCharType="end"/>
      </w:r>
    </w:p>
    <w:p w14:paraId="0D2B031C" w14:textId="59D9C5AF"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Potential crypto</w:t>
      </w:r>
      <w:r>
        <w:rPr>
          <w:noProof/>
        </w:rPr>
        <w:noBreakHyphen/>
        <w:t>specific indirect tax regimes</w:t>
      </w:r>
      <w:r>
        <w:rPr>
          <w:noProof/>
        </w:rPr>
        <w:tab/>
      </w:r>
      <w:r>
        <w:rPr>
          <w:noProof/>
        </w:rPr>
        <w:fldChar w:fldCharType="begin"/>
      </w:r>
      <w:r>
        <w:rPr>
          <w:noProof/>
        </w:rPr>
        <w:instrText xml:space="preserve"> PAGEREF _Toc159513645 \h </w:instrText>
      </w:r>
      <w:r>
        <w:rPr>
          <w:noProof/>
        </w:rPr>
      </w:r>
      <w:r>
        <w:rPr>
          <w:noProof/>
        </w:rPr>
        <w:fldChar w:fldCharType="separate"/>
      </w:r>
      <w:r w:rsidR="00054A40">
        <w:rPr>
          <w:noProof/>
        </w:rPr>
        <w:t>257</w:t>
      </w:r>
      <w:r>
        <w:rPr>
          <w:noProof/>
        </w:rPr>
        <w:fldChar w:fldCharType="end"/>
      </w:r>
    </w:p>
    <w:p w14:paraId="4623020B" w14:textId="1308E29F"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Conclusion on options for reform</w:t>
      </w:r>
      <w:r>
        <w:rPr>
          <w:noProof/>
        </w:rPr>
        <w:tab/>
      </w:r>
      <w:r>
        <w:rPr>
          <w:noProof/>
        </w:rPr>
        <w:fldChar w:fldCharType="begin"/>
      </w:r>
      <w:r>
        <w:rPr>
          <w:noProof/>
        </w:rPr>
        <w:instrText xml:space="preserve"> PAGEREF _Toc159513646 \h </w:instrText>
      </w:r>
      <w:r>
        <w:rPr>
          <w:noProof/>
        </w:rPr>
      </w:r>
      <w:r>
        <w:rPr>
          <w:noProof/>
        </w:rPr>
        <w:fldChar w:fldCharType="separate"/>
      </w:r>
      <w:r w:rsidR="00054A40">
        <w:rPr>
          <w:noProof/>
        </w:rPr>
        <w:t>261</w:t>
      </w:r>
      <w:r>
        <w:rPr>
          <w:noProof/>
        </w:rPr>
        <w:fldChar w:fldCharType="end"/>
      </w:r>
    </w:p>
    <w:p w14:paraId="481234AA" w14:textId="0457BA65"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Areas to watch</w:t>
      </w:r>
      <w:r>
        <w:rPr>
          <w:noProof/>
        </w:rPr>
        <w:tab/>
      </w:r>
      <w:r>
        <w:rPr>
          <w:noProof/>
        </w:rPr>
        <w:fldChar w:fldCharType="begin"/>
      </w:r>
      <w:r>
        <w:rPr>
          <w:noProof/>
        </w:rPr>
        <w:instrText xml:space="preserve"> PAGEREF _Toc159513647 \h </w:instrText>
      </w:r>
      <w:r>
        <w:rPr>
          <w:noProof/>
        </w:rPr>
      </w:r>
      <w:r>
        <w:rPr>
          <w:noProof/>
        </w:rPr>
        <w:fldChar w:fldCharType="separate"/>
      </w:r>
      <w:r w:rsidR="00054A40">
        <w:rPr>
          <w:noProof/>
        </w:rPr>
        <w:t>261</w:t>
      </w:r>
      <w:r>
        <w:rPr>
          <w:noProof/>
        </w:rPr>
        <w:fldChar w:fldCharType="end"/>
      </w:r>
    </w:p>
    <w:p w14:paraId="7D7B4156" w14:textId="0758401E"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Appendix A: Consultation process and participants</w:t>
      </w:r>
      <w:r>
        <w:rPr>
          <w:noProof/>
        </w:rPr>
        <w:tab/>
      </w:r>
      <w:r>
        <w:rPr>
          <w:noProof/>
        </w:rPr>
        <w:fldChar w:fldCharType="begin"/>
      </w:r>
      <w:r>
        <w:rPr>
          <w:noProof/>
        </w:rPr>
        <w:instrText xml:space="preserve"> PAGEREF _Toc159513648 \h </w:instrText>
      </w:r>
      <w:r>
        <w:rPr>
          <w:noProof/>
        </w:rPr>
      </w:r>
      <w:r>
        <w:rPr>
          <w:noProof/>
        </w:rPr>
        <w:fldChar w:fldCharType="separate"/>
      </w:r>
      <w:r w:rsidR="00054A40">
        <w:rPr>
          <w:noProof/>
        </w:rPr>
        <w:t>269</w:t>
      </w:r>
      <w:r>
        <w:rPr>
          <w:noProof/>
        </w:rPr>
        <w:fldChar w:fldCharType="end"/>
      </w:r>
    </w:p>
    <w:p w14:paraId="7C866970" w14:textId="2AF16BCC"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Written submissions</w:t>
      </w:r>
      <w:r>
        <w:rPr>
          <w:noProof/>
        </w:rPr>
        <w:tab/>
      </w:r>
      <w:r>
        <w:rPr>
          <w:noProof/>
        </w:rPr>
        <w:fldChar w:fldCharType="begin"/>
      </w:r>
      <w:r>
        <w:rPr>
          <w:noProof/>
        </w:rPr>
        <w:instrText xml:space="preserve"> PAGEREF _Toc159513649 \h </w:instrText>
      </w:r>
      <w:r>
        <w:rPr>
          <w:noProof/>
        </w:rPr>
      </w:r>
      <w:r>
        <w:rPr>
          <w:noProof/>
        </w:rPr>
        <w:fldChar w:fldCharType="separate"/>
      </w:r>
      <w:r w:rsidR="00054A40">
        <w:rPr>
          <w:noProof/>
        </w:rPr>
        <w:t>269</w:t>
      </w:r>
      <w:r>
        <w:rPr>
          <w:noProof/>
        </w:rPr>
        <w:fldChar w:fldCharType="end"/>
      </w:r>
    </w:p>
    <w:p w14:paraId="4B87EECA" w14:textId="3103E4E1"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Public consultation meetings</w:t>
      </w:r>
      <w:r>
        <w:rPr>
          <w:noProof/>
        </w:rPr>
        <w:tab/>
      </w:r>
      <w:r>
        <w:rPr>
          <w:noProof/>
        </w:rPr>
        <w:fldChar w:fldCharType="begin"/>
      </w:r>
      <w:r>
        <w:rPr>
          <w:noProof/>
        </w:rPr>
        <w:instrText xml:space="preserve"> PAGEREF _Toc159513650 \h </w:instrText>
      </w:r>
      <w:r>
        <w:rPr>
          <w:noProof/>
        </w:rPr>
      </w:r>
      <w:r>
        <w:rPr>
          <w:noProof/>
        </w:rPr>
        <w:fldChar w:fldCharType="separate"/>
      </w:r>
      <w:r w:rsidR="00054A40">
        <w:rPr>
          <w:noProof/>
        </w:rPr>
        <w:t>271</w:t>
      </w:r>
      <w:r>
        <w:rPr>
          <w:noProof/>
        </w:rPr>
        <w:fldChar w:fldCharType="end"/>
      </w:r>
    </w:p>
    <w:p w14:paraId="38E09406" w14:textId="58103D5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International consultation</w:t>
      </w:r>
      <w:r>
        <w:rPr>
          <w:noProof/>
        </w:rPr>
        <w:tab/>
      </w:r>
      <w:r>
        <w:rPr>
          <w:noProof/>
        </w:rPr>
        <w:fldChar w:fldCharType="begin"/>
      </w:r>
      <w:r>
        <w:rPr>
          <w:noProof/>
        </w:rPr>
        <w:instrText xml:space="preserve"> PAGEREF _Toc159513651 \h </w:instrText>
      </w:r>
      <w:r>
        <w:rPr>
          <w:noProof/>
        </w:rPr>
      </w:r>
      <w:r>
        <w:rPr>
          <w:noProof/>
        </w:rPr>
        <w:fldChar w:fldCharType="separate"/>
      </w:r>
      <w:r w:rsidR="00054A40">
        <w:rPr>
          <w:noProof/>
        </w:rPr>
        <w:t>271</w:t>
      </w:r>
      <w:r>
        <w:rPr>
          <w:noProof/>
        </w:rPr>
        <w:fldChar w:fldCharType="end"/>
      </w:r>
    </w:p>
    <w:p w14:paraId="1A9B7F73" w14:textId="49490100"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Working group</w:t>
      </w:r>
      <w:r>
        <w:rPr>
          <w:noProof/>
        </w:rPr>
        <w:tab/>
      </w:r>
      <w:r>
        <w:rPr>
          <w:noProof/>
        </w:rPr>
        <w:fldChar w:fldCharType="begin"/>
      </w:r>
      <w:r>
        <w:rPr>
          <w:noProof/>
        </w:rPr>
        <w:instrText xml:space="preserve"> PAGEREF _Toc159513652 \h </w:instrText>
      </w:r>
      <w:r>
        <w:rPr>
          <w:noProof/>
        </w:rPr>
      </w:r>
      <w:r>
        <w:rPr>
          <w:noProof/>
        </w:rPr>
        <w:fldChar w:fldCharType="separate"/>
      </w:r>
      <w:r w:rsidR="00054A40">
        <w:rPr>
          <w:noProof/>
        </w:rPr>
        <w:t>271</w:t>
      </w:r>
      <w:r>
        <w:rPr>
          <w:noProof/>
        </w:rPr>
        <w:fldChar w:fldCharType="end"/>
      </w:r>
    </w:p>
    <w:p w14:paraId="5A752D60" w14:textId="084A65B2"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Appendix B: Analysis of terms and conditions in pro</w:t>
      </w:r>
      <w:r>
        <w:rPr>
          <w:noProof/>
        </w:rPr>
        <w:noBreakHyphen/>
        <w:t>forma user contracts with Australian digital asset platforms</w:t>
      </w:r>
      <w:r>
        <w:rPr>
          <w:noProof/>
        </w:rPr>
        <w:tab/>
      </w:r>
      <w:r>
        <w:rPr>
          <w:noProof/>
        </w:rPr>
        <w:fldChar w:fldCharType="begin"/>
      </w:r>
      <w:r>
        <w:rPr>
          <w:noProof/>
        </w:rPr>
        <w:instrText xml:space="preserve"> PAGEREF _Toc159513653 \h </w:instrText>
      </w:r>
      <w:r>
        <w:rPr>
          <w:noProof/>
        </w:rPr>
      </w:r>
      <w:r>
        <w:rPr>
          <w:noProof/>
        </w:rPr>
        <w:fldChar w:fldCharType="separate"/>
      </w:r>
      <w:r w:rsidR="00054A40">
        <w:rPr>
          <w:noProof/>
        </w:rPr>
        <w:t>272</w:t>
      </w:r>
      <w:r>
        <w:rPr>
          <w:noProof/>
        </w:rPr>
        <w:fldChar w:fldCharType="end"/>
      </w:r>
    </w:p>
    <w:p w14:paraId="5C5AAA78" w14:textId="1A190993"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Appendix C: ATO guidance products</w:t>
      </w:r>
      <w:r>
        <w:rPr>
          <w:noProof/>
        </w:rPr>
        <w:tab/>
      </w:r>
      <w:r>
        <w:rPr>
          <w:noProof/>
        </w:rPr>
        <w:fldChar w:fldCharType="begin"/>
      </w:r>
      <w:r>
        <w:rPr>
          <w:noProof/>
        </w:rPr>
        <w:instrText xml:space="preserve"> PAGEREF _Toc159513654 \h </w:instrText>
      </w:r>
      <w:r>
        <w:rPr>
          <w:noProof/>
        </w:rPr>
      </w:r>
      <w:r>
        <w:rPr>
          <w:noProof/>
        </w:rPr>
        <w:fldChar w:fldCharType="separate"/>
      </w:r>
      <w:r w:rsidR="00054A40">
        <w:rPr>
          <w:noProof/>
        </w:rPr>
        <w:t>274</w:t>
      </w:r>
      <w:r>
        <w:rPr>
          <w:noProof/>
        </w:rPr>
        <w:fldChar w:fldCharType="end"/>
      </w:r>
    </w:p>
    <w:p w14:paraId="1D4A9B55" w14:textId="4DAF982E"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Binding public advice and guidance</w:t>
      </w:r>
      <w:r>
        <w:rPr>
          <w:noProof/>
        </w:rPr>
        <w:tab/>
      </w:r>
      <w:r>
        <w:rPr>
          <w:noProof/>
        </w:rPr>
        <w:fldChar w:fldCharType="begin"/>
      </w:r>
      <w:r>
        <w:rPr>
          <w:noProof/>
        </w:rPr>
        <w:instrText xml:space="preserve"> PAGEREF _Toc159513655 \h </w:instrText>
      </w:r>
      <w:r>
        <w:rPr>
          <w:noProof/>
        </w:rPr>
      </w:r>
      <w:r>
        <w:rPr>
          <w:noProof/>
        </w:rPr>
        <w:fldChar w:fldCharType="separate"/>
      </w:r>
      <w:r w:rsidR="00054A40">
        <w:rPr>
          <w:noProof/>
        </w:rPr>
        <w:t>274</w:t>
      </w:r>
      <w:r>
        <w:rPr>
          <w:noProof/>
        </w:rPr>
        <w:fldChar w:fldCharType="end"/>
      </w:r>
    </w:p>
    <w:p w14:paraId="5235C845" w14:textId="683C808A"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Published web guidance</w:t>
      </w:r>
      <w:r>
        <w:rPr>
          <w:noProof/>
        </w:rPr>
        <w:tab/>
      </w:r>
      <w:r>
        <w:rPr>
          <w:noProof/>
        </w:rPr>
        <w:fldChar w:fldCharType="begin"/>
      </w:r>
      <w:r>
        <w:rPr>
          <w:noProof/>
        </w:rPr>
        <w:instrText xml:space="preserve"> PAGEREF _Toc159513656 \h </w:instrText>
      </w:r>
      <w:r>
        <w:rPr>
          <w:noProof/>
        </w:rPr>
      </w:r>
      <w:r>
        <w:rPr>
          <w:noProof/>
        </w:rPr>
        <w:fldChar w:fldCharType="separate"/>
      </w:r>
      <w:r w:rsidR="00054A40">
        <w:rPr>
          <w:noProof/>
        </w:rPr>
        <w:t>274</w:t>
      </w:r>
      <w:r>
        <w:rPr>
          <w:noProof/>
        </w:rPr>
        <w:fldChar w:fldCharType="end"/>
      </w:r>
    </w:p>
    <w:p w14:paraId="7450E856" w14:textId="78164BD1" w:rsidR="00CF6F4B" w:rsidRDefault="00CF6F4B">
      <w:pPr>
        <w:pStyle w:val="TOC2"/>
        <w:rPr>
          <w:rFonts w:asciiTheme="minorHAnsi" w:eastAsiaTheme="minorEastAsia" w:hAnsiTheme="minorHAnsi" w:cstheme="minorBidi"/>
          <w:noProof/>
          <w:color w:val="auto"/>
          <w:kern w:val="2"/>
          <w:sz w:val="22"/>
          <w:szCs w:val="22"/>
          <w14:ligatures w14:val="standardContextual"/>
        </w:rPr>
      </w:pPr>
      <w:r>
        <w:rPr>
          <w:noProof/>
        </w:rPr>
        <w:t>Edited private advice</w:t>
      </w:r>
      <w:r>
        <w:rPr>
          <w:noProof/>
        </w:rPr>
        <w:tab/>
      </w:r>
      <w:r>
        <w:rPr>
          <w:noProof/>
        </w:rPr>
        <w:fldChar w:fldCharType="begin"/>
      </w:r>
      <w:r>
        <w:rPr>
          <w:noProof/>
        </w:rPr>
        <w:instrText xml:space="preserve"> PAGEREF _Toc159513657 \h </w:instrText>
      </w:r>
      <w:r>
        <w:rPr>
          <w:noProof/>
        </w:rPr>
      </w:r>
      <w:r>
        <w:rPr>
          <w:noProof/>
        </w:rPr>
        <w:fldChar w:fldCharType="separate"/>
      </w:r>
      <w:r w:rsidR="00054A40">
        <w:rPr>
          <w:noProof/>
        </w:rPr>
        <w:t>276</w:t>
      </w:r>
      <w:r>
        <w:rPr>
          <w:noProof/>
        </w:rPr>
        <w:fldChar w:fldCharType="end"/>
      </w:r>
    </w:p>
    <w:p w14:paraId="5EEE334F" w14:textId="40BC01CE" w:rsidR="00CF6F4B" w:rsidRDefault="00CF6F4B">
      <w:pPr>
        <w:pStyle w:val="TOC1"/>
        <w:rPr>
          <w:rFonts w:asciiTheme="minorHAnsi" w:eastAsiaTheme="minorEastAsia" w:hAnsiTheme="minorHAnsi" w:cstheme="minorBidi"/>
          <w:noProof/>
          <w:color w:val="auto"/>
          <w:kern w:val="2"/>
          <w:sz w:val="22"/>
          <w14:ligatures w14:val="standardContextual"/>
        </w:rPr>
      </w:pPr>
      <w:r>
        <w:rPr>
          <w:noProof/>
        </w:rPr>
        <w:t>Appendix D: International jurisdiction responses to the Board’s questions</w:t>
      </w:r>
      <w:r>
        <w:rPr>
          <w:noProof/>
        </w:rPr>
        <w:tab/>
      </w:r>
      <w:r>
        <w:rPr>
          <w:noProof/>
        </w:rPr>
        <w:fldChar w:fldCharType="begin"/>
      </w:r>
      <w:r>
        <w:rPr>
          <w:noProof/>
        </w:rPr>
        <w:instrText xml:space="preserve"> PAGEREF _Toc159513658 \h </w:instrText>
      </w:r>
      <w:r>
        <w:rPr>
          <w:noProof/>
        </w:rPr>
      </w:r>
      <w:r>
        <w:rPr>
          <w:noProof/>
        </w:rPr>
        <w:fldChar w:fldCharType="separate"/>
      </w:r>
      <w:r w:rsidR="00054A40">
        <w:rPr>
          <w:noProof/>
        </w:rPr>
        <w:t>280</w:t>
      </w:r>
      <w:r>
        <w:rPr>
          <w:noProof/>
        </w:rPr>
        <w:fldChar w:fldCharType="end"/>
      </w:r>
    </w:p>
    <w:p w14:paraId="497621D9" w14:textId="72D02A23" w:rsidR="006256BA" w:rsidRPr="00FA1A19" w:rsidRDefault="00785BA4">
      <w:r w:rsidRPr="00FA1A19">
        <w:rPr>
          <w:rFonts w:ascii="Arial Bold" w:hAnsi="Arial Bold"/>
          <w:b/>
          <w:color w:val="000080"/>
        </w:rPr>
        <w:fldChar w:fldCharType="end"/>
      </w:r>
    </w:p>
    <w:p w14:paraId="53FD6CC1" w14:textId="77777777" w:rsidR="006256BA" w:rsidRPr="00FA1A19" w:rsidRDefault="006256BA">
      <w:pPr>
        <w:sectPr w:rsidR="006256BA" w:rsidRPr="00FA1A19" w:rsidSect="001E405B">
          <w:footerReference w:type="first" r:id="rId25"/>
          <w:pgSz w:w="11909" w:h="16834" w:code="9"/>
          <w:pgMar w:top="1985" w:right="1134" w:bottom="1985" w:left="1134" w:header="1134" w:footer="1134" w:gutter="0"/>
          <w:pgNumType w:fmt="lowerRoman"/>
          <w:cols w:space="708"/>
          <w:titlePg/>
          <w:docGrid w:linePitch="360"/>
        </w:sectPr>
      </w:pPr>
    </w:p>
    <w:p w14:paraId="3C263524" w14:textId="77777777" w:rsidR="00E65C6E" w:rsidRPr="00FA1A19" w:rsidRDefault="00E65C6E" w:rsidP="0069352C">
      <w:pPr>
        <w:pStyle w:val="Heading1"/>
      </w:pPr>
      <w:bookmarkStart w:id="8" w:name="_Toc137745972"/>
      <w:bookmarkStart w:id="9" w:name="_Toc159513543"/>
      <w:r w:rsidRPr="00FA1A19">
        <w:t>Foreword</w:t>
      </w:r>
      <w:bookmarkEnd w:id="8"/>
      <w:bookmarkEnd w:id="9"/>
    </w:p>
    <w:p w14:paraId="20D18803" w14:textId="55F4AF7A" w:rsidR="00E65C6E" w:rsidRPr="00FA1A19" w:rsidRDefault="00E65C6E" w:rsidP="00E65C6E">
      <w:r w:rsidRPr="00FA1A19">
        <w:t xml:space="preserve">The Board of Taxation (the Board) is pleased to submit this </w:t>
      </w:r>
      <w:r w:rsidR="00447147">
        <w:t>R</w:t>
      </w:r>
      <w:r w:rsidRPr="00FA1A19">
        <w:t xml:space="preserve">eport to the Treasurer following its review into the appropriate policy framework for the taxation of digital assets and transactions in Australia. </w:t>
      </w:r>
    </w:p>
    <w:p w14:paraId="215B9E14" w14:textId="70E9BD91" w:rsidR="00E65C6E" w:rsidRPr="00FA1A19" w:rsidRDefault="00E65C6E" w:rsidP="00E65C6E">
      <w:r w:rsidRPr="00FA1A19">
        <w:t xml:space="preserve">The Board appointed a Working Group to conduct the Review comprising Board members, officials from Treasury and the </w:t>
      </w:r>
      <w:r w:rsidR="00D63B70">
        <w:t>Australian Taxation Office (</w:t>
      </w:r>
      <w:r w:rsidRPr="00FA1A19">
        <w:t>ATO</w:t>
      </w:r>
      <w:r w:rsidR="00D63B70">
        <w:t>)</w:t>
      </w:r>
      <w:r w:rsidRPr="00FA1A19">
        <w:t>, and specialists in taxation and digital assets across academia, the tax profession and the crypto asset industry. This Final Report is submitted to the Treasurer by Board Chair M</w:t>
      </w:r>
      <w:r w:rsidR="0081021C">
        <w:t>r</w:t>
      </w:r>
      <w:r w:rsidRPr="00FA1A19">
        <w:t>s</w:t>
      </w:r>
      <w:r w:rsidR="000E72DD">
        <w:t> </w:t>
      </w:r>
      <w:r w:rsidRPr="00FA1A19">
        <w:t>Rosheen</w:t>
      </w:r>
      <w:r w:rsidR="000E72DD">
        <w:t xml:space="preserve"> </w:t>
      </w:r>
      <w:r w:rsidRPr="00FA1A19">
        <w:t>Garnon and Board members, Dr Julianne Jaques KC</w:t>
      </w:r>
      <w:r w:rsidR="00F3771D" w:rsidRPr="00FA1A19">
        <w:t>,</w:t>
      </w:r>
      <w:r w:rsidRPr="00FA1A19">
        <w:t xml:space="preserve"> Mr Ian Kellock</w:t>
      </w:r>
      <w:r w:rsidR="00F3771D" w:rsidRPr="00FA1A19">
        <w:t xml:space="preserve"> and Ms</w:t>
      </w:r>
      <w:r w:rsidR="006229B4">
        <w:t> </w:t>
      </w:r>
      <w:r w:rsidR="00F3771D" w:rsidRPr="00FA1A19">
        <w:t>Andrea Laing</w:t>
      </w:r>
      <w:r w:rsidRPr="00FA1A19">
        <w:t>.</w:t>
      </w:r>
    </w:p>
    <w:p w14:paraId="52CC2794" w14:textId="45035B0F" w:rsidR="00E65C6E" w:rsidRPr="00FA1A19" w:rsidRDefault="00E65C6E" w:rsidP="00E65C6E">
      <w:r w:rsidRPr="00FA1A19">
        <w:t xml:space="preserve">In the course </w:t>
      </w:r>
      <w:r w:rsidR="1FC41D32" w:rsidRPr="00FA1A19">
        <w:t>of</w:t>
      </w:r>
      <w:r w:rsidRPr="00FA1A19">
        <w:t xml:space="preserve"> the Review, the Board conducted virtual and in</w:t>
      </w:r>
      <w:r w:rsidR="00F75232">
        <w:noBreakHyphen/>
      </w:r>
      <w:r w:rsidRPr="00FA1A19">
        <w:t xml:space="preserve">person roundtable consultations with over 45 industry stakeholder groups and collected further feedback from private interviews and from virtual meetings with overseas regulators/administrators about the issues and developments in taxation as it applies to </w:t>
      </w:r>
      <w:r w:rsidR="438CF5CA" w:rsidRPr="00FA1A19">
        <w:t>digital</w:t>
      </w:r>
      <w:r w:rsidRPr="00FA1A19">
        <w:t xml:space="preserve"> assets and related transactions. The Board issued a Consultation Guide and received 41</w:t>
      </w:r>
      <w:r w:rsidR="000E72DD">
        <w:t> </w:t>
      </w:r>
      <w:r w:rsidRPr="00FA1A19">
        <w:t xml:space="preserve">written submissions. </w:t>
      </w:r>
    </w:p>
    <w:p w14:paraId="7D172916" w14:textId="53B71B51" w:rsidR="00E65C6E" w:rsidRPr="00FA1A19" w:rsidRDefault="00E65C6E" w:rsidP="00E65C6E">
      <w:r w:rsidRPr="00FA1A19">
        <w:t xml:space="preserve">The Review attracted interest from domestic and foreign </w:t>
      </w:r>
      <w:r w:rsidR="003064A7" w:rsidRPr="00FA1A19">
        <w:t xml:space="preserve">digital </w:t>
      </w:r>
      <w:r w:rsidRPr="00FA1A19">
        <w:t xml:space="preserve">asset investors, </w:t>
      </w:r>
      <w:bookmarkStart w:id="10" w:name="_Hlk106792772"/>
      <w:r w:rsidR="003064A7" w:rsidRPr="00FA1A19">
        <w:t xml:space="preserve">digital </w:t>
      </w:r>
      <w:r w:rsidRPr="00FA1A19">
        <w:t xml:space="preserve">asset secondary service providers </w:t>
      </w:r>
      <w:bookmarkEnd w:id="10"/>
      <w:r w:rsidRPr="00FA1A19">
        <w:t xml:space="preserve">(exchange, brokerage and dealing services and market operators), industry bodies, academics, tax professionals, tax software providers </w:t>
      </w:r>
      <w:r w:rsidR="00AA52BD" w:rsidRPr="00FA1A19">
        <w:t>providing solutions for digital asset tax compliance</w:t>
      </w:r>
      <w:r w:rsidRPr="00FA1A19">
        <w:t xml:space="preserve"> and specialists in </w:t>
      </w:r>
      <w:r w:rsidR="00AA52BD" w:rsidRPr="00FA1A19">
        <w:t>digital</w:t>
      </w:r>
      <w:r w:rsidRPr="00FA1A19">
        <w:t xml:space="preserve"> assets and blockchain. </w:t>
      </w:r>
    </w:p>
    <w:p w14:paraId="7C902667" w14:textId="77777777" w:rsidR="00E65C6E" w:rsidRPr="00FA1A19" w:rsidRDefault="00E65C6E" w:rsidP="00E65C6E">
      <w:r w:rsidRPr="00FA1A19">
        <w:t>The Board thanks all those who contributed to the consultation process and responded to the consultation paper.</w:t>
      </w:r>
    </w:p>
    <w:p w14:paraId="411E2F89" w14:textId="7D02F054" w:rsidR="00E65C6E" w:rsidRDefault="00E65C6E" w:rsidP="00E65C6E">
      <w:r w:rsidRPr="00FA1A19">
        <w:t>The ex</w:t>
      </w:r>
      <w:r w:rsidR="00F75232">
        <w:noBreakHyphen/>
      </w:r>
      <w:r w:rsidRPr="00FA1A19">
        <w:t>officio members of the Board</w:t>
      </w:r>
      <w:r w:rsidR="00DD7E85">
        <w:t xml:space="preserve"> – </w:t>
      </w:r>
      <w:r w:rsidRPr="00FA1A19">
        <w:t>the Secretary to the Treasury, Dr Steven Kennedy PSM, the Commissioner of Taxation, Mr Chris Jordan AO, and the First Parliamentary Counsel, Ms Meredith Leigh</w:t>
      </w:r>
      <w:r w:rsidR="00DD7E85">
        <w:t xml:space="preserve"> – </w:t>
      </w:r>
      <w:r w:rsidRPr="00FA1A19">
        <w:t xml:space="preserve">have reserved their final views on the observations and recommendations made in this </w:t>
      </w:r>
      <w:r w:rsidR="00447147">
        <w:t>R</w:t>
      </w:r>
      <w:r w:rsidRPr="00FA1A19">
        <w:t>eport for advice to Government.</w:t>
      </w:r>
    </w:p>
    <w:tbl>
      <w:tblPr>
        <w:tblStyle w:val="TableGrid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821"/>
      </w:tblGrid>
      <w:tr w:rsidR="00932EDF" w14:paraId="6CDBC599" w14:textId="77777777" w:rsidTr="00932EDF">
        <w:trPr>
          <w:trHeight w:val="1701"/>
        </w:trPr>
        <w:tc>
          <w:tcPr>
            <w:tcW w:w="2500" w:type="pct"/>
            <w:vAlign w:val="bottom"/>
            <w:hideMark/>
          </w:tcPr>
          <w:p w14:paraId="123687C1" w14:textId="592DD868" w:rsidR="00932EDF" w:rsidRDefault="002E3854">
            <w:r>
              <w:rPr>
                <w:noProof/>
              </w:rPr>
              <w:drawing>
                <wp:inline distT="0" distB="0" distL="0" distR="0" wp14:anchorId="4ED3EA9E" wp14:editId="4F33F5AB">
                  <wp:extent cx="2033081" cy="1059793"/>
                  <wp:effectExtent l="0" t="0" r="5715" b="7620"/>
                  <wp:docPr id="546271169" name="Picture 546271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1169" name="Picture 54627116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218" cy="1062471"/>
                          </a:xfrm>
                          <a:prstGeom prst="rect">
                            <a:avLst/>
                          </a:prstGeom>
                          <a:noFill/>
                          <a:ln>
                            <a:noFill/>
                          </a:ln>
                        </pic:spPr>
                      </pic:pic>
                    </a:graphicData>
                  </a:graphic>
                </wp:inline>
              </w:drawing>
            </w:r>
          </w:p>
        </w:tc>
        <w:tc>
          <w:tcPr>
            <w:tcW w:w="2500" w:type="pct"/>
            <w:vAlign w:val="bottom"/>
            <w:hideMark/>
          </w:tcPr>
          <w:p w14:paraId="5102A0B3" w14:textId="79C454CD" w:rsidR="00932EDF" w:rsidRDefault="002E3854">
            <w:pPr>
              <w:rPr>
                <w:rFonts w:asciiTheme="minorHAnsi" w:hAnsiTheme="minorHAnsi"/>
              </w:rPr>
            </w:pPr>
            <w:r w:rsidRPr="00515825">
              <w:rPr>
                <w:b/>
                <w:noProof/>
              </w:rPr>
              <w:drawing>
                <wp:inline distT="0" distB="0" distL="0" distR="0" wp14:anchorId="7BF63926" wp14:editId="2982E911">
                  <wp:extent cx="2742419" cy="877151"/>
                  <wp:effectExtent l="0" t="0" r="1270" b="0"/>
                  <wp:docPr id="546271168" name="Picture 546271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1168" name="Picture 54627116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3665" cy="899939"/>
                          </a:xfrm>
                          <a:prstGeom prst="rect">
                            <a:avLst/>
                          </a:prstGeom>
                          <a:noFill/>
                          <a:ln>
                            <a:noFill/>
                          </a:ln>
                        </pic:spPr>
                      </pic:pic>
                    </a:graphicData>
                  </a:graphic>
                </wp:inline>
              </w:drawing>
            </w:r>
          </w:p>
        </w:tc>
      </w:tr>
      <w:tr w:rsidR="00932EDF" w14:paraId="40BC9CCE" w14:textId="77777777" w:rsidTr="00932EDF">
        <w:trPr>
          <w:trHeight w:val="20"/>
        </w:trPr>
        <w:tc>
          <w:tcPr>
            <w:tcW w:w="2500" w:type="pct"/>
            <w:vAlign w:val="bottom"/>
            <w:hideMark/>
          </w:tcPr>
          <w:sdt>
            <w:sdtPr>
              <w:id w:val="-141274450"/>
              <w:placeholder>
                <w:docPart w:val="7BBA54135A454572ABA3863AC2F6BB91"/>
              </w:placeholder>
              <w:comboBox>
                <w:listItem w:value="Choose an item."/>
                <w:listItem w:displayText="Rosheen Garnon" w:value="Rosheen Garnon"/>
                <w:listItem w:displayText="Dr Julianne Jaques" w:value="Dr Julianne Jaques"/>
                <w:listItem w:displayText="Ian Kellock" w:value="Ian Kellock"/>
                <w:listItem w:displayText="Anthony Klein" w:value="Anthony Klein"/>
                <w:listItem w:displayText="Andrea Laing" w:value="Andrea Laing"/>
                <w:listItem w:displayText="Tanya Titman FCPA" w:value="Tanya Titman FCPA"/>
                <w:listItem w:displayText="Chris Jordan AO" w:value="Chris Jordan AO"/>
                <w:listItem w:displayText="Dr Steven Kennedy PSM" w:value="Dr Steven Kennedy PSM"/>
                <w:listItem w:displayText="Meredith Leigh" w:value="Meredith Leigh"/>
              </w:comboBox>
            </w:sdtPr>
            <w:sdtEndPr/>
            <w:sdtContent>
              <w:p w14:paraId="46385EDD" w14:textId="77777777" w:rsidR="00932EDF" w:rsidRDefault="00932EDF">
                <w:pPr>
                  <w:pStyle w:val="LetterAuthor"/>
                </w:pPr>
                <w:r>
                  <w:t>Rosheen Garnon</w:t>
                </w:r>
              </w:p>
            </w:sdtContent>
          </w:sdt>
          <w:sdt>
            <w:sdtPr>
              <w:id w:val="480816805"/>
              <w:placeholder>
                <w:docPart w:val="3006E383627B48B6A62E79A69BD3AB5F"/>
              </w:placeholder>
              <w:comboBox>
                <w:listItem w:value="Choose an item."/>
                <w:listItem w:displayText="Chair of the Board" w:value="Chair of the Board"/>
                <w:listItem w:displayText="Chair of the Working Group" w:value="Chair of the Working Group"/>
                <w:listItem w:displayText="Chief Executive Officer" w:value="Chief Executive Officer"/>
                <w:listItem w:displayText="Board Member" w:value="Board Member"/>
                <w:listItem w:displayText="Secretary, Board of Taxation" w:value="Secretary, Board of Taxation"/>
              </w:comboBox>
            </w:sdtPr>
            <w:sdtEndPr/>
            <w:sdtContent>
              <w:p w14:paraId="7B9C2DDB" w14:textId="77777777" w:rsidR="00932EDF" w:rsidRDefault="00932EDF">
                <w:pPr>
                  <w:rPr>
                    <w:rFonts w:asciiTheme="minorHAnsi" w:hAnsiTheme="minorHAnsi"/>
                  </w:rPr>
                </w:pPr>
                <w:r>
                  <w:t>Chair of the Board</w:t>
                </w:r>
              </w:p>
            </w:sdtContent>
          </w:sdt>
        </w:tc>
        <w:tc>
          <w:tcPr>
            <w:tcW w:w="2500" w:type="pct"/>
            <w:vAlign w:val="bottom"/>
            <w:hideMark/>
          </w:tcPr>
          <w:sdt>
            <w:sdtPr>
              <w:id w:val="545640228"/>
              <w:placeholder>
                <w:docPart w:val="C2BE234FBBEA41F394476E3E2E2ECA7D"/>
              </w:placeholder>
              <w:comboBox>
                <w:listItem w:value="Choose an item."/>
                <w:listItem w:displayText="Michael Andrew AO" w:value="Michael Andrew AO"/>
                <w:listItem w:displayText="Karen Payne" w:value="Karen Payne"/>
                <w:listItem w:displayText="Rosheen Garnon" w:value="Rosheen Garnon"/>
                <w:listItem w:displayText="Dr Julianne Jaques" w:value="Dr Julianne Jaques"/>
                <w:listItem w:displayText="Neville Mitchell" w:value="Neville Mitchell"/>
                <w:listItem w:displayText="Mark Pizzacalla, PhD" w:value="Mark Pizzacalla, PhD"/>
                <w:listItem w:displayText="Ann-Maree Wolff" w:value="Ann-Maree Wolff"/>
                <w:listItem w:displayText="Craig Yaxley" w:value="Craig Yaxley"/>
                <w:listItem w:displayText="Chris Jordan AO" w:value="Chris Jordan AO"/>
                <w:listItem w:displayText="John Fraser" w:value="John Fraser"/>
                <w:listItem w:displayText="Peter Quiggin PSM" w:value="Peter Quiggin PSM"/>
              </w:comboBox>
            </w:sdtPr>
            <w:sdtEndPr/>
            <w:sdtContent>
              <w:p w14:paraId="31982824" w14:textId="0B68F4C8" w:rsidR="00932EDF" w:rsidRDefault="00554F1B">
                <w:pPr>
                  <w:pStyle w:val="LetterAuthor"/>
                </w:pPr>
                <w:r>
                  <w:t>Julianne Jaques KC</w:t>
                </w:r>
              </w:p>
            </w:sdtContent>
          </w:sdt>
          <w:p w14:paraId="3548B10A" w14:textId="6084DDC5" w:rsidR="00932EDF" w:rsidRDefault="00895C63">
            <w:pPr>
              <w:rPr>
                <w:rFonts w:asciiTheme="minorHAnsi" w:hAnsiTheme="minorHAnsi"/>
              </w:rPr>
            </w:pPr>
            <w:sdt>
              <w:sdtPr>
                <w:id w:val="1018052167"/>
                <w:placeholder>
                  <w:docPart w:val="25A00F15626945FB9E2FC6054F477086"/>
                </w:placeholder>
                <w:comboBox>
                  <w:listItem w:value="Choose an item."/>
                  <w:listItem w:displayText="Chair of the Board" w:value="Chair of the Board"/>
                  <w:listItem w:displayText="Chair of the Working Group" w:value="Chair of the Working Group"/>
                  <w:listItem w:displayText="Chief Executive Officer" w:value="Chief Executive Officer"/>
                  <w:listItem w:displayText="Board Member" w:value="Board Member"/>
                  <w:listItem w:displayText="Secretary, Board of Taxation" w:value="Secretary, Board of Taxation"/>
                </w:comboBox>
              </w:sdtPr>
              <w:sdtEndPr/>
              <w:sdtContent>
                <w:r w:rsidR="00CC71DB">
                  <w:t>Chair of the Working Group</w:t>
                </w:r>
              </w:sdtContent>
            </w:sdt>
          </w:p>
        </w:tc>
      </w:tr>
    </w:tbl>
    <w:p w14:paraId="75209A3A" w14:textId="77777777" w:rsidR="00932EDF" w:rsidRPr="00FA1A19" w:rsidRDefault="00932EDF" w:rsidP="00E65C6E"/>
    <w:p w14:paraId="6F5DD54A" w14:textId="6C5C8AEE" w:rsidR="00E65C6E" w:rsidRPr="00FA1A19" w:rsidRDefault="00E65C6E">
      <w:r w:rsidRPr="00FA1A19">
        <w:br w:type="page"/>
      </w:r>
    </w:p>
    <w:p w14:paraId="3E1266D2" w14:textId="77777777" w:rsidR="00E65C6E" w:rsidRPr="00FA1A19" w:rsidRDefault="00E65C6E" w:rsidP="0069352C">
      <w:pPr>
        <w:pStyle w:val="Heading1"/>
      </w:pPr>
      <w:bookmarkStart w:id="11" w:name="_Toc137745973"/>
      <w:bookmarkStart w:id="12" w:name="_Toc159513544"/>
      <w:r w:rsidRPr="00FA1A19">
        <w:t>Executive Summary</w:t>
      </w:r>
      <w:bookmarkEnd w:id="11"/>
      <w:bookmarkEnd w:id="12"/>
    </w:p>
    <w:p w14:paraId="0CA46387" w14:textId="002528DA" w:rsidR="005855BA" w:rsidRPr="00FA1A19" w:rsidRDefault="005855BA" w:rsidP="005855BA">
      <w:r w:rsidRPr="00FA1A19">
        <w:t>Digital (or crypto) assets and transactions are the foundation of the crypto ecosystem, which in recent years has grown exponentially in both size and complexity.</w:t>
      </w:r>
      <w:r w:rsidR="004F0A51" w:rsidRPr="00FA1A19">
        <w:t xml:space="preserve"> </w:t>
      </w:r>
    </w:p>
    <w:p w14:paraId="198AEC44" w14:textId="719D4BC8" w:rsidR="005855BA" w:rsidRPr="00FA1A19" w:rsidRDefault="005855BA" w:rsidP="005855BA">
      <w:r w:rsidRPr="00FA1A19">
        <w:t xml:space="preserve">Since </w:t>
      </w:r>
      <w:r w:rsidR="6E7F2140" w:rsidRPr="00FA1A19">
        <w:t xml:space="preserve">an </w:t>
      </w:r>
      <w:r w:rsidRPr="00FA1A19">
        <w:t>anonymo</w:t>
      </w:r>
      <w:r w:rsidR="5D96B50D" w:rsidRPr="00FA1A19">
        <w:t>us propos</w:t>
      </w:r>
      <w:r w:rsidR="570F474B" w:rsidRPr="00FA1A19">
        <w:t>al</w:t>
      </w:r>
      <w:r w:rsidRPr="00FA1A19">
        <w:t xml:space="preserve"> in 2008 for a</w:t>
      </w:r>
      <w:r w:rsidR="00766955" w:rsidRPr="00FA1A19">
        <w:t xml:space="preserve">n encrypted </w:t>
      </w:r>
      <w:r w:rsidRPr="00FA1A19">
        <w:t>interne</w:t>
      </w:r>
      <w:r w:rsidR="00C252B5" w:rsidRPr="00FA1A19">
        <w:t>t</w:t>
      </w:r>
      <w:r w:rsidRPr="00FA1A19">
        <w:t xml:space="preserve"> payment system operating </w:t>
      </w:r>
      <w:r w:rsidR="001E6129" w:rsidRPr="00FA1A19">
        <w:t>outside</w:t>
      </w:r>
      <w:r w:rsidRPr="00FA1A19">
        <w:t xml:space="preserve"> </w:t>
      </w:r>
      <w:r w:rsidR="008D7681" w:rsidRPr="00FA1A19">
        <w:t>sovereign</w:t>
      </w:r>
      <w:r w:rsidRPr="00FA1A19">
        <w:t xml:space="preserve"> regulat</w:t>
      </w:r>
      <w:r w:rsidR="008D7681" w:rsidRPr="00FA1A19">
        <w:t>ion</w:t>
      </w:r>
      <w:r w:rsidRPr="00FA1A19">
        <w:t>, by 2022 it was conservatively estimated that over one</w:t>
      </w:r>
      <w:r w:rsidR="00372633">
        <w:t> million</w:t>
      </w:r>
      <w:r w:rsidRPr="00FA1A19">
        <w:t xml:space="preserve"> Australians held at least one cryptocurrency, and the total value of the crypto market in Australia was $21.6</w:t>
      </w:r>
      <w:r w:rsidR="00372633">
        <w:t> billion</w:t>
      </w:r>
      <w:r w:rsidRPr="00FA1A19">
        <w:t>.</w:t>
      </w:r>
      <w:r w:rsidR="004F0A51" w:rsidRPr="00FA1A19">
        <w:t xml:space="preserve"> </w:t>
      </w:r>
      <w:r w:rsidRPr="00FA1A19">
        <w:t xml:space="preserve">The OECD </w:t>
      </w:r>
      <w:r w:rsidR="00FA1404" w:rsidRPr="00FA1A19">
        <w:t xml:space="preserve">has </w:t>
      </w:r>
      <w:r w:rsidRPr="00FA1A19">
        <w:t>reported that by the end of 2021, the worldwide value of crypto markets had reached USD 3 trillion.</w:t>
      </w:r>
    </w:p>
    <w:p w14:paraId="0196A55A" w14:textId="20E48BC9" w:rsidR="005855BA" w:rsidRPr="00FA1A19" w:rsidRDefault="005855BA" w:rsidP="005855BA">
      <w:r w:rsidRPr="00FA1A19">
        <w:t xml:space="preserve">The crypto ecosystem began with the relatively simple idea of </w:t>
      </w:r>
      <w:r w:rsidR="00F75232">
        <w:t>‘</w:t>
      </w:r>
      <w:r w:rsidRPr="00FA1A19">
        <w:t>bitcoin</w:t>
      </w:r>
      <w:r w:rsidR="00F75232">
        <w:t>’</w:t>
      </w:r>
      <w:r w:rsidRPr="00FA1A19">
        <w:t xml:space="preserve"> – units of so</w:t>
      </w:r>
      <w:r w:rsidR="00F75232">
        <w:noBreakHyphen/>
      </w:r>
      <w:r w:rsidRPr="00FA1A19">
        <w:t xml:space="preserve">called </w:t>
      </w:r>
      <w:r w:rsidR="00F75232">
        <w:t>‘</w:t>
      </w:r>
      <w:r w:rsidRPr="00FA1A19">
        <w:t>cryptocurrency</w:t>
      </w:r>
      <w:r w:rsidR="00F75232">
        <w:t>’</w:t>
      </w:r>
      <w:r w:rsidRPr="00FA1A19">
        <w:t xml:space="preserve"> recorded on a virtual ledger</w:t>
      </w:r>
      <w:r w:rsidR="00885BA8">
        <w:t>,</w:t>
      </w:r>
      <w:r w:rsidRPr="00FA1A19">
        <w:t xml:space="preserve"> identical copies of which were distributed across independently</w:t>
      </w:r>
      <w:r w:rsidR="00F75232">
        <w:noBreakHyphen/>
      </w:r>
      <w:r w:rsidRPr="00FA1A19">
        <w:t>operated nodes around the world.</w:t>
      </w:r>
      <w:r w:rsidR="004F0A51" w:rsidRPr="00FA1A19">
        <w:t xml:space="preserve"> </w:t>
      </w:r>
      <w:r w:rsidRPr="00FA1A19">
        <w:t>However, the introduction of newer cryptocurrencies operating on different platforms, and in particular the introduction in 2015 of the Ethereum Platform with its capacity for self</w:t>
      </w:r>
      <w:r w:rsidR="00F75232">
        <w:noBreakHyphen/>
      </w:r>
      <w:r w:rsidRPr="00FA1A19">
        <w:t xml:space="preserve">fulfilling </w:t>
      </w:r>
      <w:r w:rsidR="00F75232">
        <w:t>‘</w:t>
      </w:r>
      <w:r w:rsidRPr="00FA1A19">
        <w:t>smart contracts</w:t>
      </w:r>
      <w:r w:rsidR="00F75232">
        <w:t>’</w:t>
      </w:r>
      <w:r w:rsidRPr="00FA1A19">
        <w:t xml:space="preserve">, has seen the development of decentralised finance (DeFi) which is intended </w:t>
      </w:r>
      <w:r w:rsidR="005C63C3" w:rsidRPr="00FA1A19">
        <w:t>as</w:t>
      </w:r>
      <w:r w:rsidRPr="00FA1A19">
        <w:t xml:space="preserve"> an alternative to traditional financial services</w:t>
      </w:r>
      <w:r w:rsidR="00DC5957">
        <w:t xml:space="preserve"> </w:t>
      </w:r>
      <w:r w:rsidR="003336B5">
        <w:t>without reliance on central intermediaries or institutions such as banks or brokerages</w:t>
      </w:r>
      <w:r w:rsidRPr="00FA1A19">
        <w:t>.</w:t>
      </w:r>
      <w:r w:rsidR="004F0A51" w:rsidRPr="00FA1A19">
        <w:t xml:space="preserve"> </w:t>
      </w:r>
      <w:r w:rsidRPr="00FA1A19">
        <w:t xml:space="preserve">DeFi allows cryptocurrency lending and borrowing, trading, derivatives (often taking their value from sovereign fiat currencies – so called </w:t>
      </w:r>
      <w:r w:rsidR="00F75232">
        <w:t>‘</w:t>
      </w:r>
      <w:r w:rsidRPr="00FA1A19">
        <w:t>stablecoins</w:t>
      </w:r>
      <w:r w:rsidR="00F75232">
        <w:t>’</w:t>
      </w:r>
      <w:r w:rsidRPr="00FA1A19">
        <w:t>), insurance and risk protection, and asset management and advisory activity.</w:t>
      </w:r>
      <w:r w:rsidR="004F0A51" w:rsidRPr="00FA1A19">
        <w:t xml:space="preserve"> </w:t>
      </w:r>
      <w:r w:rsidRPr="00FA1A19">
        <w:t xml:space="preserve">New decentralised organisational structures are being </w:t>
      </w:r>
      <w:r w:rsidR="004F4158" w:rsidRPr="00FA1A19">
        <w:t>established</w:t>
      </w:r>
      <w:r w:rsidRPr="00FA1A19">
        <w:t xml:space="preserve"> through which these activities </w:t>
      </w:r>
      <w:r w:rsidR="0068293C" w:rsidRPr="00FA1A19">
        <w:t xml:space="preserve">can be </w:t>
      </w:r>
      <w:r w:rsidRPr="00FA1A19">
        <w:t xml:space="preserve">conducted, and many third parties have established service businesses to assist retail investors in the crypto ecosystem, sometimes acting as custodians of crypto </w:t>
      </w:r>
      <w:r w:rsidR="00CC282D" w:rsidRPr="00FA1A19">
        <w:t xml:space="preserve">and other </w:t>
      </w:r>
      <w:r w:rsidRPr="00FA1A19">
        <w:t>assets. More recent times have seen the development of Gaming Finance (GameFi), which combines elements of gaming and DeFi.</w:t>
      </w:r>
    </w:p>
    <w:p w14:paraId="0B522D76" w14:textId="55432CF2" w:rsidR="005855BA" w:rsidRPr="00FA1A19" w:rsidRDefault="005855BA" w:rsidP="005855BA">
      <w:r w:rsidRPr="00FA1A19">
        <w:t>DeFi recorded a 50</w:t>
      </w:r>
      <w:r w:rsidR="00F75232">
        <w:noBreakHyphen/>
      </w:r>
      <w:r w:rsidRPr="00FA1A19">
        <w:t>fold increase over the year to December 2021, with the market capitalisation of stablecoins exceeding USD 150</w:t>
      </w:r>
      <w:r w:rsidR="00372633">
        <w:t> billion</w:t>
      </w:r>
      <w:r w:rsidRPr="00FA1A19">
        <w:t xml:space="preserve"> </w:t>
      </w:r>
      <w:r w:rsidR="00637EFF" w:rsidRPr="00FA1A19">
        <w:t>by</w:t>
      </w:r>
      <w:r w:rsidRPr="00FA1A19">
        <w:t xml:space="preserve"> that time. Th</w:t>
      </w:r>
      <w:r w:rsidR="00F37F7D" w:rsidRPr="00FA1A19">
        <w:t>e</w:t>
      </w:r>
      <w:r w:rsidRPr="00FA1A19">
        <w:t xml:space="preserve"> speed of growth shows no sign of abating, with the volatility of cryptocurrency prices increasing risks for retail investors and the semi</w:t>
      </w:r>
      <w:r w:rsidR="00F75232">
        <w:noBreakHyphen/>
      </w:r>
      <w:r w:rsidRPr="00FA1A19">
        <w:t xml:space="preserve">anonymous nature of crypto transactions creating challenges for </w:t>
      </w:r>
      <w:r w:rsidR="00E66D2C" w:rsidRPr="00FA1A19">
        <w:t xml:space="preserve">regulators </w:t>
      </w:r>
      <w:r w:rsidRPr="00FA1A19">
        <w:t xml:space="preserve">and law enforcement </w:t>
      </w:r>
      <w:r w:rsidR="00F8410D" w:rsidRPr="00FA1A19">
        <w:t>agencies</w:t>
      </w:r>
      <w:r w:rsidRPr="00FA1A19">
        <w:t>.</w:t>
      </w:r>
    </w:p>
    <w:p w14:paraId="6AA6D172" w14:textId="5BDD8B2A" w:rsidR="005855BA" w:rsidRPr="00FA1A19" w:rsidRDefault="00AE0800" w:rsidP="005855BA">
      <w:r w:rsidRPr="00FA1A19">
        <w:t>Governments</w:t>
      </w:r>
      <w:r w:rsidR="005855BA" w:rsidRPr="00FA1A19">
        <w:t xml:space="preserve"> around the world are focussing on the crypto ecosystem, as are intergovernmental bodies such as the OECD, the International Monetary Fund, </w:t>
      </w:r>
      <w:r w:rsidR="5E9BC7AB" w:rsidRPr="00FA1A19">
        <w:t xml:space="preserve">and </w:t>
      </w:r>
      <w:r w:rsidR="005855BA" w:rsidRPr="00FA1A19">
        <w:t>the World Bank, and non</w:t>
      </w:r>
      <w:r w:rsidR="00F75232">
        <w:noBreakHyphen/>
      </w:r>
      <w:r w:rsidR="005855BA" w:rsidRPr="00FA1A19">
        <w:t>governmental international organi</w:t>
      </w:r>
      <w:r w:rsidR="00685617">
        <w:t>s</w:t>
      </w:r>
      <w:r w:rsidR="005855BA" w:rsidRPr="00FA1A19">
        <w:t>ations such as the World Economic Forum.</w:t>
      </w:r>
      <w:r w:rsidR="004F0A51" w:rsidRPr="00FA1A19">
        <w:t xml:space="preserve"> </w:t>
      </w:r>
      <w:r w:rsidR="005855BA" w:rsidRPr="00FA1A19">
        <w:t xml:space="preserve">The Australian Government is proposing measures for Regulating Digital Asset Platforms, the Australian Law Reform Commission has released a paper covering crypto assets and Decentralised Autonomous Organisations (DAOs), the Australian Senate has completed a related </w:t>
      </w:r>
      <w:r w:rsidR="0052536C" w:rsidRPr="00FA1A19">
        <w:t>R</w:t>
      </w:r>
      <w:r w:rsidR="005855BA" w:rsidRPr="00FA1A19">
        <w:t>eport and the Reserve Bank of Australia has trialled a Central Bank Digital Currency.</w:t>
      </w:r>
    </w:p>
    <w:p w14:paraId="1CBDF5FE" w14:textId="06218E61" w:rsidR="005855BA" w:rsidRPr="00FA1A19" w:rsidRDefault="005855BA" w:rsidP="005855BA">
      <w:r w:rsidRPr="00FA1A19">
        <w:t xml:space="preserve">It is in this context that the </w:t>
      </w:r>
      <w:r w:rsidR="002812CE">
        <w:t>Australian</w:t>
      </w:r>
      <w:r w:rsidR="002812CE" w:rsidRPr="00FA1A19">
        <w:t xml:space="preserve"> </w:t>
      </w:r>
      <w:r w:rsidRPr="00FA1A19">
        <w:t>Government tasked the Board of Taxation with undertaking a Review of the Tax Treatment of Digital Assets and Transactions in Australia.</w:t>
      </w:r>
      <w:r w:rsidR="004F0A51" w:rsidRPr="00FA1A19">
        <w:t xml:space="preserve"> </w:t>
      </w:r>
      <w:r w:rsidRPr="00FA1A19">
        <w:t>The Board was asked to consider the characteristics and features of digital assets and transactions as well as their current tax treatment in both Australia and comparative jurisdictions, to assess awareness amongst market participants of correct taxation treatment, and to consider whether any changes to Australia</w:t>
      </w:r>
      <w:r w:rsidR="00F75232">
        <w:t>’</w:t>
      </w:r>
      <w:r w:rsidRPr="00FA1A19">
        <w:t>s taxation laws and/or their administration are warranted.</w:t>
      </w:r>
    </w:p>
    <w:p w14:paraId="3E92DEE6" w14:textId="4D8CC897" w:rsidR="005855BA" w:rsidRPr="00FA1A19" w:rsidRDefault="005855BA" w:rsidP="002E6497">
      <w:pPr>
        <w:keepNext/>
      </w:pPr>
      <w:r w:rsidRPr="00FA1A19">
        <w:t xml:space="preserve">The Board has reached </w:t>
      </w:r>
      <w:r w:rsidR="00963008" w:rsidRPr="00FA1A19">
        <w:t>four</w:t>
      </w:r>
      <w:r w:rsidRPr="00FA1A19">
        <w:t xml:space="preserve"> broad conclusions:</w:t>
      </w:r>
    </w:p>
    <w:p w14:paraId="237DFE4A" w14:textId="137076CA" w:rsidR="005855BA" w:rsidRPr="00CF61D7" w:rsidRDefault="005855BA" w:rsidP="001D16A3">
      <w:pPr>
        <w:pStyle w:val="OutlineNumbered1"/>
        <w:keepNext/>
        <w:numPr>
          <w:ilvl w:val="0"/>
          <w:numId w:val="36"/>
        </w:numPr>
        <w:ind w:left="284" w:hanging="284"/>
        <w:rPr>
          <w:rStyle w:val="Strong"/>
        </w:rPr>
      </w:pPr>
      <w:r w:rsidRPr="00CF61D7">
        <w:rPr>
          <w:rStyle w:val="Strong"/>
        </w:rPr>
        <w:t xml:space="preserve">The taxation of crypto assets and transactions can </w:t>
      </w:r>
      <w:r w:rsidR="00554F1B">
        <w:rPr>
          <w:rStyle w:val="Strong"/>
        </w:rPr>
        <w:t xml:space="preserve">generally </w:t>
      </w:r>
      <w:r w:rsidRPr="00CF61D7">
        <w:rPr>
          <w:rStyle w:val="Strong"/>
        </w:rPr>
        <w:t>be accommodated by Australia</w:t>
      </w:r>
      <w:r w:rsidR="00F75232">
        <w:rPr>
          <w:rStyle w:val="Strong"/>
        </w:rPr>
        <w:t>’</w:t>
      </w:r>
      <w:r w:rsidRPr="00CF61D7">
        <w:rPr>
          <w:rStyle w:val="Strong"/>
        </w:rPr>
        <w:t>s current taxation law.</w:t>
      </w:r>
      <w:r w:rsidR="004F0A51" w:rsidRPr="00CF61D7">
        <w:rPr>
          <w:rStyle w:val="Strong"/>
        </w:rPr>
        <w:t xml:space="preserve"> </w:t>
      </w:r>
    </w:p>
    <w:p w14:paraId="1FE77884" w14:textId="1D41AE06" w:rsidR="00B050BB" w:rsidRPr="00FA1A19" w:rsidRDefault="33CA853C" w:rsidP="00CF61D7">
      <w:pPr>
        <w:pStyle w:val="NormalIndent"/>
      </w:pPr>
      <w:r w:rsidRPr="00FA1A19">
        <w:t>Whilst there may be disputes as to the way in which Australia</w:t>
      </w:r>
      <w:r w:rsidR="00F75232">
        <w:t>’</w:t>
      </w:r>
      <w:r w:rsidRPr="00FA1A19">
        <w:t>s current tax law applies to some crypto</w:t>
      </w:r>
      <w:r w:rsidR="00A3485F">
        <w:t xml:space="preserve"> asset</w:t>
      </w:r>
      <w:r w:rsidRPr="00FA1A19">
        <w:t xml:space="preserve"> transactions, such disputes are not substantively different to the disputes that occur regularly in the application of taxation laws.</w:t>
      </w:r>
      <w:r w:rsidR="1B8DFEAE" w:rsidRPr="00FA1A19">
        <w:t xml:space="preserve"> </w:t>
      </w:r>
      <w:r w:rsidR="00CA0C56" w:rsidRPr="00FA1A19">
        <w:t>From a practical perspective, c</w:t>
      </w:r>
      <w:r w:rsidR="1D40AC43" w:rsidRPr="00FA1A19">
        <w:t>ryptocurrencies are not money</w:t>
      </w:r>
      <w:r w:rsidR="6AE35C33" w:rsidRPr="00FA1A19">
        <w:t xml:space="preserve"> </w:t>
      </w:r>
      <w:r w:rsidR="00A91B2D">
        <w:t xml:space="preserve">(fiat currency) </w:t>
      </w:r>
      <w:r w:rsidR="6AE35C33" w:rsidRPr="00FA1A19">
        <w:t xml:space="preserve">and </w:t>
      </w:r>
      <w:r w:rsidR="2470DD2F" w:rsidRPr="00FA1A19">
        <w:t>consequently</w:t>
      </w:r>
      <w:r w:rsidR="1D40AC43" w:rsidRPr="00FA1A19">
        <w:t xml:space="preserve"> transactions in </w:t>
      </w:r>
      <w:r w:rsidR="2470DD2F" w:rsidRPr="00FA1A19">
        <w:t>crypt</w:t>
      </w:r>
      <w:r w:rsidR="56E50C50" w:rsidRPr="00FA1A19">
        <w:t xml:space="preserve">o </w:t>
      </w:r>
      <w:r w:rsidR="50398AB1" w:rsidRPr="00FA1A19">
        <w:t>can</w:t>
      </w:r>
      <w:r w:rsidR="1D40AC43" w:rsidRPr="00FA1A19">
        <w:t xml:space="preserve"> </w:t>
      </w:r>
      <w:r w:rsidR="0094232D" w:rsidRPr="00FA1A19">
        <w:t xml:space="preserve">(depending on </w:t>
      </w:r>
      <w:r w:rsidR="009F3025" w:rsidRPr="00FA1A19">
        <w:t>the</w:t>
      </w:r>
      <w:r w:rsidR="0094232D" w:rsidRPr="00FA1A19">
        <w:t xml:space="preserve"> circumstances)</w:t>
      </w:r>
      <w:r w:rsidR="50398AB1" w:rsidRPr="00FA1A19">
        <w:t xml:space="preserve"> </w:t>
      </w:r>
      <w:r w:rsidR="1D40AC43" w:rsidRPr="00FA1A19">
        <w:t xml:space="preserve">give rise to more taxing </w:t>
      </w:r>
      <w:r w:rsidR="71F9FFDE" w:rsidRPr="00FA1A19">
        <w:t xml:space="preserve">events </w:t>
      </w:r>
      <w:r w:rsidR="1D40AC43" w:rsidRPr="00FA1A19">
        <w:t xml:space="preserve">than </w:t>
      </w:r>
      <w:r w:rsidR="063ED408" w:rsidRPr="00FA1A19">
        <w:t>transactions</w:t>
      </w:r>
      <w:r w:rsidR="1D40AC43" w:rsidRPr="00FA1A19">
        <w:t xml:space="preserve"> </w:t>
      </w:r>
      <w:r w:rsidR="00E46A5F" w:rsidRPr="00FA1A19">
        <w:t>in</w:t>
      </w:r>
      <w:r w:rsidR="1D40AC43" w:rsidRPr="00FA1A19">
        <w:t xml:space="preserve"> money</w:t>
      </w:r>
      <w:r w:rsidR="004B1D56" w:rsidRPr="00FA1A19">
        <w:t>.</w:t>
      </w:r>
      <w:r w:rsidR="004F0A51" w:rsidRPr="00FA1A19">
        <w:t xml:space="preserve"> </w:t>
      </w:r>
      <w:r w:rsidR="009A1DFF" w:rsidRPr="00FA1A19">
        <w:t xml:space="preserve">However, </w:t>
      </w:r>
      <w:r w:rsidR="00BB6348" w:rsidRPr="00FA1A19">
        <w:t xml:space="preserve">specific </w:t>
      </w:r>
      <w:r w:rsidR="6A6EFB3E" w:rsidRPr="00FA1A19">
        <w:t>technology</w:t>
      </w:r>
      <w:r w:rsidR="00F75232">
        <w:noBreakHyphen/>
      </w:r>
      <w:r w:rsidR="6A6EFB3E" w:rsidRPr="00FA1A19">
        <w:t xml:space="preserve">based tools </w:t>
      </w:r>
      <w:r w:rsidR="3B344383" w:rsidRPr="00FA1A19">
        <w:t xml:space="preserve">can </w:t>
      </w:r>
      <w:r w:rsidR="6A6EFB3E" w:rsidRPr="00FA1A19">
        <w:t>ass</w:t>
      </w:r>
      <w:r w:rsidR="72F2F200" w:rsidRPr="00FA1A19">
        <w:t>ist</w:t>
      </w:r>
      <w:r w:rsidR="001126C5" w:rsidRPr="00FA1A19">
        <w:t xml:space="preserve"> </w:t>
      </w:r>
      <w:r w:rsidR="0132008F" w:rsidRPr="00FA1A19">
        <w:t>to calculate</w:t>
      </w:r>
      <w:r w:rsidR="004B1D56" w:rsidRPr="00FA1A19">
        <w:t xml:space="preserve"> gains from crypto </w:t>
      </w:r>
      <w:r w:rsidR="002E6F43">
        <w:t xml:space="preserve">asset </w:t>
      </w:r>
      <w:r w:rsidR="004B1D56" w:rsidRPr="00FA1A19">
        <w:t>transactions</w:t>
      </w:r>
      <w:r w:rsidR="00921E9D" w:rsidRPr="00FA1A19">
        <w:t>.</w:t>
      </w:r>
      <w:r w:rsidR="004F0A51" w:rsidRPr="00FA1A19">
        <w:t xml:space="preserve"> </w:t>
      </w:r>
    </w:p>
    <w:p w14:paraId="7A1BD4F9" w14:textId="1B1D873F" w:rsidR="542BEAA9" w:rsidRPr="00CF61D7" w:rsidRDefault="005855BA" w:rsidP="001D16A3">
      <w:pPr>
        <w:pStyle w:val="OutlineNumbered1"/>
        <w:keepNext/>
        <w:numPr>
          <w:ilvl w:val="0"/>
          <w:numId w:val="36"/>
        </w:numPr>
        <w:ind w:left="284" w:hanging="284"/>
        <w:rPr>
          <w:rStyle w:val="Strong"/>
        </w:rPr>
      </w:pPr>
      <w:r w:rsidRPr="00CF61D7">
        <w:rPr>
          <w:rStyle w:val="Strong"/>
        </w:rPr>
        <w:t xml:space="preserve">New legislation to deal with the taxation of crypto asset transactions should not be introduced at </w:t>
      </w:r>
      <w:r w:rsidR="004729F5" w:rsidRPr="00CF61D7">
        <w:rPr>
          <w:rStyle w:val="Strong"/>
        </w:rPr>
        <w:t>t</w:t>
      </w:r>
      <w:r w:rsidR="00201AD0" w:rsidRPr="00CF61D7">
        <w:rPr>
          <w:rStyle w:val="Strong"/>
        </w:rPr>
        <w:t xml:space="preserve">his </w:t>
      </w:r>
      <w:r w:rsidRPr="00CF61D7">
        <w:rPr>
          <w:rStyle w:val="Strong"/>
        </w:rPr>
        <w:t>time.</w:t>
      </w:r>
      <w:r w:rsidR="004F0A51" w:rsidRPr="00CF61D7">
        <w:rPr>
          <w:rStyle w:val="Strong"/>
        </w:rPr>
        <w:t xml:space="preserve"> </w:t>
      </w:r>
    </w:p>
    <w:p w14:paraId="4495CB3A" w14:textId="56DA367B" w:rsidR="005855BA" w:rsidRPr="00FA1A19" w:rsidRDefault="000D5274" w:rsidP="00CF61D7">
      <w:pPr>
        <w:pStyle w:val="NormalIndent"/>
      </w:pPr>
      <w:r>
        <w:t xml:space="preserve">Since the crypto </w:t>
      </w:r>
      <w:r w:rsidR="00771376">
        <w:t>eco</w:t>
      </w:r>
      <w:r>
        <w:t>system is still in its infancy, n</w:t>
      </w:r>
      <w:r w:rsidR="005855BA" w:rsidRPr="00FA1A19">
        <w:t xml:space="preserve">ew legislation at </w:t>
      </w:r>
      <w:r w:rsidR="00201AD0" w:rsidRPr="00FA1A19">
        <w:t>this</w:t>
      </w:r>
      <w:r w:rsidR="005855BA" w:rsidRPr="00FA1A19">
        <w:t xml:space="preserve"> time would most likely lead to more complexity an</w:t>
      </w:r>
      <w:r w:rsidR="00474210" w:rsidRPr="00FA1A19">
        <w:t xml:space="preserve">d </w:t>
      </w:r>
      <w:r w:rsidR="005855BA" w:rsidRPr="00FA1A19">
        <w:t>potentially more uncertainty, as well as require ongoing amendment.</w:t>
      </w:r>
      <w:r w:rsidR="004F0A51" w:rsidRPr="00FA1A19">
        <w:t xml:space="preserve"> </w:t>
      </w:r>
      <w:r w:rsidR="005855BA" w:rsidRPr="00FA1A19">
        <w:t xml:space="preserve">This conclusion reflects </w:t>
      </w:r>
      <w:r w:rsidR="00A771BD" w:rsidRPr="00FA1A19">
        <w:t xml:space="preserve">the </w:t>
      </w:r>
      <w:r w:rsidR="005855BA" w:rsidRPr="00FA1A19">
        <w:t>quickly and continually evolving nature of crypto assets and transactions, and ongoing</w:t>
      </w:r>
      <w:r w:rsidR="00731A15" w:rsidRPr="00FA1A19">
        <w:t xml:space="preserve"> Australian and</w:t>
      </w:r>
      <w:r w:rsidR="005855BA" w:rsidRPr="00FA1A19">
        <w:t xml:space="preserve"> international </w:t>
      </w:r>
      <w:r w:rsidR="000D6AF4" w:rsidRPr="00FA1A19">
        <w:t>consideration of</w:t>
      </w:r>
      <w:r w:rsidR="005855BA" w:rsidRPr="00FA1A19">
        <w:t xml:space="preserve"> the crypto ecosystem.</w:t>
      </w:r>
    </w:p>
    <w:p w14:paraId="41A2511A" w14:textId="66BD8EE5" w:rsidR="005855BA" w:rsidRPr="00CF61D7" w:rsidRDefault="00A817AE" w:rsidP="001D16A3">
      <w:pPr>
        <w:pStyle w:val="OutlineNumbered1"/>
        <w:keepNext/>
        <w:numPr>
          <w:ilvl w:val="0"/>
          <w:numId w:val="36"/>
        </w:numPr>
        <w:ind w:left="284" w:hanging="284"/>
        <w:rPr>
          <w:rStyle w:val="Strong"/>
        </w:rPr>
      </w:pPr>
      <w:r>
        <w:rPr>
          <w:rFonts w:cs="Calibri"/>
          <w:b/>
          <w:bCs/>
        </w:rPr>
        <w:t xml:space="preserve">At the </w:t>
      </w:r>
      <w:r w:rsidRPr="001D16A3">
        <w:rPr>
          <w:rStyle w:val="Strong"/>
        </w:rPr>
        <w:t>present</w:t>
      </w:r>
      <w:r>
        <w:rPr>
          <w:rFonts w:cs="Calibri"/>
          <w:b/>
          <w:bCs/>
        </w:rPr>
        <w:t xml:space="preserve"> time,</w:t>
      </w:r>
      <w:r w:rsidR="00992E3D" w:rsidRPr="00992E3D">
        <w:rPr>
          <w:rFonts w:cs="Calibri"/>
          <w:b/>
          <w:bCs/>
        </w:rPr>
        <w:t xml:space="preserve"> </w:t>
      </w:r>
      <w:r w:rsidR="00992E3D">
        <w:rPr>
          <w:rStyle w:val="Strong"/>
        </w:rPr>
        <w:t>a</w:t>
      </w:r>
      <w:r w:rsidR="005855BA" w:rsidRPr="00CF61D7">
        <w:rPr>
          <w:rStyle w:val="Strong"/>
        </w:rPr>
        <w:t xml:space="preserve">ny </w:t>
      </w:r>
      <w:r w:rsidR="00936CF6">
        <w:rPr>
          <w:rStyle w:val="Strong"/>
        </w:rPr>
        <w:t>uncertainties about how the taxation law applies to crypto assets and transactions</w:t>
      </w:r>
      <w:r w:rsidR="005855BA" w:rsidRPr="00CF61D7">
        <w:rPr>
          <w:rStyle w:val="Strong"/>
        </w:rPr>
        <w:t xml:space="preserve"> </w:t>
      </w:r>
      <w:r>
        <w:rPr>
          <w:rStyle w:val="Strong"/>
        </w:rPr>
        <w:t>are best</w:t>
      </w:r>
      <w:r w:rsidR="0076152B" w:rsidRPr="00CF61D7">
        <w:rPr>
          <w:rStyle w:val="Strong"/>
        </w:rPr>
        <w:t xml:space="preserve"> </w:t>
      </w:r>
      <w:r w:rsidR="005855BA" w:rsidRPr="00CF61D7">
        <w:rPr>
          <w:rStyle w:val="Strong"/>
        </w:rPr>
        <w:t>managed administratively by taxpayers and the ATO working co</w:t>
      </w:r>
      <w:r w:rsidR="00F75232">
        <w:rPr>
          <w:rStyle w:val="Strong"/>
        </w:rPr>
        <w:noBreakHyphen/>
      </w:r>
      <w:r w:rsidR="005855BA" w:rsidRPr="00CF61D7">
        <w:rPr>
          <w:rStyle w:val="Strong"/>
        </w:rPr>
        <w:t xml:space="preserve">operatively within the current law. </w:t>
      </w:r>
    </w:p>
    <w:p w14:paraId="370E35E5" w14:textId="0FF3AA4A" w:rsidR="005855BA" w:rsidRPr="00FA1A19" w:rsidRDefault="005855BA" w:rsidP="00CF61D7">
      <w:pPr>
        <w:pStyle w:val="NormalIndent"/>
      </w:pPr>
      <w:r w:rsidRPr="00FA1A19">
        <w:t xml:space="preserve">To this end, the ATO </w:t>
      </w:r>
      <w:r w:rsidR="006A0E7E" w:rsidRPr="00FA1A19">
        <w:t xml:space="preserve">should </w:t>
      </w:r>
      <w:r w:rsidR="00E0024F">
        <w:t>arrange a forum for</w:t>
      </w:r>
      <w:r w:rsidR="00E0024F" w:rsidRPr="00FA1A19">
        <w:t xml:space="preserve"> </w:t>
      </w:r>
      <w:r w:rsidRPr="00FA1A19">
        <w:t xml:space="preserve">regular consultative engagement </w:t>
      </w:r>
      <w:r w:rsidR="00CB61B1" w:rsidRPr="00FA1A19">
        <w:t xml:space="preserve">on crypto </w:t>
      </w:r>
      <w:r w:rsidR="00A20D4D">
        <w:t xml:space="preserve">asset transactions </w:t>
      </w:r>
      <w:r w:rsidRPr="00FA1A19">
        <w:t xml:space="preserve">with participants from the tax profession, </w:t>
      </w:r>
      <w:r w:rsidR="00E47DAA">
        <w:t>academia</w:t>
      </w:r>
      <w:r w:rsidR="00C34362">
        <w:t xml:space="preserve">, </w:t>
      </w:r>
      <w:r w:rsidRPr="00FA1A19">
        <w:t xml:space="preserve">industry, and potentially relevant </w:t>
      </w:r>
      <w:r w:rsidR="004568A7">
        <w:t>g</w:t>
      </w:r>
      <w:r w:rsidR="001F4EDB" w:rsidRPr="00FA1A19">
        <w:t xml:space="preserve">overnment </w:t>
      </w:r>
      <w:r w:rsidR="00A30F66" w:rsidRPr="00FA1A19">
        <w:t xml:space="preserve">departments and/or </w:t>
      </w:r>
      <w:r w:rsidR="009B5082" w:rsidRPr="00FA1A19">
        <w:t>entities</w:t>
      </w:r>
      <w:r w:rsidR="00E0024F">
        <w:t xml:space="preserve"> such as the Treasury</w:t>
      </w:r>
      <w:r w:rsidR="00C34362">
        <w:t>,</w:t>
      </w:r>
      <w:r w:rsidR="002F36CB">
        <w:t xml:space="preserve"> ASIC</w:t>
      </w:r>
      <w:r w:rsidR="006A3F90">
        <w:t xml:space="preserve"> </w:t>
      </w:r>
      <w:r w:rsidR="007902DF">
        <w:t>and</w:t>
      </w:r>
      <w:r w:rsidR="474EE2EF">
        <w:t xml:space="preserve"> </w:t>
      </w:r>
      <w:r w:rsidR="00E0024F">
        <w:t>AUSTRAC</w:t>
      </w:r>
      <w:r w:rsidRPr="00FA1A19">
        <w:t>.</w:t>
      </w:r>
      <w:r w:rsidR="004F0A51" w:rsidRPr="00FA1A19">
        <w:t xml:space="preserve"> </w:t>
      </w:r>
      <w:r w:rsidRPr="00FA1A19">
        <w:t xml:space="preserve">The Board has referred to this engagement as the </w:t>
      </w:r>
      <w:r w:rsidR="00F75232">
        <w:t>‘</w:t>
      </w:r>
      <w:r w:rsidRPr="00FA1A19">
        <w:t>Crypto Industry Working Group</w:t>
      </w:r>
      <w:r w:rsidR="00F75232">
        <w:t>’</w:t>
      </w:r>
      <w:r w:rsidRPr="00FA1A19">
        <w:t xml:space="preserve">, but the </w:t>
      </w:r>
      <w:r w:rsidR="009E2345" w:rsidRPr="00FA1A19">
        <w:t xml:space="preserve">specific </w:t>
      </w:r>
      <w:r w:rsidRPr="00FA1A19">
        <w:t>arrangements would be a matter for the ATO.</w:t>
      </w:r>
      <w:r w:rsidR="004F0A51" w:rsidRPr="00FA1A19">
        <w:t xml:space="preserve"> </w:t>
      </w:r>
      <w:r w:rsidRPr="00FA1A19">
        <w:t>The Crypto Industry Working Group would be advisory only, with no formal authority.</w:t>
      </w:r>
    </w:p>
    <w:p w14:paraId="3B104F52" w14:textId="66C9D95D" w:rsidR="005855BA" w:rsidRPr="00CF61D7" w:rsidRDefault="005855BA" w:rsidP="001D16A3">
      <w:pPr>
        <w:pStyle w:val="OutlineNumbered1"/>
        <w:keepNext/>
        <w:numPr>
          <w:ilvl w:val="0"/>
          <w:numId w:val="36"/>
        </w:numPr>
        <w:ind w:left="284" w:hanging="284"/>
        <w:rPr>
          <w:rStyle w:val="Strong"/>
        </w:rPr>
      </w:pPr>
      <w:r w:rsidRPr="00CF61D7">
        <w:rPr>
          <w:rStyle w:val="Strong"/>
        </w:rPr>
        <w:t>In some areas, taxpayers require more comprehensive information and guidance (including examples and case studies) from the ATO upon which they can rely to ensure that their tax disclosures will be acceptable to the ATO.</w:t>
      </w:r>
      <w:r w:rsidR="004F0A51" w:rsidRPr="00CF61D7">
        <w:rPr>
          <w:rStyle w:val="Strong"/>
        </w:rPr>
        <w:t xml:space="preserve"> </w:t>
      </w:r>
    </w:p>
    <w:p w14:paraId="7BBFC89D" w14:textId="6D849310" w:rsidR="005855BA" w:rsidRPr="00FA1A19" w:rsidRDefault="3B558F07" w:rsidP="00CF61D7">
      <w:pPr>
        <w:pStyle w:val="NormalIndent"/>
      </w:pPr>
      <w:r w:rsidRPr="00FA1A19">
        <w:t>Whereas for non</w:t>
      </w:r>
      <w:r w:rsidR="00F75232">
        <w:noBreakHyphen/>
      </w:r>
      <w:r w:rsidRPr="00FA1A19">
        <w:t xml:space="preserve">crypto transactions taxpayers can rely on </w:t>
      </w:r>
      <w:r w:rsidR="00EC5EE2">
        <w:t xml:space="preserve">the </w:t>
      </w:r>
      <w:r w:rsidR="72DF46C9" w:rsidRPr="00FA1A19">
        <w:t xml:space="preserve">well understood application of the Australian taxation laws and </w:t>
      </w:r>
      <w:r w:rsidRPr="00FA1A19">
        <w:t>judicial guidance to support taxation positions that they take</w:t>
      </w:r>
      <w:r w:rsidR="7461504B" w:rsidRPr="00FA1A19">
        <w:t xml:space="preserve"> in relation to </w:t>
      </w:r>
      <w:r w:rsidR="678F4AC2" w:rsidRPr="00FA1A19">
        <w:t xml:space="preserve">those </w:t>
      </w:r>
      <w:r w:rsidR="7461504B" w:rsidRPr="00FA1A19">
        <w:t>transactions</w:t>
      </w:r>
      <w:r w:rsidRPr="00FA1A19">
        <w:t xml:space="preserve">, there is as yet </w:t>
      </w:r>
      <w:r w:rsidR="43EB5913" w:rsidRPr="00FA1A19">
        <w:t xml:space="preserve">minimal </w:t>
      </w:r>
      <w:r w:rsidR="288A6346" w:rsidRPr="00FA1A19">
        <w:t xml:space="preserve">broad </w:t>
      </w:r>
      <w:r w:rsidR="43EB5913" w:rsidRPr="00FA1A19">
        <w:t xml:space="preserve">understanding of the exact nature of crypto </w:t>
      </w:r>
      <w:r w:rsidR="00911E60">
        <w:t xml:space="preserve">asset </w:t>
      </w:r>
      <w:r w:rsidR="43EB5913" w:rsidRPr="00FA1A19">
        <w:t>transactions</w:t>
      </w:r>
      <w:r w:rsidR="49C7F5E5" w:rsidRPr="00FA1A19">
        <w:t xml:space="preserve"> and how the Australian taxation laws apply to </w:t>
      </w:r>
      <w:r w:rsidR="0D42620A" w:rsidRPr="00FA1A19">
        <w:t xml:space="preserve">them within </w:t>
      </w:r>
      <w:r w:rsidR="2FDDBF82" w:rsidRPr="00FA1A19">
        <w:t>the</w:t>
      </w:r>
      <w:r w:rsidR="0D42620A" w:rsidRPr="00FA1A19">
        <w:t xml:space="preserve"> context of</w:t>
      </w:r>
      <w:r w:rsidR="43EB5913" w:rsidRPr="00FA1A19">
        <w:t xml:space="preserve"> </w:t>
      </w:r>
      <w:r w:rsidRPr="00FA1A19">
        <w:t xml:space="preserve">little </w:t>
      </w:r>
      <w:r w:rsidR="00235203">
        <w:t>crypto</w:t>
      </w:r>
      <w:r w:rsidR="00F75232">
        <w:noBreakHyphen/>
      </w:r>
      <w:r w:rsidR="00235203">
        <w:t xml:space="preserve">specific </w:t>
      </w:r>
      <w:r w:rsidRPr="00FA1A19">
        <w:t>judicial guidance</w:t>
      </w:r>
      <w:r w:rsidR="52261262" w:rsidRPr="00FA1A19">
        <w:t>.</w:t>
      </w:r>
      <w:r w:rsidRPr="00FA1A19">
        <w:t xml:space="preserve"> </w:t>
      </w:r>
    </w:p>
    <w:p w14:paraId="4A57C2BD" w14:textId="46538C25" w:rsidR="00F84B1F" w:rsidRPr="00FA1A19" w:rsidRDefault="006F432E" w:rsidP="00CF61D7">
      <w:r w:rsidRPr="00FA1A19">
        <w:t>The</w:t>
      </w:r>
      <w:r w:rsidR="005855BA" w:rsidRPr="00FA1A19">
        <w:t xml:space="preserve"> challenge in undertaking any review of the crypto ecosystem is its quickly developing and changing nature.</w:t>
      </w:r>
      <w:r w:rsidR="004F0A51" w:rsidRPr="00FA1A19">
        <w:t xml:space="preserve"> </w:t>
      </w:r>
      <w:r w:rsidR="005855BA" w:rsidRPr="00FA1A19">
        <w:t xml:space="preserve">Many crypto transactions to which this Report refers </w:t>
      </w:r>
      <w:r w:rsidR="000D054E" w:rsidRPr="00FA1A19">
        <w:t>were deve</w:t>
      </w:r>
      <w:r w:rsidR="00841284" w:rsidRPr="00FA1A19">
        <w:t>l</w:t>
      </w:r>
      <w:r w:rsidR="000D054E" w:rsidRPr="00FA1A19">
        <w:t>oped</w:t>
      </w:r>
      <w:r w:rsidR="009631AE" w:rsidRPr="00FA1A19">
        <w:t xml:space="preserve"> </w:t>
      </w:r>
      <w:r w:rsidR="00C34DE4" w:rsidRPr="00FA1A19">
        <w:t>while</w:t>
      </w:r>
      <w:r w:rsidR="00B375C5" w:rsidRPr="00FA1A19">
        <w:t xml:space="preserve"> the Review was </w:t>
      </w:r>
      <w:r w:rsidR="00DC34D5" w:rsidRPr="00FA1A19">
        <w:t>conducted</w:t>
      </w:r>
      <w:r w:rsidR="005855BA" w:rsidRPr="00FA1A19">
        <w:t xml:space="preserve">, and the </w:t>
      </w:r>
      <w:r w:rsidR="005855BA" w:rsidRPr="00CF61D7">
        <w:t>Report</w:t>
      </w:r>
      <w:r w:rsidR="005855BA" w:rsidRPr="00FA1A19">
        <w:t xml:space="preserve"> references much data that was only released and many articles</w:t>
      </w:r>
      <w:r w:rsidR="00132273" w:rsidRPr="00FA1A19">
        <w:t xml:space="preserve"> and reports</w:t>
      </w:r>
      <w:r w:rsidR="005855BA" w:rsidRPr="00FA1A19">
        <w:t xml:space="preserve"> that were only written during the period of the Review.</w:t>
      </w:r>
      <w:r w:rsidR="004F0A51" w:rsidRPr="00FA1A19">
        <w:t xml:space="preserve"> </w:t>
      </w:r>
      <w:r w:rsidR="008443ED" w:rsidRPr="00FA1A19">
        <w:t xml:space="preserve">Judicial consideration of </w:t>
      </w:r>
      <w:r w:rsidR="00A27771">
        <w:t xml:space="preserve">legal issues </w:t>
      </w:r>
      <w:r w:rsidR="002D7A4D">
        <w:t xml:space="preserve">(such as taxation, </w:t>
      </w:r>
      <w:r w:rsidR="00CF10D4">
        <w:t xml:space="preserve">intellectual </w:t>
      </w:r>
      <w:r w:rsidR="00EC43FA">
        <w:t>property</w:t>
      </w:r>
      <w:r w:rsidR="003C1FD9">
        <w:t xml:space="preserve">, equity and trust law </w:t>
      </w:r>
      <w:r w:rsidR="00116A46">
        <w:t xml:space="preserve">issues) </w:t>
      </w:r>
      <w:r w:rsidR="00370BAE">
        <w:t xml:space="preserve">in </w:t>
      </w:r>
      <w:r w:rsidR="002A09F6">
        <w:t xml:space="preserve">the </w:t>
      </w:r>
      <w:r w:rsidR="008443ED" w:rsidRPr="00FA1A19">
        <w:t>crypt</w:t>
      </w:r>
      <w:r w:rsidR="000E7D01" w:rsidRPr="00FA1A19">
        <w:t xml:space="preserve">o </w:t>
      </w:r>
      <w:r w:rsidR="00370BAE">
        <w:t>eco</w:t>
      </w:r>
      <w:r w:rsidR="005B06A7">
        <w:t xml:space="preserve">system </w:t>
      </w:r>
      <w:r w:rsidR="000E7D01" w:rsidRPr="00FA1A19">
        <w:t>is only just beginning.</w:t>
      </w:r>
      <w:r w:rsidR="004F0A51" w:rsidRPr="00FA1A19">
        <w:t xml:space="preserve"> </w:t>
      </w:r>
      <w:r w:rsidR="005B06A7">
        <w:t>It is impor</w:t>
      </w:r>
      <w:r w:rsidR="00BD78AA">
        <w:t>tant to note that t</w:t>
      </w:r>
      <w:r w:rsidR="00F84B1F" w:rsidRPr="00FA1A19">
        <w:t>he Board</w:t>
      </w:r>
      <w:r w:rsidR="00F75232">
        <w:t>’</w:t>
      </w:r>
      <w:r w:rsidR="00F84B1F" w:rsidRPr="00FA1A19">
        <w:t xml:space="preserve">s Review necessarily reflects </w:t>
      </w:r>
      <w:r w:rsidR="00126B2E" w:rsidRPr="00FA1A19">
        <w:t xml:space="preserve">a </w:t>
      </w:r>
      <w:r w:rsidR="00F75232">
        <w:t>‘</w:t>
      </w:r>
      <w:r w:rsidR="00126B2E" w:rsidRPr="00FA1A19">
        <w:t>point in time</w:t>
      </w:r>
      <w:r w:rsidR="00F75232">
        <w:t>’</w:t>
      </w:r>
      <w:r w:rsidR="00126B2E" w:rsidRPr="00FA1A19">
        <w:t xml:space="preserve"> </w:t>
      </w:r>
      <w:r w:rsidR="006A0132" w:rsidRPr="00FA1A19">
        <w:t>analysis</w:t>
      </w:r>
      <w:r w:rsidR="00F838F6" w:rsidRPr="00FA1A19">
        <w:t xml:space="preserve"> of the issues</w:t>
      </w:r>
      <w:r w:rsidR="00B736DF" w:rsidRPr="00FA1A19">
        <w:t>.</w:t>
      </w:r>
    </w:p>
    <w:p w14:paraId="7C312B79" w14:textId="34D8C110" w:rsidR="00E65C6E" w:rsidRPr="00CF61D7" w:rsidRDefault="00B736DF" w:rsidP="00CF61D7">
      <w:r w:rsidRPr="00FA1A19">
        <w:t xml:space="preserve">Recognising this, </w:t>
      </w:r>
      <w:r w:rsidR="00AA1800" w:rsidRPr="00FA1A19">
        <w:t>t</w:t>
      </w:r>
      <w:r w:rsidR="006F432E" w:rsidRPr="00FA1A19">
        <w:t>he Board recommends that</w:t>
      </w:r>
      <w:r w:rsidR="001E125D" w:rsidRPr="00FA1A19">
        <w:t xml:space="preserve"> notwithstanding the completion of this Review,</w:t>
      </w:r>
      <w:r w:rsidR="006F432E" w:rsidRPr="00FA1A19">
        <w:t xml:space="preserve"> the Government </w:t>
      </w:r>
      <w:r w:rsidR="00D211AA">
        <w:t xml:space="preserve">should </w:t>
      </w:r>
      <w:r w:rsidR="006F432E" w:rsidRPr="00FA1A19">
        <w:t>continue to monitor the taxation of crypto assets and transactions to ensure that Australia</w:t>
      </w:r>
      <w:r w:rsidR="00F75232">
        <w:t>’</w:t>
      </w:r>
      <w:r w:rsidR="006F432E" w:rsidRPr="00FA1A19">
        <w:t xml:space="preserve">s taxation </w:t>
      </w:r>
      <w:r w:rsidR="00D32032">
        <w:t xml:space="preserve">laws and </w:t>
      </w:r>
      <w:r w:rsidR="006F432E" w:rsidRPr="00FA1A19">
        <w:t>system</w:t>
      </w:r>
      <w:r w:rsidR="00FC0A18">
        <w:t>s</w:t>
      </w:r>
      <w:r w:rsidR="006F432E" w:rsidRPr="00FA1A19">
        <w:t xml:space="preserve"> continue</w:t>
      </w:r>
      <w:r w:rsidR="00666A25">
        <w:t xml:space="preserve"> </w:t>
      </w:r>
      <w:r w:rsidR="006F432E" w:rsidRPr="00FA1A19">
        <w:t xml:space="preserve">to be </w:t>
      </w:r>
      <w:r w:rsidR="00F75232">
        <w:t>‘</w:t>
      </w:r>
      <w:r w:rsidR="006F432E" w:rsidRPr="00FA1A19">
        <w:t>fit for purpose</w:t>
      </w:r>
      <w:r w:rsidR="00F75232">
        <w:t>’</w:t>
      </w:r>
      <w:r w:rsidR="006F432E" w:rsidRPr="00FA1A19">
        <w:t xml:space="preserve"> to deal with this new and </w:t>
      </w:r>
      <w:r w:rsidR="00E42C01">
        <w:t xml:space="preserve">quickly </w:t>
      </w:r>
      <w:r w:rsidR="006F432E" w:rsidRPr="00FA1A19">
        <w:t xml:space="preserve">developing area. </w:t>
      </w:r>
    </w:p>
    <w:p w14:paraId="055DBD58" w14:textId="4B140246" w:rsidR="00E65C6E" w:rsidRPr="00FA1A19" w:rsidRDefault="00E65C6E" w:rsidP="0069352C">
      <w:pPr>
        <w:pStyle w:val="Heading1"/>
      </w:pPr>
      <w:bookmarkStart w:id="13" w:name="_Toc137745974"/>
      <w:bookmarkStart w:id="14" w:name="_Toc159513545"/>
      <w:r w:rsidRPr="00FA1A19">
        <w:t>Report at a glance</w:t>
      </w:r>
      <w:bookmarkEnd w:id="13"/>
      <w:bookmarkEnd w:id="14"/>
    </w:p>
    <w:p w14:paraId="6512BD94" w14:textId="56683E53" w:rsidR="00361CAD" w:rsidRPr="00FA1A19" w:rsidRDefault="00D92363" w:rsidP="00CF61D7">
      <w:pPr>
        <w:pStyle w:val="ChartGraphic"/>
      </w:pPr>
      <w:r w:rsidRPr="00FA1A19">
        <w:rPr>
          <w:noProof/>
        </w:rPr>
        <w:drawing>
          <wp:inline distT="0" distB="0" distL="0" distR="0" wp14:anchorId="0E2560F3" wp14:editId="00659EBA">
            <wp:extent cx="6120000" cy="7376358"/>
            <wp:effectExtent l="0" t="0" r="0" b="0"/>
            <wp:docPr id="1" name="Picture 1" descr="This infographic sets out the key points summarised in the Executive Summary across the following four quadrants: (1) Australia’s current tax law can apply to crypto assets; (2) No new crypto-specific tax legislation at this time; (3) ATO should establish a consultation forum for crypto issues; and (4) Some more ATO guidance is required. It further notes that the taxation of crypto assets and transactions should continue to be monitored, using the Principles Framework as a guide. The infographic links the observations and recommendations to each of these quad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nfographic sets out the key points summarised in the Executive Summary across the following four quadrants: (1) Australia’s current tax law can apply to crypto assets; (2) No new crypto-specific tax legislation at this time; (3) ATO should establish a consultation forum for crypto issues; and (4) Some more ATO guidance is required. It further notes that the taxation of crypto assets and transactions should continue to be monitored, using the Principles Framework as a guide. The infographic links the observations and recommendations to each of these quadrants. "/>
                    <pic:cNvPicPr/>
                  </pic:nvPicPr>
                  <pic:blipFill>
                    <a:blip r:embed="rId28">
                      <a:extLst>
                        <a:ext uri="{28A0092B-C50C-407E-A947-70E740481C1C}">
                          <a14:useLocalDpi xmlns:a14="http://schemas.microsoft.com/office/drawing/2010/main" val="0"/>
                        </a:ext>
                      </a:extLst>
                    </a:blip>
                    <a:stretch>
                      <a:fillRect/>
                    </a:stretch>
                  </pic:blipFill>
                  <pic:spPr>
                    <a:xfrm>
                      <a:off x="0" y="0"/>
                      <a:ext cx="6120000" cy="7376358"/>
                    </a:xfrm>
                    <a:prstGeom prst="rect">
                      <a:avLst/>
                    </a:prstGeom>
                  </pic:spPr>
                </pic:pic>
              </a:graphicData>
            </a:graphic>
          </wp:inline>
        </w:drawing>
      </w:r>
    </w:p>
    <w:p w14:paraId="6F942964" w14:textId="6DCDD58E" w:rsidR="002878CA" w:rsidRDefault="002878CA">
      <w:pPr>
        <w:rPr>
          <w:sz w:val="20"/>
          <w:szCs w:val="20"/>
        </w:rPr>
      </w:pPr>
      <w:r>
        <w:rPr>
          <w:sz w:val="20"/>
          <w:szCs w:val="20"/>
        </w:rPr>
        <w:br w:type="page"/>
      </w:r>
    </w:p>
    <w:p w14:paraId="520D6384" w14:textId="2FC9A6F8" w:rsidR="00E65C6E" w:rsidRPr="00FA1A19" w:rsidRDefault="00F34188" w:rsidP="0069352C">
      <w:pPr>
        <w:pStyle w:val="Heading1"/>
      </w:pPr>
      <w:bookmarkStart w:id="15" w:name="_Toc159513546"/>
      <w:r w:rsidRPr="00FA1A19">
        <w:t>Recommendations</w:t>
      </w:r>
      <w:r w:rsidR="006548A4" w:rsidRPr="00FA1A19">
        <w:t xml:space="preserve"> and observations</w:t>
      </w:r>
      <w:bookmarkEnd w:id="15"/>
    </w:p>
    <w:p w14:paraId="1168144A" w14:textId="240BB2F2" w:rsidR="00655990" w:rsidRPr="00FA1A19" w:rsidRDefault="000D61E1" w:rsidP="0069352C">
      <w:pPr>
        <w:pStyle w:val="Heading2"/>
      </w:pPr>
      <w:bookmarkStart w:id="16" w:name="_Toc159513547"/>
      <w:r w:rsidRPr="00FA1A19">
        <w:t>Detailed list</w:t>
      </w:r>
      <w:bookmarkEnd w:id="16"/>
    </w:p>
    <w:p w14:paraId="66AF8DDA" w14:textId="12FAAEFC" w:rsidR="00E65C6E" w:rsidRPr="00FA1A19" w:rsidRDefault="00FC1334" w:rsidP="00E65C6E">
      <w:r w:rsidRPr="00FA1A19">
        <w:t xml:space="preserve">The Board has made the following </w:t>
      </w:r>
      <w:r w:rsidR="006548A4" w:rsidRPr="00FA1A19">
        <w:t xml:space="preserve">observations and </w:t>
      </w:r>
      <w:r w:rsidRPr="00FA1A19">
        <w:t xml:space="preserve">recommendations in the </w:t>
      </w:r>
      <w:r w:rsidR="00CC71DB">
        <w:t>R</w:t>
      </w:r>
      <w:r w:rsidRPr="00FA1A19">
        <w:t xml:space="preserve">eport: </w:t>
      </w:r>
    </w:p>
    <w:p w14:paraId="1E7F13D6" w14:textId="692BDB43" w:rsidR="000B2F49" w:rsidRDefault="000B2F49" w:rsidP="00342121">
      <w:pPr>
        <w:pStyle w:val="Heading3"/>
      </w:pPr>
      <w:r w:rsidRPr="00FA1A19">
        <w:t>Context for the Review</w:t>
      </w:r>
    </w:p>
    <w:tbl>
      <w:tblPr>
        <w:tblStyle w:val="ListTable3-Accent3"/>
        <w:tblW w:w="0" w:type="auto"/>
        <w:tblLook w:val="04A0" w:firstRow="1" w:lastRow="0" w:firstColumn="1" w:lastColumn="0" w:noHBand="0" w:noVBand="1"/>
      </w:tblPr>
      <w:tblGrid>
        <w:gridCol w:w="9631"/>
      </w:tblGrid>
      <w:tr w:rsidR="003316D7" w14:paraId="405093B9"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4F81C432" w14:textId="1DBAEF09" w:rsidR="003316D7" w:rsidRDefault="00372633" w:rsidP="003316D7">
            <w:pPr>
              <w:pStyle w:val="BoxHeading1"/>
            </w:pPr>
            <w:r>
              <w:t>Observation </w:t>
            </w:r>
            <w:r w:rsidR="003316D7" w:rsidRPr="003316D7">
              <w:t>2.1</w:t>
            </w:r>
          </w:p>
        </w:tc>
      </w:tr>
    </w:tbl>
    <w:p w14:paraId="2FB17C95" w14:textId="314BB2BD" w:rsidR="00E63951" w:rsidRPr="00E63951" w:rsidRDefault="00F252F2" w:rsidP="00E63951">
      <w:r>
        <w:t xml:space="preserve">Crypto asset adoption continues to grow within Australia. Certainty and clarity in relation to the application of tax laws will assist to ensure that ownership of these assets does not present a risk to the Australian tax revenue base. </w:t>
      </w:r>
    </w:p>
    <w:p w14:paraId="030CF4D3" w14:textId="679EB8EE" w:rsidR="003C34DD" w:rsidRDefault="003C34DD" w:rsidP="00342121">
      <w:pPr>
        <w:pStyle w:val="Heading3"/>
      </w:pPr>
      <w:r w:rsidRPr="00FA1A19">
        <w:t>Digital Assets</w:t>
      </w:r>
    </w:p>
    <w:tbl>
      <w:tblPr>
        <w:tblStyle w:val="ListTable3-Accent3"/>
        <w:tblW w:w="4992" w:type="pct"/>
        <w:tblLook w:val="04A0" w:firstRow="1" w:lastRow="0" w:firstColumn="1" w:lastColumn="0" w:noHBand="0" w:noVBand="1"/>
      </w:tblPr>
      <w:tblGrid>
        <w:gridCol w:w="9621"/>
      </w:tblGrid>
      <w:tr w:rsidR="00E24C4E" w:rsidRPr="003316D7" w14:paraId="40332BE8" w14:textId="77777777" w:rsidTr="00377D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340508E6" w14:textId="35381B07" w:rsidR="00E24C4E" w:rsidRPr="003316D7" w:rsidRDefault="00372633" w:rsidP="00BC3F14">
            <w:pPr>
              <w:pStyle w:val="BoxHeading1"/>
            </w:pPr>
            <w:r>
              <w:t>Observation </w:t>
            </w:r>
            <w:r w:rsidR="00E24C4E" w:rsidRPr="003316D7">
              <w:t>3.1</w:t>
            </w:r>
          </w:p>
        </w:tc>
      </w:tr>
    </w:tbl>
    <w:p w14:paraId="3C0F0F5D" w14:textId="0F4273F2" w:rsidR="00E63951" w:rsidRDefault="00136594" w:rsidP="00E63951">
      <w:r>
        <w:t>Recognising the background to and context of the Board’s review, in this Report ‘digital assets’ refers to assets that are now often referred to as ‘crypto assets’ or ‘crypto’. The terms ‘digital assets’, ‘crypto assets’ and ‘crypto’ are used interchangeably in this Report.</w:t>
      </w:r>
    </w:p>
    <w:p w14:paraId="69DCF29B" w14:textId="77777777" w:rsidR="00377DDE" w:rsidRPr="00E24C4E" w:rsidRDefault="00377DDE" w:rsidP="00776D5D">
      <w:pPr>
        <w:pStyle w:val="SingleParagraph"/>
      </w:pPr>
    </w:p>
    <w:tbl>
      <w:tblPr>
        <w:tblStyle w:val="ListTable3-Accent3"/>
        <w:tblW w:w="4995" w:type="pct"/>
        <w:tblLook w:val="04A0" w:firstRow="1" w:lastRow="0" w:firstColumn="1" w:lastColumn="0" w:noHBand="0" w:noVBand="1"/>
      </w:tblPr>
      <w:tblGrid>
        <w:gridCol w:w="9626"/>
      </w:tblGrid>
      <w:tr w:rsidR="003316D7" w:rsidRPr="003316D7" w14:paraId="3716A5E3"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53E5EF35" w14:textId="5711FBC0" w:rsidR="003316D7" w:rsidRPr="003316D7" w:rsidRDefault="00372633">
            <w:pPr>
              <w:pStyle w:val="BoxHeading1"/>
            </w:pPr>
            <w:r>
              <w:t>Observation </w:t>
            </w:r>
            <w:r w:rsidR="003316D7" w:rsidRPr="003316D7">
              <w:t>3.</w:t>
            </w:r>
            <w:r w:rsidR="00D21B4D">
              <w:t>2</w:t>
            </w:r>
          </w:p>
        </w:tc>
      </w:tr>
    </w:tbl>
    <w:p w14:paraId="058F1E5D" w14:textId="77777777" w:rsidR="000B0ED4" w:rsidRDefault="000B0ED4" w:rsidP="00F63C1F">
      <w:pPr>
        <w:rPr>
          <w:bCs/>
        </w:rPr>
      </w:pPr>
      <w:r>
        <w:t>The Board observes that the crypto ecosystem is complex and evolving quickly due to technological change and financial innovation, with the growth of DeFi acting as a peer</w:t>
      </w:r>
      <w:r>
        <w:noBreakHyphen/>
        <w:t>to</w:t>
      </w:r>
      <w:r>
        <w:noBreakHyphen/>
        <w:t>peer alternative to traditional finance adding further complexity and ongoing innovation. Consideration of taxation issues relating to the crypto ecosystem should be ongoing as the crypto ecosystem, and global taxation responses to it, continue to develop.</w:t>
      </w:r>
    </w:p>
    <w:p w14:paraId="7B40B5FE" w14:textId="18CEE1A8" w:rsidR="00E63951" w:rsidRPr="00E63951" w:rsidRDefault="000B0ED4" w:rsidP="00E63951">
      <w:r>
        <w:t>In the meantime, Australian taxpayers require clarity and certainty in relation to the application of the current tax laws so that they can ensure that their tax disclosures will be acceptable to the ATO.</w:t>
      </w:r>
    </w:p>
    <w:p w14:paraId="3D58A849" w14:textId="56CC52AD" w:rsidR="000D68B4" w:rsidRPr="00FA1A19" w:rsidRDefault="000D68B4" w:rsidP="00342121">
      <w:pPr>
        <w:pStyle w:val="Heading3"/>
      </w:pPr>
      <w:r w:rsidRPr="00FA1A19">
        <w:t xml:space="preserve">Classification and </w:t>
      </w:r>
      <w:r w:rsidR="009900BF" w:rsidRPr="00FA1A19">
        <w:t>n</w:t>
      </w:r>
      <w:r w:rsidRPr="00FA1A19">
        <w:t xml:space="preserve">ature of </w:t>
      </w:r>
      <w:r w:rsidR="009900BF" w:rsidRPr="00FA1A19">
        <w:t>d</w:t>
      </w:r>
      <w:r w:rsidRPr="00FA1A19">
        <w:t xml:space="preserve">igital </w:t>
      </w:r>
      <w:r w:rsidR="009900BF" w:rsidRPr="00FA1A19">
        <w:t>a</w:t>
      </w:r>
      <w:r w:rsidRPr="00FA1A19">
        <w:t xml:space="preserve">ssets </w:t>
      </w:r>
    </w:p>
    <w:tbl>
      <w:tblPr>
        <w:tblStyle w:val="ListTable3-Accent3"/>
        <w:tblW w:w="4995" w:type="pct"/>
        <w:tblLook w:val="04A0" w:firstRow="1" w:lastRow="0" w:firstColumn="1" w:lastColumn="0" w:noHBand="0" w:noVBand="1"/>
      </w:tblPr>
      <w:tblGrid>
        <w:gridCol w:w="9626"/>
      </w:tblGrid>
      <w:tr w:rsidR="003316D7" w:rsidRPr="003316D7" w14:paraId="633E0E3B"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140D7494" w14:textId="10269E93" w:rsidR="003316D7" w:rsidRPr="003316D7" w:rsidRDefault="00372633" w:rsidP="003316D7">
            <w:pPr>
              <w:pStyle w:val="BoxHeading1"/>
            </w:pPr>
            <w:r>
              <w:t>Observation </w:t>
            </w:r>
            <w:r w:rsidR="003316D7" w:rsidRPr="003316D7">
              <w:t>4.1</w:t>
            </w:r>
          </w:p>
        </w:tc>
      </w:tr>
    </w:tbl>
    <w:p w14:paraId="3B2A43ED" w14:textId="77777777" w:rsidR="000B0ED4" w:rsidRDefault="000B0ED4" w:rsidP="00EF2F4C">
      <w:r>
        <w:t>Both Australian and international judicial decisions have accepted or determined that crypto assets are property at common law, notwithstanding that they may not fit easily within established property categories of things in possession or things in action.</w:t>
      </w:r>
    </w:p>
    <w:p w14:paraId="7418B7E7" w14:textId="5FC6BCBA" w:rsidR="0085187D" w:rsidRPr="00471171" w:rsidRDefault="000B0ED4" w:rsidP="000B0ED4">
      <w:r>
        <w:t xml:space="preserve">The Board has assumed for the purposes of the remainder of this Report that crypto assets are property. If this is ultimately found to be incorrect and the Government does not then legislatively deem crypto assets to be property, the Government may need to revisit the issues in this Report. </w:t>
      </w:r>
    </w:p>
    <w:p w14:paraId="578D7744" w14:textId="77777777" w:rsidR="00973936" w:rsidRPr="00FA1A19" w:rsidRDefault="00973936" w:rsidP="00776D5D">
      <w:pPr>
        <w:pStyle w:val="SingleParagraph"/>
      </w:pPr>
    </w:p>
    <w:tbl>
      <w:tblPr>
        <w:tblStyle w:val="ListTable3-Accent3"/>
        <w:tblW w:w="4995" w:type="pct"/>
        <w:tblLook w:val="04A0" w:firstRow="1" w:lastRow="0" w:firstColumn="1" w:lastColumn="0" w:noHBand="0" w:noVBand="1"/>
      </w:tblPr>
      <w:tblGrid>
        <w:gridCol w:w="9626"/>
      </w:tblGrid>
      <w:tr w:rsidR="003316D7" w:rsidRPr="003316D7" w14:paraId="51735107"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28C2BA56" w14:textId="2FBF5C2A" w:rsidR="003316D7" w:rsidRPr="003316D7" w:rsidRDefault="00372633">
            <w:pPr>
              <w:pStyle w:val="BoxHeading1"/>
            </w:pPr>
            <w:r>
              <w:t>Observation </w:t>
            </w:r>
            <w:r w:rsidR="003316D7" w:rsidRPr="003316D7">
              <w:t>4.2</w:t>
            </w:r>
          </w:p>
        </w:tc>
      </w:tr>
    </w:tbl>
    <w:p w14:paraId="34EB52B5" w14:textId="674FD51D" w:rsidR="0085187D" w:rsidRPr="00F63C1F" w:rsidRDefault="00E14B05" w:rsidP="0085187D">
      <w:r>
        <w:t xml:space="preserve">The Government decision to legislate that cryptocurrencies such as bitcoin are </w:t>
      </w:r>
      <w:r w:rsidRPr="00F63C1F">
        <w:t>not</w:t>
      </w:r>
      <w:r>
        <w:t xml:space="preserve"> foreign currency for tax purposes provides certainty and clarity to taxpayers and is consistent with most international treatment (see </w:t>
      </w:r>
      <w:r w:rsidR="00372633">
        <w:t>Chapter </w:t>
      </w:r>
      <w:r>
        <w:t>12).</w:t>
      </w:r>
    </w:p>
    <w:p w14:paraId="44905A48" w14:textId="42B9E313" w:rsidR="00A01DB1" w:rsidRPr="00FA1A19" w:rsidRDefault="000D68B4" w:rsidP="00342121">
      <w:pPr>
        <w:pStyle w:val="Heading3"/>
      </w:pPr>
      <w:r w:rsidRPr="00FA1A19">
        <w:t>Principles Framework</w:t>
      </w:r>
    </w:p>
    <w:tbl>
      <w:tblPr>
        <w:tblStyle w:val="ListTable3-Accent3"/>
        <w:tblW w:w="4995" w:type="pct"/>
        <w:tblLook w:val="04A0" w:firstRow="1" w:lastRow="0" w:firstColumn="1" w:lastColumn="0" w:noHBand="0" w:noVBand="1"/>
      </w:tblPr>
      <w:tblGrid>
        <w:gridCol w:w="9626"/>
      </w:tblGrid>
      <w:tr w:rsidR="003316D7" w:rsidRPr="003316D7" w14:paraId="65B0BECC"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50519AE9" w14:textId="2E2D3A98" w:rsidR="003316D7" w:rsidRPr="003316D7" w:rsidRDefault="00372633">
            <w:pPr>
              <w:pStyle w:val="BoxHeading1"/>
            </w:pPr>
            <w:r>
              <w:t>Observation </w:t>
            </w:r>
            <w:r w:rsidR="003316D7" w:rsidRPr="003316D7">
              <w:t>5.1</w:t>
            </w:r>
          </w:p>
        </w:tc>
      </w:tr>
    </w:tbl>
    <w:p w14:paraId="0E91740B" w14:textId="1E5855DE" w:rsidR="0085187D" w:rsidRDefault="00E14B05" w:rsidP="00776D5D">
      <w:r>
        <w:rPr>
          <w:rFonts w:asciiTheme="minorHAnsi" w:hAnsiTheme="minorHAnsi" w:cstheme="minorBidi"/>
        </w:rPr>
        <w:t>There was considerable support in consultations for the development of a principles framework for assessing, developing, and potentially reforming Australian taxation of digital assets and transactions.</w:t>
      </w:r>
    </w:p>
    <w:p w14:paraId="25A0F455" w14:textId="77777777" w:rsidR="006D36F1" w:rsidRPr="00FA1A19" w:rsidRDefault="006D36F1" w:rsidP="005B03FA">
      <w:pPr>
        <w:pStyle w:val="SingleParagraph"/>
      </w:pPr>
    </w:p>
    <w:tbl>
      <w:tblPr>
        <w:tblStyle w:val="ListTable3-Accent1"/>
        <w:tblW w:w="5000" w:type="pct"/>
        <w:tblLook w:val="04A0" w:firstRow="1" w:lastRow="0" w:firstColumn="1" w:lastColumn="0" w:noHBand="0" w:noVBand="1"/>
      </w:tblPr>
      <w:tblGrid>
        <w:gridCol w:w="9636"/>
      </w:tblGrid>
      <w:tr w:rsidR="003316D7" w:rsidRPr="003316D7" w14:paraId="4288DDE1"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5807E92A" w14:textId="54949C04" w:rsidR="003316D7" w:rsidRPr="003316D7" w:rsidRDefault="00372633">
            <w:pPr>
              <w:pStyle w:val="BoxHeading1"/>
            </w:pPr>
            <w:r>
              <w:t>Recommendation </w:t>
            </w:r>
            <w:r w:rsidR="003316D7" w:rsidRPr="003316D7">
              <w:t>5.1</w:t>
            </w:r>
          </w:p>
        </w:tc>
      </w:tr>
    </w:tbl>
    <w:p w14:paraId="2A6718E9" w14:textId="77777777" w:rsidR="005440CC" w:rsidRPr="00F63C1F" w:rsidRDefault="005440CC" w:rsidP="00F63C1F">
      <w:pPr>
        <w:rPr>
          <w:rFonts w:asciiTheme="minorHAnsi" w:hAnsiTheme="minorHAnsi" w:cstheme="minorBidi"/>
        </w:rPr>
      </w:pPr>
      <w:r w:rsidRPr="00F63C1F">
        <w:rPr>
          <w:rFonts w:asciiTheme="minorHAnsi" w:hAnsiTheme="minorHAnsi" w:cstheme="minorBidi"/>
        </w:rPr>
        <w:t xml:space="preserve">The Principles Framework developed by the Board promotes certainty, simplicity, integrity as well as competitive, revenue, technological and functional neutrality. It also ensures that the tax treatment of crypto assets and transactions should be based on existing ordinary tax principles, unless there are unforeseen or unintended outcomes. </w:t>
      </w:r>
    </w:p>
    <w:p w14:paraId="503371FE" w14:textId="77777777" w:rsidR="005440CC" w:rsidRPr="00F63C1F" w:rsidRDefault="005440CC" w:rsidP="00F63C1F">
      <w:pPr>
        <w:rPr>
          <w:rFonts w:asciiTheme="minorHAnsi" w:hAnsiTheme="minorHAnsi" w:cstheme="minorBidi"/>
        </w:rPr>
      </w:pPr>
      <w:r w:rsidRPr="00F63C1F">
        <w:rPr>
          <w:rFonts w:asciiTheme="minorHAnsi" w:hAnsiTheme="minorHAnsi" w:cstheme="minorBidi"/>
        </w:rPr>
        <w:t>The Board recommends that the Principles Framework be used as a guide by the Government, when considering the suitability of amendments to current Australian taxation laws and/or any amendments to or creation of a new tax legislation for crypto assets and transactions.</w:t>
      </w:r>
    </w:p>
    <w:p w14:paraId="3B90FFCB" w14:textId="7C589A9F" w:rsidR="0085187D" w:rsidRPr="0085187D" w:rsidRDefault="005440CC" w:rsidP="0085187D">
      <w:r>
        <w:t xml:space="preserve">In assessing any proposed measure by reference to the Principles Framework, all relevant factors should be considered. This may include features of the crypto ecosystem that give rise to risks and integrity concerns (see </w:t>
      </w:r>
      <w:r w:rsidR="00372633">
        <w:t>Chapter </w:t>
      </w:r>
      <w:r>
        <w:t xml:space="preserve">4). For example, neutrality in principles 3, 4 and 5 needs to consider the inherent integrity risks that exist for crypto assets that do not exist for other traditional assets including cash, shares and property. </w:t>
      </w:r>
    </w:p>
    <w:p w14:paraId="0D863E1A" w14:textId="7985D364" w:rsidR="000D68B4" w:rsidRPr="00FA1A19" w:rsidRDefault="000D68B4" w:rsidP="00342121">
      <w:pPr>
        <w:pStyle w:val="Heading3"/>
      </w:pPr>
      <w:r w:rsidRPr="00FA1A19">
        <w:t>Taxpayer awareness and support</w:t>
      </w:r>
    </w:p>
    <w:tbl>
      <w:tblPr>
        <w:tblStyle w:val="ListTable3-Accent3"/>
        <w:tblW w:w="0" w:type="auto"/>
        <w:tblLook w:val="04A0" w:firstRow="1" w:lastRow="0" w:firstColumn="1" w:lastColumn="0" w:noHBand="0" w:noVBand="1"/>
      </w:tblPr>
      <w:tblGrid>
        <w:gridCol w:w="9631"/>
      </w:tblGrid>
      <w:tr w:rsidR="005B03FA" w:rsidRPr="005B03FA" w14:paraId="243EF972"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78AD1D03" w14:textId="2BE7BBE0" w:rsidR="005B03FA" w:rsidRPr="005B03FA" w:rsidRDefault="00372633">
            <w:pPr>
              <w:pStyle w:val="BoxHeading1"/>
            </w:pPr>
            <w:r>
              <w:t>Observation </w:t>
            </w:r>
            <w:r w:rsidR="005B03FA" w:rsidRPr="005B03FA">
              <w:t>6.1</w:t>
            </w:r>
          </w:p>
        </w:tc>
      </w:tr>
    </w:tbl>
    <w:p w14:paraId="68E8B522" w14:textId="3B77D2DA" w:rsidR="0085187D" w:rsidRDefault="005440CC" w:rsidP="003333FE">
      <w:r>
        <w:t>Tax advisers and tax agents perform a critical role in ensuring appropriate compliance by taxpayers with respect to crypto asset transactions. It is important that tax advisers and tax agents have the appropriate skills to advise on crypto asset transactions. Education and awareness campaigns should therefore be tailored to support both taxpayers and tax professionals.</w:t>
      </w:r>
    </w:p>
    <w:p w14:paraId="698D98D8" w14:textId="77777777" w:rsidR="00973936" w:rsidRDefault="00973936" w:rsidP="00776D5D">
      <w:pPr>
        <w:pStyle w:val="SingleParagraph"/>
      </w:pPr>
    </w:p>
    <w:tbl>
      <w:tblPr>
        <w:tblStyle w:val="ListTable3-Accent3"/>
        <w:tblW w:w="0" w:type="auto"/>
        <w:tblLook w:val="04A0" w:firstRow="1" w:lastRow="0" w:firstColumn="1" w:lastColumn="0" w:noHBand="0" w:noVBand="1"/>
      </w:tblPr>
      <w:tblGrid>
        <w:gridCol w:w="9631"/>
      </w:tblGrid>
      <w:tr w:rsidR="005B03FA" w:rsidRPr="005B03FA" w14:paraId="066BB609"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9CA0697" w14:textId="6CAD5D03" w:rsidR="005B03FA" w:rsidRPr="005B03FA" w:rsidRDefault="00372633">
            <w:pPr>
              <w:pStyle w:val="BoxHeading1"/>
            </w:pPr>
            <w:r>
              <w:t>Observation </w:t>
            </w:r>
            <w:r w:rsidR="005B03FA" w:rsidRPr="005B03FA">
              <w:t>6.2</w:t>
            </w:r>
          </w:p>
        </w:tc>
      </w:tr>
    </w:tbl>
    <w:p w14:paraId="7BB403F3" w14:textId="372A9A44" w:rsidR="0085187D" w:rsidRDefault="001A2998" w:rsidP="005B03FA">
      <w:r>
        <w:t>There is a general lack of community awareness of the tax treatment of crypto assets and transactions, particularly amongst retail investors (who are often from a younger demographic with little experience of the tax system), potentially leading to poor compliance and higher administration costs.</w:t>
      </w:r>
    </w:p>
    <w:p w14:paraId="5C81641B" w14:textId="77777777" w:rsidR="00973936" w:rsidRPr="005B03FA" w:rsidRDefault="00973936" w:rsidP="00776D5D">
      <w:pPr>
        <w:pStyle w:val="SingleParagraph"/>
      </w:pPr>
    </w:p>
    <w:tbl>
      <w:tblPr>
        <w:tblStyle w:val="ListTable3-Accent3"/>
        <w:tblW w:w="0" w:type="auto"/>
        <w:tblLook w:val="04A0" w:firstRow="1" w:lastRow="0" w:firstColumn="1" w:lastColumn="0" w:noHBand="0" w:noVBand="1"/>
      </w:tblPr>
      <w:tblGrid>
        <w:gridCol w:w="9631"/>
      </w:tblGrid>
      <w:tr w:rsidR="005B03FA" w:rsidRPr="005B03FA" w14:paraId="3C0937C6"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5B35679" w14:textId="1EC9098D" w:rsidR="005B03FA" w:rsidRPr="005B03FA" w:rsidRDefault="00372633">
            <w:pPr>
              <w:pStyle w:val="BoxHeading1"/>
            </w:pPr>
            <w:r>
              <w:t>Observation </w:t>
            </w:r>
            <w:r w:rsidR="005B03FA" w:rsidRPr="005B03FA">
              <w:t>6.3</w:t>
            </w:r>
          </w:p>
        </w:tc>
      </w:tr>
    </w:tbl>
    <w:p w14:paraId="13D692DE" w14:textId="562048C5" w:rsidR="0085187D" w:rsidRDefault="001A2998" w:rsidP="0041249A">
      <w:r>
        <w:t xml:space="preserve">Crypto asset users are engaging through a variety of platforms and there is an opportunity for these platforms to be used to share crypto asset tax guidance. </w:t>
      </w:r>
    </w:p>
    <w:p w14:paraId="7076445C" w14:textId="77777777" w:rsidR="00973936" w:rsidRPr="00776D5D" w:rsidRDefault="00973936" w:rsidP="00776D5D">
      <w:pPr>
        <w:pStyle w:val="SingleParagraph"/>
      </w:pPr>
    </w:p>
    <w:tbl>
      <w:tblPr>
        <w:tblStyle w:val="ListTable3-Accent1"/>
        <w:tblW w:w="0" w:type="auto"/>
        <w:tblLook w:val="04A0" w:firstRow="1" w:lastRow="0" w:firstColumn="1" w:lastColumn="0" w:noHBand="0" w:noVBand="1"/>
      </w:tblPr>
      <w:tblGrid>
        <w:gridCol w:w="9631"/>
      </w:tblGrid>
      <w:tr w:rsidR="005B03FA" w:rsidRPr="005B03FA" w14:paraId="78911393"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12483E77" w14:textId="71ADD480" w:rsidR="005B03FA" w:rsidRPr="005B03FA" w:rsidRDefault="00372633">
            <w:pPr>
              <w:pStyle w:val="BoxHeading1"/>
            </w:pPr>
            <w:r>
              <w:t>Recommendation </w:t>
            </w:r>
            <w:r w:rsidR="005B03FA" w:rsidRPr="005B03FA">
              <w:t>6.1</w:t>
            </w:r>
          </w:p>
        </w:tc>
      </w:tr>
    </w:tbl>
    <w:p w14:paraId="4C74A954" w14:textId="77777777" w:rsidR="001A2998" w:rsidRDefault="001A2998" w:rsidP="00EF2F4C">
      <w:r>
        <w:t xml:space="preserve">The Board notes that since its initial consultation, the ATO has increased the content available through its ‘Crypto asset investments’ landing page and has recently updated its website. In December 2023 the ATO launched a new ato.gov.au content split into the three main taxpayer audience groups. The Board commends the ATO for its work in this regard. </w:t>
      </w:r>
    </w:p>
    <w:p w14:paraId="5E0D4936" w14:textId="71F70B71" w:rsidR="0085187D" w:rsidRPr="00FA1A19" w:rsidRDefault="001A2998" w:rsidP="001A2998">
      <w:r>
        <w:t>To ensure that users have access to all available information (including carrying on a crypto asset business and superannuation matters), the Board recommends that the ATO publish an index to all crypto asset related content on ato.gov.au, linking to the relevant guidance, similar to that utilised by the UK HMRC.</w:t>
      </w:r>
    </w:p>
    <w:p w14:paraId="32252660" w14:textId="77777777" w:rsidR="00B90865" w:rsidRPr="00FA1A19" w:rsidRDefault="00B90865" w:rsidP="00B90865">
      <w:pPr>
        <w:pStyle w:val="SingleParagraph"/>
      </w:pPr>
    </w:p>
    <w:tbl>
      <w:tblPr>
        <w:tblStyle w:val="ListTable3-Accent1"/>
        <w:tblW w:w="0" w:type="auto"/>
        <w:tblLook w:val="04A0" w:firstRow="1" w:lastRow="0" w:firstColumn="1" w:lastColumn="0" w:noHBand="0" w:noVBand="1"/>
      </w:tblPr>
      <w:tblGrid>
        <w:gridCol w:w="9631"/>
      </w:tblGrid>
      <w:tr w:rsidR="005B03FA" w:rsidRPr="005B03FA" w14:paraId="239B730A"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06B68AD" w14:textId="00752C17" w:rsidR="005B03FA" w:rsidRPr="005B03FA" w:rsidRDefault="00372633">
            <w:pPr>
              <w:pStyle w:val="BoxHeading1"/>
            </w:pPr>
            <w:r>
              <w:t>Recommendation </w:t>
            </w:r>
            <w:r w:rsidR="005B03FA" w:rsidRPr="005B03FA">
              <w:t>6.2</w:t>
            </w:r>
          </w:p>
        </w:tc>
      </w:tr>
    </w:tbl>
    <w:p w14:paraId="38D2ED21" w14:textId="77777777" w:rsidR="001A2998" w:rsidRDefault="001A2998" w:rsidP="00372633">
      <w:r>
        <w:t>The Board understands that the ATO’s new website Information Architecture should prevent duplication of content across the site with linkages where required.</w:t>
      </w:r>
    </w:p>
    <w:p w14:paraId="0EDFE95D" w14:textId="77777777" w:rsidR="001A2998" w:rsidRDefault="001A2998" w:rsidP="00EF2F4C">
      <w:r>
        <w:t xml:space="preserve">The Board recommends that if similar guidance is still provided across different pages on the ATO website: </w:t>
      </w:r>
    </w:p>
    <w:p w14:paraId="3F0852D3" w14:textId="77777777" w:rsidR="001A2998" w:rsidRDefault="001A2998" w:rsidP="00EF2F4C">
      <w:pPr>
        <w:pStyle w:val="Bullet"/>
      </w:pPr>
      <w:r>
        <w:t>a statement identifying the target audience of the page, for example, that the page has been developed to support taxpayers that do not have English as a first language</w:t>
      </w:r>
    </w:p>
    <w:p w14:paraId="75639CFF" w14:textId="39FFE255" w:rsidR="00004D2C" w:rsidRDefault="00004D2C" w:rsidP="00EF2F4C">
      <w:pPr>
        <w:pStyle w:val="Bullet"/>
      </w:pPr>
      <w:r>
        <w:t>links are provided to other guidance on the same topic included on other pages on the website.</w:t>
      </w:r>
    </w:p>
    <w:p w14:paraId="156C3F16" w14:textId="77777777" w:rsidR="005B03FA" w:rsidRPr="00B31511" w:rsidRDefault="005B03FA" w:rsidP="00B31511">
      <w:pPr>
        <w:pStyle w:val="SingleParagraph"/>
      </w:pPr>
    </w:p>
    <w:tbl>
      <w:tblPr>
        <w:tblStyle w:val="ListTable3-Accent1"/>
        <w:tblW w:w="0" w:type="auto"/>
        <w:tblLook w:val="04A0" w:firstRow="1" w:lastRow="0" w:firstColumn="1" w:lastColumn="0" w:noHBand="0" w:noVBand="1"/>
      </w:tblPr>
      <w:tblGrid>
        <w:gridCol w:w="9631"/>
      </w:tblGrid>
      <w:tr w:rsidR="005B03FA" w:rsidRPr="005B03FA" w14:paraId="60C20A12"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0559CAB4" w14:textId="05013135" w:rsidR="005B03FA" w:rsidRPr="005B03FA" w:rsidRDefault="00372633">
            <w:pPr>
              <w:pStyle w:val="BoxHeading1"/>
            </w:pPr>
            <w:r>
              <w:t>Recommendation </w:t>
            </w:r>
            <w:r w:rsidR="005B03FA" w:rsidRPr="005B03FA">
              <w:t>6.3</w:t>
            </w:r>
          </w:p>
        </w:tc>
      </w:tr>
    </w:tbl>
    <w:p w14:paraId="35850DA0" w14:textId="08E4B85F" w:rsidR="00004D2C" w:rsidRDefault="002A131F" w:rsidP="00E34E29">
      <w:r>
        <w:t xml:space="preserve">The Board recommends that where new and novel transactions or assets are being addressed through ATO web guidance, to the extent possible and without jeopardising the language appropriate to the particular targeted audience, the ATO detail the legislative or common law precedents that have been relied upon to arrive at the ATO’s position. This is particularly relevant in the crypto asset space, where limited precedential interpretations are available to taxpayers. </w:t>
      </w:r>
    </w:p>
    <w:p w14:paraId="04D94FE0" w14:textId="77777777" w:rsidR="00973936" w:rsidRPr="00FA1A19" w:rsidRDefault="00973936" w:rsidP="00776D5D">
      <w:pPr>
        <w:pStyle w:val="SingleParagraph"/>
      </w:pPr>
    </w:p>
    <w:tbl>
      <w:tblPr>
        <w:tblStyle w:val="ListTable3-Accent1"/>
        <w:tblW w:w="0" w:type="auto"/>
        <w:tblLook w:val="04A0" w:firstRow="1" w:lastRow="0" w:firstColumn="1" w:lastColumn="0" w:noHBand="0" w:noVBand="1"/>
      </w:tblPr>
      <w:tblGrid>
        <w:gridCol w:w="9631"/>
      </w:tblGrid>
      <w:tr w:rsidR="005B03FA" w:rsidRPr="005B03FA" w14:paraId="66C5B7D1"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16B988E7" w14:textId="5D55749D" w:rsidR="005B03FA" w:rsidRPr="005B03FA" w:rsidRDefault="00372633">
            <w:pPr>
              <w:pStyle w:val="BoxHeading1"/>
            </w:pPr>
            <w:r>
              <w:t>Recommendation </w:t>
            </w:r>
            <w:r w:rsidR="005B03FA" w:rsidRPr="005B03FA">
              <w:t>6.4</w:t>
            </w:r>
          </w:p>
        </w:tc>
      </w:tr>
    </w:tbl>
    <w:p w14:paraId="2AE18F99" w14:textId="77777777" w:rsidR="002A131F" w:rsidRDefault="002A131F" w:rsidP="00EF2F4C">
      <w:pPr>
        <w:rPr>
          <w:bCs/>
        </w:rPr>
      </w:pPr>
      <w:r>
        <w:t>UK HMRC guidance provides a published history of all updates made to their crypto guidance, so enabling users to identify guidance that may have changed and therefore positions that may require reconsideration, to understand how the guidance may have changed over time, and to support substantiation of any positions taken should they be subject to an inquiry or review.</w:t>
      </w:r>
    </w:p>
    <w:p w14:paraId="54966F10" w14:textId="6B157EE5" w:rsidR="00004D2C" w:rsidRPr="00FA1A19" w:rsidRDefault="002A131F" w:rsidP="002A131F">
      <w:pPr>
        <w:rPr>
          <w:bCs/>
        </w:rPr>
      </w:pPr>
      <w:r>
        <w:t>The Board recommends that the ATO develop a similar capacity for taxpayers to be able to access earlier versions of the guidance and identify changes made, for the same reasons.</w:t>
      </w:r>
    </w:p>
    <w:p w14:paraId="31ECF3C1" w14:textId="77777777" w:rsidR="00973936" w:rsidRPr="00FA1A19" w:rsidRDefault="00973936" w:rsidP="00C56041">
      <w:pPr>
        <w:pStyle w:val="SingleParagraph"/>
      </w:pPr>
    </w:p>
    <w:tbl>
      <w:tblPr>
        <w:tblStyle w:val="ListTable3-Accent1"/>
        <w:tblW w:w="0" w:type="auto"/>
        <w:tblLook w:val="04A0" w:firstRow="1" w:lastRow="0" w:firstColumn="1" w:lastColumn="0" w:noHBand="0" w:noVBand="1"/>
      </w:tblPr>
      <w:tblGrid>
        <w:gridCol w:w="9631"/>
      </w:tblGrid>
      <w:tr w:rsidR="005B03FA" w:rsidRPr="005B03FA" w14:paraId="00FC18DA"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060E9F4" w14:textId="48D00208" w:rsidR="005B03FA" w:rsidRPr="005B03FA" w:rsidRDefault="00372633">
            <w:pPr>
              <w:pStyle w:val="BoxHeading1"/>
            </w:pPr>
            <w:r>
              <w:t>Recommendation </w:t>
            </w:r>
            <w:r w:rsidR="005B03FA" w:rsidRPr="005B03FA">
              <w:t>6.5</w:t>
            </w:r>
          </w:p>
        </w:tc>
      </w:tr>
    </w:tbl>
    <w:p w14:paraId="0AF7B2B8" w14:textId="01EC507A" w:rsidR="00004D2C" w:rsidRPr="00004D2C" w:rsidRDefault="002A131F" w:rsidP="00004D2C">
      <w:r>
        <w:t xml:space="preserve">In view of the constantly and quickly changing and developing nature of the crypto ecosystem, the Board recommends the ATO establish regular consultative engagement on crypto with participants from the tax profession, industry, and potentially relevant government departments and/or entities. The Board has referred to this engagement as the ‘Crypto Industry Working Group’, but the specific arrangements would be a matter for the ATO. The Crypto Industry Working Group would be advisory only, with no formal authority. </w:t>
      </w:r>
    </w:p>
    <w:p w14:paraId="638E6897" w14:textId="74EE8078" w:rsidR="000D68B4" w:rsidRPr="00FA1A19" w:rsidRDefault="005D34A3" w:rsidP="009C5942">
      <w:pPr>
        <w:pStyle w:val="Heading3"/>
      </w:pPr>
      <w:r>
        <w:t xml:space="preserve">Income tax: </w:t>
      </w:r>
      <w:r w:rsidR="009900BF" w:rsidRPr="00FA1A19">
        <w:t>General principles</w:t>
      </w:r>
    </w:p>
    <w:tbl>
      <w:tblPr>
        <w:tblStyle w:val="ListTable3-Accent1"/>
        <w:tblW w:w="0" w:type="auto"/>
        <w:tblLook w:val="04A0" w:firstRow="1" w:lastRow="0" w:firstColumn="1" w:lastColumn="0" w:noHBand="0" w:noVBand="1"/>
      </w:tblPr>
      <w:tblGrid>
        <w:gridCol w:w="9631"/>
      </w:tblGrid>
      <w:tr w:rsidR="005B03FA" w:rsidRPr="005B03FA" w14:paraId="34C877D8"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8EF0610" w14:textId="3E78AED6" w:rsidR="005B03FA" w:rsidRPr="005B03FA" w:rsidRDefault="00372633">
            <w:pPr>
              <w:pStyle w:val="BoxHeading1"/>
            </w:pPr>
            <w:r>
              <w:t>Recommendation </w:t>
            </w:r>
            <w:r w:rsidR="005B03FA" w:rsidRPr="005B03FA">
              <w:t>7.1</w:t>
            </w:r>
          </w:p>
        </w:tc>
      </w:tr>
    </w:tbl>
    <w:p w14:paraId="721FCBBF" w14:textId="77777777" w:rsidR="00382ADD" w:rsidRDefault="00382ADD" w:rsidP="00EF2F4C">
      <w:r>
        <w:t xml:space="preserve">Established common law principles can apply to crypto assets to determine whether profits or gains are on revenue or capital account. However, there is currently a lack of judicial precedent specifically dealing with crypto transactions. This includes, significantly, the circumstances in which crypto activities will amount to carrying on a business, including a business of trading. Taxpayers therefore need access to information and guidance upon which they can rely to ensure their tax disclosures will be acceptable to the ATO. </w:t>
      </w:r>
    </w:p>
    <w:p w14:paraId="5F4CDC6F" w14:textId="4DF37400" w:rsidR="00004D2C" w:rsidRPr="00FA1A19" w:rsidRDefault="00382ADD" w:rsidP="00382ADD">
      <w:r>
        <w:t>Accordingly, the Board recommends that the ATO, in consultation with industry stakeholders and taxpayer representative groups including the Crypto Industry Working Group, develop further and detailed guidance with examples/case studies in relation to how the ATO will apply the established indicia for carrying on a business to crypto asset activities.</w:t>
      </w:r>
    </w:p>
    <w:p w14:paraId="5DEF93A0" w14:textId="77777777" w:rsidR="00D8171C" w:rsidRPr="00FA1A19" w:rsidRDefault="00D8171C" w:rsidP="00D8171C">
      <w:pPr>
        <w:pStyle w:val="SingleParagraph"/>
      </w:pPr>
    </w:p>
    <w:tbl>
      <w:tblPr>
        <w:tblStyle w:val="ListTable3-Accent3"/>
        <w:tblW w:w="0" w:type="auto"/>
        <w:tblLook w:val="04A0" w:firstRow="1" w:lastRow="0" w:firstColumn="1" w:lastColumn="0" w:noHBand="0" w:noVBand="1"/>
      </w:tblPr>
      <w:tblGrid>
        <w:gridCol w:w="9631"/>
      </w:tblGrid>
      <w:tr w:rsidR="005B03FA" w:rsidRPr="005B03FA" w14:paraId="2E4D8454" w14:textId="77777777" w:rsidTr="005B03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493C6DCF" w14:textId="4F3DA1F6" w:rsidR="005B03FA" w:rsidRPr="005B03FA" w:rsidRDefault="00372633">
            <w:pPr>
              <w:pStyle w:val="BoxHeading1"/>
            </w:pPr>
            <w:r>
              <w:t>Observation </w:t>
            </w:r>
            <w:r w:rsidR="005B03FA" w:rsidRPr="005B03FA">
              <w:t>7.1</w:t>
            </w:r>
          </w:p>
        </w:tc>
      </w:tr>
    </w:tbl>
    <w:p w14:paraId="32B8C5C3" w14:textId="77777777" w:rsidR="00382ADD" w:rsidRDefault="00382ADD" w:rsidP="00EF2F4C">
      <w:r>
        <w:t>There is a risk that a user of the ATO website may conclude that the appropriate tax treatment for crypto asset transactions is either:</w:t>
      </w:r>
    </w:p>
    <w:p w14:paraId="75879943" w14:textId="77777777" w:rsidR="00382ADD" w:rsidRDefault="00382ADD" w:rsidP="00EF2F4C">
      <w:pPr>
        <w:pStyle w:val="Bullet"/>
      </w:pPr>
      <w:r>
        <w:t>under the capital gains tax provisions</w:t>
      </w:r>
    </w:p>
    <w:p w14:paraId="6E0F8DDB" w14:textId="77777777" w:rsidR="00382ADD" w:rsidRDefault="00382ADD" w:rsidP="00EF2F4C">
      <w:pPr>
        <w:pStyle w:val="Bullet"/>
      </w:pPr>
      <w:r>
        <w:t xml:space="preserve">as trading stock in carrying on a business. </w:t>
      </w:r>
    </w:p>
    <w:p w14:paraId="6E25A9BD" w14:textId="54E456C8" w:rsidR="00004D2C" w:rsidRPr="00FA1A19" w:rsidRDefault="00382ADD" w:rsidP="00382ADD">
      <w:r>
        <w:t xml:space="preserve">With the exception of the minor reference in TD 2014/26, the ATO does not provide guidance in relation to the taxation implications of crypto asset transactions occurring as part of an isolated profit-making undertaking or where the profit/loss on disposals of crypto assets may be on revenue account to a business even if those assets are not held as trading stock. </w:t>
      </w:r>
    </w:p>
    <w:p w14:paraId="1AC3D63F" w14:textId="77777777" w:rsidR="00D5780B" w:rsidRPr="005B03FA" w:rsidRDefault="00D5780B" w:rsidP="00D5780B">
      <w:pPr>
        <w:pStyle w:val="SingleParagraph"/>
      </w:pPr>
    </w:p>
    <w:tbl>
      <w:tblPr>
        <w:tblStyle w:val="ListTable3-Accent1"/>
        <w:tblW w:w="0" w:type="auto"/>
        <w:tblLook w:val="04A0" w:firstRow="1" w:lastRow="0" w:firstColumn="1" w:lastColumn="0" w:noHBand="0" w:noVBand="1"/>
      </w:tblPr>
      <w:tblGrid>
        <w:gridCol w:w="9631"/>
      </w:tblGrid>
      <w:tr w:rsidR="003316D7" w:rsidRPr="003316D7" w14:paraId="33B02FB7"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0EC8429D" w14:textId="1D171C98" w:rsidR="003316D7" w:rsidRPr="003316D7" w:rsidRDefault="00372633">
            <w:pPr>
              <w:pStyle w:val="BoxHeading1"/>
            </w:pPr>
            <w:r>
              <w:t>Recommendation </w:t>
            </w:r>
            <w:r w:rsidR="003316D7" w:rsidRPr="003316D7">
              <w:t>7.2</w:t>
            </w:r>
          </w:p>
        </w:tc>
      </w:tr>
    </w:tbl>
    <w:p w14:paraId="10AA9BDE" w14:textId="31C59B7D" w:rsidR="00C17288" w:rsidRDefault="00C17288" w:rsidP="00EF2F4C">
      <w:r>
        <w:t>The Board has observed (</w:t>
      </w:r>
      <w:r w:rsidR="00372633">
        <w:t>Observation </w:t>
      </w:r>
      <w:r>
        <w:t>7.1) that with the exception of the minor reference in TD 2014/26, the ATO does not provide guidance in relation to the taxation implications of crypto asset transactions occurring as part of an isolated profit-making undertaking or whether the profit/loss on disposals of crypto assets may be on revenue account even if those assets are not held as trading stock.</w:t>
      </w:r>
    </w:p>
    <w:p w14:paraId="7C2A46D2" w14:textId="77777777" w:rsidR="00C17288" w:rsidRDefault="00C17288" w:rsidP="00EF2F4C">
      <w:r>
        <w:t xml:space="preserve">In relation to these issues, taxpayers require access to information and guidance upon which they can rely to ensure their tax disclosures will be acceptable to the ATO. </w:t>
      </w:r>
    </w:p>
    <w:p w14:paraId="376E1AAB" w14:textId="2425691B" w:rsidR="00004D2C" w:rsidRPr="00FA1A19" w:rsidRDefault="00C17288" w:rsidP="00C17288">
      <w:r>
        <w:t>Accordingly, the Board recommends that the ATO, in consultation with industry stakeholders and taxpayer representative groups including the Crypto Industry Working Group, develop guidance in relation to the application to crypto asset transactions of the principles established regarding isolated transactions entered into with a commercial or profit-making intention and where the profit/loss on disposal of crypto assets may be on revenue account to a business even if those assets are not held as trading stock.</w:t>
      </w:r>
    </w:p>
    <w:p w14:paraId="59EF7D0D" w14:textId="77777777" w:rsidR="0076651B" w:rsidRPr="00FA1A19" w:rsidRDefault="0076651B" w:rsidP="0076651B">
      <w:pPr>
        <w:pStyle w:val="SingleParagraph"/>
      </w:pPr>
    </w:p>
    <w:tbl>
      <w:tblPr>
        <w:tblStyle w:val="ListTable3-Accent3"/>
        <w:tblW w:w="0" w:type="auto"/>
        <w:tblLook w:val="04A0" w:firstRow="1" w:lastRow="0" w:firstColumn="1" w:lastColumn="0" w:noHBand="0" w:noVBand="1"/>
      </w:tblPr>
      <w:tblGrid>
        <w:gridCol w:w="9631"/>
      </w:tblGrid>
      <w:tr w:rsidR="003316D7" w:rsidRPr="003316D7" w14:paraId="0CDE2A1D"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0DE10735" w14:textId="42A7D865" w:rsidR="003316D7" w:rsidRPr="003316D7" w:rsidRDefault="00372633">
            <w:pPr>
              <w:pStyle w:val="BoxHeading1"/>
            </w:pPr>
            <w:r>
              <w:t>Observation </w:t>
            </w:r>
            <w:r w:rsidR="003316D7" w:rsidRPr="003316D7">
              <w:t>7.2</w:t>
            </w:r>
          </w:p>
        </w:tc>
      </w:tr>
    </w:tbl>
    <w:p w14:paraId="62DE1498" w14:textId="2F642FCB" w:rsidR="00004D2C" w:rsidRDefault="00C17288" w:rsidP="006E60A3">
      <w:r>
        <w:t>Clarity in relation to the valuation of crypto assets given in respect of acquiring a capital asset (including another crypto asset) or received in respect of the disposal of a capital asset (including another crypto asset) is necessary to establish cost base and capital proceeds.</w:t>
      </w:r>
    </w:p>
    <w:p w14:paraId="39694D78" w14:textId="77777777" w:rsidR="00C768E0" w:rsidRPr="00FA1A19" w:rsidRDefault="00C768E0" w:rsidP="00C17225">
      <w:pPr>
        <w:pStyle w:val="SingleParagraph"/>
      </w:pPr>
    </w:p>
    <w:tbl>
      <w:tblPr>
        <w:tblStyle w:val="ListTable3-Accent1"/>
        <w:tblW w:w="0" w:type="auto"/>
        <w:tblLook w:val="04A0" w:firstRow="1" w:lastRow="0" w:firstColumn="1" w:lastColumn="0" w:noHBand="0" w:noVBand="1"/>
      </w:tblPr>
      <w:tblGrid>
        <w:gridCol w:w="9631"/>
      </w:tblGrid>
      <w:tr w:rsidR="003316D7" w:rsidRPr="003316D7" w14:paraId="688DAD5B"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D0AF60A" w14:textId="0AC0553F" w:rsidR="003316D7" w:rsidRPr="003316D7" w:rsidRDefault="00372633">
            <w:pPr>
              <w:pStyle w:val="BoxHeading1"/>
            </w:pPr>
            <w:r>
              <w:t>Recommendation </w:t>
            </w:r>
            <w:r w:rsidR="003316D7" w:rsidRPr="003316D7">
              <w:t>7.3</w:t>
            </w:r>
          </w:p>
        </w:tc>
      </w:tr>
    </w:tbl>
    <w:p w14:paraId="02F4A463" w14:textId="77777777" w:rsidR="00C17288" w:rsidRDefault="00C17288" w:rsidP="00C17288">
      <w:pPr>
        <w:rPr>
          <w:bCs/>
        </w:rPr>
      </w:pPr>
      <w:r>
        <w:t>Establishing the cost of cryptocurrencies for CGT purposes can be difficult in practice, when large quantities of effectively fungible assets are acquired and sold in different parcels. Different potential methodologies include First in First Out (FIFO), Last in First Out (LIFO), Highest in First Out (HIFO) and averaging.</w:t>
      </w:r>
    </w:p>
    <w:p w14:paraId="05D1081E" w14:textId="3902D9E3" w:rsidR="00004D2C" w:rsidRPr="00FA1A19" w:rsidRDefault="00C17288" w:rsidP="00C17288">
      <w:pPr>
        <w:rPr>
          <w:bCs/>
        </w:rPr>
      </w:pPr>
      <w:r>
        <w:t xml:space="preserve">The Board recommends that the ATO, in consultation with industry stakeholders and taxpayer representative groups including the Crypto Industry Working Group, establish and publish a position (binding, if practicable) in relation to practical costing solutions for crypto assets that would be acceptable to the ATO. </w:t>
      </w:r>
    </w:p>
    <w:p w14:paraId="6F1E13C7" w14:textId="77777777" w:rsidR="007D287E" w:rsidRPr="00FA1A19" w:rsidRDefault="007D287E" w:rsidP="005B03FA">
      <w:pPr>
        <w:pStyle w:val="SingleParagraph"/>
      </w:pPr>
    </w:p>
    <w:tbl>
      <w:tblPr>
        <w:tblStyle w:val="ListTable3-Accent1"/>
        <w:tblW w:w="0" w:type="auto"/>
        <w:tblLook w:val="04A0" w:firstRow="1" w:lastRow="0" w:firstColumn="1" w:lastColumn="0" w:noHBand="0" w:noVBand="1"/>
      </w:tblPr>
      <w:tblGrid>
        <w:gridCol w:w="9631"/>
      </w:tblGrid>
      <w:tr w:rsidR="003316D7" w:rsidRPr="003316D7" w14:paraId="29E70982"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14B8981" w14:textId="178F0375" w:rsidR="003316D7" w:rsidRPr="003316D7" w:rsidRDefault="00372633">
            <w:pPr>
              <w:pStyle w:val="BoxHeading1"/>
            </w:pPr>
            <w:r>
              <w:t>Recommendation </w:t>
            </w:r>
            <w:r w:rsidR="003316D7" w:rsidRPr="003316D7">
              <w:t>7.4</w:t>
            </w:r>
          </w:p>
        </w:tc>
      </w:tr>
    </w:tbl>
    <w:p w14:paraId="76C0FD10" w14:textId="77777777" w:rsidR="002C0A17" w:rsidRDefault="002C0A17" w:rsidP="00EF2F4C">
      <w:r>
        <w:t>ATO website guidance states that in rare circumstances an NFT can be held as a personal use asset and so be eligible for CGT concessions. There are also edited private binding rulings on the ATO website dealing with specific examples where the ATO has agreed or disagreed that the NFT in question is held as a personal use asset.</w:t>
      </w:r>
    </w:p>
    <w:p w14:paraId="64B943B3" w14:textId="77777777" w:rsidR="002C0A17" w:rsidRDefault="002C0A17" w:rsidP="00B31511">
      <w:r>
        <w:t>There is an increasing and varied use of NFTs, including within the GameFi space, and the circumstances in which an NFT can be held as a personal use asset may be increasing. Taxpayers therefore need access to information and guidance in relation to NFTs and personal use assets upon which they can rely to ensure their tax disclosures will be acceptable to the ATO.</w:t>
      </w:r>
    </w:p>
    <w:p w14:paraId="712D6539" w14:textId="7F48B54F" w:rsidR="00004D2C" w:rsidRPr="00FA1A19" w:rsidRDefault="002C0A17" w:rsidP="002C0A17">
      <w:r>
        <w:t>The Board recommends that the ATO, in consultation with industry stakeholders and taxpayer representative groups including the Crypto Industry Working Group, develop further guidance with examples as to when the CGT personal use asset rules apply to NFTs.</w:t>
      </w:r>
    </w:p>
    <w:p w14:paraId="2F2380B3" w14:textId="77777777" w:rsidR="009F71B9" w:rsidRPr="00FA1A19" w:rsidRDefault="009F71B9" w:rsidP="009F71B9">
      <w:pPr>
        <w:pStyle w:val="SingleParagraph"/>
      </w:pPr>
    </w:p>
    <w:tbl>
      <w:tblPr>
        <w:tblStyle w:val="ListTable3-Accent1"/>
        <w:tblW w:w="0" w:type="auto"/>
        <w:tblLook w:val="04A0" w:firstRow="1" w:lastRow="0" w:firstColumn="1" w:lastColumn="0" w:noHBand="0" w:noVBand="1"/>
      </w:tblPr>
      <w:tblGrid>
        <w:gridCol w:w="9631"/>
      </w:tblGrid>
      <w:tr w:rsidR="009F71B9" w:rsidRPr="003316D7" w14:paraId="14E96D8A" w14:textId="77777777" w:rsidTr="00BC3F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000D2FA5" w14:textId="467855F0" w:rsidR="009F71B9" w:rsidRPr="003316D7" w:rsidRDefault="00372633" w:rsidP="00BC3F14">
            <w:pPr>
              <w:pStyle w:val="BoxHeading1"/>
            </w:pPr>
            <w:r>
              <w:t>Recommendation </w:t>
            </w:r>
            <w:r w:rsidR="009F71B9" w:rsidRPr="003316D7">
              <w:t>7.</w:t>
            </w:r>
            <w:r w:rsidR="009F71B9">
              <w:t>5</w:t>
            </w:r>
          </w:p>
        </w:tc>
      </w:tr>
    </w:tbl>
    <w:p w14:paraId="18F4223C" w14:textId="7B17361A" w:rsidR="00004D2C" w:rsidRDefault="002C0A17" w:rsidP="00B31511">
      <w:r>
        <w:t>The Board recommends that the ATO, in consultation with industry stakeholders and taxpayer representative groups including the Crypto Industry Working Group, develop guidance regarding the manner in which common crypto asset transactions may be treated under the TOFA rules.</w:t>
      </w:r>
    </w:p>
    <w:p w14:paraId="29C5E8A4" w14:textId="77777777" w:rsidR="00911A50" w:rsidRPr="00FA1A19" w:rsidRDefault="00911A50" w:rsidP="00911A50">
      <w:pPr>
        <w:pStyle w:val="SingleParagraph"/>
      </w:pPr>
    </w:p>
    <w:tbl>
      <w:tblPr>
        <w:tblStyle w:val="ListTable3-Accent3"/>
        <w:tblW w:w="0" w:type="auto"/>
        <w:tblLook w:val="04A0" w:firstRow="1" w:lastRow="0" w:firstColumn="1" w:lastColumn="0" w:noHBand="0" w:noVBand="1"/>
      </w:tblPr>
      <w:tblGrid>
        <w:gridCol w:w="9631"/>
      </w:tblGrid>
      <w:tr w:rsidR="003316D7" w:rsidRPr="003316D7" w14:paraId="37A9A123"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1D393B6E" w14:textId="0544A7F3" w:rsidR="003316D7" w:rsidRPr="003316D7" w:rsidRDefault="00372633">
            <w:pPr>
              <w:pStyle w:val="BoxHeading1"/>
            </w:pPr>
            <w:r>
              <w:t>Observation </w:t>
            </w:r>
            <w:r w:rsidR="003316D7" w:rsidRPr="003316D7">
              <w:t>7.3</w:t>
            </w:r>
          </w:p>
        </w:tc>
      </w:tr>
    </w:tbl>
    <w:p w14:paraId="63D15425" w14:textId="38E9CFE6" w:rsidR="00004D2C" w:rsidRDefault="002C0A17" w:rsidP="006E60A3">
      <w:r>
        <w:t>The Board observes that crypto asset users may incur expenditure in undertaking their activities. This expenditure may be deductible to a taxpayer in accordance with the existing law under section 8</w:t>
      </w:r>
      <w:r>
        <w:noBreakHyphen/>
        <w:t xml:space="preserve">1 of the ITAA 1997. </w:t>
      </w:r>
    </w:p>
    <w:p w14:paraId="775FEAA0" w14:textId="77777777" w:rsidR="00647157" w:rsidRPr="00FA1A19" w:rsidRDefault="00647157" w:rsidP="005B03FA">
      <w:pPr>
        <w:pStyle w:val="SingleParagraph"/>
      </w:pPr>
    </w:p>
    <w:tbl>
      <w:tblPr>
        <w:tblStyle w:val="ListTable3-Accent3"/>
        <w:tblW w:w="0" w:type="auto"/>
        <w:tblLook w:val="04A0" w:firstRow="1" w:lastRow="0" w:firstColumn="1" w:lastColumn="0" w:noHBand="0" w:noVBand="1"/>
      </w:tblPr>
      <w:tblGrid>
        <w:gridCol w:w="9631"/>
      </w:tblGrid>
      <w:tr w:rsidR="003316D7" w:rsidRPr="003316D7" w14:paraId="1081D36C"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97D8C72" w14:textId="33EB69FB" w:rsidR="003316D7" w:rsidRPr="003316D7" w:rsidRDefault="00372633">
            <w:pPr>
              <w:pStyle w:val="BoxHeading1"/>
            </w:pPr>
            <w:r>
              <w:t>Observation </w:t>
            </w:r>
            <w:r w:rsidR="003316D7" w:rsidRPr="003316D7">
              <w:t>7.4</w:t>
            </w:r>
          </w:p>
        </w:tc>
      </w:tr>
    </w:tbl>
    <w:p w14:paraId="55863E6C" w14:textId="74A6B721" w:rsidR="00004D2C" w:rsidRDefault="002C0A17" w:rsidP="006E60A3">
      <w:r>
        <w:t xml:space="preserve">Whether the legislation should be amended to quarantine revenue losses from crypto assets and transactions is a policy issue for the Government. </w:t>
      </w:r>
    </w:p>
    <w:p w14:paraId="20D75BD7" w14:textId="77777777" w:rsidR="00A2553E" w:rsidRPr="00FA1A19" w:rsidRDefault="00A2553E" w:rsidP="005B03FA">
      <w:pPr>
        <w:pStyle w:val="SingleParagraph"/>
      </w:pPr>
    </w:p>
    <w:tbl>
      <w:tblPr>
        <w:tblStyle w:val="ListTable3-Accent1"/>
        <w:tblW w:w="0" w:type="auto"/>
        <w:tblLook w:val="04A0" w:firstRow="1" w:lastRow="0" w:firstColumn="1" w:lastColumn="0" w:noHBand="0" w:noVBand="1"/>
      </w:tblPr>
      <w:tblGrid>
        <w:gridCol w:w="9631"/>
      </w:tblGrid>
      <w:tr w:rsidR="003316D7" w:rsidRPr="003316D7" w14:paraId="6C5C45A8"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BD52E40" w14:textId="50F48940" w:rsidR="003316D7" w:rsidRPr="003316D7" w:rsidRDefault="00372633">
            <w:pPr>
              <w:pStyle w:val="BoxHeading1"/>
            </w:pPr>
            <w:r>
              <w:t>Recommendation </w:t>
            </w:r>
            <w:r w:rsidR="003316D7" w:rsidRPr="003316D7">
              <w:t>7.</w:t>
            </w:r>
            <w:r w:rsidR="00AD0F90">
              <w:t>6</w:t>
            </w:r>
          </w:p>
        </w:tc>
      </w:tr>
    </w:tbl>
    <w:p w14:paraId="7029968C" w14:textId="77777777" w:rsidR="00C40594" w:rsidRDefault="00C40594" w:rsidP="00B31511">
      <w:r>
        <w:t>Many crypto asset users and their advisers consider that there can be practical difficulties in establishing the source of gains from crypto asset transactions under general principles.</w:t>
      </w:r>
    </w:p>
    <w:p w14:paraId="06816D4D" w14:textId="77777777" w:rsidR="00C40594" w:rsidRDefault="00C40594" w:rsidP="00B31511">
      <w:r>
        <w:t>The Board recommends that the ATO in consultation with industry stakeholders and taxpayer representative groups including the Crypto Industry Working Group develop guidance in relation to the source of ordinary income from crypto asset transactions, upon which taxpayers can rely to ensure that their tax disclosures will be acceptable to the ATO.</w:t>
      </w:r>
    </w:p>
    <w:p w14:paraId="02E72392" w14:textId="4E9414B6" w:rsidR="00004D2C" w:rsidRPr="00FA1A19" w:rsidRDefault="00C40594" w:rsidP="00C40594">
      <w:r>
        <w:t>The Board also recommends that the ATO monitor developments including international developments in relation to the issue of the source of income from crypto asset transactions, including positions taken by offshore authorities including for example the US IRS and the US Securities and Exchange Commission.</w:t>
      </w:r>
    </w:p>
    <w:p w14:paraId="24192EB9" w14:textId="77777777" w:rsidR="00AD0F90" w:rsidRPr="00FA1A19" w:rsidRDefault="00AD0F90" w:rsidP="00AD0F90">
      <w:pPr>
        <w:pStyle w:val="SingleParagraph"/>
      </w:pPr>
    </w:p>
    <w:tbl>
      <w:tblPr>
        <w:tblStyle w:val="ListTable3-Accent1"/>
        <w:tblW w:w="0" w:type="auto"/>
        <w:tblLook w:val="04A0" w:firstRow="1" w:lastRow="0" w:firstColumn="1" w:lastColumn="0" w:noHBand="0" w:noVBand="1"/>
      </w:tblPr>
      <w:tblGrid>
        <w:gridCol w:w="9631"/>
      </w:tblGrid>
      <w:tr w:rsidR="003316D7" w:rsidRPr="003316D7" w14:paraId="36A30833"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0B1F8D0" w14:textId="1641AC1E" w:rsidR="003316D7" w:rsidRPr="003316D7" w:rsidRDefault="00372633">
            <w:pPr>
              <w:pStyle w:val="BoxHeading1"/>
            </w:pPr>
            <w:r>
              <w:t>Recommendation </w:t>
            </w:r>
            <w:r w:rsidR="003316D7" w:rsidRPr="003316D7">
              <w:t>7.</w:t>
            </w:r>
            <w:r w:rsidR="00EB7966">
              <w:t>7</w:t>
            </w:r>
          </w:p>
        </w:tc>
      </w:tr>
    </w:tbl>
    <w:p w14:paraId="676627B7" w14:textId="77777777" w:rsidR="00C40594" w:rsidRDefault="00C40594" w:rsidP="00B31511">
      <w:r>
        <w:t>There are many circumstances in which it is necessary for a crypto asset user to determine the value of a crypto asset for the purposes of complying with the tax law.</w:t>
      </w:r>
    </w:p>
    <w:p w14:paraId="5BB3B58A" w14:textId="5647DF1D" w:rsidR="00004D2C" w:rsidRPr="00004D2C" w:rsidRDefault="00C40594" w:rsidP="00004D2C">
      <w:r>
        <w:t>The Board recommends that the ATO, in consultation with industry stakeholders and taxpayer representative groups including the Crypto Industry Working Group, develop valuation guidance that is specific to crypto assets. Where appropriate, the ATO may wish to consider providing valuation guidance to allow averaging or other ‘short</w:t>
      </w:r>
      <w:r>
        <w:noBreakHyphen/>
        <w:t>cut’ methodologies to reduce compliance costs associated with the particular characteristics of crypto asset transactions.</w:t>
      </w:r>
    </w:p>
    <w:p w14:paraId="7D39582E" w14:textId="71D50F66" w:rsidR="009900BF" w:rsidRPr="00FA1A19" w:rsidRDefault="0013305E" w:rsidP="00342121">
      <w:pPr>
        <w:pStyle w:val="Heading3"/>
      </w:pPr>
      <w:r w:rsidRPr="00FA1A19">
        <w:t xml:space="preserve">Income tax: </w:t>
      </w:r>
      <w:r w:rsidR="009900BF" w:rsidRPr="00FA1A19">
        <w:t>Specific taxation regimes</w:t>
      </w:r>
    </w:p>
    <w:tbl>
      <w:tblPr>
        <w:tblStyle w:val="ListTable3-Accent3"/>
        <w:tblW w:w="0" w:type="auto"/>
        <w:tblLook w:val="04A0" w:firstRow="1" w:lastRow="0" w:firstColumn="1" w:lastColumn="0" w:noHBand="0" w:noVBand="1"/>
      </w:tblPr>
      <w:tblGrid>
        <w:gridCol w:w="9631"/>
      </w:tblGrid>
      <w:tr w:rsidR="003316D7" w:rsidRPr="003316D7" w14:paraId="4AF15809"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7024B2EE" w14:textId="60C94AF6" w:rsidR="003316D7" w:rsidRPr="003316D7" w:rsidRDefault="00372633">
            <w:pPr>
              <w:pStyle w:val="BoxHeading1"/>
            </w:pPr>
            <w:r>
              <w:t>Observation </w:t>
            </w:r>
            <w:r w:rsidR="003316D7" w:rsidRPr="003316D7">
              <w:t>8.1</w:t>
            </w:r>
          </w:p>
        </w:tc>
      </w:tr>
    </w:tbl>
    <w:p w14:paraId="79972B10" w14:textId="231E82CC" w:rsidR="00004D2C" w:rsidRDefault="00C40594" w:rsidP="006E60A3">
      <w:r>
        <w:t xml:space="preserve">Whether the legislation should be changed to permit a managed investment trust to engage in crypto asset transactions, and whether crypto asset transactions should be covered by the capital election, is a policy issue for the Australian Government. </w:t>
      </w:r>
    </w:p>
    <w:p w14:paraId="0CAD9922" w14:textId="77777777" w:rsidR="00B22729" w:rsidRPr="00FA1A19" w:rsidRDefault="00B22729" w:rsidP="005B03FA">
      <w:pPr>
        <w:pStyle w:val="SingleParagraph"/>
      </w:pPr>
    </w:p>
    <w:tbl>
      <w:tblPr>
        <w:tblStyle w:val="ListTable3-Accent3"/>
        <w:tblW w:w="0" w:type="auto"/>
        <w:tblLook w:val="04A0" w:firstRow="1" w:lastRow="0" w:firstColumn="1" w:lastColumn="0" w:noHBand="0" w:noVBand="1"/>
      </w:tblPr>
      <w:tblGrid>
        <w:gridCol w:w="9631"/>
      </w:tblGrid>
      <w:tr w:rsidR="003316D7" w:rsidRPr="003316D7" w14:paraId="72CA3A62"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C0A50CA" w14:textId="3222BC91" w:rsidR="003316D7" w:rsidRPr="003316D7" w:rsidRDefault="00372633">
            <w:pPr>
              <w:pStyle w:val="BoxHeading1"/>
            </w:pPr>
            <w:r>
              <w:t>Observation </w:t>
            </w:r>
            <w:r w:rsidR="003316D7" w:rsidRPr="003316D7">
              <w:t>8.2</w:t>
            </w:r>
          </w:p>
        </w:tc>
      </w:tr>
    </w:tbl>
    <w:p w14:paraId="39076A89" w14:textId="77777777" w:rsidR="00280E88" w:rsidRDefault="00280E88" w:rsidP="00EF2F4C">
      <w:r>
        <w:t xml:space="preserve">SMSF trustees are currently facing challenges in complying with their obligations under the </w:t>
      </w:r>
      <w:r>
        <w:rPr>
          <w:rStyle w:val="Emphasis"/>
        </w:rPr>
        <w:t>Superannuation Industry (Supervision) Act 1993</w:t>
      </w:r>
      <w:r>
        <w:t xml:space="preserve"> and associated regulations.</w:t>
      </w:r>
    </w:p>
    <w:p w14:paraId="6C8EC9E8" w14:textId="77777777" w:rsidR="00280E88" w:rsidRDefault="00280E88" w:rsidP="00EF2F4C">
      <w:r>
        <w:t>Superannuation trustees who choose to engage in crypto asset transactions face similar income taxation issues as those faced by other taxpayers who choose to engage in crypto asset transactions. In addition, they must comply with applicable regulatory requirements.</w:t>
      </w:r>
    </w:p>
    <w:p w14:paraId="411093E9" w14:textId="09B2B629" w:rsidR="00004D2C" w:rsidRPr="00FA1A19" w:rsidRDefault="00280E88" w:rsidP="00280E88">
      <w:r>
        <w:t>It was put to the Board that crypto assets should be taxed to superannuation funds in the same way as shares, units in unit trusts and land for superannuation funds – that is, under the CGT provisions. It is the Board’s view that that adding a further exception to the treatment of superannuation fund held trading stock is not compelling.</w:t>
      </w:r>
    </w:p>
    <w:p w14:paraId="6C43DC47" w14:textId="77777777" w:rsidR="00741909" w:rsidRPr="00FA1A19" w:rsidRDefault="00741909" w:rsidP="00741909">
      <w:pPr>
        <w:pStyle w:val="SingleParagraph"/>
      </w:pPr>
    </w:p>
    <w:tbl>
      <w:tblPr>
        <w:tblStyle w:val="ListTable3-Accent3"/>
        <w:tblW w:w="0" w:type="auto"/>
        <w:tblLook w:val="04A0" w:firstRow="1" w:lastRow="0" w:firstColumn="1" w:lastColumn="0" w:noHBand="0" w:noVBand="1"/>
      </w:tblPr>
      <w:tblGrid>
        <w:gridCol w:w="9631"/>
      </w:tblGrid>
      <w:tr w:rsidR="003316D7" w:rsidRPr="003316D7" w14:paraId="3252197D"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4E948228" w14:textId="5CE56EB4" w:rsidR="003316D7" w:rsidRPr="003316D7" w:rsidRDefault="00372633">
            <w:pPr>
              <w:pStyle w:val="BoxHeading1"/>
            </w:pPr>
            <w:r>
              <w:t>Observation </w:t>
            </w:r>
            <w:r w:rsidR="003316D7" w:rsidRPr="003316D7">
              <w:t>8.3</w:t>
            </w:r>
          </w:p>
        </w:tc>
      </w:tr>
    </w:tbl>
    <w:p w14:paraId="297D6402" w14:textId="47F3622F" w:rsidR="00004D2C" w:rsidRDefault="00280E88" w:rsidP="0041249A">
      <w:r>
        <w:t>Various reforms in the area of charities and not</w:t>
      </w:r>
      <w:r>
        <w:noBreakHyphen/>
        <w:t>for</w:t>
      </w:r>
      <w:r>
        <w:noBreakHyphen/>
        <w:t>profit entities in relation to digital assets were suggested to the Board. It is the Board’s view that there are broader considerations involved than just taxation affecting charities and not</w:t>
      </w:r>
      <w:r>
        <w:noBreakHyphen/>
        <w:t>for</w:t>
      </w:r>
      <w:r>
        <w:noBreakHyphen/>
        <w:t>profit entities and as such these are matters of policy for the Australian Government to consider.</w:t>
      </w:r>
    </w:p>
    <w:p w14:paraId="286C945F" w14:textId="77777777" w:rsidR="005B03FA" w:rsidRPr="00FA1A19" w:rsidRDefault="005B03FA" w:rsidP="005B03FA">
      <w:pPr>
        <w:pStyle w:val="SingleParagraph"/>
      </w:pPr>
    </w:p>
    <w:tbl>
      <w:tblPr>
        <w:tblStyle w:val="ListTable3-Accent3"/>
        <w:tblW w:w="0" w:type="auto"/>
        <w:tblLook w:val="04A0" w:firstRow="1" w:lastRow="0" w:firstColumn="1" w:lastColumn="0" w:noHBand="0" w:noVBand="1"/>
      </w:tblPr>
      <w:tblGrid>
        <w:gridCol w:w="9631"/>
      </w:tblGrid>
      <w:tr w:rsidR="003316D7" w:rsidRPr="003316D7" w14:paraId="6C1BE841"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4E45F02E" w14:textId="49188CFF" w:rsidR="003316D7" w:rsidRPr="003316D7" w:rsidRDefault="00372633">
            <w:pPr>
              <w:pStyle w:val="BoxHeading1"/>
            </w:pPr>
            <w:r>
              <w:t>Observation </w:t>
            </w:r>
            <w:r w:rsidR="003316D7" w:rsidRPr="003316D7">
              <w:t>8.4</w:t>
            </w:r>
          </w:p>
        </w:tc>
      </w:tr>
    </w:tbl>
    <w:p w14:paraId="1A58F55E" w14:textId="77777777" w:rsidR="00280E88" w:rsidRDefault="00280E88" w:rsidP="00EF2F4C">
      <w:r>
        <w:t xml:space="preserve">Donations of crypto will be treated as donations of other forms of property, which gives rise to the same valuation issues for crypto as in other income tax contexts. However, there is an added complexity for donations of property held for more than 12 months and valued at more than $5,000, as the value must be determined by the Commissioner. </w:t>
      </w:r>
    </w:p>
    <w:p w14:paraId="3B7475FF" w14:textId="4F58A7CD" w:rsidR="00004D2C" w:rsidRPr="00FA1A19" w:rsidRDefault="00280E88" w:rsidP="00280E88">
      <w:r>
        <w:t>As this issue can be avoided by a taxpayer simply liquidating the crypto asset prior to donation, it is not apparent to the Board that any measure (whether legislative or administrative) is required to deal with this issue.</w:t>
      </w:r>
    </w:p>
    <w:p w14:paraId="571F736D" w14:textId="77777777" w:rsidR="00E93246" w:rsidRPr="00FA1A19" w:rsidRDefault="00E93246" w:rsidP="00E93246">
      <w:pPr>
        <w:pStyle w:val="SingleParagraph"/>
      </w:pPr>
    </w:p>
    <w:tbl>
      <w:tblPr>
        <w:tblStyle w:val="ListTable3-Accent3"/>
        <w:tblW w:w="0" w:type="auto"/>
        <w:tblLook w:val="04A0" w:firstRow="1" w:lastRow="0" w:firstColumn="1" w:lastColumn="0" w:noHBand="0" w:noVBand="1"/>
      </w:tblPr>
      <w:tblGrid>
        <w:gridCol w:w="9631"/>
      </w:tblGrid>
      <w:tr w:rsidR="003316D7" w:rsidRPr="003316D7" w14:paraId="28CD5218"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2BEC718F" w14:textId="0B7C75AA" w:rsidR="003316D7" w:rsidRPr="003316D7" w:rsidRDefault="00372633">
            <w:pPr>
              <w:pStyle w:val="BoxHeading1"/>
            </w:pPr>
            <w:r>
              <w:t>Observation </w:t>
            </w:r>
            <w:r w:rsidR="003316D7" w:rsidRPr="003316D7">
              <w:t>8.5</w:t>
            </w:r>
          </w:p>
        </w:tc>
      </w:tr>
    </w:tbl>
    <w:p w14:paraId="042B3DA0" w14:textId="77777777" w:rsidR="00280E88" w:rsidRDefault="00280E88" w:rsidP="00004D2C">
      <w:pPr>
        <w:rPr>
          <w:bCs/>
        </w:rPr>
      </w:pPr>
      <w:r>
        <w:t>The receipt, holding and distribution of crypto assets raise particular issues, including integrity and risk issues, for not</w:t>
      </w:r>
      <w:r>
        <w:noBreakHyphen/>
        <w:t>for</w:t>
      </w:r>
      <w:r>
        <w:noBreakHyphen/>
        <w:t>profit entities which may often be under</w:t>
      </w:r>
      <w:r>
        <w:noBreakHyphen/>
        <w:t xml:space="preserve">resourced and operated by volunteers without the expertise to deal in crypto assets. </w:t>
      </w:r>
    </w:p>
    <w:p w14:paraId="09E7C4FF" w14:textId="77777777" w:rsidR="00280E88" w:rsidRDefault="00280E88" w:rsidP="00004D2C">
      <w:pPr>
        <w:rPr>
          <w:bCs/>
        </w:rPr>
      </w:pPr>
      <w:r>
        <w:t>Holdings in crypto assets may also impact compliance obligations of public and private ancillary funds.</w:t>
      </w:r>
    </w:p>
    <w:p w14:paraId="0F24C33F" w14:textId="1DF38784" w:rsidR="00004D2C" w:rsidRPr="00004D2C" w:rsidRDefault="00280E88" w:rsidP="00004D2C">
      <w:r>
        <w:t>The interaction of crypto assets and transactions with the not</w:t>
      </w:r>
      <w:r>
        <w:noBreakHyphen/>
        <w:t>for</w:t>
      </w:r>
      <w:r>
        <w:noBreakHyphen/>
        <w:t>profit sector is an area that the Government may like to consider in the future.</w:t>
      </w:r>
    </w:p>
    <w:p w14:paraId="2E142270" w14:textId="5F6CE407" w:rsidR="009900BF" w:rsidRPr="00B809BB" w:rsidRDefault="009900BF" w:rsidP="00B809BB">
      <w:pPr>
        <w:pStyle w:val="Heading3"/>
      </w:pPr>
      <w:r w:rsidRPr="00B809BB">
        <w:t>Income Tax: Specific digital asset transactions</w:t>
      </w:r>
    </w:p>
    <w:tbl>
      <w:tblPr>
        <w:tblStyle w:val="ListTable3-Accent1"/>
        <w:tblW w:w="0" w:type="auto"/>
        <w:tblLook w:val="04A0" w:firstRow="1" w:lastRow="0" w:firstColumn="1" w:lastColumn="0" w:noHBand="0" w:noVBand="1"/>
      </w:tblPr>
      <w:tblGrid>
        <w:gridCol w:w="9631"/>
      </w:tblGrid>
      <w:tr w:rsidR="003316D7" w:rsidRPr="003316D7" w14:paraId="6273AA53"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0C3CBF1" w14:textId="496ED23C" w:rsidR="003316D7" w:rsidRPr="003316D7" w:rsidRDefault="00372633">
            <w:pPr>
              <w:pStyle w:val="BoxHeading1"/>
            </w:pPr>
            <w:r>
              <w:t>Recommendation </w:t>
            </w:r>
            <w:r w:rsidR="003316D7" w:rsidRPr="003316D7">
              <w:t>9.1</w:t>
            </w:r>
          </w:p>
        </w:tc>
      </w:tr>
    </w:tbl>
    <w:p w14:paraId="0C9D7175" w14:textId="77777777" w:rsidR="002B58B7" w:rsidRDefault="002B58B7" w:rsidP="002B58B7">
      <w:r>
        <w:t>The ATO’s guidance to cryptocurrency miners predominantly concludes that they receive and hold cryptocurrency as trading stock. This does not appear to deal with the situation where cryptocurrency miners intend to hold the cryptocurrency that they receive, rather than sell it. The ATO’s guidance also does not appear to deal with the component of the mining reward attributable to transaction fees, rather than newly</w:t>
      </w:r>
      <w:r>
        <w:noBreakHyphen/>
        <w:t>minted cryptocurrency.</w:t>
      </w:r>
    </w:p>
    <w:p w14:paraId="10491CD6" w14:textId="7241FE30" w:rsidR="00004D2C" w:rsidRPr="00FA1A19" w:rsidRDefault="002B58B7" w:rsidP="002B58B7">
      <w:r>
        <w:t>The Board recommends that the ATO in consultation with industry stakeholders and taxpayer representative groups including the Crypto Industry Working Group develop comprehensive guidance as to the tax consequences for cryptocurrency mining activities upon which taxpayers who engage in mining can rely to ensure that their tax disclosures will be acceptable to the ATO.</w:t>
      </w:r>
    </w:p>
    <w:p w14:paraId="726945E9" w14:textId="77777777" w:rsidR="000C75FF" w:rsidRPr="00FA1A19" w:rsidRDefault="000C75FF" w:rsidP="000C75FF">
      <w:pPr>
        <w:pStyle w:val="SingleParagraph"/>
      </w:pPr>
    </w:p>
    <w:tbl>
      <w:tblPr>
        <w:tblStyle w:val="ListTable3-Accent1"/>
        <w:tblW w:w="0" w:type="auto"/>
        <w:tblLook w:val="04A0" w:firstRow="1" w:lastRow="0" w:firstColumn="1" w:lastColumn="0" w:noHBand="0" w:noVBand="1"/>
      </w:tblPr>
      <w:tblGrid>
        <w:gridCol w:w="9631"/>
      </w:tblGrid>
      <w:tr w:rsidR="003316D7" w:rsidRPr="003316D7" w14:paraId="7917A662"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D6C26C2" w14:textId="55E04956" w:rsidR="003316D7" w:rsidRPr="003316D7" w:rsidRDefault="00372633">
            <w:pPr>
              <w:pStyle w:val="BoxHeading1"/>
            </w:pPr>
            <w:r>
              <w:t>Recommendation </w:t>
            </w:r>
            <w:r w:rsidR="003316D7" w:rsidRPr="003316D7">
              <w:t>9.2</w:t>
            </w:r>
          </w:p>
        </w:tc>
      </w:tr>
    </w:tbl>
    <w:p w14:paraId="1173B9F8" w14:textId="77777777" w:rsidR="002B58B7" w:rsidRDefault="002B58B7" w:rsidP="00EF2F4C">
      <w:r>
        <w:t>The ATO’s guidance to cryptocurrency stakers/validators concludes that the cryptocurrency rewards from staking are received as income on revenue account (being a return on their ‘stake’), with the amount assessed equivalent to the value of the cryptocurrency received.</w:t>
      </w:r>
    </w:p>
    <w:p w14:paraId="1FB22501" w14:textId="77777777" w:rsidR="002B58B7" w:rsidRDefault="002B58B7" w:rsidP="00EF2F4C">
      <w:r>
        <w:t xml:space="preserve">This treatment is different to the treatment of mining rewards, due to the different manner in which staking and mining activities are undertaken. </w:t>
      </w:r>
    </w:p>
    <w:p w14:paraId="71E5D705" w14:textId="1C06DF88" w:rsidR="00004D2C" w:rsidRPr="00FA1A19" w:rsidRDefault="002B58B7" w:rsidP="002B58B7">
      <w:r>
        <w:t>The Board recommends that the ATO in consultation with industry stakeholders and taxpayer representative groups including the Crypto Industry Working Group develop comprehensive guidance as to the tax consequences for cryptocurrency staking/validating activities upon which taxpayers who engage in staking/validating can rely to ensure that their tax disclosures will be acceptable to the ATO.</w:t>
      </w:r>
    </w:p>
    <w:p w14:paraId="6EFE23B0" w14:textId="77777777" w:rsidR="00A91736" w:rsidRPr="00FA1A19" w:rsidRDefault="00A91736" w:rsidP="00A91736">
      <w:pPr>
        <w:pStyle w:val="SingleParagraph"/>
      </w:pPr>
    </w:p>
    <w:tbl>
      <w:tblPr>
        <w:tblStyle w:val="ListTable3-Accent1"/>
        <w:tblW w:w="0" w:type="auto"/>
        <w:tblLook w:val="04A0" w:firstRow="1" w:lastRow="0" w:firstColumn="1" w:lastColumn="0" w:noHBand="0" w:noVBand="1"/>
      </w:tblPr>
      <w:tblGrid>
        <w:gridCol w:w="9631"/>
      </w:tblGrid>
      <w:tr w:rsidR="003316D7" w:rsidRPr="003316D7" w14:paraId="2A99F093"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CB659A5" w14:textId="4061A6B2" w:rsidR="003316D7" w:rsidRPr="003316D7" w:rsidRDefault="00372633">
            <w:pPr>
              <w:pStyle w:val="BoxHeading1"/>
            </w:pPr>
            <w:r>
              <w:t>Recommendation </w:t>
            </w:r>
            <w:r w:rsidR="003316D7" w:rsidRPr="003316D7">
              <w:t>9.3</w:t>
            </w:r>
          </w:p>
        </w:tc>
      </w:tr>
    </w:tbl>
    <w:p w14:paraId="6E60E1B1" w14:textId="190D8F86" w:rsidR="00004D2C" w:rsidRDefault="002B58B7" w:rsidP="0041249A">
      <w:r>
        <w:t>The Board does not recommend any legislative change to deal with airdrops, but recommends that the ATO in consultation with industry stakeholders and taxpayer representative groups including the Crypto Industry Working Group develop further guidance that deals with airdrops in different circumstances, upon which taxpayers can rely to ensure that their tax disclosures will be acceptable to the ATO.</w:t>
      </w:r>
    </w:p>
    <w:p w14:paraId="7ADF31BC" w14:textId="77777777" w:rsidR="00F67BDA" w:rsidRPr="00FA1A19" w:rsidRDefault="00F67BDA" w:rsidP="006E60A3">
      <w:pPr>
        <w:pStyle w:val="SingleParagraph"/>
      </w:pPr>
    </w:p>
    <w:tbl>
      <w:tblPr>
        <w:tblStyle w:val="ListTable3-Accent1"/>
        <w:tblW w:w="0" w:type="auto"/>
        <w:tblLook w:val="04A0" w:firstRow="1" w:lastRow="0" w:firstColumn="1" w:lastColumn="0" w:noHBand="0" w:noVBand="1"/>
      </w:tblPr>
      <w:tblGrid>
        <w:gridCol w:w="9631"/>
      </w:tblGrid>
      <w:tr w:rsidR="003316D7" w:rsidRPr="003316D7" w14:paraId="47C66BDD"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067EC133" w14:textId="55A19EA3" w:rsidR="003316D7" w:rsidRPr="003316D7" w:rsidRDefault="00372633">
            <w:pPr>
              <w:pStyle w:val="BoxHeading1"/>
            </w:pPr>
            <w:r>
              <w:t>Recommendation </w:t>
            </w:r>
            <w:r w:rsidR="003316D7" w:rsidRPr="003316D7">
              <w:t>9.4</w:t>
            </w:r>
          </w:p>
        </w:tc>
      </w:tr>
    </w:tbl>
    <w:p w14:paraId="4AE5910E" w14:textId="77777777" w:rsidR="00F639FD" w:rsidRDefault="00F639FD" w:rsidP="00F639FD">
      <w:pPr>
        <w:rPr>
          <w:bCs/>
        </w:rPr>
      </w:pPr>
      <w:r>
        <w:t>The Board considers that there is significant complexity for users in identifying potential changes in legal and beneficial ownership where wrapping and bridging occurs.</w:t>
      </w:r>
    </w:p>
    <w:p w14:paraId="1136C6A3" w14:textId="42B6ADE8" w:rsidR="00004D2C" w:rsidRPr="00FA1A19" w:rsidRDefault="00F639FD" w:rsidP="00F639FD">
      <w:pPr>
        <w:rPr>
          <w:bCs/>
        </w:rPr>
      </w:pPr>
      <w:r>
        <w:t xml:space="preserve">At this stage, the Board does not recommend any immediate legislative changes with respect to wrapping and bridging transactions. However, the Board recommends that the ATO provide more detailed guidance, upon which taxpayers can rely to ensure that their taxation disclosures will be acceptable to the ATO, in relation to wrapping and bridging, with particular reference to the specific characteristics that would be identifiable by a taxpayer to determine whether or not a taxing event has occurred. </w:t>
      </w:r>
    </w:p>
    <w:p w14:paraId="5DE18911" w14:textId="77777777" w:rsidR="00282874" w:rsidRPr="00FA1A19" w:rsidRDefault="00282874" w:rsidP="00282874">
      <w:pPr>
        <w:pStyle w:val="SingleParagraph"/>
      </w:pPr>
    </w:p>
    <w:tbl>
      <w:tblPr>
        <w:tblStyle w:val="ListTable3-Accent1"/>
        <w:tblW w:w="0" w:type="auto"/>
        <w:tblLook w:val="04A0" w:firstRow="1" w:lastRow="0" w:firstColumn="1" w:lastColumn="0" w:noHBand="0" w:noVBand="1"/>
      </w:tblPr>
      <w:tblGrid>
        <w:gridCol w:w="9631"/>
      </w:tblGrid>
      <w:tr w:rsidR="003316D7" w:rsidRPr="003316D7" w14:paraId="3AF2BB51"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653766B" w14:textId="704FBC83" w:rsidR="003316D7" w:rsidRPr="003316D7" w:rsidRDefault="00372633">
            <w:pPr>
              <w:pStyle w:val="BoxHeading1"/>
            </w:pPr>
            <w:r>
              <w:t>Recommendation </w:t>
            </w:r>
            <w:r w:rsidR="003316D7" w:rsidRPr="003316D7">
              <w:t>9.5</w:t>
            </w:r>
          </w:p>
        </w:tc>
      </w:tr>
    </w:tbl>
    <w:p w14:paraId="1E466113" w14:textId="77777777" w:rsidR="00F639FD" w:rsidRDefault="00F639FD" w:rsidP="00EF2F4C">
      <w:r>
        <w:t xml:space="preserve">In light of the complexity and the quickly and continually evolving nature of crypto asset transactions and DeFi in particular, the Board recommends that, at this time, there be no new legislation to establish a new and prescriptive taxation regime to deal with crypto and in particular DeFi transactions (including bridging and wrapping). The Board considers that new legislation at this time would lead to more complexity, potentially more uncertainty, and would put in place a regime that may require continual amendment as the crypto ecosystem develops. </w:t>
      </w:r>
    </w:p>
    <w:p w14:paraId="4832A7E2" w14:textId="1E2A184E" w:rsidR="00004D2C" w:rsidRDefault="00F639FD" w:rsidP="00F639FD">
      <w:r>
        <w:t xml:space="preserve">As noted in </w:t>
      </w:r>
      <w:r w:rsidR="00372633">
        <w:t>Recommendation </w:t>
      </w:r>
      <w:r>
        <w:t>9.4, the Board recommends that the ATO provide more detailed guidance, upon which taxpayers can rely to ensure that their taxation disclosures will be acceptable to the ATO, in relation to wrapping and bridging. Acknowledging that the Board has heard a number of concerns as to the manner in which the current taxation rules operate, once that guidance is provided, the Board recommends that this issue is reviewed further to confirm that the rules are operating appropriately.</w:t>
      </w:r>
    </w:p>
    <w:p w14:paraId="3CA4C253" w14:textId="77777777" w:rsidR="005B03FA" w:rsidRPr="00FA1A19" w:rsidRDefault="005B03FA" w:rsidP="005B03FA">
      <w:pPr>
        <w:pStyle w:val="SingleParagraph"/>
      </w:pPr>
    </w:p>
    <w:tbl>
      <w:tblPr>
        <w:tblStyle w:val="ListTable3-Accent1"/>
        <w:tblW w:w="0" w:type="auto"/>
        <w:tblLook w:val="04A0" w:firstRow="1" w:lastRow="0" w:firstColumn="1" w:lastColumn="0" w:noHBand="0" w:noVBand="1"/>
      </w:tblPr>
      <w:tblGrid>
        <w:gridCol w:w="9631"/>
      </w:tblGrid>
      <w:tr w:rsidR="003316D7" w:rsidRPr="003316D7" w14:paraId="3425FF74"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5933D2AC" w14:textId="405E7F9E" w:rsidR="003316D7" w:rsidRPr="003316D7" w:rsidRDefault="00372633">
            <w:pPr>
              <w:pStyle w:val="BoxHeading1"/>
            </w:pPr>
            <w:r>
              <w:t>Recommendation </w:t>
            </w:r>
            <w:r w:rsidR="003316D7" w:rsidRPr="003316D7">
              <w:t>9.6</w:t>
            </w:r>
          </w:p>
        </w:tc>
      </w:tr>
    </w:tbl>
    <w:p w14:paraId="34775743" w14:textId="77777777" w:rsidR="00F639FD" w:rsidRDefault="00F639FD" w:rsidP="00EF2F4C">
      <w:pPr>
        <w:rPr>
          <w:bCs/>
        </w:rPr>
      </w:pPr>
      <w:r>
        <w:t>The ATO’s guidance in relation to chain splits/hard forks do not consider a number of matters including the potential application of section 112</w:t>
      </w:r>
      <w:r>
        <w:noBreakHyphen/>
        <w:t>25 of the ITAA 1997, any difference in treatment between chain splits/hard forks and soft forks, or the consequences of a chain split where the taxpayer holds the tokens on revenue account.</w:t>
      </w:r>
    </w:p>
    <w:p w14:paraId="034B1FF5" w14:textId="21B140A1" w:rsidR="00004D2C" w:rsidRPr="00004D2C" w:rsidRDefault="00F639FD" w:rsidP="00004D2C">
      <w:r>
        <w:t>The Board recommends that the ATO consider these matters and issue further guidance in relation to the treatment of forks on which taxpayers can rely to ensure their tax disclosures will be acceptable to the ATO.</w:t>
      </w:r>
    </w:p>
    <w:p w14:paraId="0ED31019" w14:textId="6E9994F3" w:rsidR="009900BF" w:rsidRPr="00FA1A19" w:rsidRDefault="003E34B4" w:rsidP="00DB44EF">
      <w:pPr>
        <w:pStyle w:val="Heading3"/>
      </w:pPr>
      <w:r w:rsidRPr="00FA1A19">
        <w:t>Goods and services tax</w:t>
      </w:r>
    </w:p>
    <w:tbl>
      <w:tblPr>
        <w:tblStyle w:val="ListTable3-Accent1"/>
        <w:tblW w:w="0" w:type="auto"/>
        <w:tblLook w:val="04A0" w:firstRow="1" w:lastRow="0" w:firstColumn="1" w:lastColumn="0" w:noHBand="0" w:noVBand="1"/>
      </w:tblPr>
      <w:tblGrid>
        <w:gridCol w:w="9631"/>
      </w:tblGrid>
      <w:tr w:rsidR="003316D7" w:rsidRPr="003316D7" w14:paraId="58549C8B"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4D01C7A3" w14:textId="71EF5C9D" w:rsidR="003316D7" w:rsidRPr="003316D7" w:rsidRDefault="00372633">
            <w:pPr>
              <w:pStyle w:val="BoxHeading1"/>
            </w:pPr>
            <w:r>
              <w:t>Recommendation </w:t>
            </w:r>
            <w:r w:rsidR="003316D7" w:rsidRPr="003316D7">
              <w:t>10.1</w:t>
            </w:r>
          </w:p>
        </w:tc>
      </w:tr>
    </w:tbl>
    <w:p w14:paraId="71779336" w14:textId="4FF2EA00" w:rsidR="00004D2C" w:rsidRDefault="00062EAE" w:rsidP="0041249A">
      <w:r>
        <w:t xml:space="preserve">The July 2023 update to ATO web guidance confirming the GST treatment of a stablecoin as a derivative is welcome however stakeholder feedback is that greater certainty is needed. The Board recommends that the position is confirmed through an update to GSTR 2002/2 or other binding guidance. </w:t>
      </w:r>
    </w:p>
    <w:p w14:paraId="2218B745" w14:textId="77777777" w:rsidR="005B03FA" w:rsidRPr="00FA1A19" w:rsidRDefault="005B03FA" w:rsidP="005B03FA">
      <w:pPr>
        <w:pStyle w:val="SingleParagraph"/>
      </w:pPr>
    </w:p>
    <w:tbl>
      <w:tblPr>
        <w:tblStyle w:val="ListTable3-Accent1"/>
        <w:tblW w:w="0" w:type="auto"/>
        <w:tblLook w:val="04A0" w:firstRow="1" w:lastRow="0" w:firstColumn="1" w:lastColumn="0" w:noHBand="0" w:noVBand="1"/>
      </w:tblPr>
      <w:tblGrid>
        <w:gridCol w:w="9631"/>
      </w:tblGrid>
      <w:tr w:rsidR="003316D7" w:rsidRPr="003316D7" w14:paraId="02B20F98"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7E2C4077" w14:textId="33099F4A" w:rsidR="003316D7" w:rsidRPr="003316D7" w:rsidRDefault="00372633">
            <w:pPr>
              <w:pStyle w:val="BoxHeading1"/>
            </w:pPr>
            <w:r>
              <w:t>Recommendation </w:t>
            </w:r>
            <w:r w:rsidR="003316D7" w:rsidRPr="003316D7">
              <w:t>10.2</w:t>
            </w:r>
          </w:p>
        </w:tc>
      </w:tr>
    </w:tbl>
    <w:p w14:paraId="587DED52" w14:textId="63C773A5" w:rsidR="00004D2C" w:rsidRDefault="00062EAE" w:rsidP="006E60A3">
      <w:r>
        <w:t>NFTs comprise a broad and diverse group of assets and rights that cannot always be linked to an underlying asset, or that may have royalty</w:t>
      </w:r>
      <w:r>
        <w:noBreakHyphen/>
        <w:t xml:space="preserve">style payments embedded into them. These features create complexity and uncertainty for taxpayers as to their GST responsibilities. It is therefore recommended that the ATO, in consultation with industry stakeholders and taxpayer representative groups including the Crypto Industry Working Group, develop further public guidance to clarify how common types of NFTs (such as artworks, tickets etc) and the associated transactions should be treated for GST purposes. </w:t>
      </w:r>
    </w:p>
    <w:p w14:paraId="020D9A9B" w14:textId="77777777" w:rsidR="00587702" w:rsidRPr="00FA1A19" w:rsidRDefault="00587702" w:rsidP="005B03FA">
      <w:pPr>
        <w:pStyle w:val="SingleParagraph"/>
      </w:pPr>
    </w:p>
    <w:tbl>
      <w:tblPr>
        <w:tblStyle w:val="ListTable3-Accent1"/>
        <w:tblW w:w="0" w:type="auto"/>
        <w:tblLook w:val="04A0" w:firstRow="1" w:lastRow="0" w:firstColumn="1" w:lastColumn="0" w:noHBand="0" w:noVBand="1"/>
      </w:tblPr>
      <w:tblGrid>
        <w:gridCol w:w="9631"/>
      </w:tblGrid>
      <w:tr w:rsidR="003316D7" w:rsidRPr="003316D7" w14:paraId="1FCB0799"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0C2919AF" w14:textId="4E96AFF0" w:rsidR="003316D7" w:rsidRPr="003316D7" w:rsidRDefault="00372633">
            <w:pPr>
              <w:pStyle w:val="BoxHeading1"/>
            </w:pPr>
            <w:r>
              <w:t>Recommendation </w:t>
            </w:r>
            <w:r w:rsidR="003316D7" w:rsidRPr="003316D7">
              <w:t>10.3</w:t>
            </w:r>
          </w:p>
        </w:tc>
      </w:tr>
    </w:tbl>
    <w:p w14:paraId="4C20C4B3" w14:textId="417CF941" w:rsidR="00062EAE" w:rsidRDefault="00062EAE" w:rsidP="00EF2F4C">
      <w:r>
        <w:t xml:space="preserve">Subsequent to </w:t>
      </w:r>
      <w:r w:rsidR="00372633">
        <w:t>Recommendation </w:t>
      </w:r>
      <w:r>
        <w:t xml:space="preserve">10.2 it is recommended that further investigation and work be undertaken as to whether further clarification regarding the treatment of NFTs is needed and if so, how these assets should be categorised for GST purposes. </w:t>
      </w:r>
    </w:p>
    <w:p w14:paraId="681D9C92" w14:textId="60836256" w:rsidR="00004D2C" w:rsidRPr="00FA1A19" w:rsidRDefault="00062EAE" w:rsidP="00062EAE">
      <w:r>
        <w:t xml:space="preserve">If clarity and certainty regarding the treatment of NFTs cannot be achieved through further guidance and/or administrative solutions, the Government could consider legislative change if it considers this appropriate, but the Board does not recommend any legislative change at this stage. For further, see </w:t>
      </w:r>
      <w:r w:rsidR="00372633">
        <w:t>Chapter </w:t>
      </w:r>
      <w:r>
        <w:t xml:space="preserve">13 of this Report. </w:t>
      </w:r>
    </w:p>
    <w:p w14:paraId="22689A07" w14:textId="77777777" w:rsidR="006E60A3" w:rsidRPr="00FA1A19" w:rsidRDefault="006E60A3" w:rsidP="006E60A3">
      <w:pPr>
        <w:pStyle w:val="SingleParagraph"/>
      </w:pPr>
    </w:p>
    <w:tbl>
      <w:tblPr>
        <w:tblStyle w:val="ListTable3-Accent1"/>
        <w:tblW w:w="0" w:type="auto"/>
        <w:tblLook w:val="04A0" w:firstRow="1" w:lastRow="0" w:firstColumn="1" w:lastColumn="0" w:noHBand="0" w:noVBand="1"/>
      </w:tblPr>
      <w:tblGrid>
        <w:gridCol w:w="9631"/>
      </w:tblGrid>
      <w:tr w:rsidR="003316D7" w:rsidRPr="003316D7" w14:paraId="0148BF05"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5AE7845" w14:textId="442A1EDF" w:rsidR="003316D7" w:rsidRPr="003316D7" w:rsidRDefault="00372633">
            <w:pPr>
              <w:pStyle w:val="BoxHeading1"/>
            </w:pPr>
            <w:r>
              <w:t>Recommendation </w:t>
            </w:r>
            <w:r w:rsidR="003316D7" w:rsidRPr="003316D7">
              <w:t>10.4</w:t>
            </w:r>
          </w:p>
        </w:tc>
      </w:tr>
    </w:tbl>
    <w:p w14:paraId="4593607D" w14:textId="77777777" w:rsidR="00EE6C1F" w:rsidRDefault="00EE6C1F" w:rsidP="00EF2F4C">
      <w:r>
        <w:t>The Board has received feedback that taxpayers are not able to currently comply with their obligations under the GST law. The Board considers that a more correct reflection is that taxpayers may not be able to prove that certain supplies are not connected with Australia in order to be GST</w:t>
      </w:r>
      <w:r>
        <w:noBreakHyphen/>
        <w:t>free under the law. In such cases, the Board considers the treatment should administratively default to either input</w:t>
      </w:r>
      <w:r>
        <w:noBreakHyphen/>
        <w:t>taxed or taxable (depending on the applicable circumstances). If this administrative default applies, the Board considers that taxpayers are able to comply with their obligations under the GST law.</w:t>
      </w:r>
    </w:p>
    <w:p w14:paraId="41E98176" w14:textId="77777777" w:rsidR="00EE6C1F" w:rsidRDefault="00EE6C1F" w:rsidP="00EF2F4C">
      <w:r>
        <w:t>The Board recommends that the ATO consider this matter and in particular the correct outcome if taxpayers cannot prove that supplies are GST</w:t>
      </w:r>
      <w:r>
        <w:noBreakHyphen/>
        <w:t>free. If the ATO agrees with the Board’s view in relation to the application of an administrative default treatment, the Board recommends that the ATO issue guidance that reflects this outcome.</w:t>
      </w:r>
    </w:p>
    <w:p w14:paraId="398F8149" w14:textId="2E3261AD" w:rsidR="00004D2C" w:rsidRPr="00004D2C" w:rsidRDefault="00EE6C1F" w:rsidP="00004D2C">
      <w:r>
        <w:t xml:space="preserve">If this issue is still unresolved after further consideration, the Government could consider legislative change if appropriate, but the Board does not recommend any legislative change at this stage. For further information, see </w:t>
      </w:r>
      <w:r w:rsidR="00372633">
        <w:t>Chapter </w:t>
      </w:r>
      <w:r>
        <w:t>13 of this Report.</w:t>
      </w:r>
    </w:p>
    <w:p w14:paraId="552163E6" w14:textId="03AE38B5" w:rsidR="003E34B4" w:rsidRPr="00FA1A19" w:rsidRDefault="003E34B4" w:rsidP="00572335">
      <w:pPr>
        <w:pStyle w:val="Heading3"/>
      </w:pPr>
      <w:r w:rsidRPr="00FA1A19">
        <w:t>Record keeping and tax compliance</w:t>
      </w:r>
    </w:p>
    <w:tbl>
      <w:tblPr>
        <w:tblStyle w:val="ListTable3-Accent1"/>
        <w:tblW w:w="0" w:type="auto"/>
        <w:tblLook w:val="04A0" w:firstRow="1" w:lastRow="0" w:firstColumn="1" w:lastColumn="0" w:noHBand="0" w:noVBand="1"/>
      </w:tblPr>
      <w:tblGrid>
        <w:gridCol w:w="9631"/>
      </w:tblGrid>
      <w:tr w:rsidR="003316D7" w:rsidRPr="003316D7" w14:paraId="6893B7B5"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58FCC0C" w14:textId="57D3044C" w:rsidR="003316D7" w:rsidRPr="003316D7" w:rsidRDefault="00372633">
            <w:pPr>
              <w:pStyle w:val="BoxHeading1"/>
            </w:pPr>
            <w:r>
              <w:t>Recommendation </w:t>
            </w:r>
            <w:r w:rsidR="003316D7" w:rsidRPr="003316D7">
              <w:t>11.1</w:t>
            </w:r>
          </w:p>
        </w:tc>
      </w:tr>
    </w:tbl>
    <w:p w14:paraId="1B162481" w14:textId="77777777" w:rsidR="00EE6C1F" w:rsidRDefault="00EE6C1F" w:rsidP="00EF2F4C">
      <w:r>
        <w:t>The Board observes that until there is widespread, consistent, and timely implementation of an international standard for crypto</w:t>
      </w:r>
      <w:r>
        <w:noBreakHyphen/>
        <w:t xml:space="preserve">asset reporting, taxpayers will be faced with ongoing challenges in obtaining information in relation to their crypto asset holdings, which may include information relating to required tax disclosures. </w:t>
      </w:r>
    </w:p>
    <w:p w14:paraId="3B8322B5" w14:textId="0FC81C34" w:rsidR="00EE6C1F" w:rsidRDefault="00EE6C1F" w:rsidP="00EF2F4C">
      <w:pPr>
        <w:rPr>
          <w:bCs/>
        </w:rPr>
      </w:pPr>
      <w:r>
        <w:t>It is important that taxpayers understand these issues and the actions that can be taken to minimise the associated risks, both for making tax disclosures and retaining sufficient supporting records. This is particularly relevant for demonstrating to the ATO that reasonable care has been taken in arriving at tax positions, which can be relevant to the level of tax penalties that may arise on resulting tax shortfalls.</w:t>
      </w:r>
    </w:p>
    <w:p w14:paraId="30D75C49" w14:textId="77777777" w:rsidR="00EE6C1F" w:rsidRDefault="00EE6C1F" w:rsidP="00EF2F4C">
      <w:pPr>
        <w:rPr>
          <w:bCs/>
        </w:rPr>
      </w:pPr>
      <w:r>
        <w:t>Whilst acknowledging this taxpayer responsibility, the Board also acknowledges the difficulties faced by taxpayers in light of the information challenges in the new and developing crypto ecosystem.</w:t>
      </w:r>
    </w:p>
    <w:p w14:paraId="50FC30E3" w14:textId="30933221" w:rsidR="00EE6C1F" w:rsidRDefault="00EE6C1F" w:rsidP="00EE6C1F">
      <w:pPr>
        <w:spacing w:before="0" w:after="0"/>
        <w:rPr>
          <w:rFonts w:ascii="Times New Roman" w:hAnsi="Times New Roman"/>
          <w:sz w:val="24"/>
          <w:szCs w:val="24"/>
        </w:rPr>
      </w:pPr>
      <w:r>
        <w:t>Accordingly, the Board recommends that the ATO consider whether it is possible to, in consultation with industry stakeholders and taxpayer representative groups including the Crypto Industry Working Group, develop guidance for taxpayers that rely upon data from crypto exchanges to determine their tax positions, as to how they might comply with appropriate record keeping requirements including for the purposes of, for example, demonstrating that the taxpayer has acted with reasonable care.</w:t>
      </w:r>
      <w:r>
        <w:rPr>
          <w:rStyle w:val="FootnoteReference"/>
        </w:rPr>
        <w:t xml:space="preserve"> </w:t>
      </w:r>
    </w:p>
    <w:p w14:paraId="1B484D97" w14:textId="77777777" w:rsidR="003C63D9" w:rsidRPr="00FA1A19" w:rsidRDefault="003C63D9" w:rsidP="00582FA4">
      <w:pPr>
        <w:pStyle w:val="SingleParagraph"/>
      </w:pPr>
    </w:p>
    <w:tbl>
      <w:tblPr>
        <w:tblStyle w:val="ListTable4-Accent1"/>
        <w:tblW w:w="0" w:type="auto"/>
        <w:tblLook w:val="04A0" w:firstRow="1" w:lastRow="0" w:firstColumn="1" w:lastColumn="0" w:noHBand="0" w:noVBand="1"/>
      </w:tblPr>
      <w:tblGrid>
        <w:gridCol w:w="9631"/>
      </w:tblGrid>
      <w:tr w:rsidR="003316D7" w:rsidRPr="003316D7" w14:paraId="537EFE6F"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0E11949D" w14:textId="497C3957" w:rsidR="003316D7" w:rsidRPr="003316D7" w:rsidRDefault="00372633" w:rsidP="003316D7">
            <w:pPr>
              <w:pStyle w:val="BoxHeading1"/>
            </w:pPr>
            <w:r>
              <w:t>Recommendation </w:t>
            </w:r>
            <w:r w:rsidR="003316D7" w:rsidRPr="003316D7">
              <w:t>11.2</w:t>
            </w:r>
          </w:p>
        </w:tc>
      </w:tr>
    </w:tbl>
    <w:p w14:paraId="13B60493" w14:textId="77777777" w:rsidR="0052478C" w:rsidRDefault="0052478C" w:rsidP="00EF2F4C">
      <w:r>
        <w:t>It is important that taxpayers understand the limitations in any software tools that they are using to substantiate their tax positions, and the associated impact on their meeting their tax obligations. The Board recognises that ultimately, it is the responsibility of taxpayers to comply with the taxation obligations that arise from their activities.</w:t>
      </w:r>
    </w:p>
    <w:p w14:paraId="48DA2549" w14:textId="77777777" w:rsidR="0052478C" w:rsidRDefault="0052478C" w:rsidP="00EF2F4C">
      <w:r>
        <w:t>Whilst acknowledging this taxpayer responsibility, the Board also acknowledges the difficulties faced by taxpayers in light of the information challenges in the new and developing crypto ecosystem.</w:t>
      </w:r>
    </w:p>
    <w:p w14:paraId="0ED381DD" w14:textId="3A56A07B" w:rsidR="00004D2C" w:rsidRPr="00FA1A19" w:rsidRDefault="0052478C" w:rsidP="0052478C">
      <w:r>
        <w:t xml:space="preserve">Accordingly, the Board recommends that the ATO consider whether there are any steps that it can take, in consultation with industry stakeholders and taxpayer representative groups including the Crypto Industry Working Group (and including representatives of crypto asset tax software providers), to provide guidance to assist in improving the useability, coverage and outputs associated with crypto tax software. </w:t>
      </w:r>
    </w:p>
    <w:p w14:paraId="6F51B23A" w14:textId="77777777" w:rsidR="005B03FA" w:rsidRPr="00FA1A19" w:rsidRDefault="005B03FA" w:rsidP="005B03FA">
      <w:pPr>
        <w:pStyle w:val="SingleParagraph"/>
      </w:pPr>
    </w:p>
    <w:tbl>
      <w:tblPr>
        <w:tblStyle w:val="ListTable3-Accent1"/>
        <w:tblW w:w="0" w:type="auto"/>
        <w:tblLook w:val="04A0" w:firstRow="1" w:lastRow="0" w:firstColumn="1" w:lastColumn="0" w:noHBand="0" w:noVBand="1"/>
      </w:tblPr>
      <w:tblGrid>
        <w:gridCol w:w="9631"/>
      </w:tblGrid>
      <w:tr w:rsidR="003316D7" w:rsidRPr="003316D7" w14:paraId="2AA1D53B"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DFD548F" w14:textId="3DA3BEC1" w:rsidR="003316D7" w:rsidRPr="003316D7" w:rsidRDefault="00372633">
            <w:pPr>
              <w:pStyle w:val="BoxHeading1"/>
            </w:pPr>
            <w:r>
              <w:t>Recommendation </w:t>
            </w:r>
            <w:r w:rsidR="003316D7" w:rsidRPr="003316D7">
              <w:t>11.3</w:t>
            </w:r>
          </w:p>
        </w:tc>
      </w:tr>
    </w:tbl>
    <w:p w14:paraId="790BBB0D" w14:textId="6CF3212D" w:rsidR="00004D2C" w:rsidRDefault="0052478C" w:rsidP="006E60A3">
      <w:r>
        <w:t xml:space="preserve">The Board recommends that the ATO consult with industry stakeholders and taxpayer representative groups, the Crypto Industry Working Group and crypto exchanges to identify and implement improvements to the data matching of exchange data, with particular reference to identifying information used for data matching. </w:t>
      </w:r>
    </w:p>
    <w:p w14:paraId="4C82C6F9" w14:textId="77777777" w:rsidR="008D5F53" w:rsidRPr="00FA1A19" w:rsidRDefault="008D5F53" w:rsidP="00C17225">
      <w:pPr>
        <w:pStyle w:val="SingleParagraph"/>
      </w:pPr>
    </w:p>
    <w:tbl>
      <w:tblPr>
        <w:tblStyle w:val="ListTable3-Accent1"/>
        <w:tblW w:w="0" w:type="auto"/>
        <w:tblLook w:val="04A0" w:firstRow="1" w:lastRow="0" w:firstColumn="1" w:lastColumn="0" w:noHBand="0" w:noVBand="1"/>
      </w:tblPr>
      <w:tblGrid>
        <w:gridCol w:w="9631"/>
      </w:tblGrid>
      <w:tr w:rsidR="003316D7" w:rsidRPr="003316D7" w14:paraId="7C029A1C"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2891CA17" w14:textId="38359885" w:rsidR="003316D7" w:rsidRPr="003316D7" w:rsidRDefault="00372633">
            <w:pPr>
              <w:pStyle w:val="BoxHeading1"/>
            </w:pPr>
            <w:r>
              <w:t>Recommendation </w:t>
            </w:r>
            <w:r w:rsidR="003316D7" w:rsidRPr="003316D7">
              <w:t>11.4</w:t>
            </w:r>
          </w:p>
        </w:tc>
      </w:tr>
    </w:tbl>
    <w:p w14:paraId="653D4D52" w14:textId="2FC56DE8" w:rsidR="00004D2C" w:rsidRDefault="00911AF8" w:rsidP="006E60A3">
      <w:r>
        <w:t xml:space="preserve">The Board recommends that consideration be given to including a specific crypto asset investment or transaction related disclosure be added to the individual income tax return, to support compliance and provide a prompt for tax agents and taxpayers to include crypto asset related disclosures in their returns. </w:t>
      </w:r>
    </w:p>
    <w:p w14:paraId="3B50D189" w14:textId="77777777" w:rsidR="00DF58EC" w:rsidRPr="00FA1A19" w:rsidRDefault="00DF58EC" w:rsidP="005B03FA">
      <w:pPr>
        <w:pStyle w:val="SingleParagraph"/>
      </w:pPr>
    </w:p>
    <w:tbl>
      <w:tblPr>
        <w:tblStyle w:val="ListTable3-Accent3"/>
        <w:tblW w:w="0" w:type="auto"/>
        <w:tblLook w:val="04A0" w:firstRow="1" w:lastRow="0" w:firstColumn="1" w:lastColumn="0" w:noHBand="0" w:noVBand="1"/>
      </w:tblPr>
      <w:tblGrid>
        <w:gridCol w:w="9631"/>
      </w:tblGrid>
      <w:tr w:rsidR="003316D7" w:rsidRPr="003316D7" w14:paraId="6479E8B7"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3B7722AC" w14:textId="557E7CAC" w:rsidR="003316D7" w:rsidRPr="003316D7" w:rsidRDefault="00372633">
            <w:pPr>
              <w:pStyle w:val="BoxHeading1"/>
            </w:pPr>
            <w:r>
              <w:t>Observation </w:t>
            </w:r>
            <w:r w:rsidR="003316D7" w:rsidRPr="003316D7">
              <w:t>11.1</w:t>
            </w:r>
          </w:p>
        </w:tc>
      </w:tr>
    </w:tbl>
    <w:p w14:paraId="669C6B32" w14:textId="77777777" w:rsidR="00004D2C" w:rsidRDefault="00911AF8" w:rsidP="00F63C1F">
      <w:r>
        <w:t>Many taxpayers are seeking to ‘do the right thing’ when completing their income tax returns, however due to the evolving ecosystem and limited guidance may make errors in disclosures. These taxpayers may benefit from further education as an alternative to penalties at this stage of the development of the crypto ecosystem, whilst recognising that a balance must be struck with the personal responsibility of taxpayers to ensure that they meet their taxation obligations in relation to activities in which they engage.</w:t>
      </w:r>
    </w:p>
    <w:p w14:paraId="08C669E2" w14:textId="017BF713" w:rsidR="003E34B4" w:rsidRPr="00FA1A19" w:rsidRDefault="003E34B4" w:rsidP="00243A1E">
      <w:pPr>
        <w:pStyle w:val="Heading3"/>
      </w:pPr>
      <w:r w:rsidRPr="00FA1A19">
        <w:t xml:space="preserve">International taxation </w:t>
      </w:r>
      <w:r w:rsidR="00071A27" w:rsidRPr="00FA1A19">
        <w:t>o</w:t>
      </w:r>
      <w:r w:rsidRPr="00FA1A19">
        <w:t>f digital asset</w:t>
      </w:r>
      <w:r w:rsidR="00243A1E">
        <w:t>s</w:t>
      </w:r>
    </w:p>
    <w:tbl>
      <w:tblPr>
        <w:tblStyle w:val="ListTable3-Accent3"/>
        <w:tblW w:w="0" w:type="auto"/>
        <w:tblLook w:val="04A0" w:firstRow="1" w:lastRow="0" w:firstColumn="1" w:lastColumn="0" w:noHBand="0" w:noVBand="1"/>
      </w:tblPr>
      <w:tblGrid>
        <w:gridCol w:w="9631"/>
      </w:tblGrid>
      <w:tr w:rsidR="003316D7" w:rsidRPr="003316D7" w14:paraId="3391D48A" w14:textId="77777777" w:rsidTr="003316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1" w:type="dxa"/>
          </w:tcPr>
          <w:p w14:paraId="63905821" w14:textId="3DAAD090" w:rsidR="003316D7" w:rsidRPr="003316D7" w:rsidRDefault="00372633">
            <w:pPr>
              <w:pStyle w:val="BoxHeading1"/>
            </w:pPr>
            <w:r>
              <w:t>Observation </w:t>
            </w:r>
            <w:r w:rsidR="003316D7" w:rsidRPr="003316D7">
              <w:t>12.1</w:t>
            </w:r>
          </w:p>
        </w:tc>
      </w:tr>
    </w:tbl>
    <w:p w14:paraId="2189655D" w14:textId="77777777" w:rsidR="002D1CA7" w:rsidRDefault="002D1CA7" w:rsidP="00EF2F4C">
      <w:r>
        <w:t>The Board observes that the various themes from the above comparative analysis is directed at educating, assisting and providing simpler and easier compliance for the user of crypto assets and transactions.</w:t>
      </w:r>
    </w:p>
    <w:p w14:paraId="4E1B741F" w14:textId="65A4D01C" w:rsidR="00004D2C" w:rsidRPr="00004D2C" w:rsidRDefault="002D1CA7" w:rsidP="00004D2C">
      <w:r>
        <w:t>The Board notes that some countries have introduced tax regimes and concessions for crypto assets and transactions.</w:t>
      </w:r>
    </w:p>
    <w:p w14:paraId="743C4557" w14:textId="27A3B1A3" w:rsidR="003E34B4" w:rsidRPr="00FA1A19" w:rsidRDefault="00390EB3" w:rsidP="00342121">
      <w:pPr>
        <w:pStyle w:val="Heading3"/>
      </w:pPr>
      <w:r w:rsidRPr="00FA1A19">
        <w:t>Lo</w:t>
      </w:r>
      <w:r w:rsidR="003E34B4" w:rsidRPr="00FA1A19">
        <w:t>oking to the future</w:t>
      </w:r>
    </w:p>
    <w:tbl>
      <w:tblPr>
        <w:tblStyle w:val="ListTable4-Accent1"/>
        <w:tblW w:w="5000" w:type="pct"/>
        <w:tblLook w:val="04A0" w:firstRow="1" w:lastRow="0" w:firstColumn="1" w:lastColumn="0" w:noHBand="0" w:noVBand="1"/>
      </w:tblPr>
      <w:tblGrid>
        <w:gridCol w:w="9631"/>
      </w:tblGrid>
      <w:tr w:rsidR="003316D7" w:rsidRPr="003316D7" w14:paraId="6510BA53"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3A46703" w14:textId="6D262527" w:rsidR="003316D7" w:rsidRPr="003316D7" w:rsidRDefault="00372633">
            <w:pPr>
              <w:pStyle w:val="BoxHeading1"/>
            </w:pPr>
            <w:r>
              <w:t>Recommendation </w:t>
            </w:r>
            <w:r w:rsidR="003316D7" w:rsidRPr="003316D7">
              <w:t>13.1</w:t>
            </w:r>
          </w:p>
        </w:tc>
      </w:tr>
    </w:tbl>
    <w:p w14:paraId="44FACD67" w14:textId="77777777" w:rsidR="00680FF2" w:rsidRDefault="00680FF2" w:rsidP="00EF2F4C">
      <w:r>
        <w:t>Some options for crypto</w:t>
      </w:r>
      <w:r>
        <w:noBreakHyphen/>
        <w:t xml:space="preserve">specific legislative taxation regimes were raised with the Board during consultations. </w:t>
      </w:r>
    </w:p>
    <w:p w14:paraId="64A6BE6F" w14:textId="77777777" w:rsidR="00680FF2" w:rsidRDefault="00680FF2" w:rsidP="00EF2F4C">
      <w:r>
        <w:t>The Board does not recommend the introduction of any crypto</w:t>
      </w:r>
      <w:r>
        <w:noBreakHyphen/>
        <w:t>specific legislative taxation regime at the present time, when the crypto ecosystem is changing and developing rapidly. Even if the crypto ecosystem was more settled, a crypto</w:t>
      </w:r>
      <w:r>
        <w:noBreakHyphen/>
        <w:t xml:space="preserve">specific legislative taxation regime could raise issues such as ensuring confined and applicable definitions, acting contrary to neutrality, potential integrity concerns, increased complexity </w:t>
      </w:r>
      <w:r>
        <w:rPr>
          <w:rFonts w:cstheme="minorHAnsi"/>
        </w:rPr>
        <w:t>and barriers to entry for a developing market.</w:t>
      </w:r>
    </w:p>
    <w:p w14:paraId="6BE4963E" w14:textId="0D7C2341" w:rsidR="00680FF2" w:rsidRDefault="00680FF2" w:rsidP="00EF2F4C">
      <w:r>
        <w:t>Should the Government decide to explore the suitability of introducing a crypto</w:t>
      </w:r>
      <w:r>
        <w:noBreakHyphen/>
        <w:t xml:space="preserve">specific legislative taxation regime at some time in the future, the Government may decide to consider one or more of the options identified in this </w:t>
      </w:r>
      <w:r w:rsidR="00372633">
        <w:t>Chapter </w:t>
      </w:r>
      <w:r>
        <w:t xml:space="preserve">13, which were the subject of varying levels of discussion during the Review. </w:t>
      </w:r>
    </w:p>
    <w:p w14:paraId="0F1D7A40" w14:textId="7F510D83" w:rsidR="0078347B" w:rsidRPr="00FA1A19" w:rsidRDefault="00680FF2" w:rsidP="00680FF2">
      <w:r>
        <w:t>Should the Government decide to consider any of these options in the future, the Board recommends that the Government undertake further consultation with key stakeholders and a further detailed review in relation to any option that it might consider.</w:t>
      </w:r>
    </w:p>
    <w:p w14:paraId="6AEBDE9D" w14:textId="77777777" w:rsidR="005B03FA" w:rsidRPr="00FA1A19" w:rsidRDefault="005B03FA" w:rsidP="005B03FA">
      <w:pPr>
        <w:pStyle w:val="SingleParagraph"/>
      </w:pPr>
    </w:p>
    <w:tbl>
      <w:tblPr>
        <w:tblStyle w:val="ListTable3-Accent1"/>
        <w:tblW w:w="5000" w:type="pct"/>
        <w:tblLook w:val="04A0" w:firstRow="1" w:lastRow="0" w:firstColumn="1" w:lastColumn="0" w:noHBand="0" w:noVBand="1"/>
      </w:tblPr>
      <w:tblGrid>
        <w:gridCol w:w="9636"/>
      </w:tblGrid>
      <w:tr w:rsidR="003316D7" w:rsidRPr="003316D7" w14:paraId="70F89101"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105A3D91" w14:textId="30C6BB9C" w:rsidR="003316D7" w:rsidRPr="003316D7" w:rsidRDefault="00372633">
            <w:pPr>
              <w:pStyle w:val="BoxHeading1"/>
            </w:pPr>
            <w:r>
              <w:t>Recommendation </w:t>
            </w:r>
            <w:r w:rsidR="003316D7" w:rsidRPr="003316D7">
              <w:t>13.2</w:t>
            </w:r>
          </w:p>
        </w:tc>
      </w:tr>
    </w:tbl>
    <w:p w14:paraId="67C38D36" w14:textId="77777777" w:rsidR="00680FF2" w:rsidRDefault="00680FF2" w:rsidP="00EF2F4C">
      <w:pPr>
        <w:rPr>
          <w:rFonts w:eastAsiaTheme="minorHAnsi"/>
        </w:rPr>
      </w:pPr>
      <w:r>
        <w:rPr>
          <w:rFonts w:eastAsiaTheme="minorHAnsi"/>
          <w:lang w:eastAsia="en-US"/>
        </w:rPr>
        <w:t xml:space="preserve">The Board’s stakeholder consultations together with its own research indicates that areas in the crypto ecosystem that are currently increasing in </w:t>
      </w:r>
      <w:r>
        <w:rPr>
          <w:rFonts w:eastAsiaTheme="minorHAnsi"/>
        </w:rPr>
        <w:t>scale and developing at a particularly fast rate are DAOs, DeFi, GameFi, and NFTs.</w:t>
      </w:r>
    </w:p>
    <w:p w14:paraId="540D506F" w14:textId="77777777" w:rsidR="00680FF2" w:rsidRDefault="00680FF2" w:rsidP="00EF2F4C">
      <w:pPr>
        <w:rPr>
          <w:rFonts w:eastAsiaTheme="minorEastAsia"/>
        </w:rPr>
      </w:pPr>
      <w:r>
        <w:rPr>
          <w:rFonts w:eastAsiaTheme="minorEastAsia"/>
        </w:rPr>
        <w:t xml:space="preserve">The Government may like to consider undertaking further work in relation to the taxation implications of these four areas in the future particularly in light of any policy responses made the to the regulation of such activities. </w:t>
      </w:r>
    </w:p>
    <w:p w14:paraId="14AF1B96" w14:textId="0760B7F0" w:rsidR="0078347B" w:rsidRPr="00F63C1F" w:rsidRDefault="00680FF2" w:rsidP="0078347B">
      <w:pPr>
        <w:rPr>
          <w:rFonts w:eastAsiaTheme="minorHAnsi"/>
          <w:lang w:eastAsia="en-US"/>
        </w:rPr>
      </w:pPr>
      <w:r>
        <w:rPr>
          <w:rFonts w:eastAsiaTheme="minorHAnsi"/>
        </w:rPr>
        <w:t>In the meantime, the Board recommends that the ATO continue to consider the tax treatment of new and evolving crypto assets and transactions</w:t>
      </w:r>
      <w:r>
        <w:rPr>
          <w:rFonts w:eastAsiaTheme="minorHAnsi"/>
          <w:lang w:eastAsia="en-US"/>
        </w:rPr>
        <w:t xml:space="preserve"> in accordance with existing rules and principles, including in relation to these four area</w:t>
      </w:r>
      <w:r w:rsidR="00F25630">
        <w:rPr>
          <w:rFonts w:eastAsiaTheme="minorHAnsi"/>
          <w:lang w:eastAsia="en-US"/>
        </w:rPr>
        <w:t>s.</w:t>
      </w:r>
    </w:p>
    <w:p w14:paraId="2CDC42A7" w14:textId="047DF6E4" w:rsidR="00A9048D" w:rsidRPr="00FA1A19" w:rsidRDefault="00655990" w:rsidP="00973936">
      <w:pPr>
        <w:pStyle w:val="Heading2"/>
        <w:rPr>
          <w:rFonts w:eastAsiaTheme="minorHAnsi"/>
          <w:lang w:eastAsia="en-US"/>
        </w:rPr>
      </w:pPr>
      <w:bookmarkStart w:id="17" w:name="_Toc159513548"/>
      <w:r w:rsidRPr="00FA1A19">
        <w:rPr>
          <w:rFonts w:eastAsiaTheme="minorHAnsi"/>
          <w:lang w:eastAsia="en-US"/>
        </w:rPr>
        <w:t>Context of observations and recommendations</w:t>
      </w:r>
      <w:bookmarkEnd w:id="17"/>
    </w:p>
    <w:p w14:paraId="416E12E7" w14:textId="27786C92" w:rsidR="004F0A51" w:rsidRPr="006A3F90" w:rsidRDefault="00B119C4" w:rsidP="006A3F90">
      <w:pPr>
        <w:spacing w:after="0"/>
        <w:rPr>
          <w:rFonts w:cs="Calibri"/>
        </w:rPr>
      </w:pPr>
      <w:r w:rsidRPr="00FA1A19">
        <w:t>As can be seen from the above, t</w:t>
      </w:r>
      <w:r w:rsidR="003A37D0" w:rsidRPr="00FA1A19">
        <w:t xml:space="preserve">he Board </w:t>
      </w:r>
      <w:r w:rsidRPr="00FA1A19">
        <w:rPr>
          <w:rFonts w:cs="Calibri"/>
        </w:rPr>
        <w:t>has made a number of recommendations based on taxpayers</w:t>
      </w:r>
      <w:r w:rsidR="00F75232">
        <w:rPr>
          <w:rFonts w:cs="Calibri"/>
        </w:rPr>
        <w:t>’</w:t>
      </w:r>
      <w:r w:rsidRPr="00FA1A19">
        <w:rPr>
          <w:rFonts w:cs="Calibri"/>
        </w:rPr>
        <w:t xml:space="preserve"> need for information and guidance in relation to crypto assets and transactions upon which they can rely, to ensure that their taxation disclosures</w:t>
      </w:r>
      <w:r w:rsidR="0081576F" w:rsidRPr="00FA1A19">
        <w:rPr>
          <w:rFonts w:cs="Calibri"/>
        </w:rPr>
        <w:t xml:space="preserve"> will be acceptable to the ATO.</w:t>
      </w:r>
      <w:r w:rsidR="004F0A51" w:rsidRPr="00FA1A19">
        <w:rPr>
          <w:rFonts w:cs="Calibri"/>
        </w:rPr>
        <w:t xml:space="preserve"> </w:t>
      </w:r>
      <w:r w:rsidRPr="00FA1A19">
        <w:rPr>
          <w:rFonts w:cs="Calibri"/>
        </w:rPr>
        <w:t xml:space="preserve">The Board acknowledges, however, that its recommendations are made in the context of its terms of reference which are concerned only with crypto assets and transactions, whereas the ATO must consider </w:t>
      </w:r>
      <w:r w:rsidR="00AD36FE" w:rsidRPr="00FA1A19">
        <w:rPr>
          <w:rFonts w:cs="Calibri"/>
        </w:rPr>
        <w:t>any</w:t>
      </w:r>
      <w:r w:rsidRPr="00FA1A19">
        <w:rPr>
          <w:rFonts w:cs="Calibri"/>
        </w:rPr>
        <w:t xml:space="preserve"> implementation of those recommendations </w:t>
      </w:r>
      <w:r w:rsidR="00AD36FE" w:rsidRPr="00FA1A19">
        <w:rPr>
          <w:rFonts w:cs="Calibri"/>
        </w:rPr>
        <w:t>in</w:t>
      </w:r>
      <w:r w:rsidRPr="00FA1A19">
        <w:rPr>
          <w:rFonts w:cs="Calibri"/>
        </w:rPr>
        <w:t xml:space="preserve"> </w:t>
      </w:r>
      <w:r w:rsidRPr="005B03FA">
        <w:t>the</w:t>
      </w:r>
      <w:r w:rsidRPr="00FA1A19">
        <w:rPr>
          <w:rFonts w:cs="Calibri"/>
        </w:rPr>
        <w:t xml:space="preserve"> context of its responsibilities to administer the broader tax system, </w:t>
      </w:r>
      <w:r w:rsidR="00571ED5" w:rsidRPr="00FA1A19">
        <w:rPr>
          <w:rFonts w:cs="Calibri"/>
        </w:rPr>
        <w:t>which can involve</w:t>
      </w:r>
      <w:r w:rsidRPr="00FA1A19">
        <w:rPr>
          <w:rFonts w:cs="Calibri"/>
        </w:rPr>
        <w:t xml:space="preserve"> different and competing priorities.</w:t>
      </w:r>
      <w:r w:rsidR="004F0A51" w:rsidRPr="00FA1A19">
        <w:rPr>
          <w:rFonts w:cs="Calibri"/>
        </w:rPr>
        <w:br w:type="page"/>
      </w:r>
    </w:p>
    <w:p w14:paraId="5B51C56D" w14:textId="666C3EA9" w:rsidR="00E65C6E" w:rsidRPr="00FA1A19" w:rsidRDefault="00E65C6E" w:rsidP="0069352C">
      <w:pPr>
        <w:pStyle w:val="Heading1"/>
      </w:pPr>
      <w:bookmarkStart w:id="18" w:name="_Toc159513549"/>
      <w:r w:rsidRPr="00FA1A19">
        <w:t>Glossary</w:t>
      </w:r>
      <w:bookmarkEnd w:id="18"/>
    </w:p>
    <w:p w14:paraId="6B0FBE7C" w14:textId="77777777" w:rsidR="00E65C6E" w:rsidRPr="00FA1A19" w:rsidRDefault="00E65C6E" w:rsidP="00C17225">
      <w:r w:rsidRPr="00FA1A19">
        <w:t xml:space="preserve">The following terms used throughout the </w:t>
      </w:r>
      <w:r w:rsidRPr="00C17225">
        <w:t>Report</w:t>
      </w:r>
      <w:r w:rsidRPr="00FA1A19">
        <w:t xml:space="preserve"> take on the following meaning in this document.</w:t>
      </w:r>
    </w:p>
    <w:tbl>
      <w:tblPr>
        <w:tblStyle w:val="ListTable3-Accent1"/>
        <w:tblW w:w="5000" w:type="pct"/>
        <w:tblLook w:val="0420" w:firstRow="1" w:lastRow="0" w:firstColumn="0" w:lastColumn="0" w:noHBand="0" w:noVBand="1"/>
      </w:tblPr>
      <w:tblGrid>
        <w:gridCol w:w="3049"/>
        <w:gridCol w:w="6582"/>
      </w:tblGrid>
      <w:tr w:rsidR="00E65C6E" w:rsidRPr="00FA1A19" w14:paraId="42635884" w14:textId="77777777" w:rsidTr="00EB09BD">
        <w:trPr>
          <w:cnfStyle w:val="100000000000" w:firstRow="1" w:lastRow="0" w:firstColumn="0" w:lastColumn="0" w:oddVBand="0" w:evenVBand="0" w:oddHBand="0" w:evenHBand="0" w:firstRowFirstColumn="0" w:firstRowLastColumn="0" w:lastRowFirstColumn="0" w:lastRowLastColumn="0"/>
          <w:tblHeader/>
        </w:trPr>
        <w:tc>
          <w:tcPr>
            <w:tcW w:w="1583" w:type="pct"/>
          </w:tcPr>
          <w:p w14:paraId="560B9DB9" w14:textId="77777777" w:rsidR="00E65C6E" w:rsidRPr="00FA1A19" w:rsidRDefault="00E65C6E" w:rsidP="00C17225">
            <w:pPr>
              <w:pStyle w:val="TableColumnHeadingLeft"/>
            </w:pPr>
            <w:r w:rsidRPr="00FA1A19">
              <w:t xml:space="preserve">Term </w:t>
            </w:r>
          </w:p>
        </w:tc>
        <w:tc>
          <w:tcPr>
            <w:tcW w:w="3417" w:type="pct"/>
          </w:tcPr>
          <w:p w14:paraId="16AE93A8" w14:textId="77777777" w:rsidR="00E65C6E" w:rsidRPr="00FA1A19" w:rsidRDefault="00E65C6E" w:rsidP="00C17225">
            <w:pPr>
              <w:pStyle w:val="TableColumnHeadingLeft"/>
            </w:pPr>
            <w:r w:rsidRPr="00FA1A19">
              <w:t>Meaning in this document</w:t>
            </w:r>
          </w:p>
        </w:tc>
      </w:tr>
      <w:tr w:rsidR="00E65C6E" w:rsidRPr="00FA1A19" w14:paraId="26CC4F2B"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78479A8A" w14:textId="77777777" w:rsidR="00E65C6E" w:rsidRPr="00FA1A19" w:rsidRDefault="00E65C6E" w:rsidP="00C17225">
            <w:pPr>
              <w:pStyle w:val="TableColumnHeadingLeft"/>
            </w:pPr>
            <w:r w:rsidRPr="00FA1A19">
              <w:t>Blockchain</w:t>
            </w:r>
          </w:p>
        </w:tc>
        <w:tc>
          <w:tcPr>
            <w:tcW w:w="3417" w:type="pct"/>
          </w:tcPr>
          <w:p w14:paraId="6E00911F" w14:textId="2E53D52B" w:rsidR="00E65C6E" w:rsidRPr="00FA1A19" w:rsidRDefault="00855869" w:rsidP="00C17225">
            <w:pPr>
              <w:pStyle w:val="TableTextLeft"/>
            </w:pPr>
            <w:r w:rsidRPr="00FA1A19">
              <w:t>A particular type of distributed ledger technology that uses cryptographic and algorithmic methods to create and verify a continuously growing, append</w:t>
            </w:r>
            <w:r w:rsidR="00F75232">
              <w:noBreakHyphen/>
            </w:r>
            <w:r w:rsidRPr="00FA1A19">
              <w:t>only data structure that takes the form of a chain of so</w:t>
            </w:r>
            <w:r w:rsidR="00F75232">
              <w:noBreakHyphen/>
            </w:r>
            <w:r w:rsidRPr="00FA1A19">
              <w:t xml:space="preserve">called </w:t>
            </w:r>
            <w:r w:rsidR="00F75232">
              <w:t>‘</w:t>
            </w:r>
            <w:r w:rsidRPr="00FA1A19">
              <w:t>transaction blocks</w:t>
            </w:r>
            <w:r w:rsidR="00F75232">
              <w:t>’</w:t>
            </w:r>
            <w:r w:rsidRPr="00FA1A19">
              <w:t xml:space="preserve"> – the blockchain – which serves the function of a ledger.</w:t>
            </w:r>
            <w:r w:rsidR="00A9339C" w:rsidRPr="00170ADC">
              <w:rPr>
                <w:rStyle w:val="FootnoteReference"/>
              </w:rPr>
              <w:footnoteReference w:id="2"/>
            </w:r>
          </w:p>
        </w:tc>
      </w:tr>
      <w:tr w:rsidR="00E65C6E" w:rsidRPr="00FA1A19" w14:paraId="1458CED2" w14:textId="77777777" w:rsidTr="00EB09BD">
        <w:tc>
          <w:tcPr>
            <w:tcW w:w="1583" w:type="pct"/>
          </w:tcPr>
          <w:p w14:paraId="0705F6AC" w14:textId="77777777" w:rsidR="00E65C6E" w:rsidRPr="00FA1A19" w:rsidRDefault="00E65C6E" w:rsidP="00C17225">
            <w:pPr>
              <w:pStyle w:val="TableColumnHeadingLeft"/>
            </w:pPr>
            <w:r w:rsidRPr="00FA1A19">
              <w:t>Central Bank digital currency (CBDC)</w:t>
            </w:r>
          </w:p>
        </w:tc>
        <w:tc>
          <w:tcPr>
            <w:tcW w:w="3417" w:type="pct"/>
          </w:tcPr>
          <w:p w14:paraId="4F020D1A" w14:textId="0F793C5A" w:rsidR="005D2852" w:rsidRPr="00FA1A19" w:rsidRDefault="00944A80" w:rsidP="00C17225">
            <w:pPr>
              <w:pStyle w:val="TableTextLeft"/>
            </w:pPr>
            <w:r w:rsidRPr="00FA1A19">
              <w:t>A form of money, denominated in a national currency, that would be issued as a direct liability of the central bank.</w:t>
            </w:r>
            <w:r w:rsidRPr="00170ADC">
              <w:rPr>
                <w:rStyle w:val="FootnoteReference"/>
              </w:rPr>
              <w:footnoteReference w:id="3"/>
            </w:r>
            <w:r w:rsidR="004F0A51" w:rsidRPr="00FA1A19">
              <w:t xml:space="preserve"> </w:t>
            </w:r>
          </w:p>
          <w:p w14:paraId="21D570E5" w14:textId="41F6985F" w:rsidR="00E65C6E" w:rsidRPr="00FA1A19" w:rsidRDefault="00944A80" w:rsidP="00C17225">
            <w:pPr>
              <w:pStyle w:val="TableTextLeft"/>
            </w:pPr>
            <w:r w:rsidRPr="00FA1A19">
              <w:t>A CBDC could be based on a centralised ledger or alternatively Distributed Ledger Technology.</w:t>
            </w:r>
            <w:r w:rsidR="004F0A51" w:rsidRPr="00FA1A19">
              <w:t xml:space="preserve"> </w:t>
            </w:r>
          </w:p>
        </w:tc>
      </w:tr>
      <w:tr w:rsidR="00E65C6E" w:rsidRPr="00FA1A19" w14:paraId="7508B1B4"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2E0308A9" w14:textId="77777777" w:rsidR="00E65C6E" w:rsidRPr="00FA1A19" w:rsidRDefault="00E65C6E" w:rsidP="00C17225">
            <w:pPr>
              <w:pStyle w:val="TableColumnHeadingLeft"/>
            </w:pPr>
            <w:r w:rsidRPr="00FA1A19">
              <w:t>Crypto asset</w:t>
            </w:r>
          </w:p>
        </w:tc>
        <w:tc>
          <w:tcPr>
            <w:tcW w:w="3417" w:type="pct"/>
          </w:tcPr>
          <w:p w14:paraId="457001FA" w14:textId="68BBCC65" w:rsidR="00E65C6E" w:rsidRPr="00FA1A19" w:rsidRDefault="008C5F23" w:rsidP="00C17225">
            <w:pPr>
              <w:pStyle w:val="TableTextLeft"/>
            </w:pPr>
            <w:r w:rsidRPr="00FA1A19">
              <w:t>Assets</w:t>
            </w:r>
            <w:r w:rsidR="00411D20" w:rsidRPr="00FA1A19">
              <w:t xml:space="preserve"> that are</w:t>
            </w:r>
            <w:r w:rsidRPr="00FA1A19">
              <w:t xml:space="preserve"> backed by a distributed ledger</w:t>
            </w:r>
            <w:r w:rsidR="00411D20" w:rsidRPr="00FA1A19">
              <w:t xml:space="preserve"> and use cryptography.</w:t>
            </w:r>
            <w:r w:rsidR="004F0A51" w:rsidRPr="00FA1A19">
              <w:t xml:space="preserve"> </w:t>
            </w:r>
            <w:r w:rsidR="007A0CAA" w:rsidRPr="00FA1A19">
              <w:t xml:space="preserve">In this report, used interchangeably with </w:t>
            </w:r>
            <w:r w:rsidR="00F75232">
              <w:t>‘</w:t>
            </w:r>
            <w:r w:rsidR="007A0CAA" w:rsidRPr="00FA1A19">
              <w:t>digital assets</w:t>
            </w:r>
            <w:r w:rsidR="00F75232">
              <w:t>’</w:t>
            </w:r>
            <w:r w:rsidR="007A0CAA" w:rsidRPr="00FA1A19">
              <w:t>.</w:t>
            </w:r>
            <w:r w:rsidR="004F0A51" w:rsidRPr="00FA1A19">
              <w:t xml:space="preserve"> </w:t>
            </w:r>
          </w:p>
        </w:tc>
      </w:tr>
      <w:tr w:rsidR="00E65C6E" w:rsidRPr="00FA1A19" w14:paraId="60D7B0DE" w14:textId="77777777" w:rsidTr="00EB09BD">
        <w:tc>
          <w:tcPr>
            <w:tcW w:w="1583" w:type="pct"/>
          </w:tcPr>
          <w:p w14:paraId="5C0C0D1E" w14:textId="77777777" w:rsidR="00E65C6E" w:rsidRPr="00FA1A19" w:rsidRDefault="00E65C6E" w:rsidP="00C17225">
            <w:pPr>
              <w:pStyle w:val="TableColumnHeadingLeft"/>
            </w:pPr>
            <w:r w:rsidRPr="00FA1A19">
              <w:t>Cryptocurrency</w:t>
            </w:r>
          </w:p>
        </w:tc>
        <w:tc>
          <w:tcPr>
            <w:tcW w:w="3417" w:type="pct"/>
          </w:tcPr>
          <w:p w14:paraId="55600CCB" w14:textId="77777777" w:rsidR="00E65C6E" w:rsidRPr="00FA1A19" w:rsidRDefault="00E65C6E" w:rsidP="00C17225">
            <w:pPr>
              <w:pStyle w:val="TableTextLeft"/>
            </w:pPr>
            <w:r w:rsidRPr="00FA1A19">
              <w:t>A subset of digital currencies that rely on cryptographic techniques to achieve consensus.</w:t>
            </w:r>
            <w:r w:rsidRPr="00170ADC">
              <w:rPr>
                <w:rStyle w:val="FootnoteReference"/>
              </w:rPr>
              <w:footnoteReference w:id="4"/>
            </w:r>
          </w:p>
        </w:tc>
      </w:tr>
      <w:tr w:rsidR="00E65C6E" w:rsidRPr="00FA1A19" w14:paraId="08127CE6"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4DA92EC8" w14:textId="77777777" w:rsidR="00E65C6E" w:rsidRPr="00FA1A19" w:rsidRDefault="00E65C6E" w:rsidP="00C17225">
            <w:pPr>
              <w:pStyle w:val="TableColumnHeadingLeft"/>
            </w:pPr>
            <w:r w:rsidRPr="00FA1A19">
              <w:t>Cryptography</w:t>
            </w:r>
          </w:p>
        </w:tc>
        <w:tc>
          <w:tcPr>
            <w:tcW w:w="3417" w:type="pct"/>
          </w:tcPr>
          <w:p w14:paraId="6E748B57" w14:textId="0E83D36F" w:rsidR="00E65C6E" w:rsidRPr="00FA1A19" w:rsidRDefault="00E65C6E" w:rsidP="00C17225">
            <w:pPr>
              <w:pStyle w:val="TableTextLeft"/>
            </w:pPr>
            <w:r w:rsidRPr="00FA1A19">
              <w:t>A science at the intersection of mathematics, probability, electrical engineering, computer science, and others that is concerned with the transformation of information for one or more of the following purposes: (i) data confidentiality; (ii) data integrity; (iii)</w:t>
            </w:r>
            <w:r w:rsidR="002E5BDF" w:rsidRPr="00FA1A19">
              <w:t> </w:t>
            </w:r>
            <w:r w:rsidRPr="00FA1A19">
              <w:t>authentication; and (iv) non</w:t>
            </w:r>
            <w:r w:rsidR="00F75232">
              <w:noBreakHyphen/>
            </w:r>
            <w:r w:rsidRPr="00FA1A19">
              <w:t>repudiation.</w:t>
            </w:r>
            <w:r w:rsidRPr="00170ADC">
              <w:rPr>
                <w:rStyle w:val="FootnoteReference"/>
              </w:rPr>
              <w:footnoteReference w:id="5"/>
            </w:r>
          </w:p>
        </w:tc>
      </w:tr>
      <w:tr w:rsidR="002F223F" w:rsidRPr="00FA1A19" w14:paraId="318A9708" w14:textId="77777777" w:rsidTr="00EB09BD">
        <w:tc>
          <w:tcPr>
            <w:tcW w:w="1583" w:type="pct"/>
          </w:tcPr>
          <w:p w14:paraId="1F1463E1" w14:textId="360E068B" w:rsidR="002F223F" w:rsidRPr="00FA1A19" w:rsidRDefault="002F223F" w:rsidP="00C17225">
            <w:pPr>
              <w:pStyle w:val="TableColumnHeadingLeft"/>
            </w:pPr>
            <w:r>
              <w:t>Decentralised Autonomous Organisations (DAOs)</w:t>
            </w:r>
          </w:p>
        </w:tc>
        <w:tc>
          <w:tcPr>
            <w:tcW w:w="3417" w:type="pct"/>
          </w:tcPr>
          <w:p w14:paraId="6C486D00" w14:textId="77D6C241" w:rsidR="002F223F" w:rsidRPr="00FA1A19" w:rsidRDefault="003A11FD" w:rsidP="00C17225">
            <w:pPr>
              <w:pStyle w:val="TableTextLeft"/>
            </w:pPr>
            <w:r>
              <w:t>A</w:t>
            </w:r>
            <w:r w:rsidRPr="00FA1A19">
              <w:t xml:space="preserve"> type of organisational structure involving multiple participants online, that might rely on blockchain system, smart contracts, or other software</w:t>
            </w:r>
            <w:r w:rsidR="00F75232">
              <w:noBreakHyphen/>
            </w:r>
            <w:r w:rsidRPr="00FA1A19">
              <w:t>based systems.</w:t>
            </w:r>
            <w:r w:rsidRPr="00170ADC">
              <w:rPr>
                <w:rStyle w:val="FootnoteReference"/>
              </w:rPr>
              <w:footnoteReference w:id="6"/>
            </w:r>
          </w:p>
        </w:tc>
      </w:tr>
      <w:tr w:rsidR="00E65C6E" w:rsidRPr="00FA1A19" w14:paraId="63A2CF67"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484E336F" w14:textId="77777777" w:rsidR="00E65C6E" w:rsidRPr="00FA1A19" w:rsidRDefault="00E65C6E" w:rsidP="00C17225">
            <w:pPr>
              <w:pStyle w:val="TableColumnHeadingLeft"/>
            </w:pPr>
            <w:r w:rsidRPr="00FA1A19">
              <w:t>Decentralised finance (DeFi)</w:t>
            </w:r>
          </w:p>
        </w:tc>
        <w:tc>
          <w:tcPr>
            <w:tcW w:w="3417" w:type="pct"/>
          </w:tcPr>
          <w:p w14:paraId="7B1805C8" w14:textId="38B98F60" w:rsidR="00E65C6E" w:rsidRPr="00FA1A19" w:rsidRDefault="00E65C6E" w:rsidP="00C17225">
            <w:pPr>
              <w:pStyle w:val="TableTextLeft"/>
            </w:pPr>
            <w:r w:rsidRPr="00FA1A19">
              <w:t>The crypto</w:t>
            </w:r>
            <w:r w:rsidR="0064746A" w:rsidRPr="00FA1A19">
              <w:t xml:space="preserve"> assets</w:t>
            </w:r>
            <w:r w:rsidRPr="00FA1A19">
              <w:t>, financial smart contracts, software/protocols and decentralised applications used to decentralise and automate financial transactions.</w:t>
            </w:r>
            <w:r w:rsidRPr="00170ADC">
              <w:rPr>
                <w:rStyle w:val="FootnoteReference"/>
              </w:rPr>
              <w:footnoteReference w:id="7"/>
            </w:r>
          </w:p>
        </w:tc>
      </w:tr>
      <w:tr w:rsidR="00E65C6E" w:rsidRPr="00FA1A19" w14:paraId="08B8A5CC" w14:textId="77777777" w:rsidTr="00EB09BD">
        <w:tc>
          <w:tcPr>
            <w:tcW w:w="1583" w:type="pct"/>
          </w:tcPr>
          <w:p w14:paraId="77FB8518" w14:textId="77777777" w:rsidR="00E65C6E" w:rsidRPr="00FA1A19" w:rsidRDefault="00E65C6E" w:rsidP="00C17225">
            <w:pPr>
              <w:pStyle w:val="TableColumnHeadingLeft"/>
            </w:pPr>
            <w:r w:rsidRPr="00FA1A19">
              <w:t>Digital currency</w:t>
            </w:r>
          </w:p>
        </w:tc>
        <w:tc>
          <w:tcPr>
            <w:tcW w:w="3417" w:type="pct"/>
          </w:tcPr>
          <w:p w14:paraId="6EA356F6" w14:textId="337DB3E2" w:rsidR="00E65C6E" w:rsidRPr="00FA1A19" w:rsidRDefault="00E65C6E" w:rsidP="00C17225">
            <w:pPr>
              <w:pStyle w:val="TableTextLeft"/>
            </w:pPr>
            <w:r w:rsidRPr="00FA1A19">
              <w:t>Digital representations of value that are denominated in their own unit of account, distinct from e</w:t>
            </w:r>
            <w:r w:rsidR="00F75232">
              <w:noBreakHyphen/>
            </w:r>
            <w:r w:rsidRPr="00FA1A19">
              <w:t>money which is simply a digital payment mechanism representing and denominated in fiat money.</w:t>
            </w:r>
            <w:r w:rsidRPr="00170ADC">
              <w:rPr>
                <w:rStyle w:val="FootnoteReference"/>
              </w:rPr>
              <w:footnoteReference w:id="8"/>
            </w:r>
          </w:p>
          <w:p w14:paraId="072DF264" w14:textId="5E4151B7" w:rsidR="00821B73" w:rsidRPr="00FA1A19" w:rsidRDefault="00821B73" w:rsidP="00C17225">
            <w:pPr>
              <w:pStyle w:val="TableTextLeft"/>
            </w:pPr>
            <w:r w:rsidRPr="00FA1A19">
              <w:t xml:space="preserve">Digital currency is also specifically defined for the purposes of the </w:t>
            </w:r>
            <w:r w:rsidRPr="00813896">
              <w:rPr>
                <w:rStyle w:val="Emphasis"/>
              </w:rPr>
              <w:t>A</w:t>
            </w:r>
            <w:r w:rsidR="006A3F90">
              <w:rPr>
                <w:rStyle w:val="Emphasis"/>
              </w:rPr>
              <w:t> </w:t>
            </w:r>
            <w:r w:rsidRPr="00813896">
              <w:rPr>
                <w:rStyle w:val="Emphasis"/>
              </w:rPr>
              <w:t xml:space="preserve">New Tax System </w:t>
            </w:r>
            <w:r w:rsidR="00B36A32" w:rsidRPr="00813896">
              <w:rPr>
                <w:rStyle w:val="Emphasis"/>
              </w:rPr>
              <w:t>(Goods and Services Tax) Act 1999</w:t>
            </w:r>
            <w:r w:rsidR="00B36A32" w:rsidRPr="00FA1A19">
              <w:t>.</w:t>
            </w:r>
          </w:p>
        </w:tc>
      </w:tr>
      <w:tr w:rsidR="00E65C6E" w:rsidRPr="00FA1A19" w14:paraId="366D4D11"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2EBD30D1" w14:textId="77777777" w:rsidR="00E65C6E" w:rsidRPr="00FA1A19" w:rsidRDefault="00E65C6E" w:rsidP="00C17225">
            <w:pPr>
              <w:pStyle w:val="TableColumnHeadingLeft"/>
            </w:pPr>
            <w:r w:rsidRPr="00FA1A19">
              <w:t>Digital assets</w:t>
            </w:r>
          </w:p>
        </w:tc>
        <w:tc>
          <w:tcPr>
            <w:tcW w:w="3417" w:type="pct"/>
          </w:tcPr>
          <w:p w14:paraId="2B069420" w14:textId="754B3268" w:rsidR="00E65C6E" w:rsidRPr="00FA1A19" w:rsidRDefault="008D46D5" w:rsidP="00C17225">
            <w:pPr>
              <w:pStyle w:val="TableTextLeft"/>
            </w:pPr>
            <w:r w:rsidRPr="00FA1A19">
              <w:t>Traditionally a</w:t>
            </w:r>
            <w:r w:rsidR="00E65C6E" w:rsidRPr="00FA1A19">
              <w:t>ny asset that is represented digitally or electronically</w:t>
            </w:r>
            <w:r w:rsidR="00E65C6E" w:rsidRPr="00170ADC">
              <w:rPr>
                <w:rStyle w:val="FootnoteReference"/>
              </w:rPr>
              <w:footnoteReference w:id="9"/>
            </w:r>
            <w:r w:rsidR="00FA2022" w:rsidRPr="00FA1A19">
              <w:t xml:space="preserve"> but now primarily focussed on assets that are backed by a distributed </w:t>
            </w:r>
            <w:r w:rsidR="0088137E" w:rsidRPr="00FA1A19">
              <w:t>ledger and involve cryptography</w:t>
            </w:r>
            <w:r w:rsidR="00FE34E2" w:rsidRPr="00FA1A19">
              <w:t xml:space="preserve"> (that is, cry</w:t>
            </w:r>
            <w:r w:rsidR="00282DB0" w:rsidRPr="00FA1A19">
              <w:t>p</w:t>
            </w:r>
            <w:r w:rsidR="00FE34E2" w:rsidRPr="00FA1A19">
              <w:t>to assets)</w:t>
            </w:r>
            <w:r w:rsidR="0088137E" w:rsidRPr="00FA1A19">
              <w:t>.</w:t>
            </w:r>
            <w:r w:rsidR="007C70D8" w:rsidRPr="00170ADC">
              <w:rPr>
                <w:rStyle w:val="FootnoteReference"/>
              </w:rPr>
              <w:footnoteReference w:id="10"/>
            </w:r>
            <w:r w:rsidR="004F0A51" w:rsidRPr="00FA1A19">
              <w:t xml:space="preserve"> </w:t>
            </w:r>
            <w:r w:rsidR="00676D48" w:rsidRPr="00FA1A19">
              <w:t xml:space="preserve">In this </w:t>
            </w:r>
            <w:r w:rsidR="005F0D9D" w:rsidRPr="00FA1A19">
              <w:t>R</w:t>
            </w:r>
            <w:r w:rsidR="00676D48" w:rsidRPr="00FA1A19">
              <w:t>eport,</w:t>
            </w:r>
            <w:r w:rsidR="00DA4B37" w:rsidRPr="00FA1A19">
              <w:t xml:space="preserve"> </w:t>
            </w:r>
            <w:r w:rsidR="00F75232">
              <w:t>‘</w:t>
            </w:r>
            <w:r w:rsidR="00DA4B37" w:rsidRPr="00FA1A19">
              <w:t>digital assets</w:t>
            </w:r>
            <w:r w:rsidR="00F75232">
              <w:t>’</w:t>
            </w:r>
            <w:r w:rsidR="00DA4B37" w:rsidRPr="00FA1A19">
              <w:t xml:space="preserve"> is </w:t>
            </w:r>
            <w:r w:rsidR="00676D48" w:rsidRPr="00FA1A19">
              <w:t xml:space="preserve">used interchangeably with </w:t>
            </w:r>
            <w:r w:rsidR="00F75232">
              <w:t>‘</w:t>
            </w:r>
            <w:r w:rsidR="00676D48" w:rsidRPr="00FA1A19">
              <w:t>crypto assets</w:t>
            </w:r>
            <w:r w:rsidR="00F75232">
              <w:t>’</w:t>
            </w:r>
            <w:r w:rsidR="00676D48" w:rsidRPr="00FA1A19">
              <w:t>.</w:t>
            </w:r>
          </w:p>
        </w:tc>
      </w:tr>
      <w:tr w:rsidR="00C831A7" w:rsidRPr="00FA1A19" w14:paraId="7C69EFE0" w14:textId="77777777" w:rsidTr="00EB09BD">
        <w:tc>
          <w:tcPr>
            <w:tcW w:w="1583" w:type="pct"/>
          </w:tcPr>
          <w:p w14:paraId="31EBFF9B" w14:textId="5F73F3A6" w:rsidR="00C831A7" w:rsidRPr="00FA1A19" w:rsidRDefault="00C831A7" w:rsidP="00C17225">
            <w:pPr>
              <w:pStyle w:val="TableColumnHeadingLeft"/>
            </w:pPr>
            <w:r w:rsidRPr="00FA1A19">
              <w:t>Digital asset platform</w:t>
            </w:r>
          </w:p>
        </w:tc>
        <w:tc>
          <w:tcPr>
            <w:tcW w:w="3417" w:type="pct"/>
          </w:tcPr>
          <w:p w14:paraId="5219C1F4" w14:textId="30F2A352" w:rsidR="00C831A7" w:rsidRPr="00FA1A19" w:rsidRDefault="00A66044" w:rsidP="00C17225">
            <w:pPr>
              <w:pStyle w:val="TableTextLeft"/>
              <w:rPr>
                <w:rFonts w:cstheme="minorHAnsi"/>
              </w:rPr>
            </w:pPr>
            <w:r w:rsidRPr="00FA1A19">
              <w:rPr>
                <w:rFonts w:cstheme="minorHAnsi"/>
              </w:rPr>
              <w:t>A multi</w:t>
            </w:r>
            <w:r w:rsidR="00F75232">
              <w:rPr>
                <w:rFonts w:cstheme="minorHAnsi"/>
              </w:rPr>
              <w:noBreakHyphen/>
            </w:r>
            <w:r w:rsidRPr="00FA1A19">
              <w:rPr>
                <w:rFonts w:cstheme="minorHAnsi"/>
              </w:rPr>
              <w:t>function platform comprised of a facility for</w:t>
            </w:r>
            <w:r w:rsidR="009F3EF1" w:rsidRPr="00FA1A19">
              <w:rPr>
                <w:rFonts w:cstheme="minorHAnsi"/>
              </w:rPr>
              <w:t xml:space="preserve"> holding digital assets and assets backing digital assets</w:t>
            </w:r>
            <w:r w:rsidRPr="00FA1A19">
              <w:rPr>
                <w:rFonts w:cstheme="minorHAnsi"/>
              </w:rPr>
              <w:t xml:space="preserve"> with additional administrative and transactional functions</w:t>
            </w:r>
            <w:r w:rsidR="00E3679C" w:rsidRPr="00FA1A19">
              <w:rPr>
                <w:rFonts w:cstheme="minorHAnsi"/>
              </w:rPr>
              <w:t>.</w:t>
            </w:r>
            <w:r w:rsidR="00E3679C" w:rsidRPr="00170ADC">
              <w:rPr>
                <w:rStyle w:val="FootnoteReference"/>
              </w:rPr>
              <w:footnoteReference w:id="11"/>
            </w:r>
          </w:p>
          <w:p w14:paraId="45B99A86" w14:textId="067334CA" w:rsidR="00FF3749" w:rsidRPr="00FA1A19" w:rsidRDefault="00FF3749" w:rsidP="00C17225">
            <w:pPr>
              <w:pStyle w:val="TableTextLeft"/>
              <w:rPr>
                <w:rFonts w:cstheme="minorHAnsi"/>
              </w:rPr>
            </w:pPr>
            <w:r w:rsidRPr="00FA1A19">
              <w:rPr>
                <w:rFonts w:cstheme="minorHAnsi"/>
              </w:rPr>
              <w:t>Broadly this term covers all business models that have a base of custody underlying them (market operator style, broker style, merchant etc.).</w:t>
            </w:r>
          </w:p>
        </w:tc>
      </w:tr>
      <w:tr w:rsidR="00E65C6E" w:rsidRPr="00FA1A19" w14:paraId="7FCF8613"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1A325CEB" w14:textId="058132AA" w:rsidR="00E65C6E" w:rsidRPr="00FA1A19" w:rsidRDefault="00E65C6E" w:rsidP="00C17225">
            <w:pPr>
              <w:pStyle w:val="TableColumnHeadingLeft"/>
            </w:pPr>
            <w:r w:rsidRPr="00FA1A19">
              <w:t>Distributed ledger technology</w:t>
            </w:r>
            <w:r w:rsidR="006711B9" w:rsidRPr="00FA1A19">
              <w:t xml:space="preserve"> (DLT)</w:t>
            </w:r>
          </w:p>
        </w:tc>
        <w:tc>
          <w:tcPr>
            <w:tcW w:w="3417" w:type="pct"/>
          </w:tcPr>
          <w:p w14:paraId="192371C0" w14:textId="6C46E38A" w:rsidR="00E65C6E" w:rsidRPr="00FA1A19" w:rsidRDefault="00E65C6E" w:rsidP="00C17225">
            <w:pPr>
              <w:pStyle w:val="TableTextLeft"/>
            </w:pPr>
            <w:r w:rsidRPr="00FA1A19">
              <w:t>A</w:t>
            </w:r>
            <w:r w:rsidR="00884315" w:rsidRPr="00FA1A19">
              <w:t xml:space="preserve">n </w:t>
            </w:r>
            <w:r w:rsidRPr="00FA1A19">
              <w:t>approach to recording and sharing data across multiple data stores (ledgers). This technology allows for transactions and data to be recorded, shared, and synchronized across a distributed network of different network participants.</w:t>
            </w:r>
            <w:r w:rsidRPr="00170ADC">
              <w:rPr>
                <w:rStyle w:val="FootnoteReference"/>
              </w:rPr>
              <w:footnoteReference w:id="12"/>
            </w:r>
          </w:p>
        </w:tc>
      </w:tr>
      <w:tr w:rsidR="00E65C6E" w:rsidRPr="00FA1A19" w14:paraId="494D8A54" w14:textId="77777777" w:rsidTr="00EB09BD">
        <w:tc>
          <w:tcPr>
            <w:tcW w:w="1583" w:type="pct"/>
          </w:tcPr>
          <w:p w14:paraId="57577100" w14:textId="77777777" w:rsidR="00E65C6E" w:rsidRPr="00FA1A19" w:rsidRDefault="00E65C6E" w:rsidP="00C17225">
            <w:pPr>
              <w:pStyle w:val="TableColumnHeadingLeft"/>
            </w:pPr>
            <w:r w:rsidRPr="00FA1A19">
              <w:t>Nodes</w:t>
            </w:r>
          </w:p>
        </w:tc>
        <w:tc>
          <w:tcPr>
            <w:tcW w:w="3417" w:type="pct"/>
          </w:tcPr>
          <w:p w14:paraId="5096EEA2" w14:textId="635E9884" w:rsidR="00E65C6E" w:rsidRPr="00FA1A19" w:rsidRDefault="00E65C6E" w:rsidP="00C17225">
            <w:pPr>
              <w:pStyle w:val="TableTextLeft"/>
            </w:pPr>
            <w:r w:rsidRPr="00FA1A19">
              <w:t>Network participants in a distributed ledger network (e.g. a computer or phone).</w:t>
            </w:r>
          </w:p>
        </w:tc>
      </w:tr>
      <w:tr w:rsidR="00E65C6E" w:rsidRPr="00FA1A19" w14:paraId="421EC39A"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3EC08B50" w14:textId="5A96F813" w:rsidR="00E65C6E" w:rsidRPr="00FA1A19" w:rsidRDefault="00E65C6E" w:rsidP="00C17225">
            <w:pPr>
              <w:pStyle w:val="TableColumnHeadingLeft"/>
            </w:pPr>
            <w:r w:rsidRPr="00FA1A19">
              <w:t>Non</w:t>
            </w:r>
            <w:r w:rsidR="00F75232">
              <w:noBreakHyphen/>
            </w:r>
            <w:r w:rsidRPr="00FA1A19">
              <w:t>fungible tokens (NFTs)</w:t>
            </w:r>
          </w:p>
        </w:tc>
        <w:tc>
          <w:tcPr>
            <w:tcW w:w="3417" w:type="pct"/>
          </w:tcPr>
          <w:p w14:paraId="7BAD4AE2" w14:textId="6FEDB94B" w:rsidR="00E65C6E" w:rsidRPr="00FA1A19" w:rsidRDefault="00C510F4" w:rsidP="00C17225">
            <w:pPr>
              <w:pStyle w:val="TableTextLeft"/>
            </w:pPr>
            <w:r w:rsidRPr="00FA1A19">
              <w:t xml:space="preserve">Encrypted </w:t>
            </w:r>
            <w:r w:rsidR="004005DC" w:rsidRPr="00FA1A19">
              <w:t>r</w:t>
            </w:r>
            <w:r w:rsidR="00E65C6E" w:rsidRPr="00FA1A19">
              <w:t xml:space="preserve">epresentations of unique data. Each token is mathematically unique and unable to be fractionalised, unlike many fungible crypto assets. NFTs are commonly </w:t>
            </w:r>
            <w:r w:rsidR="00E90E38" w:rsidRPr="00FA1A19">
              <w:t xml:space="preserve">thought of as </w:t>
            </w:r>
            <w:r w:rsidR="00E65C6E" w:rsidRPr="00FA1A19">
              <w:t>represent</w:t>
            </w:r>
            <w:r w:rsidR="00E90E38" w:rsidRPr="00FA1A19">
              <w:t>ing</w:t>
            </w:r>
            <w:r w:rsidR="00E65C6E" w:rsidRPr="00FA1A19">
              <w:t xml:space="preserve"> artwork ownership, however</w:t>
            </w:r>
            <w:r w:rsidR="00E90E38" w:rsidRPr="00FA1A19">
              <w:t xml:space="preserve"> uses</w:t>
            </w:r>
            <w:r w:rsidR="00E65C6E" w:rsidRPr="00FA1A19">
              <w:t xml:space="preserve"> are wide ranging.</w:t>
            </w:r>
          </w:p>
        </w:tc>
      </w:tr>
      <w:tr w:rsidR="005577F0" w:rsidRPr="00FA1A19" w14:paraId="4E3193C4" w14:textId="77777777" w:rsidTr="00EB09BD">
        <w:tc>
          <w:tcPr>
            <w:tcW w:w="1583" w:type="pct"/>
          </w:tcPr>
          <w:p w14:paraId="2EDD9F6C" w14:textId="426A552F" w:rsidR="005577F0" w:rsidRPr="00FA1A19" w:rsidRDefault="005577F0" w:rsidP="00C17225">
            <w:pPr>
              <w:pStyle w:val="TableColumnHeadingLeft"/>
            </w:pPr>
            <w:r w:rsidRPr="00FA1A19">
              <w:t>Smart contract</w:t>
            </w:r>
          </w:p>
        </w:tc>
        <w:tc>
          <w:tcPr>
            <w:tcW w:w="3417" w:type="pct"/>
          </w:tcPr>
          <w:p w14:paraId="0739C46F" w14:textId="64F78984" w:rsidR="005577F0" w:rsidRPr="00FA1A19" w:rsidRDefault="006711B9" w:rsidP="00C17225">
            <w:pPr>
              <w:pStyle w:val="TableTextLeft"/>
            </w:pPr>
            <w:r w:rsidRPr="00FA1A19">
              <w:t>DLT</w:t>
            </w:r>
            <w:r w:rsidR="00F75232">
              <w:noBreakHyphen/>
            </w:r>
            <w:r w:rsidRPr="00FA1A19">
              <w:t>based software code that carries out, controls, and documents relevant events and actions according to predefined requirements and rules</w:t>
            </w:r>
            <w:r w:rsidR="00FB4FC4" w:rsidRPr="00FA1A19">
              <w:t>.</w:t>
            </w:r>
            <w:r w:rsidR="00FB4FC4" w:rsidRPr="00170ADC">
              <w:rPr>
                <w:rStyle w:val="FootnoteReference"/>
              </w:rPr>
              <w:footnoteReference w:id="13"/>
            </w:r>
          </w:p>
        </w:tc>
      </w:tr>
      <w:tr w:rsidR="00E65C6E" w:rsidRPr="00FA1A19" w14:paraId="4EB21FEF" w14:textId="77777777" w:rsidTr="00EB09BD">
        <w:trPr>
          <w:cnfStyle w:val="000000100000" w:firstRow="0" w:lastRow="0" w:firstColumn="0" w:lastColumn="0" w:oddVBand="0" w:evenVBand="0" w:oddHBand="1" w:evenHBand="0" w:firstRowFirstColumn="0" w:firstRowLastColumn="0" w:lastRowFirstColumn="0" w:lastRowLastColumn="0"/>
        </w:trPr>
        <w:tc>
          <w:tcPr>
            <w:tcW w:w="1583" w:type="pct"/>
          </w:tcPr>
          <w:p w14:paraId="3142BC65" w14:textId="77777777" w:rsidR="00E65C6E" w:rsidRPr="00FA1A19" w:rsidRDefault="00E65C6E" w:rsidP="00C17225">
            <w:pPr>
              <w:pStyle w:val="TableColumnHeadingLeft"/>
            </w:pPr>
            <w:r w:rsidRPr="00FA1A19">
              <w:t>Stablecoin</w:t>
            </w:r>
          </w:p>
        </w:tc>
        <w:tc>
          <w:tcPr>
            <w:tcW w:w="3417" w:type="pct"/>
          </w:tcPr>
          <w:p w14:paraId="6842332C" w14:textId="77777777" w:rsidR="00E65C6E" w:rsidRPr="00FA1A19" w:rsidRDefault="00E65C6E" w:rsidP="00C17225">
            <w:pPr>
              <w:pStyle w:val="TableTextLeft"/>
            </w:pPr>
            <w:r w:rsidRPr="00FA1A19">
              <w:t>Crypto assets that aim to maintain a stable value relative to a specified asset, or a pool or a basket of assets.</w:t>
            </w:r>
            <w:r w:rsidRPr="00170ADC">
              <w:rPr>
                <w:rStyle w:val="FootnoteReference"/>
              </w:rPr>
              <w:footnoteReference w:id="14"/>
            </w:r>
          </w:p>
        </w:tc>
      </w:tr>
      <w:tr w:rsidR="00E65C6E" w:rsidRPr="00FA1A19" w14:paraId="1D907991" w14:textId="77777777" w:rsidTr="00EB09BD">
        <w:tc>
          <w:tcPr>
            <w:tcW w:w="1583" w:type="pct"/>
          </w:tcPr>
          <w:p w14:paraId="228004D1" w14:textId="77777777" w:rsidR="00E65C6E" w:rsidRPr="00FA1A19" w:rsidRDefault="00E65C6E" w:rsidP="00C17225">
            <w:pPr>
              <w:pStyle w:val="TableColumnHeadingLeft"/>
            </w:pPr>
            <w:r w:rsidRPr="00FA1A19">
              <w:t>Token</w:t>
            </w:r>
          </w:p>
        </w:tc>
        <w:tc>
          <w:tcPr>
            <w:tcW w:w="3417" w:type="pct"/>
          </w:tcPr>
          <w:p w14:paraId="24459C78" w14:textId="62A29B9B" w:rsidR="00E65C6E" w:rsidRPr="00FA1A19" w:rsidRDefault="00E65C6E" w:rsidP="00C17225">
            <w:pPr>
              <w:pStyle w:val="TableTextLeft"/>
            </w:pPr>
            <w:r w:rsidRPr="00FA1A19">
              <w:t xml:space="preserve">A </w:t>
            </w:r>
            <w:r w:rsidR="00977817" w:rsidRPr="00FA1A19">
              <w:t xml:space="preserve">unit of digital information that can be exclusively used or controlled by a </w:t>
            </w:r>
            <w:r w:rsidR="002F5C58" w:rsidRPr="00FA1A19">
              <w:t>person despite that person not controlling the host hardware where that token is recorded. The crypto token is recorded on a distributed ledger and the authenticity of the crypto token is established by cryptography.</w:t>
            </w:r>
            <w:r w:rsidR="002F5C58" w:rsidRPr="00170ADC">
              <w:rPr>
                <w:rStyle w:val="FootnoteReference"/>
              </w:rPr>
              <w:footnoteReference w:id="15"/>
            </w:r>
          </w:p>
        </w:tc>
      </w:tr>
    </w:tbl>
    <w:p w14:paraId="4A947E93" w14:textId="269C45C7" w:rsidR="00C17225" w:rsidRDefault="00C17225" w:rsidP="00E65C6E">
      <w:r>
        <w:br w:type="page"/>
      </w:r>
    </w:p>
    <w:p w14:paraId="7CC94D92" w14:textId="2E8449C5" w:rsidR="00E65C6E" w:rsidRPr="00FA1A19" w:rsidRDefault="00E65C6E" w:rsidP="0069352C">
      <w:pPr>
        <w:pStyle w:val="Heading1"/>
      </w:pPr>
      <w:bookmarkStart w:id="19" w:name="_Toc159513550"/>
      <w:r w:rsidRPr="00FA1A19">
        <w:t>List of Abbreviations</w:t>
      </w:r>
      <w:bookmarkEnd w:id="19"/>
    </w:p>
    <w:p w14:paraId="51B1DB97" w14:textId="0D1ADDB2" w:rsidR="00E65C6E" w:rsidRPr="00FA1A19" w:rsidRDefault="00E65C6E" w:rsidP="00E65C6E">
      <w:r w:rsidRPr="00FA1A19">
        <w:t xml:space="preserve">The following abbreviations and acronyms are used throughout this </w:t>
      </w:r>
      <w:r w:rsidR="00087FF7">
        <w:t>R</w:t>
      </w:r>
      <w:r w:rsidRPr="00FA1A19">
        <w:t>eport.</w:t>
      </w:r>
    </w:p>
    <w:tbl>
      <w:tblPr>
        <w:tblStyle w:val="ListTable3-Accent1"/>
        <w:tblW w:w="5000" w:type="pct"/>
        <w:tblLook w:val="0020" w:firstRow="1" w:lastRow="0" w:firstColumn="0" w:lastColumn="0" w:noHBand="0" w:noVBand="0"/>
      </w:tblPr>
      <w:tblGrid>
        <w:gridCol w:w="3144"/>
        <w:gridCol w:w="6487"/>
      </w:tblGrid>
      <w:tr w:rsidR="00E65C6E" w:rsidRPr="00D2761C" w14:paraId="53E4FC5A" w14:textId="77777777" w:rsidTr="00EB09B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32" w:type="pct"/>
          </w:tcPr>
          <w:p w14:paraId="2F420BF2" w14:textId="77777777" w:rsidR="00E65C6E" w:rsidRPr="00D2761C" w:rsidRDefault="00E65C6E" w:rsidP="00C17225">
            <w:pPr>
              <w:pStyle w:val="TableColumnHeadingLeft"/>
            </w:pPr>
            <w:r w:rsidRPr="00D2761C">
              <w:t>Abbreviation</w:t>
            </w:r>
          </w:p>
        </w:tc>
        <w:tc>
          <w:tcPr>
            <w:tcW w:w="3368" w:type="pct"/>
          </w:tcPr>
          <w:p w14:paraId="13D0FF76" w14:textId="77777777" w:rsidR="00E65C6E" w:rsidRPr="00D2761C" w:rsidRDefault="00E65C6E" w:rsidP="00C17225">
            <w:pPr>
              <w:pStyle w:val="TableColumnHeadingLeft"/>
              <w:cnfStyle w:val="100000000000" w:firstRow="1" w:lastRow="0" w:firstColumn="0" w:lastColumn="0" w:oddVBand="0" w:evenVBand="0" w:oddHBand="0" w:evenHBand="0" w:firstRowFirstColumn="0" w:firstRowLastColumn="0" w:lastRowFirstColumn="0" w:lastRowLastColumn="0"/>
            </w:pPr>
            <w:r w:rsidRPr="00D2761C">
              <w:t>Definition</w:t>
            </w:r>
          </w:p>
        </w:tc>
      </w:tr>
      <w:tr w:rsidR="005E0590" w:rsidRPr="00FA1A19" w14:paraId="127B96AF"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0721F445" w14:textId="2B3B2391" w:rsidR="005E0590" w:rsidRPr="00FA1A19" w:rsidRDefault="005E0590" w:rsidP="00C17225">
            <w:pPr>
              <w:pStyle w:val="TableTextLeft"/>
            </w:pPr>
            <w:r w:rsidRPr="00FA1A19">
              <w:t>ASIC</w:t>
            </w:r>
          </w:p>
        </w:tc>
        <w:tc>
          <w:tcPr>
            <w:tcW w:w="3368" w:type="pct"/>
          </w:tcPr>
          <w:p w14:paraId="3CA49F2F" w14:textId="6CFDD55E" w:rsidR="005E0590" w:rsidRPr="00FA1A19" w:rsidRDefault="005E0590" w:rsidP="00C17225">
            <w:pPr>
              <w:pStyle w:val="TableTextLeft"/>
              <w:cnfStyle w:val="000000100000" w:firstRow="0" w:lastRow="0" w:firstColumn="0" w:lastColumn="0" w:oddVBand="0" w:evenVBand="0" w:oddHBand="1" w:evenHBand="0" w:firstRowFirstColumn="0" w:firstRowLastColumn="0" w:lastRowFirstColumn="0" w:lastRowLastColumn="0"/>
            </w:pPr>
            <w:r w:rsidRPr="00FA1A19">
              <w:t>Australian Securities and Investments Commission</w:t>
            </w:r>
          </w:p>
        </w:tc>
      </w:tr>
      <w:tr w:rsidR="002652AD" w:rsidRPr="00FA1A19" w14:paraId="4DB3B8DC"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1282AA60" w14:textId="61392E2C" w:rsidR="002652AD" w:rsidRPr="00FA1A19" w:rsidRDefault="002652AD" w:rsidP="00C17225">
            <w:pPr>
              <w:pStyle w:val="TableTextLeft"/>
            </w:pPr>
            <w:r>
              <w:t>AUSTRAC</w:t>
            </w:r>
          </w:p>
        </w:tc>
        <w:tc>
          <w:tcPr>
            <w:tcW w:w="3368" w:type="pct"/>
          </w:tcPr>
          <w:p w14:paraId="39CECDA3" w14:textId="06BB4685" w:rsidR="002652AD" w:rsidRPr="00FA1A19" w:rsidRDefault="00AA0ECA" w:rsidP="00C17225">
            <w:pPr>
              <w:pStyle w:val="TableTextLeft"/>
              <w:cnfStyle w:val="000000000000" w:firstRow="0" w:lastRow="0" w:firstColumn="0" w:lastColumn="0" w:oddVBand="0" w:evenVBand="0" w:oddHBand="0" w:evenHBand="0" w:firstRowFirstColumn="0" w:firstRowLastColumn="0" w:lastRowFirstColumn="0" w:lastRowLastColumn="0"/>
            </w:pPr>
            <w:r>
              <w:t>Australian Transaction Reports and Analysis Centre</w:t>
            </w:r>
          </w:p>
        </w:tc>
      </w:tr>
      <w:tr w:rsidR="00E65C6E" w:rsidRPr="00FA1A19" w14:paraId="61957DFC"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12B1E22A" w14:textId="77777777" w:rsidR="00E65C6E" w:rsidRPr="00FA1A19" w:rsidRDefault="00E65C6E" w:rsidP="00C17225">
            <w:pPr>
              <w:pStyle w:val="TableTextLeft"/>
            </w:pPr>
            <w:r w:rsidRPr="00FA1A19">
              <w:t>ATO</w:t>
            </w:r>
          </w:p>
        </w:tc>
        <w:tc>
          <w:tcPr>
            <w:tcW w:w="3368" w:type="pct"/>
          </w:tcPr>
          <w:p w14:paraId="4D3E1416" w14:textId="77777777" w:rsidR="00E65C6E" w:rsidRPr="00FA1A19" w:rsidRDefault="00E65C6E" w:rsidP="00C17225">
            <w:pPr>
              <w:pStyle w:val="TableTextLeft"/>
              <w:cnfStyle w:val="000000100000" w:firstRow="0" w:lastRow="0" w:firstColumn="0" w:lastColumn="0" w:oddVBand="0" w:evenVBand="0" w:oddHBand="1" w:evenHBand="0" w:firstRowFirstColumn="0" w:firstRowLastColumn="0" w:lastRowFirstColumn="0" w:lastRowLastColumn="0"/>
            </w:pPr>
            <w:r w:rsidRPr="00FA1A19">
              <w:t>Australian Taxation Office</w:t>
            </w:r>
          </w:p>
        </w:tc>
      </w:tr>
      <w:tr w:rsidR="00E65C6E" w:rsidRPr="00FA1A19" w14:paraId="2685FB4E"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3F0F1F43" w14:textId="77777777" w:rsidR="00E65C6E" w:rsidRPr="00FA1A19" w:rsidRDefault="00E65C6E" w:rsidP="00C17225">
            <w:pPr>
              <w:pStyle w:val="TableTextLeft"/>
            </w:pPr>
            <w:r w:rsidRPr="00FA1A19">
              <w:t>Board</w:t>
            </w:r>
          </w:p>
        </w:tc>
        <w:tc>
          <w:tcPr>
            <w:tcW w:w="3368" w:type="pct"/>
          </w:tcPr>
          <w:p w14:paraId="422F2AB3" w14:textId="77777777" w:rsidR="00E65C6E" w:rsidRPr="00FA1A19" w:rsidRDefault="00E65C6E" w:rsidP="00C17225">
            <w:pPr>
              <w:pStyle w:val="TableTextLeft"/>
              <w:cnfStyle w:val="000000000000" w:firstRow="0" w:lastRow="0" w:firstColumn="0" w:lastColumn="0" w:oddVBand="0" w:evenVBand="0" w:oddHBand="0" w:evenHBand="0" w:firstRowFirstColumn="0" w:firstRowLastColumn="0" w:lastRowFirstColumn="0" w:lastRowLastColumn="0"/>
            </w:pPr>
            <w:r w:rsidRPr="00FA1A19">
              <w:t>Board of Taxation</w:t>
            </w:r>
          </w:p>
        </w:tc>
      </w:tr>
      <w:tr w:rsidR="007B6B63" w:rsidRPr="00FA1A19" w14:paraId="481733BC"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5371FB9C" w14:textId="21699AA7" w:rsidR="007B6B63" w:rsidRPr="00FA1A19" w:rsidRDefault="007B6B63" w:rsidP="00C17225">
            <w:pPr>
              <w:pStyle w:val="TableTextLeft"/>
            </w:pPr>
            <w:r>
              <w:t>CARF</w:t>
            </w:r>
          </w:p>
        </w:tc>
        <w:tc>
          <w:tcPr>
            <w:tcW w:w="3368" w:type="pct"/>
          </w:tcPr>
          <w:p w14:paraId="56CE6C22" w14:textId="731BDDF3" w:rsidR="007B6B63" w:rsidRPr="00FA1A19" w:rsidRDefault="007B6B63" w:rsidP="00C17225">
            <w:pPr>
              <w:pStyle w:val="TableTextLeft"/>
              <w:cnfStyle w:val="000000100000" w:firstRow="0" w:lastRow="0" w:firstColumn="0" w:lastColumn="0" w:oddVBand="0" w:evenVBand="0" w:oddHBand="1" w:evenHBand="0" w:firstRowFirstColumn="0" w:firstRowLastColumn="0" w:lastRowFirstColumn="0" w:lastRowLastColumn="0"/>
            </w:pPr>
            <w:r>
              <w:t>Crypto-Asset Reporting Framework</w:t>
            </w:r>
          </w:p>
        </w:tc>
      </w:tr>
      <w:tr w:rsidR="00E65C6E" w:rsidRPr="00FA1A19" w14:paraId="1512A5C5"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5DD62B10" w14:textId="77777777" w:rsidR="00E65C6E" w:rsidRPr="00FA1A19" w:rsidRDefault="00E65C6E" w:rsidP="00C17225">
            <w:pPr>
              <w:pStyle w:val="TableTextLeft"/>
            </w:pPr>
            <w:r w:rsidRPr="00FA1A19">
              <w:t>CBDC</w:t>
            </w:r>
          </w:p>
        </w:tc>
        <w:tc>
          <w:tcPr>
            <w:tcW w:w="3368" w:type="pct"/>
          </w:tcPr>
          <w:p w14:paraId="7C3EECE2" w14:textId="77777777" w:rsidR="00E65C6E" w:rsidRPr="00FA1A19" w:rsidRDefault="00E65C6E" w:rsidP="00C17225">
            <w:pPr>
              <w:pStyle w:val="TableTextLeft"/>
              <w:cnfStyle w:val="000000000000" w:firstRow="0" w:lastRow="0" w:firstColumn="0" w:lastColumn="0" w:oddVBand="0" w:evenVBand="0" w:oddHBand="0" w:evenHBand="0" w:firstRowFirstColumn="0" w:firstRowLastColumn="0" w:lastRowFirstColumn="0" w:lastRowLastColumn="0"/>
            </w:pPr>
            <w:r w:rsidRPr="00FA1A19">
              <w:t>Central Bank Digital Currency</w:t>
            </w:r>
          </w:p>
        </w:tc>
      </w:tr>
      <w:tr w:rsidR="00E65C6E" w:rsidRPr="00FA1A19" w14:paraId="16FD1E26"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076E403A" w14:textId="77777777" w:rsidR="00E65C6E" w:rsidRPr="00FA1A19" w:rsidRDefault="00E65C6E" w:rsidP="00C17225">
            <w:pPr>
              <w:pStyle w:val="TableTextLeft"/>
            </w:pPr>
            <w:r w:rsidRPr="00FA1A19">
              <w:t>CGT</w:t>
            </w:r>
          </w:p>
        </w:tc>
        <w:tc>
          <w:tcPr>
            <w:tcW w:w="3368" w:type="pct"/>
          </w:tcPr>
          <w:p w14:paraId="2BA29364" w14:textId="77777777" w:rsidR="00E65C6E" w:rsidRPr="00FA1A19" w:rsidRDefault="00E65C6E" w:rsidP="00C17225">
            <w:pPr>
              <w:pStyle w:val="TableTextLeft"/>
              <w:cnfStyle w:val="000000100000" w:firstRow="0" w:lastRow="0" w:firstColumn="0" w:lastColumn="0" w:oddVBand="0" w:evenVBand="0" w:oddHBand="1" w:evenHBand="0" w:firstRowFirstColumn="0" w:firstRowLastColumn="0" w:lastRowFirstColumn="0" w:lastRowLastColumn="0"/>
            </w:pPr>
            <w:r w:rsidRPr="00FA1A19">
              <w:t>Capital gains tax</w:t>
            </w:r>
          </w:p>
        </w:tc>
      </w:tr>
      <w:tr w:rsidR="00E65C6E" w:rsidRPr="00FA1A19" w14:paraId="39F0517F"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077A61D6" w14:textId="77777777" w:rsidR="00E65C6E" w:rsidRPr="00FA1A19" w:rsidRDefault="00E65C6E" w:rsidP="00C17225">
            <w:pPr>
              <w:pStyle w:val="TableTextLeft"/>
            </w:pPr>
            <w:r w:rsidRPr="00FA1A19">
              <w:t>CRA</w:t>
            </w:r>
          </w:p>
        </w:tc>
        <w:tc>
          <w:tcPr>
            <w:tcW w:w="3368" w:type="pct"/>
          </w:tcPr>
          <w:p w14:paraId="7D0813E6" w14:textId="1FA45348" w:rsidR="00E65C6E" w:rsidRPr="00FA1A19" w:rsidRDefault="00E65C6E" w:rsidP="00C17225">
            <w:pPr>
              <w:pStyle w:val="TableTextLeft"/>
              <w:cnfStyle w:val="000000000000" w:firstRow="0" w:lastRow="0" w:firstColumn="0" w:lastColumn="0" w:oddVBand="0" w:evenVBand="0" w:oddHBand="0" w:evenHBand="0" w:firstRowFirstColumn="0" w:firstRowLastColumn="0" w:lastRowFirstColumn="0" w:lastRowLastColumn="0"/>
            </w:pPr>
            <w:r w:rsidRPr="00FA1A19">
              <w:t>Canad</w:t>
            </w:r>
            <w:r w:rsidR="002652AD">
              <w:t>a</w:t>
            </w:r>
            <w:r w:rsidRPr="00FA1A19">
              <w:t xml:space="preserve"> Revenue </w:t>
            </w:r>
            <w:r w:rsidR="004D2BDF" w:rsidRPr="00FA1A19">
              <w:t>A</w:t>
            </w:r>
            <w:r w:rsidR="004D2BDF">
              <w:t>gency</w:t>
            </w:r>
          </w:p>
        </w:tc>
      </w:tr>
      <w:tr w:rsidR="00E65C6E" w:rsidRPr="00FA1A19" w14:paraId="08960549"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53734130" w14:textId="77777777" w:rsidR="00E65C6E" w:rsidRPr="00FA1A19" w:rsidRDefault="00E65C6E" w:rsidP="00C17225">
            <w:pPr>
              <w:pStyle w:val="TableTextLeft"/>
            </w:pPr>
            <w:r w:rsidRPr="00FA1A19">
              <w:t>Commissioner</w:t>
            </w:r>
          </w:p>
        </w:tc>
        <w:tc>
          <w:tcPr>
            <w:tcW w:w="3368" w:type="pct"/>
          </w:tcPr>
          <w:p w14:paraId="0798B64B" w14:textId="77777777" w:rsidR="00E65C6E" w:rsidRPr="00FA1A19" w:rsidRDefault="00E65C6E" w:rsidP="00C17225">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The Commissioner of Taxation </w:t>
            </w:r>
          </w:p>
        </w:tc>
      </w:tr>
      <w:tr w:rsidR="00600607" w:rsidRPr="00FA1A19" w14:paraId="5B269D0F"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374F095A" w14:textId="4E49489B" w:rsidR="00600607" w:rsidRPr="00FA1A19" w:rsidRDefault="00600607" w:rsidP="00C17225">
            <w:pPr>
              <w:pStyle w:val="TableTextLeft"/>
            </w:pPr>
            <w:r>
              <w:t>DAO</w:t>
            </w:r>
          </w:p>
        </w:tc>
        <w:tc>
          <w:tcPr>
            <w:tcW w:w="3368" w:type="pct"/>
          </w:tcPr>
          <w:p w14:paraId="6E26A220" w14:textId="64A6121D" w:rsidR="00600607" w:rsidRPr="00FA1A19" w:rsidRDefault="00600607" w:rsidP="00C17225">
            <w:pPr>
              <w:pStyle w:val="TableTextLeft"/>
              <w:cnfStyle w:val="000000000000" w:firstRow="0" w:lastRow="0" w:firstColumn="0" w:lastColumn="0" w:oddVBand="0" w:evenVBand="0" w:oddHBand="0" w:evenHBand="0" w:firstRowFirstColumn="0" w:firstRowLastColumn="0" w:lastRowFirstColumn="0" w:lastRowLastColumn="0"/>
            </w:pPr>
            <w:r>
              <w:t>Decentralised Autonomous Organisation</w:t>
            </w:r>
          </w:p>
        </w:tc>
      </w:tr>
      <w:tr w:rsidR="00887F1A" w:rsidRPr="00FA1A19" w14:paraId="27AD22FD"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23C1A8DB" w14:textId="39F66F64" w:rsidR="00BF15D9" w:rsidRPr="00FA1A19" w:rsidRDefault="00BF15D9" w:rsidP="00C17225">
            <w:pPr>
              <w:pStyle w:val="TableTextLeft"/>
            </w:pPr>
            <w:r w:rsidRPr="00FA1A19">
              <w:t>D</w:t>
            </w:r>
            <w:r w:rsidR="00397609" w:rsidRPr="00FA1A19">
              <w:t>EX</w:t>
            </w:r>
          </w:p>
        </w:tc>
        <w:tc>
          <w:tcPr>
            <w:tcW w:w="3368" w:type="pct"/>
          </w:tcPr>
          <w:p w14:paraId="57779DD1" w14:textId="43503FFE" w:rsidR="00BF15D9" w:rsidRPr="00FA1A19" w:rsidRDefault="00BF15D9" w:rsidP="00C17225">
            <w:pPr>
              <w:pStyle w:val="TableTextLeft"/>
              <w:cnfStyle w:val="000000100000" w:firstRow="0" w:lastRow="0" w:firstColumn="0" w:lastColumn="0" w:oddVBand="0" w:evenVBand="0" w:oddHBand="1" w:evenHBand="0" w:firstRowFirstColumn="0" w:firstRowLastColumn="0" w:lastRowFirstColumn="0" w:lastRowLastColumn="0"/>
            </w:pPr>
            <w:r w:rsidRPr="00FA1A19">
              <w:t>Decentralised Exchange</w:t>
            </w:r>
          </w:p>
        </w:tc>
      </w:tr>
      <w:tr w:rsidR="006711B9" w:rsidRPr="00FA1A19" w14:paraId="30C254E1"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53CF938B" w14:textId="330FD508" w:rsidR="006711B9" w:rsidRPr="00FA1A19" w:rsidRDefault="006711B9" w:rsidP="00C17225">
            <w:pPr>
              <w:pStyle w:val="TableTextLeft"/>
            </w:pPr>
            <w:r w:rsidRPr="00FA1A19">
              <w:t>DeFi</w:t>
            </w:r>
          </w:p>
        </w:tc>
        <w:tc>
          <w:tcPr>
            <w:tcW w:w="3368" w:type="pct"/>
          </w:tcPr>
          <w:p w14:paraId="5D5C15EF" w14:textId="016C6DC0"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FA1A19">
              <w:t>Decentralised Finance</w:t>
            </w:r>
          </w:p>
        </w:tc>
      </w:tr>
      <w:tr w:rsidR="006711B9" w:rsidRPr="00FA1A19" w14:paraId="6B8793BD"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7E55712C" w14:textId="6D6E351E" w:rsidR="006711B9" w:rsidRPr="00FA1A19" w:rsidRDefault="006711B9" w:rsidP="00C17225">
            <w:pPr>
              <w:pStyle w:val="TableTextLeft"/>
            </w:pPr>
            <w:r w:rsidRPr="00FA1A19">
              <w:t>DGR</w:t>
            </w:r>
          </w:p>
        </w:tc>
        <w:tc>
          <w:tcPr>
            <w:tcW w:w="3368" w:type="pct"/>
          </w:tcPr>
          <w:p w14:paraId="2EE392E8" w14:textId="37F8BCE1" w:rsidR="006711B9" w:rsidRPr="00FA1A19" w:rsidRDefault="006711B9" w:rsidP="00C17225">
            <w:pPr>
              <w:pStyle w:val="TableTextLeft"/>
              <w:cnfStyle w:val="000000100000" w:firstRow="0" w:lastRow="0" w:firstColumn="0" w:lastColumn="0" w:oddVBand="0" w:evenVBand="0" w:oddHBand="1" w:evenHBand="0" w:firstRowFirstColumn="0" w:firstRowLastColumn="0" w:lastRowFirstColumn="0" w:lastRowLastColumn="0"/>
            </w:pPr>
            <w:r w:rsidRPr="00FA1A19">
              <w:t>Deductible gift recipient</w:t>
            </w:r>
          </w:p>
        </w:tc>
      </w:tr>
      <w:tr w:rsidR="006711B9" w:rsidRPr="00FA1A19" w14:paraId="6FE4DEFD"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1E050026" w14:textId="5C72DCAD" w:rsidR="006711B9" w:rsidRPr="00FA1A19" w:rsidRDefault="006711B9" w:rsidP="00C17225">
            <w:pPr>
              <w:pStyle w:val="TableTextLeft"/>
            </w:pPr>
            <w:r w:rsidRPr="00FA1A19">
              <w:t>DLT</w:t>
            </w:r>
          </w:p>
        </w:tc>
        <w:tc>
          <w:tcPr>
            <w:tcW w:w="3368" w:type="pct"/>
          </w:tcPr>
          <w:p w14:paraId="40E36D4C" w14:textId="3D88C9FD"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FA1A19">
              <w:t>Distributed ledger technology</w:t>
            </w:r>
          </w:p>
        </w:tc>
      </w:tr>
      <w:tr w:rsidR="006711B9" w:rsidRPr="00FA1A19" w14:paraId="6FA944CB"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4B3BA21C" w14:textId="77777777" w:rsidR="006711B9" w:rsidRPr="00FA1A19" w:rsidRDefault="006711B9" w:rsidP="00C17225">
            <w:pPr>
              <w:pStyle w:val="TableTextLeft"/>
            </w:pPr>
            <w:r w:rsidRPr="00FA1A19">
              <w:t>FBT</w:t>
            </w:r>
          </w:p>
        </w:tc>
        <w:tc>
          <w:tcPr>
            <w:tcW w:w="3368" w:type="pct"/>
          </w:tcPr>
          <w:p w14:paraId="49C6EE1A" w14:textId="77777777" w:rsidR="006711B9" w:rsidRPr="00FA1A19" w:rsidRDefault="006711B9" w:rsidP="00C17225">
            <w:pPr>
              <w:pStyle w:val="TableTextLeft"/>
              <w:cnfStyle w:val="000000100000" w:firstRow="0" w:lastRow="0" w:firstColumn="0" w:lastColumn="0" w:oddVBand="0" w:evenVBand="0" w:oddHBand="1" w:evenHBand="0" w:firstRowFirstColumn="0" w:firstRowLastColumn="0" w:lastRowFirstColumn="0" w:lastRowLastColumn="0"/>
            </w:pPr>
            <w:r w:rsidRPr="00FA1A19">
              <w:t>Fringe benefits tax</w:t>
            </w:r>
          </w:p>
        </w:tc>
      </w:tr>
      <w:tr w:rsidR="006711B9" w:rsidRPr="00FA1A19" w14:paraId="37FF07DF"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4BC1086C" w14:textId="77777777" w:rsidR="006711B9" w:rsidRPr="00FA1A19" w:rsidRDefault="006711B9" w:rsidP="00C17225">
            <w:pPr>
              <w:pStyle w:val="TableTextLeft"/>
            </w:pPr>
            <w:r w:rsidRPr="00FA1A19">
              <w:t>GameFi</w:t>
            </w:r>
          </w:p>
        </w:tc>
        <w:tc>
          <w:tcPr>
            <w:tcW w:w="3368" w:type="pct"/>
          </w:tcPr>
          <w:p w14:paraId="476CE7A2" w14:textId="43B9D364"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FA1A19">
              <w:t>Gaming Finance</w:t>
            </w:r>
          </w:p>
        </w:tc>
      </w:tr>
      <w:tr w:rsidR="006711B9" w:rsidRPr="00FA1A19" w14:paraId="75F9C3B7"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4DDDBD91" w14:textId="77777777" w:rsidR="006711B9" w:rsidRPr="00FA1A19" w:rsidRDefault="006711B9" w:rsidP="00C17225">
            <w:pPr>
              <w:pStyle w:val="TableTextLeft"/>
            </w:pPr>
            <w:r w:rsidRPr="00FA1A19">
              <w:t>GST</w:t>
            </w:r>
          </w:p>
        </w:tc>
        <w:tc>
          <w:tcPr>
            <w:tcW w:w="3368" w:type="pct"/>
          </w:tcPr>
          <w:p w14:paraId="4EBE4F6C" w14:textId="77777777" w:rsidR="006711B9" w:rsidRPr="00FA1A19" w:rsidRDefault="006711B9" w:rsidP="00C17225">
            <w:pPr>
              <w:pStyle w:val="TableTextLeft"/>
              <w:cnfStyle w:val="000000100000" w:firstRow="0" w:lastRow="0" w:firstColumn="0" w:lastColumn="0" w:oddVBand="0" w:evenVBand="0" w:oddHBand="1" w:evenHBand="0" w:firstRowFirstColumn="0" w:firstRowLastColumn="0" w:lastRowFirstColumn="0" w:lastRowLastColumn="0"/>
              <w:rPr>
                <w:i/>
                <w:iCs/>
              </w:rPr>
            </w:pPr>
            <w:r w:rsidRPr="00FA1A19">
              <w:t>Goods and services tax</w:t>
            </w:r>
          </w:p>
        </w:tc>
      </w:tr>
      <w:tr w:rsidR="006711B9" w:rsidRPr="00FA1A19" w14:paraId="770DB4A6"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09D62963" w14:textId="77777777" w:rsidR="006711B9" w:rsidRPr="00FA1A19" w:rsidRDefault="006711B9" w:rsidP="00C17225">
            <w:pPr>
              <w:pStyle w:val="TableTextLeft"/>
            </w:pPr>
            <w:r w:rsidRPr="00FA1A19">
              <w:t>GST Act</w:t>
            </w:r>
          </w:p>
        </w:tc>
        <w:tc>
          <w:tcPr>
            <w:tcW w:w="3368" w:type="pct"/>
          </w:tcPr>
          <w:p w14:paraId="77FE6FA3" w14:textId="77777777"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813896">
              <w:rPr>
                <w:rStyle w:val="Emphasis"/>
              </w:rPr>
              <w:t>A New Tax System (Good and Services Tax) Act 1999</w:t>
            </w:r>
          </w:p>
        </w:tc>
      </w:tr>
      <w:tr w:rsidR="006711B9" w:rsidRPr="00FA1A19" w14:paraId="5AB91982"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63D84EFF" w14:textId="1CF2BBE9" w:rsidR="006711B9" w:rsidRPr="00FA1A19" w:rsidRDefault="00624B0E" w:rsidP="00C17225">
            <w:pPr>
              <w:pStyle w:val="TableTextLeft"/>
            </w:pPr>
            <w:r>
              <w:t xml:space="preserve">UK </w:t>
            </w:r>
            <w:r w:rsidR="006711B9" w:rsidRPr="00FA1A19">
              <w:t>HMRC</w:t>
            </w:r>
          </w:p>
        </w:tc>
        <w:tc>
          <w:tcPr>
            <w:tcW w:w="3368" w:type="pct"/>
          </w:tcPr>
          <w:p w14:paraId="7C5B6EDD" w14:textId="7E1BA228" w:rsidR="006711B9" w:rsidRPr="00FA1A19" w:rsidRDefault="00064E16" w:rsidP="00C17225">
            <w:pPr>
              <w:pStyle w:val="TableTextLeft"/>
              <w:cnfStyle w:val="000000100000" w:firstRow="0" w:lastRow="0" w:firstColumn="0" w:lastColumn="0" w:oddVBand="0" w:evenVBand="0" w:oddHBand="1" w:evenHBand="0" w:firstRowFirstColumn="0" w:firstRowLastColumn="0" w:lastRowFirstColumn="0" w:lastRowLastColumn="0"/>
            </w:pPr>
            <w:r>
              <w:t>HM</w:t>
            </w:r>
            <w:r w:rsidR="006711B9" w:rsidRPr="00FA1A19">
              <w:t xml:space="preserve"> Revenue and Customs</w:t>
            </w:r>
            <w:r w:rsidR="00F41C82">
              <w:t xml:space="preserve"> (United Kingdom)</w:t>
            </w:r>
          </w:p>
        </w:tc>
      </w:tr>
      <w:tr w:rsidR="0011094F" w:rsidRPr="00FA1A19" w14:paraId="1CC8AC7B"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73538803" w14:textId="56257823" w:rsidR="0011094F" w:rsidRDefault="0011094F" w:rsidP="00C17225">
            <w:pPr>
              <w:pStyle w:val="TableTextLeft"/>
            </w:pPr>
            <w:r>
              <w:t>IOSCO</w:t>
            </w:r>
          </w:p>
        </w:tc>
        <w:tc>
          <w:tcPr>
            <w:tcW w:w="3368" w:type="pct"/>
          </w:tcPr>
          <w:p w14:paraId="6695D2E6" w14:textId="32C633D7" w:rsidR="0011094F" w:rsidRDefault="0011094F" w:rsidP="00C17225">
            <w:pPr>
              <w:pStyle w:val="TableTextLeft"/>
              <w:cnfStyle w:val="000000000000" w:firstRow="0" w:lastRow="0" w:firstColumn="0" w:lastColumn="0" w:oddVBand="0" w:evenVBand="0" w:oddHBand="0" w:evenHBand="0" w:firstRowFirstColumn="0" w:firstRowLastColumn="0" w:lastRowFirstColumn="0" w:lastRowLastColumn="0"/>
            </w:pPr>
            <w:r w:rsidRPr="0011094F">
              <w:t>International Organization of Securities Commissions</w:t>
            </w:r>
          </w:p>
        </w:tc>
      </w:tr>
      <w:tr w:rsidR="006711B9" w:rsidRPr="00FA1A19" w14:paraId="2C591B69"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0A146892" w14:textId="77777777" w:rsidR="006711B9" w:rsidRPr="00FA1A19" w:rsidRDefault="006711B9" w:rsidP="00C17225">
            <w:pPr>
              <w:pStyle w:val="TableTextLeft"/>
            </w:pPr>
            <w:r w:rsidRPr="00FA1A19">
              <w:t>IRAS</w:t>
            </w:r>
          </w:p>
        </w:tc>
        <w:tc>
          <w:tcPr>
            <w:tcW w:w="3368" w:type="pct"/>
          </w:tcPr>
          <w:p w14:paraId="4BFC626F" w14:textId="77777777" w:rsidR="006711B9" w:rsidRPr="00FA1A19" w:rsidRDefault="006711B9" w:rsidP="00C17225">
            <w:pPr>
              <w:pStyle w:val="TableTextLeft"/>
              <w:cnfStyle w:val="000000100000" w:firstRow="0" w:lastRow="0" w:firstColumn="0" w:lastColumn="0" w:oddVBand="0" w:evenVBand="0" w:oddHBand="1" w:evenHBand="0" w:firstRowFirstColumn="0" w:firstRowLastColumn="0" w:lastRowFirstColumn="0" w:lastRowLastColumn="0"/>
            </w:pPr>
            <w:r w:rsidRPr="00FA1A19">
              <w:t>Inland Revenue Authority of Singapore</w:t>
            </w:r>
          </w:p>
        </w:tc>
      </w:tr>
      <w:tr w:rsidR="006711B9" w:rsidRPr="00FA1A19" w14:paraId="70B768B0"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717D51E0" w14:textId="09DEC3C1" w:rsidR="006711B9" w:rsidRPr="00FA1A19" w:rsidRDefault="00624B0E" w:rsidP="00C17225">
            <w:pPr>
              <w:pStyle w:val="TableTextLeft"/>
            </w:pPr>
            <w:r>
              <w:t xml:space="preserve">US </w:t>
            </w:r>
            <w:r w:rsidR="006711B9" w:rsidRPr="00FA1A19">
              <w:t>IRS</w:t>
            </w:r>
            <w:r w:rsidR="00DD7E85">
              <w:t xml:space="preserve"> </w:t>
            </w:r>
          </w:p>
        </w:tc>
        <w:tc>
          <w:tcPr>
            <w:tcW w:w="3368" w:type="pct"/>
          </w:tcPr>
          <w:p w14:paraId="6FBAEA32" w14:textId="42088BF2" w:rsidR="006711B9" w:rsidRPr="00FA1A19" w:rsidRDefault="00AF77BC" w:rsidP="00C17225">
            <w:pPr>
              <w:pStyle w:val="TableTextLeft"/>
              <w:cnfStyle w:val="000000000000" w:firstRow="0" w:lastRow="0" w:firstColumn="0" w:lastColumn="0" w:oddVBand="0" w:evenVBand="0" w:oddHBand="0" w:evenHBand="0" w:firstRowFirstColumn="0" w:firstRowLastColumn="0" w:lastRowFirstColumn="0" w:lastRowLastColumn="0"/>
            </w:pPr>
            <w:r w:rsidRPr="00FA1A19">
              <w:t>In</w:t>
            </w:r>
            <w:r>
              <w:t>ternal</w:t>
            </w:r>
            <w:r w:rsidRPr="00FA1A19">
              <w:t xml:space="preserve"> </w:t>
            </w:r>
            <w:r w:rsidR="006711B9" w:rsidRPr="00FA1A19">
              <w:t>Revenue Service</w:t>
            </w:r>
            <w:r>
              <w:t xml:space="preserve"> (United States)</w:t>
            </w:r>
          </w:p>
        </w:tc>
      </w:tr>
      <w:tr w:rsidR="006711B9" w:rsidRPr="00813896" w14:paraId="404DBAC3"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4892CEEE" w14:textId="77777777" w:rsidR="006711B9" w:rsidRPr="00AA0ECA" w:rsidRDefault="006711B9" w:rsidP="00C17225">
            <w:pPr>
              <w:pStyle w:val="TableTextLeft"/>
              <w:rPr>
                <w:rStyle w:val="Emphasis"/>
                <w:i w:val="0"/>
              </w:rPr>
            </w:pPr>
            <w:r w:rsidRPr="00AA0ECA">
              <w:rPr>
                <w:rStyle w:val="Emphasis"/>
                <w:i w:val="0"/>
              </w:rPr>
              <w:t>ITAA 1936</w:t>
            </w:r>
          </w:p>
        </w:tc>
        <w:tc>
          <w:tcPr>
            <w:tcW w:w="3368" w:type="pct"/>
          </w:tcPr>
          <w:p w14:paraId="4319653D" w14:textId="77777777" w:rsidR="006711B9" w:rsidRPr="00813896" w:rsidRDefault="006711B9" w:rsidP="00C17225">
            <w:pPr>
              <w:pStyle w:val="TableTextLeft"/>
              <w:cnfStyle w:val="000000100000" w:firstRow="0" w:lastRow="0" w:firstColumn="0" w:lastColumn="0" w:oddVBand="0" w:evenVBand="0" w:oddHBand="1" w:evenHBand="0" w:firstRowFirstColumn="0" w:firstRowLastColumn="0" w:lastRowFirstColumn="0" w:lastRowLastColumn="0"/>
              <w:rPr>
                <w:rStyle w:val="Emphasis"/>
              </w:rPr>
            </w:pPr>
            <w:r w:rsidRPr="00813896">
              <w:rPr>
                <w:rStyle w:val="Emphasis"/>
              </w:rPr>
              <w:t>Income Tax Assessment Act 1936</w:t>
            </w:r>
          </w:p>
        </w:tc>
      </w:tr>
      <w:tr w:rsidR="006711B9" w:rsidRPr="00813896" w14:paraId="0B36D670"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0102B05F" w14:textId="77777777" w:rsidR="006711B9" w:rsidRPr="00AA0ECA" w:rsidRDefault="006711B9" w:rsidP="00C17225">
            <w:pPr>
              <w:pStyle w:val="TableTextLeft"/>
              <w:rPr>
                <w:rStyle w:val="Emphasis"/>
                <w:i w:val="0"/>
              </w:rPr>
            </w:pPr>
            <w:r w:rsidRPr="00AA0ECA">
              <w:rPr>
                <w:rStyle w:val="Emphasis"/>
                <w:i w:val="0"/>
              </w:rPr>
              <w:t>ITAA 1997</w:t>
            </w:r>
          </w:p>
        </w:tc>
        <w:tc>
          <w:tcPr>
            <w:tcW w:w="3368" w:type="pct"/>
          </w:tcPr>
          <w:p w14:paraId="5F34E4B5" w14:textId="77777777" w:rsidR="006711B9" w:rsidRPr="00813896" w:rsidRDefault="006711B9" w:rsidP="00C17225">
            <w:pPr>
              <w:pStyle w:val="TableTextLeft"/>
              <w:cnfStyle w:val="000000000000" w:firstRow="0" w:lastRow="0" w:firstColumn="0" w:lastColumn="0" w:oddVBand="0" w:evenVBand="0" w:oddHBand="0" w:evenHBand="0" w:firstRowFirstColumn="0" w:firstRowLastColumn="0" w:lastRowFirstColumn="0" w:lastRowLastColumn="0"/>
              <w:rPr>
                <w:rStyle w:val="Emphasis"/>
              </w:rPr>
            </w:pPr>
            <w:r w:rsidRPr="00813896">
              <w:rPr>
                <w:rStyle w:val="Emphasis"/>
              </w:rPr>
              <w:t>Income Tax Assessment Act 1997</w:t>
            </w:r>
          </w:p>
        </w:tc>
      </w:tr>
      <w:tr w:rsidR="006711B9" w:rsidRPr="00FA1A19" w14:paraId="606840C4"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51CD4E18" w14:textId="77777777" w:rsidR="006711B9" w:rsidRPr="00FA1A19" w:rsidRDefault="006711B9" w:rsidP="00C17225">
            <w:pPr>
              <w:pStyle w:val="TableTextLeft"/>
            </w:pPr>
            <w:r w:rsidRPr="00FA1A19">
              <w:t>NFT</w:t>
            </w:r>
          </w:p>
        </w:tc>
        <w:tc>
          <w:tcPr>
            <w:tcW w:w="3368" w:type="pct"/>
          </w:tcPr>
          <w:p w14:paraId="4C39CC87" w14:textId="77777777" w:rsidR="006711B9" w:rsidRPr="00FA1A19" w:rsidRDefault="006711B9" w:rsidP="00C17225">
            <w:pPr>
              <w:pStyle w:val="TableTextLeft"/>
              <w:cnfStyle w:val="000000100000" w:firstRow="0" w:lastRow="0" w:firstColumn="0" w:lastColumn="0" w:oddVBand="0" w:evenVBand="0" w:oddHBand="1" w:evenHBand="0" w:firstRowFirstColumn="0" w:firstRowLastColumn="0" w:lastRowFirstColumn="0" w:lastRowLastColumn="0"/>
            </w:pPr>
            <w:r w:rsidRPr="00FA1A19">
              <w:t>Non fungible token</w:t>
            </w:r>
          </w:p>
        </w:tc>
      </w:tr>
      <w:tr w:rsidR="006711B9" w:rsidRPr="00FA1A19" w14:paraId="3BDF2B00"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1A89845C" w14:textId="77777777" w:rsidR="006711B9" w:rsidRPr="00FA1A19" w:rsidRDefault="006711B9" w:rsidP="00C17225">
            <w:pPr>
              <w:pStyle w:val="TableTextLeft"/>
            </w:pPr>
            <w:r w:rsidRPr="00FA1A19">
              <w:t>NZ</w:t>
            </w:r>
          </w:p>
        </w:tc>
        <w:tc>
          <w:tcPr>
            <w:tcW w:w="3368" w:type="pct"/>
          </w:tcPr>
          <w:p w14:paraId="28A77924" w14:textId="77777777"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FA1A19">
              <w:t>New Zealand</w:t>
            </w:r>
          </w:p>
        </w:tc>
      </w:tr>
      <w:tr w:rsidR="00F5360C" w:rsidRPr="00FA1A19" w14:paraId="7E76904A"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0A50CDB1" w14:textId="60BD453A" w:rsidR="000829CA" w:rsidRPr="00FA1A19" w:rsidRDefault="00F5360C" w:rsidP="00C17225">
            <w:pPr>
              <w:pStyle w:val="TableTextLeft"/>
            </w:pPr>
            <w:r w:rsidRPr="00FA1A19">
              <w:t>NZ IR</w:t>
            </w:r>
          </w:p>
        </w:tc>
        <w:tc>
          <w:tcPr>
            <w:tcW w:w="3368" w:type="pct"/>
          </w:tcPr>
          <w:p w14:paraId="58EFB16D" w14:textId="5CED8BAB" w:rsidR="00F5360C" w:rsidRPr="00FA1A19" w:rsidRDefault="00F5360C" w:rsidP="00C17225">
            <w:pPr>
              <w:pStyle w:val="TableTextLeft"/>
              <w:cnfStyle w:val="000000100000" w:firstRow="0" w:lastRow="0" w:firstColumn="0" w:lastColumn="0" w:oddVBand="0" w:evenVBand="0" w:oddHBand="1" w:evenHBand="0" w:firstRowFirstColumn="0" w:firstRowLastColumn="0" w:lastRowFirstColumn="0" w:lastRowLastColumn="0"/>
            </w:pPr>
            <w:r w:rsidRPr="00FA1A19">
              <w:t>Inland Revenue</w:t>
            </w:r>
            <w:r w:rsidR="00624B0E" w:rsidRPr="00FA1A19">
              <w:t xml:space="preserve"> </w:t>
            </w:r>
            <w:r w:rsidR="00624B0E">
              <w:t>(</w:t>
            </w:r>
            <w:r w:rsidR="00624B0E" w:rsidRPr="00FA1A19">
              <w:t>New Zealand</w:t>
            </w:r>
            <w:r w:rsidR="00624B0E">
              <w:t>)</w:t>
            </w:r>
          </w:p>
        </w:tc>
      </w:tr>
      <w:tr w:rsidR="00D046AF" w:rsidRPr="00FA1A19" w14:paraId="117E8347"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7E813714" w14:textId="00C07CB9" w:rsidR="00D046AF" w:rsidRPr="00FA1A19" w:rsidRDefault="00D046AF" w:rsidP="00C17225">
            <w:pPr>
              <w:pStyle w:val="TableTextLeft"/>
            </w:pPr>
            <w:r>
              <w:t>OTC</w:t>
            </w:r>
          </w:p>
        </w:tc>
        <w:tc>
          <w:tcPr>
            <w:tcW w:w="3368" w:type="pct"/>
          </w:tcPr>
          <w:p w14:paraId="3E2AF825" w14:textId="10D89183" w:rsidR="00D046AF" w:rsidRPr="00FA1A19" w:rsidRDefault="00D046AF" w:rsidP="00C17225">
            <w:pPr>
              <w:pStyle w:val="TableTextLeft"/>
              <w:cnfStyle w:val="000000000000" w:firstRow="0" w:lastRow="0" w:firstColumn="0" w:lastColumn="0" w:oddVBand="0" w:evenVBand="0" w:oddHBand="0" w:evenHBand="0" w:firstRowFirstColumn="0" w:firstRowLastColumn="0" w:lastRowFirstColumn="0" w:lastRowLastColumn="0"/>
            </w:pPr>
            <w:r>
              <w:t>Over the counter</w:t>
            </w:r>
          </w:p>
        </w:tc>
      </w:tr>
      <w:tr w:rsidR="006711B9" w:rsidRPr="00FA1A19" w14:paraId="28508F36"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7B817F6E" w14:textId="77777777" w:rsidR="006711B9" w:rsidRPr="00FA1A19" w:rsidRDefault="006711B9" w:rsidP="00C17225">
            <w:pPr>
              <w:pStyle w:val="TableTextLeft"/>
            </w:pPr>
            <w:r w:rsidRPr="00FA1A19">
              <w:t>PBR</w:t>
            </w:r>
          </w:p>
        </w:tc>
        <w:tc>
          <w:tcPr>
            <w:tcW w:w="3368" w:type="pct"/>
          </w:tcPr>
          <w:p w14:paraId="32029666" w14:textId="77777777" w:rsidR="006711B9" w:rsidRPr="00FA1A19" w:rsidRDefault="006711B9" w:rsidP="00C17225">
            <w:pPr>
              <w:pStyle w:val="TableTextLeft"/>
              <w:cnfStyle w:val="000000100000" w:firstRow="0" w:lastRow="0" w:firstColumn="0" w:lastColumn="0" w:oddVBand="0" w:evenVBand="0" w:oddHBand="1" w:evenHBand="0" w:firstRowFirstColumn="0" w:firstRowLastColumn="0" w:lastRowFirstColumn="0" w:lastRowLastColumn="0"/>
            </w:pPr>
            <w:r w:rsidRPr="00FA1A19">
              <w:t>Private Binding Ruling</w:t>
            </w:r>
          </w:p>
        </w:tc>
      </w:tr>
      <w:tr w:rsidR="006711B9" w:rsidRPr="00FA1A19" w14:paraId="6BD85838"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3592E163" w14:textId="77777777" w:rsidR="006711B9" w:rsidRPr="00FA1A19" w:rsidRDefault="006711B9" w:rsidP="00C17225">
            <w:pPr>
              <w:pStyle w:val="TableTextLeft"/>
            </w:pPr>
            <w:r w:rsidRPr="00FA1A19">
              <w:t>Review</w:t>
            </w:r>
          </w:p>
        </w:tc>
        <w:tc>
          <w:tcPr>
            <w:tcW w:w="3368" w:type="pct"/>
          </w:tcPr>
          <w:p w14:paraId="5EDD537A" w14:textId="5A28846E"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The Board of Taxation Review of the Tax Treatment of Digital Assets and Transactions </w:t>
            </w:r>
            <w:r w:rsidR="003F5BE5">
              <w:t>in Australia</w:t>
            </w:r>
          </w:p>
        </w:tc>
      </w:tr>
      <w:tr w:rsidR="00F3336F" w:rsidRPr="00813896" w14:paraId="2BACC19C"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4F66B131" w14:textId="53434E5B" w:rsidR="00F3336F" w:rsidRPr="00F3336F" w:rsidRDefault="00F3336F" w:rsidP="00C17225">
            <w:pPr>
              <w:pStyle w:val="TableTextLeft"/>
              <w:rPr>
                <w:rStyle w:val="Emphasis"/>
                <w:i w:val="0"/>
              </w:rPr>
            </w:pPr>
            <w:r w:rsidRPr="00F3336F">
              <w:rPr>
                <w:rStyle w:val="Emphasis"/>
                <w:i w:val="0"/>
              </w:rPr>
              <w:t>S</w:t>
            </w:r>
            <w:r w:rsidRPr="00CD2B15">
              <w:rPr>
                <w:rStyle w:val="Emphasis"/>
                <w:i w:val="0"/>
              </w:rPr>
              <w:t>MSF</w:t>
            </w:r>
          </w:p>
        </w:tc>
        <w:tc>
          <w:tcPr>
            <w:tcW w:w="3368" w:type="pct"/>
          </w:tcPr>
          <w:p w14:paraId="31A896C5" w14:textId="5DE9AB2E" w:rsidR="00F3336F" w:rsidRPr="00CD2B15" w:rsidRDefault="00F3336F" w:rsidP="00C17225">
            <w:pPr>
              <w:pStyle w:val="TableTextLeft"/>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Self</w:t>
            </w:r>
            <w:r w:rsidR="00A55DE9">
              <w:rPr>
                <w:rStyle w:val="Emphasis"/>
                <w:i w:val="0"/>
                <w:iCs w:val="0"/>
              </w:rPr>
              <w:t>-managed superannuation fund</w:t>
            </w:r>
          </w:p>
        </w:tc>
      </w:tr>
      <w:tr w:rsidR="006711B9" w:rsidRPr="00813896" w14:paraId="3A478A07"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65BD4192" w14:textId="77777777" w:rsidR="006711B9" w:rsidRPr="00AA0ECA" w:rsidRDefault="006711B9" w:rsidP="00C17225">
            <w:pPr>
              <w:pStyle w:val="TableTextLeft"/>
              <w:rPr>
                <w:rStyle w:val="Emphasis"/>
                <w:i w:val="0"/>
              </w:rPr>
            </w:pPr>
            <w:r w:rsidRPr="00AA0ECA">
              <w:rPr>
                <w:rStyle w:val="Emphasis"/>
                <w:i w:val="0"/>
              </w:rPr>
              <w:t>TAA 1953</w:t>
            </w:r>
          </w:p>
        </w:tc>
        <w:tc>
          <w:tcPr>
            <w:tcW w:w="3368" w:type="pct"/>
          </w:tcPr>
          <w:p w14:paraId="2889672A" w14:textId="77777777" w:rsidR="006711B9" w:rsidRPr="00813896" w:rsidRDefault="006711B9" w:rsidP="00C17225">
            <w:pPr>
              <w:pStyle w:val="TableTextLeft"/>
              <w:cnfStyle w:val="000000000000" w:firstRow="0" w:lastRow="0" w:firstColumn="0" w:lastColumn="0" w:oddVBand="0" w:evenVBand="0" w:oddHBand="0" w:evenHBand="0" w:firstRowFirstColumn="0" w:firstRowLastColumn="0" w:lastRowFirstColumn="0" w:lastRowLastColumn="0"/>
              <w:rPr>
                <w:rStyle w:val="Emphasis"/>
              </w:rPr>
            </w:pPr>
            <w:r w:rsidRPr="00813896">
              <w:rPr>
                <w:rStyle w:val="Emphasis"/>
              </w:rPr>
              <w:t>Taxation Administration Act 1953</w:t>
            </w:r>
          </w:p>
        </w:tc>
      </w:tr>
      <w:tr w:rsidR="006711B9" w:rsidRPr="00813896" w14:paraId="479C33AA"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65870B3A" w14:textId="77777777" w:rsidR="006711B9" w:rsidRPr="00AA0ECA" w:rsidRDefault="006711B9" w:rsidP="00C17225">
            <w:pPr>
              <w:pStyle w:val="TableTextLeft"/>
              <w:rPr>
                <w:rStyle w:val="Emphasis"/>
                <w:i w:val="0"/>
              </w:rPr>
            </w:pPr>
            <w:r w:rsidRPr="00AA0ECA">
              <w:rPr>
                <w:rStyle w:val="Emphasis"/>
                <w:i w:val="0"/>
              </w:rPr>
              <w:t>TASA 2009</w:t>
            </w:r>
          </w:p>
        </w:tc>
        <w:tc>
          <w:tcPr>
            <w:tcW w:w="3368" w:type="pct"/>
          </w:tcPr>
          <w:p w14:paraId="08C6A45D" w14:textId="77777777" w:rsidR="006711B9" w:rsidRPr="00813896" w:rsidRDefault="006711B9" w:rsidP="00C17225">
            <w:pPr>
              <w:pStyle w:val="TableTextLeft"/>
              <w:cnfStyle w:val="000000100000" w:firstRow="0" w:lastRow="0" w:firstColumn="0" w:lastColumn="0" w:oddVBand="0" w:evenVBand="0" w:oddHBand="1" w:evenHBand="0" w:firstRowFirstColumn="0" w:firstRowLastColumn="0" w:lastRowFirstColumn="0" w:lastRowLastColumn="0"/>
              <w:rPr>
                <w:rStyle w:val="Emphasis"/>
              </w:rPr>
            </w:pPr>
            <w:r w:rsidRPr="00813896">
              <w:rPr>
                <w:rStyle w:val="Emphasis"/>
              </w:rPr>
              <w:t>Tax Agent Services Act 2009</w:t>
            </w:r>
          </w:p>
        </w:tc>
      </w:tr>
      <w:tr w:rsidR="006711B9" w:rsidRPr="00FA1A19" w14:paraId="59509E2D"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4E76DD38" w14:textId="77777777" w:rsidR="006711B9" w:rsidRPr="00FA1A19" w:rsidRDefault="006711B9" w:rsidP="00C17225">
            <w:pPr>
              <w:pStyle w:val="TableTextLeft"/>
            </w:pPr>
            <w:r w:rsidRPr="00FA1A19">
              <w:t>TASR 2022</w:t>
            </w:r>
          </w:p>
        </w:tc>
        <w:tc>
          <w:tcPr>
            <w:tcW w:w="3368" w:type="pct"/>
          </w:tcPr>
          <w:p w14:paraId="41118CBA" w14:textId="77777777"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813896">
              <w:rPr>
                <w:rStyle w:val="Emphasis"/>
              </w:rPr>
              <w:t>Tax Agent Services Regulations 2022</w:t>
            </w:r>
          </w:p>
        </w:tc>
      </w:tr>
      <w:tr w:rsidR="00984EB3" w:rsidRPr="00FA1A19" w14:paraId="567B4065"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60918CBE" w14:textId="1782CB53" w:rsidR="00984EB3" w:rsidRPr="00FA1A19" w:rsidRDefault="005453B1" w:rsidP="00C17225">
            <w:pPr>
              <w:pStyle w:val="TableTextLeft"/>
            </w:pPr>
            <w:r>
              <w:t>TOFA</w:t>
            </w:r>
          </w:p>
        </w:tc>
        <w:tc>
          <w:tcPr>
            <w:tcW w:w="3368" w:type="pct"/>
          </w:tcPr>
          <w:p w14:paraId="4AD13216" w14:textId="375D23B6" w:rsidR="00984EB3" w:rsidRPr="00CD2B15" w:rsidRDefault="005B231C" w:rsidP="00C17225">
            <w:pPr>
              <w:pStyle w:val="TableTextLeft"/>
              <w:cnfStyle w:val="000000100000" w:firstRow="0" w:lastRow="0" w:firstColumn="0" w:lastColumn="0" w:oddVBand="0" w:evenVBand="0" w:oddHBand="1" w:evenHBand="0" w:firstRowFirstColumn="0" w:firstRowLastColumn="0" w:lastRowFirstColumn="0" w:lastRowLastColumn="0"/>
              <w:rPr>
                <w:rStyle w:val="Emphasis"/>
                <w:i w:val="0"/>
                <w:iCs w:val="0"/>
              </w:rPr>
            </w:pPr>
            <w:r>
              <w:t>T</w:t>
            </w:r>
            <w:r w:rsidR="00984EB3" w:rsidRPr="00984EB3">
              <w:t>axation of financial arrangements</w:t>
            </w:r>
          </w:p>
        </w:tc>
      </w:tr>
      <w:tr w:rsidR="006711B9" w:rsidRPr="00FA1A19" w14:paraId="1CE5D661"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04D0FFB0" w14:textId="77777777" w:rsidR="006711B9" w:rsidRPr="00FA1A19" w:rsidRDefault="006711B9" w:rsidP="00C17225">
            <w:pPr>
              <w:pStyle w:val="TableTextLeft"/>
            </w:pPr>
            <w:r w:rsidRPr="00FA1A19">
              <w:t>TPB</w:t>
            </w:r>
          </w:p>
        </w:tc>
        <w:tc>
          <w:tcPr>
            <w:tcW w:w="3368" w:type="pct"/>
          </w:tcPr>
          <w:p w14:paraId="60EDC685" w14:textId="77777777"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Tax </w:t>
            </w:r>
            <w:r w:rsidRPr="00FA1A19">
              <w:rPr>
                <w:rFonts w:cs="Calibri"/>
              </w:rPr>
              <w:t>Practitioners</w:t>
            </w:r>
            <w:r w:rsidRPr="00FA1A19">
              <w:t xml:space="preserve"> Board</w:t>
            </w:r>
          </w:p>
        </w:tc>
      </w:tr>
      <w:tr w:rsidR="006711B9" w:rsidRPr="00FA1A19" w14:paraId="6A1FC192"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385DF698" w14:textId="77777777" w:rsidR="006711B9" w:rsidRPr="00FA1A19" w:rsidRDefault="006711B9" w:rsidP="00C17225">
            <w:pPr>
              <w:pStyle w:val="TableTextLeft"/>
            </w:pPr>
            <w:r w:rsidRPr="00FA1A19">
              <w:t>UK</w:t>
            </w:r>
          </w:p>
        </w:tc>
        <w:tc>
          <w:tcPr>
            <w:tcW w:w="3368" w:type="pct"/>
          </w:tcPr>
          <w:p w14:paraId="07C9F745" w14:textId="77777777" w:rsidR="006711B9" w:rsidRPr="00FA1A19" w:rsidRDefault="006711B9" w:rsidP="00C17225">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United </w:t>
            </w:r>
            <w:r w:rsidRPr="00FA1A19">
              <w:rPr>
                <w:rFonts w:cs="Calibri"/>
              </w:rPr>
              <w:t>Kingdom</w:t>
            </w:r>
          </w:p>
        </w:tc>
      </w:tr>
      <w:tr w:rsidR="006711B9" w:rsidRPr="00FA1A19" w14:paraId="61E51491" w14:textId="77777777" w:rsidTr="00EB09BD">
        <w:tc>
          <w:tcPr>
            <w:cnfStyle w:val="000010000000" w:firstRow="0" w:lastRow="0" w:firstColumn="0" w:lastColumn="0" w:oddVBand="1" w:evenVBand="0" w:oddHBand="0" w:evenHBand="0" w:firstRowFirstColumn="0" w:firstRowLastColumn="0" w:lastRowFirstColumn="0" w:lastRowLastColumn="0"/>
            <w:tcW w:w="1632" w:type="pct"/>
          </w:tcPr>
          <w:p w14:paraId="5F51DE05" w14:textId="77777777" w:rsidR="006711B9" w:rsidRPr="00FA1A19" w:rsidRDefault="006711B9" w:rsidP="00C17225">
            <w:pPr>
              <w:pStyle w:val="TableTextLeft"/>
            </w:pPr>
            <w:r w:rsidRPr="00FA1A19">
              <w:t>US</w:t>
            </w:r>
          </w:p>
        </w:tc>
        <w:tc>
          <w:tcPr>
            <w:tcW w:w="3368" w:type="pct"/>
          </w:tcPr>
          <w:p w14:paraId="62BF59CE" w14:textId="77777777" w:rsidR="006711B9" w:rsidRPr="00FA1A19" w:rsidRDefault="006711B9" w:rsidP="00C17225">
            <w:pPr>
              <w:pStyle w:val="TableTextLeft"/>
              <w:cnfStyle w:val="000000000000" w:firstRow="0" w:lastRow="0" w:firstColumn="0" w:lastColumn="0" w:oddVBand="0" w:evenVBand="0" w:oddHBand="0" w:evenHBand="0" w:firstRowFirstColumn="0" w:firstRowLastColumn="0" w:lastRowFirstColumn="0" w:lastRowLastColumn="0"/>
            </w:pPr>
            <w:r w:rsidRPr="00FA1A19">
              <w:t>United States</w:t>
            </w:r>
          </w:p>
        </w:tc>
      </w:tr>
      <w:tr w:rsidR="00A55DE9" w:rsidRPr="00FA1A19" w14:paraId="61FAB06D" w14:textId="77777777" w:rsidTr="00EB09B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2" w:type="pct"/>
          </w:tcPr>
          <w:p w14:paraId="3A2BA27C" w14:textId="5EB75056" w:rsidR="00A55DE9" w:rsidRPr="00FA1A19" w:rsidRDefault="00A55DE9" w:rsidP="00C17225">
            <w:pPr>
              <w:pStyle w:val="TableTextLeft"/>
            </w:pPr>
            <w:bookmarkStart w:id="20" w:name="_Toc137745977"/>
            <w:r>
              <w:t>USD</w:t>
            </w:r>
          </w:p>
        </w:tc>
        <w:tc>
          <w:tcPr>
            <w:tcW w:w="3368" w:type="pct"/>
          </w:tcPr>
          <w:p w14:paraId="370550D4" w14:textId="32F9F780" w:rsidR="00A55DE9" w:rsidRPr="00FA1A19" w:rsidRDefault="00A55DE9" w:rsidP="00C17225">
            <w:pPr>
              <w:pStyle w:val="TableTextLeft"/>
              <w:cnfStyle w:val="000000100000" w:firstRow="0" w:lastRow="0" w:firstColumn="0" w:lastColumn="0" w:oddVBand="0" w:evenVBand="0" w:oddHBand="1" w:evenHBand="0" w:firstRowFirstColumn="0" w:firstRowLastColumn="0" w:lastRowFirstColumn="0" w:lastRowLastColumn="0"/>
            </w:pPr>
            <w:r>
              <w:t>United States dollar</w:t>
            </w:r>
          </w:p>
        </w:tc>
      </w:tr>
    </w:tbl>
    <w:p w14:paraId="4C88C7BA" w14:textId="6E6B2F8A" w:rsidR="00B62ED8" w:rsidRPr="00FA1A19" w:rsidRDefault="00B62ED8"/>
    <w:p w14:paraId="67EFA7BA" w14:textId="77777777" w:rsidR="00C17225" w:rsidRDefault="00C17225">
      <w:pPr>
        <w:sectPr w:rsidR="00C17225" w:rsidSect="001E405B">
          <w:headerReference w:type="even" r:id="rId29"/>
          <w:headerReference w:type="default" r:id="rId30"/>
          <w:footerReference w:type="even" r:id="rId31"/>
          <w:footerReference w:type="default" r:id="rId32"/>
          <w:headerReference w:type="first" r:id="rId33"/>
          <w:footerReference w:type="first" r:id="rId34"/>
          <w:pgSz w:w="11909" w:h="16834" w:code="9"/>
          <w:pgMar w:top="1985" w:right="1134" w:bottom="1985" w:left="1134" w:header="1134" w:footer="1134" w:gutter="0"/>
          <w:pgNumType w:start="1"/>
          <w:cols w:space="708"/>
          <w:docGrid w:linePitch="360"/>
        </w:sectPr>
      </w:pPr>
    </w:p>
    <w:p w14:paraId="2C52EB9F" w14:textId="20F84445" w:rsidR="00E65C6E" w:rsidRPr="00FA1A19" w:rsidRDefault="00372633" w:rsidP="0069352C">
      <w:pPr>
        <w:pStyle w:val="Heading1"/>
      </w:pPr>
      <w:bookmarkStart w:id="21" w:name="_Toc159513551"/>
      <w:r>
        <w:t>Chapter </w:t>
      </w:r>
      <w:r w:rsidR="00E65C6E" w:rsidRPr="00FA1A19">
        <w:t>1: Introduction</w:t>
      </w:r>
      <w:bookmarkEnd w:id="20"/>
      <w:bookmarkEnd w:id="21"/>
    </w:p>
    <w:p w14:paraId="042610A7" w14:textId="77777777" w:rsidR="00E65C6E" w:rsidRPr="00FA1A19" w:rsidDel="007F7E60" w:rsidRDefault="00E65C6E" w:rsidP="0069352C">
      <w:pPr>
        <w:pStyle w:val="Heading2"/>
      </w:pPr>
      <w:bookmarkStart w:id="22" w:name="_Toc159513552"/>
      <w:r w:rsidRPr="00FA1A19">
        <w:t>Background</w:t>
      </w:r>
      <w:bookmarkEnd w:id="22"/>
      <w:r w:rsidRPr="00FA1A19">
        <w:t xml:space="preserve"> </w:t>
      </w:r>
    </w:p>
    <w:p w14:paraId="43597AA2" w14:textId="687ABC25" w:rsidR="00E65C6E" w:rsidRPr="00FA1A19" w:rsidRDefault="00E65C6E" w:rsidP="00C17225">
      <w:r w:rsidRPr="00FA1A19">
        <w:rPr>
          <w:rFonts w:asciiTheme="minorHAnsi" w:hAnsiTheme="minorHAnsi" w:cstheme="minorHAnsi"/>
          <w:color w:val="333333"/>
        </w:rPr>
        <w:t xml:space="preserve">On 8 December 2021, the former </w:t>
      </w:r>
      <w:r w:rsidR="004D46AE">
        <w:rPr>
          <w:rFonts w:asciiTheme="minorHAnsi" w:hAnsiTheme="minorHAnsi" w:cstheme="minorHAnsi"/>
          <w:color w:val="333333"/>
        </w:rPr>
        <w:t>t</w:t>
      </w:r>
      <w:r w:rsidR="004D46AE" w:rsidRPr="00FA1A19">
        <w:rPr>
          <w:rFonts w:asciiTheme="minorHAnsi" w:hAnsiTheme="minorHAnsi" w:cstheme="minorHAnsi"/>
          <w:color w:val="333333"/>
        </w:rPr>
        <w:t xml:space="preserve">reasurer </w:t>
      </w:r>
      <w:r w:rsidRPr="00FA1A19">
        <w:rPr>
          <w:rFonts w:asciiTheme="minorHAnsi" w:hAnsiTheme="minorHAnsi" w:cstheme="minorHAnsi"/>
          <w:color w:val="333333"/>
        </w:rPr>
        <w:t xml:space="preserve">announced the </w:t>
      </w:r>
      <w:r w:rsidR="004D46AE">
        <w:rPr>
          <w:rFonts w:asciiTheme="minorHAnsi" w:hAnsiTheme="minorHAnsi" w:cstheme="minorHAnsi"/>
          <w:color w:val="333333"/>
        </w:rPr>
        <w:t>g</w:t>
      </w:r>
      <w:r w:rsidR="004D46AE" w:rsidRPr="00FA1A19">
        <w:rPr>
          <w:rFonts w:asciiTheme="minorHAnsi" w:hAnsiTheme="minorHAnsi" w:cstheme="minorHAnsi"/>
          <w:color w:val="333333"/>
        </w:rPr>
        <w:t xml:space="preserve">overnment </w:t>
      </w:r>
      <w:r w:rsidRPr="00FA1A19">
        <w:rPr>
          <w:rFonts w:asciiTheme="minorHAnsi" w:hAnsiTheme="minorHAnsi" w:cstheme="minorHAnsi"/>
          <w:color w:val="333333"/>
        </w:rPr>
        <w:t xml:space="preserve">would task the Board with undertaking a review into the </w:t>
      </w:r>
      <w:r w:rsidRPr="00C17225">
        <w:t>appropriate</w:t>
      </w:r>
      <w:r w:rsidRPr="00FA1A19">
        <w:rPr>
          <w:rFonts w:asciiTheme="minorHAnsi" w:hAnsiTheme="minorHAnsi" w:cstheme="minorHAnsi"/>
          <w:color w:val="333333"/>
        </w:rPr>
        <w:t xml:space="preserve"> policy framework for the taxation of digital assets and transactions in Australia (the </w:t>
      </w:r>
      <w:r w:rsidRPr="00AD28CB">
        <w:rPr>
          <w:rStyle w:val="Strong"/>
        </w:rPr>
        <w:t>Review</w:t>
      </w:r>
      <w:r w:rsidRPr="00FA1A19">
        <w:rPr>
          <w:rFonts w:asciiTheme="minorHAnsi" w:hAnsiTheme="minorHAnsi" w:cstheme="minorHAnsi"/>
          <w:color w:val="333333"/>
        </w:rPr>
        <w:t>), as part of a broader response to a review of Australia</w:t>
      </w:r>
      <w:r w:rsidR="00F75232">
        <w:rPr>
          <w:rFonts w:asciiTheme="minorHAnsi" w:hAnsiTheme="minorHAnsi" w:cstheme="minorHAnsi"/>
          <w:color w:val="333333"/>
        </w:rPr>
        <w:t>’</w:t>
      </w:r>
      <w:r w:rsidRPr="00FA1A19">
        <w:rPr>
          <w:rFonts w:asciiTheme="minorHAnsi" w:hAnsiTheme="minorHAnsi" w:cstheme="minorHAnsi"/>
          <w:color w:val="333333"/>
        </w:rPr>
        <w:t>s payments system and the regulation of digital assets.</w:t>
      </w:r>
    </w:p>
    <w:p w14:paraId="5AC279E2" w14:textId="545E80BE" w:rsidR="00E65C6E" w:rsidRPr="00FA1A19" w:rsidRDefault="00E65C6E" w:rsidP="00C17225">
      <w:pPr>
        <w:rPr>
          <w:rFonts w:asciiTheme="minorHAnsi" w:hAnsiTheme="minorHAnsi" w:cstheme="minorBidi"/>
          <w:color w:val="333333"/>
        </w:rPr>
      </w:pPr>
      <w:r w:rsidRPr="00FA1A19">
        <w:rPr>
          <w:rFonts w:asciiTheme="minorHAnsi" w:hAnsiTheme="minorHAnsi" w:cstheme="minorBidi"/>
          <w:color w:val="333333"/>
        </w:rPr>
        <w:t>On 20 March </w:t>
      </w:r>
      <w:r w:rsidRPr="00C17225">
        <w:t>2022</w:t>
      </w:r>
      <w:r w:rsidRPr="00FA1A19">
        <w:rPr>
          <w:rFonts w:asciiTheme="minorHAnsi" w:hAnsiTheme="minorHAnsi" w:cstheme="minorBidi"/>
          <w:color w:val="333333"/>
        </w:rPr>
        <w:t xml:space="preserve">, the former </w:t>
      </w:r>
      <w:r w:rsidR="00184A7A">
        <w:rPr>
          <w:rFonts w:asciiTheme="minorHAnsi" w:hAnsiTheme="minorHAnsi" w:cstheme="minorBidi"/>
          <w:color w:val="333333"/>
        </w:rPr>
        <w:t>g</w:t>
      </w:r>
      <w:r w:rsidR="00184A7A" w:rsidRPr="00FA1A19">
        <w:rPr>
          <w:rFonts w:asciiTheme="minorHAnsi" w:hAnsiTheme="minorHAnsi" w:cstheme="minorBidi"/>
          <w:color w:val="333333"/>
        </w:rPr>
        <w:t xml:space="preserve">overnment </w:t>
      </w:r>
      <w:r w:rsidRPr="00FA1A19">
        <w:rPr>
          <w:rFonts w:asciiTheme="minorHAnsi" w:hAnsiTheme="minorHAnsi" w:cstheme="minorBidi"/>
          <w:color w:val="333333"/>
        </w:rPr>
        <w:t xml:space="preserve">released the Terms of Reference for the Review. The Terms of Reference were subsequently confirmed by the Government on 12 August 2022, following the 2022 federal election. </w:t>
      </w:r>
    </w:p>
    <w:p w14:paraId="71CAB58E" w14:textId="77777777" w:rsidR="00E65C6E" w:rsidRPr="00FA1A19" w:rsidRDefault="00E65C6E" w:rsidP="0069352C">
      <w:pPr>
        <w:pStyle w:val="Heading2"/>
        <w:rPr>
          <w:rFonts w:cstheme="minorHAnsi"/>
          <w:color w:val="333333"/>
          <w:sz w:val="22"/>
          <w:szCs w:val="22"/>
        </w:rPr>
      </w:pPr>
      <w:bookmarkStart w:id="23" w:name="_Toc137745979"/>
      <w:bookmarkStart w:id="24" w:name="_Toc159513553"/>
      <w:r w:rsidRPr="00FA1A19">
        <w:t>Terms of Reference</w:t>
      </w:r>
      <w:bookmarkEnd w:id="23"/>
      <w:bookmarkEnd w:id="24"/>
      <w:r w:rsidRPr="00FA1A19">
        <w:rPr>
          <w:rFonts w:cstheme="minorHAnsi"/>
          <w:color w:val="333333"/>
          <w:sz w:val="22"/>
          <w:szCs w:val="22"/>
        </w:rPr>
        <w:t xml:space="preserve"> </w:t>
      </w:r>
    </w:p>
    <w:p w14:paraId="08A3FC5B" w14:textId="228CCA48" w:rsidR="00E65C6E" w:rsidRPr="00FA1A19" w:rsidRDefault="00E65C6E" w:rsidP="00C17225">
      <w:pPr>
        <w:rPr>
          <w:rFonts w:asciiTheme="minorHAnsi" w:hAnsiTheme="minorHAnsi" w:cstheme="minorHAnsi"/>
          <w:color w:val="333333"/>
        </w:rPr>
      </w:pPr>
      <w:r w:rsidRPr="00FA1A19">
        <w:rPr>
          <w:rFonts w:asciiTheme="minorHAnsi" w:hAnsiTheme="minorHAnsi" w:cstheme="minorHAnsi"/>
          <w:color w:val="333333"/>
        </w:rPr>
        <w:t xml:space="preserve">With reference to </w:t>
      </w:r>
      <w:r w:rsidRPr="00C17225">
        <w:t>Australia</w:t>
      </w:r>
      <w:r w:rsidR="00F75232">
        <w:t>’</w:t>
      </w:r>
      <w:r w:rsidRPr="00C17225">
        <w:t>s</w:t>
      </w:r>
      <w:r w:rsidRPr="00FA1A19">
        <w:rPr>
          <w:rFonts w:asciiTheme="minorHAnsi" w:hAnsiTheme="minorHAnsi" w:cstheme="minorHAnsi"/>
          <w:color w:val="333333"/>
        </w:rPr>
        <w:t xml:space="preserve"> strong competitive position as an early adopter of digital innovations relative to other jurisdictions, the scope of digital assets and transactions, and without increasing the overall tax burden, the Board is asked to:</w:t>
      </w:r>
    </w:p>
    <w:p w14:paraId="1614D49A" w14:textId="131D759A" w:rsidR="00E65C6E" w:rsidRPr="00FA1A19" w:rsidRDefault="00E65C6E" w:rsidP="00813896">
      <w:pPr>
        <w:pStyle w:val="Bullet"/>
        <w:rPr>
          <w:rFonts w:cstheme="minorHAnsi"/>
        </w:rPr>
      </w:pPr>
      <w:r w:rsidRPr="00FA1A19">
        <w:t>Consider the current Australian taxation treatment of digital assets and transactions and emerging tax policy issues</w:t>
      </w:r>
      <w:r w:rsidR="00E3648D">
        <w:t>.</w:t>
      </w:r>
    </w:p>
    <w:p w14:paraId="382CCB7F" w14:textId="6E080F84" w:rsidR="00E65C6E" w:rsidRPr="00FA1A19" w:rsidRDefault="00E65C6E" w:rsidP="00813896">
      <w:pPr>
        <w:pStyle w:val="Bullet"/>
        <w:rPr>
          <w:rFonts w:cstheme="minorHAnsi"/>
        </w:rPr>
      </w:pPr>
      <w:r w:rsidRPr="00FA1A19">
        <w:t>Consider the awareness of the taxation treatment by both retail and wholesale investors and those transacting in digital assets as part of their business</w:t>
      </w:r>
      <w:r w:rsidR="00E3648D">
        <w:t>.</w:t>
      </w:r>
    </w:p>
    <w:p w14:paraId="29879FC7" w14:textId="761B6920" w:rsidR="00E65C6E" w:rsidRPr="00FA1A19" w:rsidRDefault="00E65C6E" w:rsidP="00813896">
      <w:pPr>
        <w:pStyle w:val="Bullet"/>
        <w:rPr>
          <w:rFonts w:cstheme="minorHAnsi"/>
        </w:rPr>
      </w:pPr>
      <w:r w:rsidRPr="00FA1A19">
        <w:t>Consider the characteristics and features of digital assets and transactions in the market, including the rapid evolution of technology supporting the broader digital asset ecosystem</w:t>
      </w:r>
      <w:r w:rsidR="00E3648D">
        <w:t>.</w:t>
      </w:r>
    </w:p>
    <w:p w14:paraId="53096A8F" w14:textId="435F6928" w:rsidR="00E65C6E" w:rsidRPr="00FA1A19" w:rsidRDefault="00E65C6E" w:rsidP="00813896">
      <w:pPr>
        <w:pStyle w:val="Bullet"/>
        <w:rPr>
          <w:rFonts w:cstheme="minorHAnsi"/>
        </w:rPr>
      </w:pPr>
      <w:r w:rsidRPr="00FA1A19">
        <w:t>Analyse the taxation of digital assets and transactions in comparative jurisdictions and consider how international experience may inform the taxation of digital assets and transactions in Australia</w:t>
      </w:r>
      <w:r w:rsidR="00E3648D">
        <w:t>.</w:t>
      </w:r>
    </w:p>
    <w:p w14:paraId="2B49E4EA" w14:textId="396EDE6D" w:rsidR="00E65C6E" w:rsidRPr="00FA1A19" w:rsidRDefault="00E65C6E" w:rsidP="00813896">
      <w:pPr>
        <w:pStyle w:val="Bullet"/>
        <w:rPr>
          <w:rFonts w:cstheme="minorHAnsi"/>
        </w:rPr>
      </w:pPr>
      <w:r w:rsidRPr="00FA1A19">
        <w:t>Consider whether or not any changes to Australia</w:t>
      </w:r>
      <w:r w:rsidR="00F75232">
        <w:t>’</w:t>
      </w:r>
      <w:r w:rsidRPr="00FA1A19">
        <w:t>s taxation laws and/or their administration are warranted in the context of digital assets and transactions, both for retail and wholesale investors.</w:t>
      </w:r>
    </w:p>
    <w:p w14:paraId="4CDFAD3D" w14:textId="77777777" w:rsidR="00E65C6E" w:rsidRPr="00FA1A19" w:rsidRDefault="00E65C6E" w:rsidP="0069352C">
      <w:pPr>
        <w:pStyle w:val="Heading2"/>
      </w:pPr>
      <w:bookmarkStart w:id="25" w:name="_Toc159513554"/>
      <w:r w:rsidRPr="00FA1A19">
        <w:t>Consultation</w:t>
      </w:r>
      <w:bookmarkEnd w:id="25"/>
    </w:p>
    <w:p w14:paraId="3C05DAE5" w14:textId="6E2FCA14" w:rsidR="00E65C6E" w:rsidRPr="00FA1A19" w:rsidRDefault="00E65C6E" w:rsidP="00C17225">
      <w:pPr>
        <w:rPr>
          <w:rFonts w:asciiTheme="minorHAnsi" w:hAnsiTheme="minorHAnsi" w:cstheme="minorHAnsi"/>
          <w:i/>
          <w:iCs/>
          <w:color w:val="333333"/>
        </w:rPr>
      </w:pPr>
      <w:r w:rsidRPr="00FA1A19">
        <w:rPr>
          <w:rFonts w:asciiTheme="minorHAnsi" w:hAnsiTheme="minorHAnsi" w:cstheme="minorHAnsi"/>
          <w:color w:val="333333"/>
        </w:rPr>
        <w:t xml:space="preserve">The Government </w:t>
      </w:r>
      <w:r w:rsidR="00533E31" w:rsidRPr="00C17225">
        <w:t>requested</w:t>
      </w:r>
      <w:r w:rsidR="00533E31" w:rsidRPr="00FA1A19">
        <w:rPr>
          <w:rFonts w:asciiTheme="minorHAnsi" w:hAnsiTheme="minorHAnsi" w:cstheme="minorHAnsi"/>
          <w:color w:val="333333"/>
        </w:rPr>
        <w:t xml:space="preserve"> </w:t>
      </w:r>
      <w:r w:rsidRPr="00FA1A19">
        <w:rPr>
          <w:rFonts w:asciiTheme="minorHAnsi" w:hAnsiTheme="minorHAnsi" w:cstheme="minorHAnsi"/>
          <w:color w:val="333333"/>
        </w:rPr>
        <w:t xml:space="preserve">that the Board should, in carrying out the terms of reference, consult with taxpayers, tax representative bodies, industry stakeholders and academics. </w:t>
      </w:r>
    </w:p>
    <w:p w14:paraId="47AB65F2" w14:textId="77777777" w:rsidR="00E65C6E" w:rsidRPr="00FA1A19" w:rsidRDefault="00E65C6E" w:rsidP="0069352C">
      <w:pPr>
        <w:pStyle w:val="Heading2"/>
      </w:pPr>
      <w:bookmarkStart w:id="26" w:name="_Toc137745980"/>
      <w:bookmarkStart w:id="27" w:name="_Toc159513555"/>
      <w:r w:rsidRPr="00FA1A19">
        <w:t>Timing</w:t>
      </w:r>
      <w:bookmarkEnd w:id="26"/>
      <w:bookmarkEnd w:id="27"/>
      <w:r w:rsidRPr="00FA1A19">
        <w:t xml:space="preserve"> </w:t>
      </w:r>
    </w:p>
    <w:p w14:paraId="1572DE31" w14:textId="11ACA0CE" w:rsidR="00E65C6E" w:rsidRPr="00FA1A19" w:rsidRDefault="00E65C6E" w:rsidP="00C17225">
      <w:pPr>
        <w:rPr>
          <w:rFonts w:asciiTheme="minorHAnsi" w:hAnsiTheme="minorHAnsi" w:cstheme="minorHAnsi"/>
          <w:color w:val="333333"/>
        </w:rPr>
      </w:pPr>
      <w:r w:rsidRPr="00FA1A19">
        <w:rPr>
          <w:rFonts w:asciiTheme="minorHAnsi" w:hAnsiTheme="minorHAnsi" w:cstheme="minorHAnsi"/>
          <w:color w:val="333333"/>
        </w:rPr>
        <w:t xml:space="preserve">The Board was originally asked to report back to the Government by 31 December 2022. </w:t>
      </w:r>
      <w:r w:rsidR="00A83DE6">
        <w:rPr>
          <w:rFonts w:asciiTheme="minorHAnsi" w:hAnsiTheme="minorHAnsi" w:cstheme="minorHAnsi"/>
          <w:color w:val="333333"/>
        </w:rPr>
        <w:t>During</w:t>
      </w:r>
      <w:r w:rsidRPr="00FA1A19">
        <w:rPr>
          <w:rFonts w:asciiTheme="minorHAnsi" w:hAnsiTheme="minorHAnsi" w:cstheme="minorHAnsi"/>
          <w:color w:val="333333"/>
        </w:rPr>
        <w:t xml:space="preserve"> the Review, </w:t>
      </w:r>
      <w:r w:rsidRPr="00C17225">
        <w:t>extensions</w:t>
      </w:r>
      <w:r w:rsidRPr="00FA1A19">
        <w:rPr>
          <w:rFonts w:asciiTheme="minorHAnsi" w:hAnsiTheme="minorHAnsi" w:cstheme="minorHAnsi"/>
          <w:color w:val="333333"/>
        </w:rPr>
        <w:t xml:space="preserve"> were provided to 30 September 2023 and then to 29</w:t>
      </w:r>
      <w:r w:rsidR="009800CD" w:rsidRPr="00FA1A19">
        <w:rPr>
          <w:rFonts w:asciiTheme="minorHAnsi" w:hAnsiTheme="minorHAnsi" w:cstheme="minorHAnsi"/>
          <w:color w:val="333333"/>
        </w:rPr>
        <w:t> </w:t>
      </w:r>
      <w:r w:rsidRPr="00FA1A19">
        <w:rPr>
          <w:rFonts w:asciiTheme="minorHAnsi" w:hAnsiTheme="minorHAnsi" w:cstheme="minorHAnsi"/>
          <w:color w:val="333333"/>
        </w:rPr>
        <w:t>February 2024.</w:t>
      </w:r>
    </w:p>
    <w:p w14:paraId="72C2B924" w14:textId="77777777" w:rsidR="00E65C6E" w:rsidRPr="00FA1A19" w:rsidRDefault="00E65C6E" w:rsidP="0069352C">
      <w:pPr>
        <w:pStyle w:val="Heading2"/>
      </w:pPr>
      <w:bookmarkStart w:id="28" w:name="_Toc137745981"/>
      <w:bookmarkStart w:id="29" w:name="_Toc159513556"/>
      <w:r w:rsidRPr="00FA1A19">
        <w:t>The Review Team</w:t>
      </w:r>
      <w:bookmarkEnd w:id="28"/>
      <w:bookmarkEnd w:id="29"/>
    </w:p>
    <w:p w14:paraId="58E29760" w14:textId="7FD0A8C7" w:rsidR="006477C2" w:rsidRPr="0093773B" w:rsidRDefault="006477C2" w:rsidP="006477C2">
      <w:pPr>
        <w:shd w:val="clear" w:color="auto" w:fill="FFFFFF" w:themeFill="background1"/>
        <w:spacing w:after="100" w:afterAutospacing="1"/>
        <w:rPr>
          <w:color w:val="000000"/>
          <w:kern w:val="0"/>
        </w:rPr>
      </w:pPr>
      <w:r w:rsidRPr="243704E8">
        <w:rPr>
          <w:rFonts w:cstheme="minorBidi"/>
          <w:color w:val="000000" w:themeColor="text1"/>
        </w:rPr>
        <w:t xml:space="preserve">The Board appointed a Working Group to conduct the Review. </w:t>
      </w:r>
      <w:r>
        <w:rPr>
          <w:color w:val="000000" w:themeColor="text1"/>
        </w:rPr>
        <w:t>T</w:t>
      </w:r>
      <w:r w:rsidRPr="243704E8">
        <w:rPr>
          <w:color w:val="000000" w:themeColor="text1"/>
        </w:rPr>
        <w:t>he</w:t>
      </w:r>
      <w:r w:rsidRPr="243704E8">
        <w:rPr>
          <w:rFonts w:cstheme="minorBidi"/>
          <w:color w:val="000000" w:themeColor="text1"/>
        </w:rPr>
        <w:t xml:space="preserve"> Working Group included </w:t>
      </w:r>
      <w:r>
        <w:rPr>
          <w:color w:val="000000" w:themeColor="text1"/>
        </w:rPr>
        <w:t xml:space="preserve">at various times </w:t>
      </w:r>
      <w:r w:rsidRPr="243704E8">
        <w:rPr>
          <w:rFonts w:cstheme="minorBidi"/>
          <w:color w:val="000000" w:themeColor="text1"/>
        </w:rPr>
        <w:t>Board Members Mr Anthony Klein (to the end of his term), Ms Tanya</w:t>
      </w:r>
      <w:r>
        <w:rPr>
          <w:rFonts w:cstheme="minorBidi"/>
          <w:color w:val="000000" w:themeColor="text1"/>
        </w:rPr>
        <w:t xml:space="preserve"> </w:t>
      </w:r>
      <w:r w:rsidRPr="243704E8">
        <w:rPr>
          <w:rFonts w:cstheme="minorBidi"/>
          <w:color w:val="000000" w:themeColor="text1"/>
        </w:rPr>
        <w:t xml:space="preserve">Titman, Ms Andrea Laing, Dr Julianne Jaques KC and Mr Ian Kellock </w:t>
      </w:r>
      <w:r>
        <w:rPr>
          <w:color w:val="000000" w:themeColor="text1"/>
        </w:rPr>
        <w:t>as well as</w:t>
      </w:r>
      <w:r w:rsidRPr="243704E8">
        <w:rPr>
          <w:color w:val="000000" w:themeColor="text1"/>
        </w:rPr>
        <w:t xml:space="preserve"> </w:t>
      </w:r>
      <w:r w:rsidRPr="243704E8">
        <w:rPr>
          <w:rFonts w:cstheme="minorBidi"/>
          <w:color w:val="000000" w:themeColor="text1"/>
        </w:rPr>
        <w:t>Board Chair Mrs Rosheen Garnon. In addition, the Working Group comprised specialists in taxation and digital assets across academia, the tax profession and digital asset industry</w:t>
      </w:r>
      <w:r>
        <w:rPr>
          <w:rFonts w:cstheme="minorBidi"/>
          <w:color w:val="000000" w:themeColor="text1"/>
        </w:rPr>
        <w:t xml:space="preserve"> </w:t>
      </w:r>
      <w:r>
        <w:rPr>
          <w:rFonts w:asciiTheme="minorHAnsi" w:hAnsiTheme="minorHAnsi" w:cstheme="minorBidi"/>
          <w:color w:val="333333"/>
        </w:rPr>
        <w:t xml:space="preserve">(see </w:t>
      </w:r>
      <w:r w:rsidRPr="000D499F">
        <w:rPr>
          <w:rFonts w:asciiTheme="minorHAnsi" w:hAnsiTheme="minorHAnsi" w:cstheme="minorBidi"/>
          <w:b/>
          <w:bCs/>
          <w:color w:val="333333"/>
        </w:rPr>
        <w:t>Appendix A</w:t>
      </w:r>
      <w:r>
        <w:rPr>
          <w:rFonts w:asciiTheme="minorHAnsi" w:hAnsiTheme="minorHAnsi" w:cstheme="minorBidi"/>
          <w:color w:val="333333"/>
        </w:rPr>
        <w:t>)</w:t>
      </w:r>
      <w:r w:rsidRPr="243704E8">
        <w:rPr>
          <w:rFonts w:cstheme="minorBidi"/>
          <w:color w:val="000000" w:themeColor="text1"/>
        </w:rPr>
        <w:t xml:space="preserve">, </w:t>
      </w:r>
      <w:r>
        <w:rPr>
          <w:color w:val="000000" w:themeColor="text1"/>
        </w:rPr>
        <w:t>and</w:t>
      </w:r>
      <w:r w:rsidRPr="243704E8">
        <w:rPr>
          <w:rFonts w:cstheme="minorBidi"/>
          <w:color w:val="000000" w:themeColor="text1"/>
        </w:rPr>
        <w:t xml:space="preserve"> officials from The Treasury and the </w:t>
      </w:r>
      <w:r>
        <w:rPr>
          <w:rFonts w:cstheme="minorBidi"/>
          <w:color w:val="000000" w:themeColor="text1"/>
        </w:rPr>
        <w:t>ATO</w:t>
      </w:r>
      <w:r w:rsidRPr="243704E8">
        <w:rPr>
          <w:rFonts w:cstheme="minorBidi"/>
          <w:color w:val="000000" w:themeColor="text1"/>
        </w:rPr>
        <w:t>.</w:t>
      </w:r>
    </w:p>
    <w:p w14:paraId="0F6D9738" w14:textId="77777777" w:rsidR="00E65C6E" w:rsidRPr="00FA1A19" w:rsidRDefault="00E65C6E" w:rsidP="0069352C">
      <w:pPr>
        <w:pStyle w:val="Heading2"/>
      </w:pPr>
      <w:bookmarkStart w:id="30" w:name="_Toc137745982"/>
      <w:bookmarkStart w:id="31" w:name="_Toc159513557"/>
      <w:r w:rsidRPr="00FA1A19">
        <w:t>Consultation Process</w:t>
      </w:r>
      <w:bookmarkEnd w:id="30"/>
      <w:bookmarkEnd w:id="31"/>
    </w:p>
    <w:p w14:paraId="7A4EEF25" w14:textId="5C98A763" w:rsidR="00E65C6E" w:rsidRPr="00FA1A19" w:rsidRDefault="00E65C6E" w:rsidP="00E65C6E">
      <w:pPr>
        <w:rPr>
          <w:rFonts w:asciiTheme="minorHAnsi" w:hAnsiTheme="minorHAnsi" w:cstheme="minorHAnsi"/>
          <w:color w:val="333333"/>
        </w:rPr>
      </w:pPr>
      <w:r w:rsidRPr="00FA1A19">
        <w:rPr>
          <w:rFonts w:asciiTheme="minorHAnsi" w:hAnsiTheme="minorHAnsi" w:cstheme="minorHAnsi"/>
          <w:color w:val="333333"/>
        </w:rPr>
        <w:t>The Board</w:t>
      </w:r>
      <w:r w:rsidR="00F75232">
        <w:rPr>
          <w:rFonts w:asciiTheme="minorHAnsi" w:hAnsiTheme="minorHAnsi" w:cstheme="minorHAnsi"/>
          <w:color w:val="333333"/>
        </w:rPr>
        <w:t>’</w:t>
      </w:r>
      <w:r w:rsidRPr="00FA1A19">
        <w:rPr>
          <w:rFonts w:asciiTheme="minorHAnsi" w:hAnsiTheme="minorHAnsi" w:cstheme="minorHAnsi"/>
          <w:color w:val="333333"/>
        </w:rPr>
        <w:t>s consultation process involved:</w:t>
      </w:r>
    </w:p>
    <w:p w14:paraId="5049F930" w14:textId="20140746" w:rsidR="00E65C6E" w:rsidRPr="00FA1A19" w:rsidRDefault="00E65C6E" w:rsidP="00C17225">
      <w:pPr>
        <w:pStyle w:val="Bullet"/>
        <w:rPr>
          <w:rFonts w:cstheme="minorHAnsi"/>
        </w:rPr>
      </w:pPr>
      <w:r w:rsidRPr="00FA1A19">
        <w:t xml:space="preserve">Publication of a Consultation Guide on 18 August 2022 describing the scope of the Review and </w:t>
      </w:r>
      <w:r w:rsidR="002E19A0" w:rsidRPr="00FA1A19">
        <w:t>p</w:t>
      </w:r>
      <w:r w:rsidR="002E19A0">
        <w:t>osin</w:t>
      </w:r>
      <w:r w:rsidR="002E19A0" w:rsidRPr="00FA1A19">
        <w:t xml:space="preserve">g </w:t>
      </w:r>
      <w:r w:rsidRPr="00FA1A19">
        <w:t>a series of questions to help identify the key issues in the tax treatment of crypto assets and related transactions.</w:t>
      </w:r>
    </w:p>
    <w:p w14:paraId="5B383AF4" w14:textId="1863A524" w:rsidR="00E65C6E" w:rsidRPr="00FA1A19" w:rsidRDefault="00E65C6E" w:rsidP="00C17225">
      <w:pPr>
        <w:pStyle w:val="Bullet"/>
        <w:rPr>
          <w:rFonts w:cstheme="minorHAnsi"/>
        </w:rPr>
      </w:pPr>
      <w:r w:rsidRPr="00FA1A19">
        <w:t xml:space="preserve">Nine virtual and in person consultation sessions, </w:t>
      </w:r>
      <w:r w:rsidR="00BB6685">
        <w:t>represented by</w:t>
      </w:r>
      <w:r w:rsidR="00BB6685" w:rsidRPr="00FA1A19">
        <w:t xml:space="preserve"> </w:t>
      </w:r>
      <w:r w:rsidRPr="00FA1A19">
        <w:t>over 45 stakeholder groups</w:t>
      </w:r>
      <w:r w:rsidR="00BB6685">
        <w:t>.</w:t>
      </w:r>
    </w:p>
    <w:p w14:paraId="39956E8E" w14:textId="608C553C" w:rsidR="00E65C6E" w:rsidRPr="00FA1A19" w:rsidRDefault="00E65C6E" w:rsidP="00C17225">
      <w:pPr>
        <w:pStyle w:val="Bullet"/>
        <w:rPr>
          <w:rFonts w:cstheme="minorHAnsi"/>
        </w:rPr>
      </w:pPr>
      <w:r w:rsidRPr="00FA1A19">
        <w:t xml:space="preserve">Virtual meetings with international regulators/administrators from </w:t>
      </w:r>
      <w:r w:rsidR="00566948" w:rsidRPr="00FA1A19">
        <w:t xml:space="preserve">Canada, </w:t>
      </w:r>
      <w:r w:rsidRPr="00FA1A19">
        <w:t>New Zealand</w:t>
      </w:r>
      <w:r w:rsidR="00A90092">
        <w:t xml:space="preserve"> (NZ)</w:t>
      </w:r>
      <w:r w:rsidRPr="00FA1A19">
        <w:t>, United</w:t>
      </w:r>
      <w:r w:rsidR="00653832">
        <w:t> </w:t>
      </w:r>
      <w:r w:rsidRPr="00FA1A19">
        <w:t xml:space="preserve">Kingdom </w:t>
      </w:r>
      <w:r w:rsidR="00A90092">
        <w:t xml:space="preserve">(UK) </w:t>
      </w:r>
      <w:r w:rsidRPr="00FA1A19">
        <w:t xml:space="preserve">and the United States </w:t>
      </w:r>
      <w:r w:rsidR="00A90092">
        <w:t xml:space="preserve">(US) </w:t>
      </w:r>
      <w:r w:rsidRPr="00FA1A19">
        <w:t>about issues and developments in the tax administration of crypto assets and related transactions.</w:t>
      </w:r>
    </w:p>
    <w:p w14:paraId="34BF104F" w14:textId="758E3902" w:rsidR="00E65C6E" w:rsidRPr="00FA1A19" w:rsidRDefault="00E65C6E" w:rsidP="00C17225">
      <w:pPr>
        <w:pStyle w:val="Bullet"/>
      </w:pPr>
      <w:r w:rsidRPr="00FA1A19">
        <w:t>An extensive literature, tax policy and tax issues review about the tax treatment of crypto assets and related transactions.</w:t>
      </w:r>
    </w:p>
    <w:p w14:paraId="20E16E8F" w14:textId="7540013F" w:rsidR="00E65C6E" w:rsidRPr="00FA1A19" w:rsidRDefault="00E65C6E" w:rsidP="0069352C">
      <w:pPr>
        <w:pStyle w:val="Heading2"/>
      </w:pPr>
      <w:bookmarkStart w:id="32" w:name="_Toc137745983"/>
      <w:bookmarkStart w:id="33" w:name="_Toc159513558"/>
      <w:r w:rsidRPr="00FA1A19">
        <w:t>Submissions</w:t>
      </w:r>
      <w:bookmarkEnd w:id="32"/>
      <w:bookmarkEnd w:id="33"/>
    </w:p>
    <w:p w14:paraId="035B1ED9" w14:textId="77777777" w:rsidR="00E65C6E" w:rsidRPr="00C17225" w:rsidRDefault="00E65C6E" w:rsidP="00C17225">
      <w:r w:rsidRPr="00FA1A19">
        <w:rPr>
          <w:rFonts w:asciiTheme="minorHAnsi" w:hAnsiTheme="minorHAnsi" w:cstheme="minorHAnsi"/>
          <w:color w:val="333333"/>
        </w:rPr>
        <w:t xml:space="preserve">The Board received 41 </w:t>
      </w:r>
      <w:r w:rsidRPr="00C17225">
        <w:t xml:space="preserve">written submissions, including two confidential submissions, from a range of stakeholders in response to the Consultation Guide. </w:t>
      </w:r>
    </w:p>
    <w:p w14:paraId="59BB1577" w14:textId="79E4FDC5" w:rsidR="00E65C6E" w:rsidRPr="00C17225" w:rsidRDefault="00E65C6E" w:rsidP="00C17225">
      <w:r w:rsidRPr="00C17225">
        <w:t xml:space="preserve">Additionally, the Board received written responses to targeted consultation questions from international regulators/administrators from </w:t>
      </w:r>
      <w:r w:rsidR="004C230D" w:rsidRPr="00C17225">
        <w:t>Can</w:t>
      </w:r>
      <w:r w:rsidR="679763E3" w:rsidRPr="00C17225">
        <w:t>a</w:t>
      </w:r>
      <w:r w:rsidR="004C230D" w:rsidRPr="00C17225">
        <w:t xml:space="preserve">da, </w:t>
      </w:r>
      <w:r w:rsidRPr="00C17225">
        <w:t xml:space="preserve">NZ, </w:t>
      </w:r>
      <w:r w:rsidR="00B85BE3" w:rsidRPr="00C17225">
        <w:t>Singapore</w:t>
      </w:r>
      <w:r w:rsidR="00B85BE3">
        <w:t>,</w:t>
      </w:r>
      <w:r w:rsidR="00B85BE3" w:rsidRPr="00C17225">
        <w:t xml:space="preserve"> </w:t>
      </w:r>
      <w:r w:rsidRPr="00C17225">
        <w:t>UK</w:t>
      </w:r>
      <w:r w:rsidR="00B85BE3">
        <w:t xml:space="preserve"> and</w:t>
      </w:r>
      <w:r w:rsidRPr="00C17225">
        <w:t xml:space="preserve"> US.</w:t>
      </w:r>
    </w:p>
    <w:p w14:paraId="79335DA1" w14:textId="110BD02E" w:rsidR="00E65C6E" w:rsidRPr="00FA1A19" w:rsidRDefault="00E65C6E" w:rsidP="00C17225">
      <w:pPr>
        <w:rPr>
          <w:rFonts w:asciiTheme="minorHAnsi" w:hAnsiTheme="minorHAnsi" w:cstheme="minorHAnsi"/>
          <w:color w:val="333333"/>
        </w:rPr>
      </w:pPr>
      <w:r w:rsidRPr="00C17225">
        <w:t>The Board recognises these significant contributions to the Review, and thanks all of those who contributed.</w:t>
      </w:r>
      <w:r w:rsidR="004F0A51" w:rsidRPr="00C17225">
        <w:t xml:space="preserve"> </w:t>
      </w:r>
      <w:r w:rsidRPr="00C17225">
        <w:t>The Board carefully considered all submissions and other contributions made during the Review. Further details of the consultation</w:t>
      </w:r>
      <w:r w:rsidRPr="00FA1A19">
        <w:rPr>
          <w:rFonts w:asciiTheme="minorHAnsi" w:hAnsiTheme="minorHAnsi" w:cstheme="minorHAnsi"/>
          <w:color w:val="333333"/>
        </w:rPr>
        <w:t xml:space="preserve"> process and submissions are available at </w:t>
      </w:r>
      <w:r w:rsidRPr="00AD28CB">
        <w:rPr>
          <w:rStyle w:val="Strong"/>
        </w:rPr>
        <w:t>Appendix A</w:t>
      </w:r>
      <w:r w:rsidRPr="00FA1A19">
        <w:rPr>
          <w:rFonts w:asciiTheme="minorHAnsi" w:hAnsiTheme="minorHAnsi" w:cstheme="minorHAnsi"/>
          <w:color w:val="333333"/>
        </w:rPr>
        <w:t>.</w:t>
      </w:r>
    </w:p>
    <w:p w14:paraId="513F01F9" w14:textId="112D78D9" w:rsidR="00502DBB" w:rsidRPr="00FA1A19" w:rsidRDefault="00502DBB" w:rsidP="0069352C">
      <w:pPr>
        <w:pStyle w:val="Heading2"/>
      </w:pPr>
      <w:bookmarkStart w:id="34" w:name="_Toc159513559"/>
      <w:r w:rsidRPr="00FA1A19">
        <w:t xml:space="preserve">Structure of </w:t>
      </w:r>
      <w:r w:rsidR="00A81425" w:rsidRPr="00FA1A19">
        <w:t>this</w:t>
      </w:r>
      <w:r w:rsidRPr="00FA1A19">
        <w:t xml:space="preserve"> Report</w:t>
      </w:r>
      <w:bookmarkEnd w:id="34"/>
    </w:p>
    <w:p w14:paraId="20FBF9F1" w14:textId="103DA3CE" w:rsidR="00792A85" w:rsidRPr="00FA1A19" w:rsidRDefault="00337278" w:rsidP="00C17225">
      <w:pPr>
        <w:rPr>
          <w:rFonts w:asciiTheme="minorHAnsi" w:hAnsiTheme="minorHAnsi" w:cstheme="minorHAnsi"/>
          <w:color w:val="333333"/>
        </w:rPr>
      </w:pPr>
      <w:r w:rsidRPr="00FA1A19">
        <w:rPr>
          <w:rFonts w:asciiTheme="minorHAnsi" w:hAnsiTheme="minorHAnsi" w:cstheme="minorHAnsi"/>
          <w:color w:val="333333"/>
        </w:rPr>
        <w:t xml:space="preserve">This Report </w:t>
      </w:r>
      <w:r w:rsidR="00AA596C" w:rsidRPr="00FA1A19">
        <w:rPr>
          <w:rFonts w:asciiTheme="minorHAnsi" w:hAnsiTheme="minorHAnsi" w:cstheme="minorHAnsi"/>
          <w:color w:val="333333"/>
        </w:rPr>
        <w:t>may be broadly divided into</w:t>
      </w:r>
      <w:r w:rsidRPr="00FA1A19">
        <w:rPr>
          <w:rFonts w:asciiTheme="minorHAnsi" w:hAnsiTheme="minorHAnsi" w:cstheme="minorHAnsi"/>
          <w:color w:val="333333"/>
        </w:rPr>
        <w:t xml:space="preserve"> two parts: </w:t>
      </w:r>
      <w:r w:rsidR="006E7058" w:rsidRPr="00FA1A19">
        <w:rPr>
          <w:rFonts w:asciiTheme="minorHAnsi" w:hAnsiTheme="minorHAnsi" w:cstheme="minorHAnsi"/>
          <w:color w:val="333333"/>
        </w:rPr>
        <w:t>C</w:t>
      </w:r>
      <w:r w:rsidR="00A81425" w:rsidRPr="00FA1A19">
        <w:rPr>
          <w:rFonts w:asciiTheme="minorHAnsi" w:hAnsiTheme="minorHAnsi" w:cstheme="minorHAnsi"/>
          <w:color w:val="333333"/>
        </w:rPr>
        <w:t xml:space="preserve">hapters 1 to 4 contain </w:t>
      </w:r>
      <w:r w:rsidR="0063132A" w:rsidRPr="00FA1A19">
        <w:rPr>
          <w:rFonts w:asciiTheme="minorHAnsi" w:hAnsiTheme="minorHAnsi" w:cstheme="minorHAnsi"/>
          <w:color w:val="333333"/>
        </w:rPr>
        <w:t>introductor</w:t>
      </w:r>
      <w:r w:rsidR="006E7058" w:rsidRPr="00FA1A19">
        <w:rPr>
          <w:rFonts w:asciiTheme="minorHAnsi" w:hAnsiTheme="minorHAnsi" w:cstheme="minorHAnsi"/>
          <w:color w:val="333333"/>
        </w:rPr>
        <w:t>y</w:t>
      </w:r>
      <w:r w:rsidR="0029003E" w:rsidRPr="00FA1A19">
        <w:rPr>
          <w:rFonts w:asciiTheme="minorHAnsi" w:hAnsiTheme="minorHAnsi" w:cstheme="minorHAnsi"/>
          <w:color w:val="333333"/>
        </w:rPr>
        <w:t>, background</w:t>
      </w:r>
      <w:r w:rsidR="006E7058" w:rsidRPr="00FA1A19">
        <w:rPr>
          <w:rFonts w:asciiTheme="minorHAnsi" w:hAnsiTheme="minorHAnsi" w:cstheme="minorHAnsi"/>
          <w:color w:val="333333"/>
        </w:rPr>
        <w:t xml:space="preserve"> and explanatory </w:t>
      </w:r>
      <w:r w:rsidR="006E7058" w:rsidRPr="00C17225">
        <w:t>material</w:t>
      </w:r>
      <w:r w:rsidRPr="00FA1A19">
        <w:rPr>
          <w:rFonts w:asciiTheme="minorHAnsi" w:hAnsiTheme="minorHAnsi" w:cstheme="minorHAnsi"/>
          <w:color w:val="333333"/>
        </w:rPr>
        <w:t xml:space="preserve">, and </w:t>
      </w:r>
      <w:r w:rsidR="006E7058" w:rsidRPr="00FA1A19">
        <w:rPr>
          <w:rFonts w:asciiTheme="minorHAnsi" w:hAnsiTheme="minorHAnsi" w:cstheme="minorHAnsi"/>
          <w:color w:val="333333"/>
        </w:rPr>
        <w:t>C</w:t>
      </w:r>
      <w:r w:rsidRPr="00FA1A19">
        <w:rPr>
          <w:rFonts w:asciiTheme="minorHAnsi" w:hAnsiTheme="minorHAnsi" w:cstheme="minorHAnsi"/>
          <w:color w:val="333333"/>
        </w:rPr>
        <w:t xml:space="preserve">hapters 5 to </w:t>
      </w:r>
      <w:r w:rsidR="00792A85" w:rsidRPr="00FA1A19">
        <w:rPr>
          <w:rFonts w:asciiTheme="minorHAnsi" w:hAnsiTheme="minorHAnsi" w:cstheme="minorHAnsi"/>
          <w:color w:val="333333"/>
        </w:rPr>
        <w:t xml:space="preserve">13 set out the substantive </w:t>
      </w:r>
      <w:r w:rsidR="00AA1F45" w:rsidRPr="00FA1A19">
        <w:rPr>
          <w:rFonts w:asciiTheme="minorHAnsi" w:hAnsiTheme="minorHAnsi" w:cstheme="minorHAnsi"/>
          <w:color w:val="333333"/>
        </w:rPr>
        <w:t xml:space="preserve">considerations and </w:t>
      </w:r>
      <w:r w:rsidR="0029003E" w:rsidRPr="00FA1A19">
        <w:rPr>
          <w:rFonts w:asciiTheme="minorHAnsi" w:hAnsiTheme="minorHAnsi" w:cstheme="minorHAnsi"/>
          <w:color w:val="333333"/>
        </w:rPr>
        <w:t>outcomes</w:t>
      </w:r>
      <w:r w:rsidR="002461C1" w:rsidRPr="00FA1A19">
        <w:rPr>
          <w:rFonts w:asciiTheme="minorHAnsi" w:hAnsiTheme="minorHAnsi" w:cstheme="minorHAnsi"/>
          <w:color w:val="333333"/>
        </w:rPr>
        <w:t xml:space="preserve"> of</w:t>
      </w:r>
      <w:r w:rsidR="00792A85" w:rsidRPr="00FA1A19">
        <w:rPr>
          <w:rFonts w:asciiTheme="minorHAnsi" w:hAnsiTheme="minorHAnsi" w:cstheme="minorHAnsi"/>
          <w:color w:val="333333"/>
        </w:rPr>
        <w:t xml:space="preserve"> the Board</w:t>
      </w:r>
      <w:r w:rsidR="00F75232">
        <w:rPr>
          <w:rFonts w:asciiTheme="minorHAnsi" w:hAnsiTheme="minorHAnsi" w:cstheme="minorHAnsi"/>
          <w:color w:val="333333"/>
        </w:rPr>
        <w:t>’</w:t>
      </w:r>
      <w:r w:rsidR="00792A85" w:rsidRPr="00FA1A19">
        <w:rPr>
          <w:rFonts w:asciiTheme="minorHAnsi" w:hAnsiTheme="minorHAnsi" w:cstheme="minorHAnsi"/>
          <w:color w:val="333333"/>
        </w:rPr>
        <w:t>s Review.</w:t>
      </w:r>
    </w:p>
    <w:p w14:paraId="294581B5" w14:textId="5DD04133" w:rsidR="005009D4" w:rsidRPr="00FA1A19" w:rsidRDefault="006E7058" w:rsidP="00C17225">
      <w:pPr>
        <w:rPr>
          <w:rFonts w:asciiTheme="minorHAnsi" w:hAnsiTheme="minorHAnsi" w:cstheme="minorHAnsi"/>
          <w:color w:val="333333"/>
        </w:rPr>
      </w:pPr>
      <w:r w:rsidRPr="00FA1A19">
        <w:rPr>
          <w:rFonts w:asciiTheme="minorHAnsi" w:hAnsiTheme="minorHAnsi" w:cstheme="minorHAnsi"/>
          <w:color w:val="333333"/>
        </w:rPr>
        <w:t xml:space="preserve">Following this </w:t>
      </w:r>
      <w:r w:rsidR="00372633">
        <w:t>Chapter </w:t>
      </w:r>
      <w:r w:rsidRPr="00FA1A19">
        <w:rPr>
          <w:rFonts w:asciiTheme="minorHAnsi" w:hAnsiTheme="minorHAnsi" w:cstheme="minorHAnsi"/>
          <w:color w:val="333333"/>
        </w:rPr>
        <w:t>1 introduction</w:t>
      </w:r>
      <w:r w:rsidR="005009D4" w:rsidRPr="00FA1A19">
        <w:rPr>
          <w:rFonts w:asciiTheme="minorHAnsi" w:hAnsiTheme="minorHAnsi" w:cstheme="minorHAnsi"/>
          <w:color w:val="333333"/>
        </w:rPr>
        <w:t>:</w:t>
      </w:r>
    </w:p>
    <w:p w14:paraId="6EB7C092" w14:textId="63115EB5" w:rsidR="005009D4" w:rsidRPr="00FA1A19" w:rsidRDefault="00372633" w:rsidP="00C17225">
      <w:pPr>
        <w:pStyle w:val="Bullet"/>
      </w:pPr>
      <w:r>
        <w:t>Chapter </w:t>
      </w:r>
      <w:r w:rsidR="00707727" w:rsidRPr="00FA1A19">
        <w:t>2</w:t>
      </w:r>
      <w:r w:rsidR="00A81425" w:rsidRPr="00FA1A19">
        <w:t xml:space="preserve"> </w:t>
      </w:r>
      <w:r w:rsidR="0029003E" w:rsidRPr="00FA1A19">
        <w:t xml:space="preserve">provides </w:t>
      </w:r>
      <w:r w:rsidR="0096419D" w:rsidRPr="00FA1A19">
        <w:t>th</w:t>
      </w:r>
      <w:r w:rsidR="00A81425" w:rsidRPr="00FA1A19">
        <w:t xml:space="preserve">e </w:t>
      </w:r>
      <w:r w:rsidR="0063132A" w:rsidRPr="00FA1A19">
        <w:t>c</w:t>
      </w:r>
      <w:r w:rsidR="00A81425" w:rsidRPr="00FA1A19">
        <w:t>ontext of the Board</w:t>
      </w:r>
      <w:r w:rsidR="00F75232">
        <w:t>’</w:t>
      </w:r>
      <w:r w:rsidR="00A81425" w:rsidRPr="00FA1A19">
        <w:t>s Review</w:t>
      </w:r>
      <w:r w:rsidR="0063132A" w:rsidRPr="00FA1A19">
        <w:t xml:space="preserve"> including </w:t>
      </w:r>
      <w:r w:rsidR="0096419D" w:rsidRPr="00FA1A19">
        <w:t xml:space="preserve">an overview of </w:t>
      </w:r>
      <w:r w:rsidR="0063132A" w:rsidRPr="00FA1A19">
        <w:t xml:space="preserve">previous and concurrent work by </w:t>
      </w:r>
      <w:r w:rsidR="000E24F6">
        <w:t>Australian</w:t>
      </w:r>
      <w:r w:rsidR="000E24F6" w:rsidRPr="00FA1A19">
        <w:t xml:space="preserve"> </w:t>
      </w:r>
      <w:r w:rsidR="007E47D5" w:rsidRPr="00FA1A19">
        <w:t xml:space="preserve">Government </w:t>
      </w:r>
      <w:r w:rsidR="4A0E78DC" w:rsidRPr="00FA1A19">
        <w:t>departments and agencies</w:t>
      </w:r>
      <w:r w:rsidR="007E47D5" w:rsidRPr="00FA1A19">
        <w:t xml:space="preserve"> in relation to digital assets.</w:t>
      </w:r>
      <w:r w:rsidR="004F0A51" w:rsidRPr="00FA1A19">
        <w:t xml:space="preserve"> </w:t>
      </w:r>
    </w:p>
    <w:p w14:paraId="58252BFE" w14:textId="27C41812" w:rsidR="005009D4" w:rsidRPr="00FA1A19" w:rsidRDefault="00372633" w:rsidP="00C17225">
      <w:pPr>
        <w:pStyle w:val="Bullet"/>
        <w:rPr>
          <w:rFonts w:cstheme="minorHAnsi"/>
        </w:rPr>
      </w:pPr>
      <w:r>
        <w:t>Chapter </w:t>
      </w:r>
      <w:r w:rsidR="007E47D5" w:rsidRPr="00FA1A19">
        <w:t xml:space="preserve">3 </w:t>
      </w:r>
      <w:r w:rsidR="00AE7C03" w:rsidRPr="00FA1A19">
        <w:t xml:space="preserve">provides an explanation of </w:t>
      </w:r>
      <w:r w:rsidR="00463F0B" w:rsidRPr="00FA1A19">
        <w:t>digital assets</w:t>
      </w:r>
      <w:r w:rsidR="0063132A" w:rsidRPr="00FA1A19">
        <w:t xml:space="preserve"> and the crypto ecosystem including </w:t>
      </w:r>
      <w:r w:rsidR="00AE7C03" w:rsidRPr="00FA1A19">
        <w:t xml:space="preserve">Distributed Ledger Technology, Blockchain and </w:t>
      </w:r>
      <w:r w:rsidR="009318D0" w:rsidRPr="00FA1A19">
        <w:t>Decentralised Finance (DeFi)</w:t>
      </w:r>
      <w:r w:rsidR="00A81425" w:rsidRPr="00FA1A19">
        <w:t>.</w:t>
      </w:r>
      <w:r w:rsidR="004F0A51" w:rsidRPr="00FA1A19">
        <w:t xml:space="preserve"> </w:t>
      </w:r>
    </w:p>
    <w:p w14:paraId="4613DA70" w14:textId="20CE61BD" w:rsidR="000E0F53" w:rsidRPr="00FA1A19" w:rsidRDefault="00372633" w:rsidP="00C17225">
      <w:pPr>
        <w:pStyle w:val="Bullet"/>
        <w:rPr>
          <w:rFonts w:cstheme="minorHAnsi"/>
        </w:rPr>
      </w:pPr>
      <w:r>
        <w:t>Chapter </w:t>
      </w:r>
      <w:r w:rsidR="00584222" w:rsidRPr="00FA1A19">
        <w:t xml:space="preserve">4 </w:t>
      </w:r>
      <w:r w:rsidR="00702E68" w:rsidRPr="00FA1A19">
        <w:t>sets out</w:t>
      </w:r>
      <w:r w:rsidR="00463F0B" w:rsidRPr="00FA1A19">
        <w:t xml:space="preserve"> different ways in which </w:t>
      </w:r>
      <w:r w:rsidR="007B1AF1" w:rsidRPr="00FA1A19">
        <w:t>d</w:t>
      </w:r>
      <w:r w:rsidR="004C28F9" w:rsidRPr="00FA1A19">
        <w:t>igital assets</w:t>
      </w:r>
      <w:r w:rsidR="007B1AF1" w:rsidRPr="00FA1A19">
        <w:t xml:space="preserve"> have been and might be classified, including discussions of digital assets as property and foreign currency.</w:t>
      </w:r>
    </w:p>
    <w:p w14:paraId="04B32E83" w14:textId="0FB239D0" w:rsidR="005009D4" w:rsidRPr="00FA1A19" w:rsidRDefault="001367A0" w:rsidP="00C17225">
      <w:pPr>
        <w:rPr>
          <w:rFonts w:asciiTheme="minorHAnsi" w:hAnsiTheme="minorHAnsi" w:cstheme="minorHAnsi"/>
          <w:color w:val="333333"/>
        </w:rPr>
      </w:pPr>
      <w:r w:rsidRPr="00FA1A19">
        <w:rPr>
          <w:rFonts w:asciiTheme="minorHAnsi" w:hAnsiTheme="minorHAnsi" w:cstheme="minorHAnsi"/>
          <w:color w:val="333333"/>
        </w:rPr>
        <w:t xml:space="preserve">The Board has developed a </w:t>
      </w:r>
      <w:r w:rsidR="0050494E" w:rsidRPr="00FA1A19">
        <w:rPr>
          <w:rFonts w:asciiTheme="minorHAnsi" w:hAnsiTheme="minorHAnsi" w:cstheme="minorHAnsi"/>
          <w:color w:val="333333"/>
        </w:rPr>
        <w:t>framework of principl</w:t>
      </w:r>
      <w:r w:rsidR="00CD5126" w:rsidRPr="00FA1A19">
        <w:rPr>
          <w:rFonts w:asciiTheme="minorHAnsi" w:hAnsiTheme="minorHAnsi" w:cstheme="minorHAnsi"/>
          <w:color w:val="333333"/>
        </w:rPr>
        <w:t>e</w:t>
      </w:r>
      <w:r w:rsidR="0050494E" w:rsidRPr="00FA1A19">
        <w:rPr>
          <w:rFonts w:asciiTheme="minorHAnsi" w:hAnsiTheme="minorHAnsi" w:cstheme="minorHAnsi"/>
          <w:color w:val="333333"/>
        </w:rPr>
        <w:t xml:space="preserve">s </w:t>
      </w:r>
      <w:r w:rsidR="005E642A" w:rsidRPr="00FA1A19">
        <w:rPr>
          <w:rFonts w:asciiTheme="minorHAnsi" w:hAnsiTheme="minorHAnsi" w:cstheme="minorHAnsi"/>
          <w:color w:val="333333"/>
        </w:rPr>
        <w:t xml:space="preserve">upon which its consideration of the appropriate taxation treatment of digital assets has </w:t>
      </w:r>
      <w:r w:rsidR="005E642A" w:rsidRPr="00C17225">
        <w:t>been</w:t>
      </w:r>
      <w:r w:rsidR="005E642A" w:rsidRPr="00FA1A19">
        <w:rPr>
          <w:rFonts w:asciiTheme="minorHAnsi" w:hAnsiTheme="minorHAnsi" w:cstheme="minorHAnsi"/>
          <w:color w:val="333333"/>
        </w:rPr>
        <w:t xml:space="preserve"> based, and this is contained in </w:t>
      </w:r>
      <w:r w:rsidR="00372633">
        <w:rPr>
          <w:rFonts w:asciiTheme="minorHAnsi" w:hAnsiTheme="minorHAnsi" w:cstheme="minorHAnsi"/>
          <w:color w:val="333333"/>
        </w:rPr>
        <w:t>Chapter </w:t>
      </w:r>
      <w:r w:rsidR="005E642A" w:rsidRPr="00FA1A19">
        <w:rPr>
          <w:rFonts w:asciiTheme="minorHAnsi" w:hAnsiTheme="minorHAnsi" w:cstheme="minorHAnsi"/>
          <w:color w:val="333333"/>
        </w:rPr>
        <w:t>5.</w:t>
      </w:r>
      <w:r w:rsidR="004F0A51" w:rsidRPr="00FA1A19">
        <w:rPr>
          <w:rFonts w:asciiTheme="minorHAnsi" w:hAnsiTheme="minorHAnsi" w:cstheme="minorHAnsi"/>
          <w:color w:val="333333"/>
        </w:rPr>
        <w:t xml:space="preserve"> </w:t>
      </w:r>
      <w:r w:rsidR="005009D4" w:rsidRPr="00FA1A19">
        <w:rPr>
          <w:rFonts w:asciiTheme="minorHAnsi" w:hAnsiTheme="minorHAnsi" w:cstheme="minorHAnsi"/>
          <w:color w:val="333333"/>
        </w:rPr>
        <w:t>Following this framework:</w:t>
      </w:r>
    </w:p>
    <w:p w14:paraId="5931D223" w14:textId="696FC892" w:rsidR="005009D4" w:rsidRPr="00FA1A19" w:rsidRDefault="00372633" w:rsidP="00C17225">
      <w:pPr>
        <w:pStyle w:val="Bullet"/>
        <w:rPr>
          <w:rFonts w:cstheme="minorHAnsi"/>
        </w:rPr>
      </w:pPr>
      <w:r>
        <w:t>Chapter </w:t>
      </w:r>
      <w:r w:rsidR="005E642A" w:rsidRPr="00FA1A19">
        <w:t xml:space="preserve">6 deals with </w:t>
      </w:r>
      <w:r w:rsidR="00812571" w:rsidRPr="00FA1A19">
        <w:t>taxpayer awareness of the correct taxation treatment of digital assets, together with the support currently provided to taxpayers to assist their awareness.</w:t>
      </w:r>
      <w:r w:rsidR="004F0A51" w:rsidRPr="00FA1A19">
        <w:t xml:space="preserve"> </w:t>
      </w:r>
    </w:p>
    <w:p w14:paraId="3D050956" w14:textId="2B8B4196" w:rsidR="005009D4" w:rsidRPr="00FA1A19" w:rsidRDefault="00372633" w:rsidP="00C17225">
      <w:pPr>
        <w:pStyle w:val="Bullet"/>
        <w:rPr>
          <w:rFonts w:cstheme="minorHAnsi"/>
        </w:rPr>
      </w:pPr>
      <w:r>
        <w:t>Chapter </w:t>
      </w:r>
      <w:r w:rsidR="00812571" w:rsidRPr="00FA1A19">
        <w:t>7 sets out income tax issues (including</w:t>
      </w:r>
      <w:r w:rsidR="00277113" w:rsidRPr="00FA1A19">
        <w:t xml:space="preserve"> the existing framework, the ATO</w:t>
      </w:r>
      <w:r w:rsidR="00F75232">
        <w:t>’</w:t>
      </w:r>
      <w:r w:rsidR="00277113" w:rsidRPr="00FA1A19">
        <w:t>s position and the Board</w:t>
      </w:r>
      <w:r w:rsidR="00F75232">
        <w:t>’</w:t>
      </w:r>
      <w:r w:rsidR="00277113" w:rsidRPr="00FA1A19">
        <w:t>s conclusions)</w:t>
      </w:r>
      <w:r w:rsidR="00375488">
        <w:t>.</w:t>
      </w:r>
    </w:p>
    <w:p w14:paraId="4D0159DD" w14:textId="2FC374B5" w:rsidR="00052F41" w:rsidRPr="00FA1A19" w:rsidRDefault="00372633" w:rsidP="00C17225">
      <w:pPr>
        <w:pStyle w:val="Bullet"/>
      </w:pPr>
      <w:r>
        <w:t>Chapter </w:t>
      </w:r>
      <w:r w:rsidR="00052F41" w:rsidRPr="00FA1A19">
        <w:t xml:space="preserve">8 considers the application to digital assets and transactions of </w:t>
      </w:r>
      <w:r w:rsidR="0EB315FA" w:rsidRPr="00FA1A19">
        <w:t xml:space="preserve">specific </w:t>
      </w:r>
      <w:r w:rsidR="00052F41" w:rsidRPr="00FA1A19">
        <w:t xml:space="preserve">taxation regimes </w:t>
      </w:r>
      <w:r w:rsidR="3D10FB62" w:rsidRPr="00FA1A19">
        <w:t>with</w:t>
      </w:r>
      <w:r w:rsidR="00052F41" w:rsidRPr="00FA1A19">
        <w:t>in Australia</w:t>
      </w:r>
      <w:r w:rsidR="00F75232">
        <w:t>’</w:t>
      </w:r>
      <w:r w:rsidR="00052F41" w:rsidRPr="00FA1A19">
        <w:t>s taxation legislation that exist to deal with particular taxpayers or transactions</w:t>
      </w:r>
      <w:r w:rsidR="00FA6DA6" w:rsidRPr="00FA1A19">
        <w:t>.</w:t>
      </w:r>
    </w:p>
    <w:p w14:paraId="367097CC" w14:textId="24A1FDAC" w:rsidR="00585F31" w:rsidRPr="00FA1A19" w:rsidRDefault="00372633" w:rsidP="00C17225">
      <w:pPr>
        <w:pStyle w:val="Bullet"/>
      </w:pPr>
      <w:r>
        <w:t>Chapter </w:t>
      </w:r>
      <w:r w:rsidR="00585F31" w:rsidRPr="00FA1A19">
        <w:t xml:space="preserve">9 maps the lifecycle of cryptocurrencies (relying on the background information </w:t>
      </w:r>
      <w:r w:rsidR="5039B5E2" w:rsidRPr="00FA1A19">
        <w:t xml:space="preserve">contained </w:t>
      </w:r>
      <w:r w:rsidR="00585F31" w:rsidRPr="00FA1A19">
        <w:t xml:space="preserve">in </w:t>
      </w:r>
      <w:r>
        <w:t>Chapter </w:t>
      </w:r>
      <w:r w:rsidR="00585F31" w:rsidRPr="00FA1A19">
        <w:t>3) and considers the taxation issues relating to particular stages in this lifecycle.</w:t>
      </w:r>
      <w:r w:rsidR="004F0A51" w:rsidRPr="00FA1A19">
        <w:t xml:space="preserve"> </w:t>
      </w:r>
    </w:p>
    <w:p w14:paraId="4412D86D" w14:textId="4E0E7289" w:rsidR="005009D4" w:rsidRPr="00FA1A19" w:rsidRDefault="00372633" w:rsidP="00C17225">
      <w:pPr>
        <w:pStyle w:val="Bullet"/>
        <w:rPr>
          <w:rFonts w:cstheme="minorHAnsi"/>
        </w:rPr>
      </w:pPr>
      <w:r>
        <w:t>Chapter </w:t>
      </w:r>
      <w:r w:rsidR="00585F31" w:rsidRPr="00FA1A19">
        <w:t xml:space="preserve">10 </w:t>
      </w:r>
      <w:r w:rsidR="00277113" w:rsidRPr="00FA1A19">
        <w:t xml:space="preserve">sets out </w:t>
      </w:r>
      <w:r w:rsidR="007F477E" w:rsidRPr="00FA1A19">
        <w:t xml:space="preserve">Goods and </w:t>
      </w:r>
      <w:r w:rsidR="00C100B0" w:rsidRPr="00FA1A19">
        <w:t>s</w:t>
      </w:r>
      <w:r w:rsidR="007F477E" w:rsidRPr="00FA1A19">
        <w:t>ervice</w:t>
      </w:r>
      <w:r w:rsidR="00FA76C4">
        <w:t>s</w:t>
      </w:r>
      <w:r w:rsidR="007F477E" w:rsidRPr="00FA1A19">
        <w:t xml:space="preserve"> </w:t>
      </w:r>
      <w:r w:rsidR="00C100B0" w:rsidRPr="00FA1A19">
        <w:t>t</w:t>
      </w:r>
      <w:r w:rsidR="007F477E" w:rsidRPr="00FA1A19">
        <w:t xml:space="preserve">ax (GST) </w:t>
      </w:r>
      <w:r w:rsidR="00277113" w:rsidRPr="00FA1A19">
        <w:t>issues.</w:t>
      </w:r>
      <w:r w:rsidR="004F0A51" w:rsidRPr="00FA1A19">
        <w:t xml:space="preserve"> </w:t>
      </w:r>
    </w:p>
    <w:p w14:paraId="6C3F40C0" w14:textId="6DE0DDAF" w:rsidR="0050494E" w:rsidRPr="00FA1A19" w:rsidRDefault="00372633" w:rsidP="00C17225">
      <w:pPr>
        <w:pStyle w:val="Bullet"/>
        <w:rPr>
          <w:rFonts w:cstheme="minorHAnsi"/>
        </w:rPr>
      </w:pPr>
      <w:r>
        <w:t>Chapter </w:t>
      </w:r>
      <w:r w:rsidR="00D8179E" w:rsidRPr="00FA1A19">
        <w:t>11 deals with record keeping and tax compliance.</w:t>
      </w:r>
    </w:p>
    <w:p w14:paraId="769EF5DB" w14:textId="74A2B48A" w:rsidR="005009D4" w:rsidRPr="00FA1A19" w:rsidRDefault="00372633" w:rsidP="00C17225">
      <w:pPr>
        <w:pStyle w:val="Bullet"/>
        <w:rPr>
          <w:rFonts w:cstheme="minorHAnsi"/>
        </w:rPr>
      </w:pPr>
      <w:r>
        <w:t>Chapter </w:t>
      </w:r>
      <w:r w:rsidR="005009D4" w:rsidRPr="00FA1A19">
        <w:t xml:space="preserve">12 contains </w:t>
      </w:r>
      <w:r w:rsidR="009F7F63" w:rsidRPr="00FA1A19">
        <w:t>the Board</w:t>
      </w:r>
      <w:r w:rsidR="00F75232">
        <w:t>’</w:t>
      </w:r>
      <w:r w:rsidR="009F7F63" w:rsidRPr="00FA1A19">
        <w:t>s analysis of the taxation of digital assets and transactions in comparative jurisdictions.</w:t>
      </w:r>
    </w:p>
    <w:p w14:paraId="1765C54C" w14:textId="74012818" w:rsidR="009F7F63" w:rsidRPr="00FA1A19" w:rsidRDefault="00372633" w:rsidP="00C17225">
      <w:pPr>
        <w:pStyle w:val="Bullet"/>
      </w:pPr>
      <w:r>
        <w:t>Chapter </w:t>
      </w:r>
      <w:r w:rsidR="009F7F63" w:rsidRPr="00FA1A19">
        <w:t xml:space="preserve">13 </w:t>
      </w:r>
      <w:r w:rsidR="60741A6A" w:rsidRPr="00FA1A19">
        <w:t>identifies specific</w:t>
      </w:r>
      <w:r w:rsidR="009F7F63" w:rsidRPr="00FA1A19">
        <w:t xml:space="preserve"> tax policy issues that the </w:t>
      </w:r>
      <w:r w:rsidR="000E24F6">
        <w:t>Australian</w:t>
      </w:r>
      <w:r w:rsidR="000E24F6" w:rsidRPr="00FA1A19">
        <w:t xml:space="preserve"> </w:t>
      </w:r>
      <w:r w:rsidR="009F7F63" w:rsidRPr="00FA1A19">
        <w:t xml:space="preserve">Government </w:t>
      </w:r>
      <w:r w:rsidR="009D2C33" w:rsidRPr="00FA1A19">
        <w:t xml:space="preserve">could </w:t>
      </w:r>
      <w:r w:rsidR="009F7F63" w:rsidRPr="00FA1A19">
        <w:t>consider in the future</w:t>
      </w:r>
      <w:r w:rsidR="009D2C33" w:rsidRPr="00FA1A19">
        <w:t xml:space="preserve"> should a crypto</w:t>
      </w:r>
      <w:r w:rsidR="00F75232">
        <w:noBreakHyphen/>
      </w:r>
      <w:r w:rsidR="009D2C33" w:rsidRPr="00FA1A19">
        <w:t xml:space="preserve">specific taxation regime be </w:t>
      </w:r>
      <w:r w:rsidR="007D5413" w:rsidRPr="00FA1A19">
        <w:t>contemplated</w:t>
      </w:r>
      <w:r w:rsidR="00B547A6">
        <w:rPr>
          <w:rFonts w:asciiTheme="minorHAnsi" w:hAnsiTheme="minorHAnsi" w:cstheme="minorBidi"/>
          <w:color w:val="333333"/>
        </w:rPr>
        <w:t>, and also outlines some specific crypto areas that are developing and increasing in scale at a particularly fast rate and so should be included in ongoing monitoring of taxation in the crypto ecosystem</w:t>
      </w:r>
      <w:r w:rsidR="00B547A6" w:rsidRPr="00FA1A19">
        <w:rPr>
          <w:rFonts w:asciiTheme="minorHAnsi" w:hAnsiTheme="minorHAnsi" w:cstheme="minorBidi"/>
          <w:color w:val="333333"/>
        </w:rPr>
        <w:t>.</w:t>
      </w:r>
    </w:p>
    <w:p w14:paraId="7092B1C9" w14:textId="77777777" w:rsidR="00C17225" w:rsidRDefault="00C17225" w:rsidP="006C5564">
      <w:pPr>
        <w:sectPr w:rsidR="00C17225" w:rsidSect="00320772">
          <w:pgSz w:w="11909" w:h="16834" w:code="9"/>
          <w:pgMar w:top="1985" w:right="1134" w:bottom="1985" w:left="1134" w:header="1134" w:footer="1134" w:gutter="0"/>
          <w:cols w:space="708"/>
          <w:docGrid w:linePitch="360"/>
        </w:sectPr>
      </w:pPr>
    </w:p>
    <w:p w14:paraId="3864E765" w14:textId="2C018909" w:rsidR="0066430D" w:rsidRPr="00FA1A19" w:rsidRDefault="00372633" w:rsidP="0069352C">
      <w:pPr>
        <w:pStyle w:val="Heading1"/>
      </w:pPr>
      <w:bookmarkStart w:id="35" w:name="_Toc159513560"/>
      <w:r>
        <w:t>Chapter </w:t>
      </w:r>
      <w:r w:rsidR="0066430D" w:rsidRPr="00FA1A19">
        <w:t>2: Context of the Review</w:t>
      </w:r>
      <w:bookmarkEnd w:id="35"/>
    </w:p>
    <w:p w14:paraId="120DE151" w14:textId="77777777" w:rsidR="0066430D" w:rsidRPr="00FA1A19" w:rsidRDefault="0066430D" w:rsidP="0069352C">
      <w:pPr>
        <w:pStyle w:val="Heading2"/>
        <w:rPr>
          <w:rStyle w:val="Emphasis"/>
        </w:rPr>
      </w:pPr>
      <w:bookmarkStart w:id="36" w:name="_Toc159513561"/>
      <w:r w:rsidRPr="00FA1A19">
        <w:rPr>
          <w:rStyle w:val="Emphasis"/>
        </w:rPr>
        <w:t>Key Points</w:t>
      </w:r>
      <w:bookmarkEnd w:id="36"/>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1F4D" w:themeFill="accent2"/>
        <w:tblCellMar>
          <w:top w:w="397" w:type="dxa"/>
          <w:left w:w="454" w:type="dxa"/>
          <w:bottom w:w="397" w:type="dxa"/>
          <w:right w:w="454" w:type="dxa"/>
        </w:tblCellMar>
        <w:tblLook w:val="04A0" w:firstRow="1" w:lastRow="0" w:firstColumn="1" w:lastColumn="0" w:noHBand="0" w:noVBand="1"/>
      </w:tblPr>
      <w:tblGrid>
        <w:gridCol w:w="9641"/>
      </w:tblGrid>
      <w:tr w:rsidR="000E72DD" w:rsidRPr="000E72DD" w14:paraId="44B0392D" w14:textId="77777777" w:rsidTr="00372633">
        <w:tc>
          <w:tcPr>
            <w:tcW w:w="5000" w:type="pct"/>
            <w:shd w:val="clear" w:color="auto" w:fill="701F4D" w:themeFill="accent2"/>
          </w:tcPr>
          <w:p w14:paraId="398988D0" w14:textId="2732B7D5" w:rsidR="0066430D" w:rsidRPr="000E72DD" w:rsidRDefault="0066430D" w:rsidP="000E72DD">
            <w:pPr>
              <w:pStyle w:val="BoxBulletWhite"/>
            </w:pPr>
            <w:r w:rsidRPr="000E72DD">
              <w:t>The Board</w:t>
            </w:r>
            <w:r w:rsidR="00F75232">
              <w:t>’</w:t>
            </w:r>
            <w:r w:rsidRPr="000E72DD">
              <w:t xml:space="preserve">s Review was commenced and conducted in the context of various pieces of work in relation to digital assets being undertaken across </w:t>
            </w:r>
            <w:r w:rsidR="002E6A75">
              <w:t>g</w:t>
            </w:r>
            <w:r w:rsidRPr="000E72DD">
              <w:t xml:space="preserve">overnment together with </w:t>
            </w:r>
            <w:r w:rsidR="00C4716B" w:rsidRPr="000E72DD">
              <w:t xml:space="preserve">the </w:t>
            </w:r>
            <w:r w:rsidRPr="000E72DD">
              <w:t xml:space="preserve">growth in the prevalence of digital asset holdings in Australia. </w:t>
            </w:r>
          </w:p>
          <w:p w14:paraId="6C5269BA" w14:textId="27B342CF" w:rsidR="0066430D" w:rsidRPr="000E72DD" w:rsidRDefault="0066430D" w:rsidP="000E72DD">
            <w:pPr>
              <w:pStyle w:val="BoxBulletWhite"/>
            </w:pPr>
            <w:r w:rsidRPr="000E72DD">
              <w:t>Conservatively, crypto assets are held by over 1</w:t>
            </w:r>
            <w:r w:rsidR="00372633">
              <w:t> million</w:t>
            </w:r>
            <w:r w:rsidRPr="000E72DD">
              <w:t xml:space="preserve"> Australians with total value </w:t>
            </w:r>
            <w:r w:rsidR="00C4716B" w:rsidRPr="000E72DD">
              <w:t xml:space="preserve">estimated to be </w:t>
            </w:r>
            <w:r w:rsidRPr="000E72DD">
              <w:t>over $20</w:t>
            </w:r>
            <w:r w:rsidR="00372633">
              <w:t> billion</w:t>
            </w:r>
            <w:r w:rsidRPr="000E72DD">
              <w:t xml:space="preserve"> in 2022. </w:t>
            </w:r>
          </w:p>
          <w:p w14:paraId="30AF006E" w14:textId="1AF3DD80" w:rsidR="0066430D" w:rsidRPr="000E72DD" w:rsidRDefault="0066430D" w:rsidP="00653832">
            <w:pPr>
              <w:pStyle w:val="BoxBulletWhite"/>
            </w:pPr>
            <w:r w:rsidRPr="000E72DD">
              <w:t>Crypto asset adoption continues to grow within Australia and certainty and clarity in relation to tax laws will assist in ensuring that ownership of these assets does not present a risk to the Australian tax revenue base.</w:t>
            </w:r>
          </w:p>
        </w:tc>
      </w:tr>
    </w:tbl>
    <w:p w14:paraId="6B814198" w14:textId="77777777" w:rsidR="0066430D" w:rsidRPr="00FA1A19" w:rsidRDefault="0066430D" w:rsidP="0069352C">
      <w:pPr>
        <w:pStyle w:val="Heading2"/>
      </w:pPr>
      <w:bookmarkStart w:id="37" w:name="_Toc159513562"/>
      <w:r w:rsidRPr="00FA1A19">
        <w:t>Introduction</w:t>
      </w:r>
      <w:bookmarkEnd w:id="37"/>
    </w:p>
    <w:p w14:paraId="58BE6325" w14:textId="2F4DC9A1" w:rsidR="0066430D" w:rsidRPr="00FA1A19" w:rsidRDefault="002349CA" w:rsidP="00C17225">
      <w:r w:rsidRPr="00FA1A19">
        <w:t xml:space="preserve">This </w:t>
      </w:r>
      <w:r w:rsidR="00203A74" w:rsidRPr="00FA1A19">
        <w:t>c</w:t>
      </w:r>
      <w:r w:rsidRPr="00FA1A19">
        <w:t>hapter</w:t>
      </w:r>
      <w:r w:rsidR="0066430D" w:rsidRPr="00FA1A19">
        <w:t xml:space="preserve"> sets out the context of the Review and in particular relevant work that ha</w:t>
      </w:r>
      <w:r w:rsidR="00381D47" w:rsidRPr="00FA1A19">
        <w:t>s</w:t>
      </w:r>
      <w:r w:rsidR="0066430D" w:rsidRPr="00FA1A19">
        <w:t xml:space="preserve"> been and </w:t>
      </w:r>
      <w:r w:rsidR="00381D47" w:rsidRPr="00FA1A19">
        <w:t xml:space="preserve">is </w:t>
      </w:r>
      <w:r w:rsidR="0066430D" w:rsidRPr="00FA1A19">
        <w:t xml:space="preserve">being undertaken across </w:t>
      </w:r>
      <w:r w:rsidR="001F1FCE" w:rsidRPr="00FA1A19">
        <w:t>the Australian G</w:t>
      </w:r>
      <w:r w:rsidR="0066430D" w:rsidRPr="00FA1A19">
        <w:t>overnment in relation to digital assets. Th</w:t>
      </w:r>
      <w:r w:rsidR="00AC5EEA" w:rsidRPr="00FA1A19">
        <w:t xml:space="preserve">is </w:t>
      </w:r>
      <w:r w:rsidR="00203A74" w:rsidRPr="00FA1A19">
        <w:t>c</w:t>
      </w:r>
      <w:r w:rsidR="00AC5EEA" w:rsidRPr="00FA1A19">
        <w:t>hapter also</w:t>
      </w:r>
      <w:r w:rsidR="00F77998" w:rsidRPr="00FA1A19">
        <w:t xml:space="preserve"> </w:t>
      </w:r>
      <w:r w:rsidR="0066430D" w:rsidRPr="00FA1A19">
        <w:t xml:space="preserve">highlights the prevalence of crypto asset holdings in Australia and </w:t>
      </w:r>
      <w:r w:rsidR="00F77998" w:rsidRPr="00FA1A19">
        <w:t>issues with</w:t>
      </w:r>
      <w:r w:rsidR="0066430D" w:rsidRPr="00FA1A19">
        <w:t xml:space="preserve"> determining the size of the market.</w:t>
      </w:r>
    </w:p>
    <w:p w14:paraId="1AEE7742" w14:textId="77777777" w:rsidR="0066430D" w:rsidRPr="00FA1A19" w:rsidRDefault="0066430D" w:rsidP="0069352C">
      <w:pPr>
        <w:pStyle w:val="Heading2"/>
      </w:pPr>
      <w:bookmarkStart w:id="38" w:name="_Toc159513563"/>
      <w:r w:rsidRPr="00FA1A19">
        <w:t>Background to the Review</w:t>
      </w:r>
      <w:bookmarkEnd w:id="38"/>
    </w:p>
    <w:p w14:paraId="4961D945" w14:textId="012975DD" w:rsidR="0066430D" w:rsidRPr="00FA1A19" w:rsidRDefault="0066430D" w:rsidP="0066430D">
      <w:r w:rsidRPr="00FA1A19">
        <w:t xml:space="preserve">The Review was announced on 8 December 2021 as part of the former </w:t>
      </w:r>
      <w:r w:rsidR="00E50EAC">
        <w:t>g</w:t>
      </w:r>
      <w:r w:rsidR="00E50EAC" w:rsidRPr="00FA1A19">
        <w:t>overnment</w:t>
      </w:r>
      <w:r w:rsidR="00E50EAC">
        <w:t>’</w:t>
      </w:r>
      <w:r w:rsidR="00E50EAC" w:rsidRPr="00FA1A19">
        <w:t xml:space="preserve">s </w:t>
      </w:r>
      <w:r w:rsidRPr="00FA1A19">
        <w:t>response to three earlier reviews that had been completed during 2021: the Review of the Australian Payment System</w:t>
      </w:r>
      <w:r w:rsidR="00214E68">
        <w:t>;</w:t>
      </w:r>
      <w:r w:rsidRPr="00170ADC">
        <w:rPr>
          <w:rStyle w:val="FootnoteReference"/>
        </w:rPr>
        <w:footnoteReference w:id="16"/>
      </w:r>
      <w:r w:rsidRPr="00FA1A19">
        <w:t xml:space="preserve"> the Mobile Payment and Digital Wallet Financial Services Review</w:t>
      </w:r>
      <w:r w:rsidR="00214E68">
        <w:t>;</w:t>
      </w:r>
      <w:r w:rsidRPr="00170ADC">
        <w:rPr>
          <w:rStyle w:val="FootnoteReference"/>
        </w:rPr>
        <w:footnoteReference w:id="17"/>
      </w:r>
      <w:r w:rsidRPr="00FA1A19">
        <w:t xml:space="preserve"> and the Senate Select Committee on Australia as a Technology and Financial Centre Review (Senate </w:t>
      </w:r>
      <w:r w:rsidR="00D220B0" w:rsidRPr="00FA1A19">
        <w:t xml:space="preserve">Select Committee </w:t>
      </w:r>
      <w:r w:rsidR="005F1AE6" w:rsidRPr="00FA1A19">
        <w:t>Re</w:t>
      </w:r>
      <w:r w:rsidR="005F1AE6">
        <w:t>view</w:t>
      </w:r>
      <w:r w:rsidRPr="00FA1A19">
        <w:t>)</w:t>
      </w:r>
      <w:r w:rsidR="00B0271C">
        <w:t>.</w:t>
      </w:r>
      <w:r w:rsidRPr="00170ADC" w:rsidDel="00D220B0">
        <w:rPr>
          <w:rStyle w:val="FootnoteReference"/>
        </w:rPr>
        <w:footnoteReference w:id="18"/>
      </w:r>
    </w:p>
    <w:p w14:paraId="49D9120B" w14:textId="77777777" w:rsidR="0066430D" w:rsidRPr="00FA1A19" w:rsidRDefault="0066430D" w:rsidP="00342121">
      <w:pPr>
        <w:pStyle w:val="Heading3"/>
      </w:pPr>
      <w:r w:rsidRPr="00FA1A19">
        <w:t>Review of the Australian Payments System</w:t>
      </w:r>
    </w:p>
    <w:p w14:paraId="27961201" w14:textId="2F341961" w:rsidR="0066430D" w:rsidRPr="00FA1A19" w:rsidRDefault="0066430D" w:rsidP="00DB7364">
      <w:r w:rsidRPr="00FA1A19">
        <w:t xml:space="preserve">On 21 October </w:t>
      </w:r>
      <w:r w:rsidR="00CB5FE9" w:rsidRPr="00FA1A19">
        <w:t>2020</w:t>
      </w:r>
      <w:r w:rsidRPr="00FA1A19">
        <w:t xml:space="preserve">, the </w:t>
      </w:r>
      <w:r w:rsidR="004B7185" w:rsidRPr="00FA1A19">
        <w:t xml:space="preserve">former </w:t>
      </w:r>
      <w:r w:rsidR="00E50EAC">
        <w:t>t</w:t>
      </w:r>
      <w:r w:rsidR="00E50EAC" w:rsidRPr="00FA1A19">
        <w:t>reasurer</w:t>
      </w:r>
      <w:r w:rsidR="00B97A8C" w:rsidRPr="00FA1A19">
        <w:t xml:space="preserve"> </w:t>
      </w:r>
      <w:r w:rsidRPr="00FA1A19">
        <w:t>announced a review into the Australian payments system</w:t>
      </w:r>
      <w:r w:rsidR="0044598A" w:rsidRPr="00FA1A19">
        <w:t>, led by Mr Scott Farre</w:t>
      </w:r>
      <w:r w:rsidR="008D65EA" w:rsidRPr="00FA1A19">
        <w:t>l</w:t>
      </w:r>
      <w:r w:rsidR="0044598A" w:rsidRPr="00FA1A19">
        <w:t>l</w:t>
      </w:r>
      <w:r w:rsidRPr="00FA1A19">
        <w:t>. The Review was asked to investigate whether the regulatory architecture of the Australian payments system remains fit</w:t>
      </w:r>
      <w:r w:rsidR="00F75232">
        <w:noBreakHyphen/>
      </w:r>
      <w:r w:rsidRPr="00FA1A19">
        <w:t>for</w:t>
      </w:r>
      <w:r w:rsidR="00F75232">
        <w:noBreakHyphen/>
      </w:r>
      <w:r w:rsidRPr="00FA1A19">
        <w:t xml:space="preserve">purpose and responsive to advances in payments technology and changes in consumer demand. This included investigating whether the regulatory framework adequately accommodates new and innovative services and its effectiveness in facilitating the implementation of </w:t>
      </w:r>
      <w:r w:rsidR="00485930">
        <w:t>g</w:t>
      </w:r>
      <w:r w:rsidR="005A7CDC" w:rsidRPr="00FA1A19">
        <w:t xml:space="preserve">overnment </w:t>
      </w:r>
      <w:r w:rsidRPr="00FA1A19">
        <w:t xml:space="preserve">policy. </w:t>
      </w:r>
    </w:p>
    <w:p w14:paraId="433D7A51" w14:textId="77777777" w:rsidR="0066430D" w:rsidRPr="00FA1A19" w:rsidRDefault="0066430D" w:rsidP="0066430D">
      <w:pPr>
        <w:rPr>
          <w:rFonts w:cs="Arial"/>
          <w:color w:val="000080"/>
          <w:sz w:val="32"/>
          <w:szCs w:val="26"/>
        </w:rPr>
      </w:pPr>
      <w:r w:rsidRPr="00FA1A19">
        <w:t xml:space="preserve">The Final Report for the review was published in June 2021, identifying the need for enhanced payments leadership, aligned payments regulation and simplified payments licensing. </w:t>
      </w:r>
    </w:p>
    <w:p w14:paraId="288A59FB" w14:textId="77777777" w:rsidR="0066430D" w:rsidRPr="00FA1A19" w:rsidRDefault="0066430D" w:rsidP="00342121">
      <w:pPr>
        <w:pStyle w:val="Heading3"/>
      </w:pPr>
      <w:r w:rsidRPr="00FA1A19">
        <w:t>Mobile Payment and Digital Wallet Financial Services Review</w:t>
      </w:r>
    </w:p>
    <w:p w14:paraId="5EAAC2E1" w14:textId="14D62880" w:rsidR="0066430D" w:rsidRPr="00FA1A19" w:rsidRDefault="0066430D" w:rsidP="0066430D">
      <w:r w:rsidRPr="00FA1A19">
        <w:t>On 21 March 2021, the Parliamentary Joint Committee on Corporations and Financial Services began a self</w:t>
      </w:r>
      <w:r w:rsidR="00F75232">
        <w:noBreakHyphen/>
      </w:r>
      <w:r w:rsidRPr="00FA1A19">
        <w:t>referred inquiry into mobile payment and digital wallet financial services. The Review covered areas including the nature of commercial relationships and business models, differences in commercial relationships in Australia and other jurisdictions and the implications for competition and consumer protection.</w:t>
      </w:r>
      <w:r w:rsidR="004F0A51" w:rsidRPr="00FA1A19">
        <w:t xml:space="preserve"> </w:t>
      </w:r>
    </w:p>
    <w:p w14:paraId="580323A1" w14:textId="77777777" w:rsidR="0066430D" w:rsidRPr="00FA1A19" w:rsidRDefault="0066430D" w:rsidP="0066430D">
      <w:r w:rsidRPr="00FA1A19">
        <w:t xml:space="preserve">The final report was published in October 2021. </w:t>
      </w:r>
    </w:p>
    <w:p w14:paraId="0B7AB4ED" w14:textId="77777777" w:rsidR="0066430D" w:rsidRPr="00FA1A19" w:rsidRDefault="0066430D" w:rsidP="00342121">
      <w:pPr>
        <w:pStyle w:val="Heading3"/>
      </w:pPr>
      <w:r w:rsidRPr="00FA1A19">
        <w:t>The Senate Select Committee on Australia as a Technology and Financial Centre Final Report</w:t>
      </w:r>
    </w:p>
    <w:p w14:paraId="7D7BAEFA" w14:textId="7F3F6F89" w:rsidR="0066430D" w:rsidRPr="00FA1A19" w:rsidRDefault="0066430D" w:rsidP="0066430D">
      <w:r w:rsidRPr="00FA1A19">
        <w:t xml:space="preserve">On 20 October 2021, the Senate Select Committee </w:t>
      </w:r>
      <w:r w:rsidR="0042627D">
        <w:t>Review</w:t>
      </w:r>
      <w:r w:rsidRPr="00FA1A19">
        <w:t xml:space="preserve"> released a report (</w:t>
      </w:r>
      <w:r w:rsidRPr="003D03A3">
        <w:rPr>
          <w:i/>
          <w:iCs/>
        </w:rPr>
        <w:t xml:space="preserve">Senate </w:t>
      </w:r>
      <w:r w:rsidR="008D65EA" w:rsidRPr="003D03A3">
        <w:rPr>
          <w:i/>
          <w:iCs/>
        </w:rPr>
        <w:t xml:space="preserve">Select Committee </w:t>
      </w:r>
      <w:r w:rsidRPr="003D03A3">
        <w:rPr>
          <w:i/>
          <w:iCs/>
        </w:rPr>
        <w:t>Report</w:t>
      </w:r>
      <w:r w:rsidRPr="00FA1A19">
        <w:t>) which focussed on key areas affecting the competitiveness of Australia</w:t>
      </w:r>
      <w:r w:rsidR="00F75232">
        <w:t>’</w:t>
      </w:r>
      <w:r w:rsidRPr="00FA1A19">
        <w:t xml:space="preserve">s technology, finance and digital asset industries, including the regulatory future of cryptocurrencies and digital assets. </w:t>
      </w:r>
    </w:p>
    <w:p w14:paraId="0CF4A695" w14:textId="77777777" w:rsidR="0066430D" w:rsidRPr="00FA1A19" w:rsidRDefault="0066430D" w:rsidP="0066430D">
      <w:r w:rsidRPr="00FA1A19">
        <w:t xml:space="preserve">The report discussed the concerns and issues relating to the way in which cryptocurrencies and other digital assets are treated for tax purposes in Australia. The report highlighted various submissions made to the Senate Select Committee, including that: </w:t>
      </w:r>
    </w:p>
    <w:p w14:paraId="4F8321DC" w14:textId="7FD7CC71" w:rsidR="0066430D" w:rsidRPr="00FA1A19" w:rsidRDefault="00C860B3" w:rsidP="00D37E9D">
      <w:pPr>
        <w:pStyle w:val="Quote"/>
      </w:pPr>
      <w:r w:rsidRPr="00FA1A19">
        <w:t>A</w:t>
      </w:r>
      <w:r w:rsidR="0066430D" w:rsidRPr="00FA1A19">
        <w:t>ustralia</w:t>
      </w:r>
      <w:r w:rsidR="00F75232">
        <w:t>’</w:t>
      </w:r>
      <w:r w:rsidR="0066430D" w:rsidRPr="00FA1A19">
        <w:t xml:space="preserve">s current taxation </w:t>
      </w:r>
      <w:r w:rsidR="0066430D" w:rsidRPr="00D37E9D">
        <w:t>regulations</w:t>
      </w:r>
      <w:r w:rsidR="0066430D" w:rsidRPr="00FA1A19">
        <w:t xml:space="preserve"> and guidance relating to cryptocurrencies and other digital assets need updating in order to keep pace with the rapid evolution of technology</w:t>
      </w:r>
      <w:r w:rsidR="00FA2E6D" w:rsidRPr="00FA1A19">
        <w:t>…</w:t>
      </w:r>
    </w:p>
    <w:p w14:paraId="74B6C52B" w14:textId="53E8C806" w:rsidR="0066430D" w:rsidRPr="004127EE" w:rsidRDefault="0066430D" w:rsidP="00C17225">
      <w:r w:rsidRPr="00FA1A19">
        <w:t xml:space="preserve">A number of stakeholders expressed concern about a lack of clear guidance from the ATO about the application of existing principles in the tax law to new and </w:t>
      </w:r>
      <w:r w:rsidRPr="00C17225">
        <w:t>emerging</w:t>
      </w:r>
      <w:r w:rsidRPr="00FA1A19">
        <w:t xml:space="preserve"> technologies.</w:t>
      </w:r>
      <w:r w:rsidRPr="00170ADC">
        <w:rPr>
          <w:rStyle w:val="FootnoteReference"/>
        </w:rPr>
        <w:footnoteReference w:id="19"/>
      </w:r>
      <w:r w:rsidRPr="004127EE">
        <w:t xml:space="preserve"> </w:t>
      </w:r>
    </w:p>
    <w:p w14:paraId="22B6F111" w14:textId="0E948BF4" w:rsidR="0066430D" w:rsidRPr="00FA1A19" w:rsidRDefault="0066430D" w:rsidP="0066430D">
      <w:r w:rsidRPr="00FA1A19">
        <w:t xml:space="preserve">The report noted the view of the Committee that </w:t>
      </w:r>
      <w:r w:rsidR="00F75232">
        <w:t>‘</w:t>
      </w:r>
      <w:r w:rsidRPr="00FA1A19">
        <w:t>Taxation rules for digital assets require further clarification.</w:t>
      </w:r>
      <w:r w:rsidR="004F0A51" w:rsidRPr="00FA1A19">
        <w:t xml:space="preserve"> </w:t>
      </w:r>
      <w:r w:rsidRPr="00FA1A19">
        <w:t>In particular, the rules around CGT for cryptocurrency and digital assets need to be updated to ensure that new types of technology structures are appropriately accounted for, and digital asset transactions only create a CGT event when they genuinely result in a clearly definable capital gain or loss.</w:t>
      </w:r>
      <w:r w:rsidR="00F75232">
        <w:t>’</w:t>
      </w:r>
      <w:r w:rsidRPr="00170ADC">
        <w:rPr>
          <w:rStyle w:val="FootnoteReference"/>
        </w:rPr>
        <w:footnoteReference w:id="20"/>
      </w:r>
      <w:r w:rsidR="004F0A51" w:rsidRPr="00FA1A19">
        <w:t xml:space="preserve"> </w:t>
      </w:r>
      <w:r w:rsidRPr="00FA1A19">
        <w:t xml:space="preserve">The Committee recommended that the </w:t>
      </w:r>
      <w:r w:rsidR="00F75232">
        <w:t>‘</w:t>
      </w:r>
      <w:r w:rsidRPr="00FA1A19">
        <w:t>CGT regime be amended so that digital asset transactions only create a CGT event when they genuinely result in a clearly definable capital gain or loss</w:t>
      </w:r>
      <w:r w:rsidR="00F75232">
        <w:t>’</w:t>
      </w:r>
      <w:r w:rsidRPr="00FA1A19">
        <w:t>, but expressed concern that the removal of CGT taxation points altogether for crypto</w:t>
      </w:r>
      <w:r w:rsidR="00F75232">
        <w:noBreakHyphen/>
      </w:r>
      <w:r w:rsidRPr="00FA1A19">
        <w:t>to</w:t>
      </w:r>
      <w:r w:rsidR="00F75232">
        <w:noBreakHyphen/>
      </w:r>
      <w:r w:rsidRPr="00FA1A19">
        <w:t xml:space="preserve">crypto transactions so that CGT is only applied at the </w:t>
      </w:r>
      <w:r w:rsidR="00F75232">
        <w:t>‘</w:t>
      </w:r>
      <w:r w:rsidRPr="00FA1A19">
        <w:t>on and off ramp</w:t>
      </w:r>
      <w:r w:rsidR="00F75232">
        <w:t>’</w:t>
      </w:r>
      <w:r w:rsidRPr="00FA1A19">
        <w:t xml:space="preserve"> points where digital assets are traded for fiat currency or similar, would simplify the CGT rules for digital assets but may risk leakage of tax revenue.</w:t>
      </w:r>
      <w:r w:rsidRPr="00170ADC">
        <w:rPr>
          <w:rStyle w:val="FootnoteReference"/>
        </w:rPr>
        <w:footnoteReference w:id="21"/>
      </w:r>
    </w:p>
    <w:p w14:paraId="5F4AE91F" w14:textId="1FD2F4CC" w:rsidR="0066430D" w:rsidRPr="00FA1A19" w:rsidRDefault="0066430D" w:rsidP="00342121">
      <w:pPr>
        <w:pStyle w:val="Heading3"/>
      </w:pPr>
      <w:r w:rsidRPr="00FA1A19">
        <w:t xml:space="preserve">Former </w:t>
      </w:r>
      <w:r w:rsidR="005A7CDC">
        <w:t>Australian</w:t>
      </w:r>
      <w:r w:rsidR="005A7CDC" w:rsidRPr="00FA1A19">
        <w:t xml:space="preserve"> </w:t>
      </w:r>
      <w:r w:rsidR="00E50EAC">
        <w:t>g</w:t>
      </w:r>
      <w:r w:rsidR="00E50EAC" w:rsidRPr="00FA1A19">
        <w:t>overnment</w:t>
      </w:r>
      <w:r w:rsidR="00E50EAC">
        <w:t>’</w:t>
      </w:r>
      <w:r w:rsidR="00E50EAC" w:rsidRPr="00FA1A19">
        <w:t xml:space="preserve">s </w:t>
      </w:r>
      <w:r w:rsidRPr="00FA1A19">
        <w:t xml:space="preserve">response to the three earlier Reviews </w:t>
      </w:r>
    </w:p>
    <w:p w14:paraId="57DE4332" w14:textId="3A2C1DB9" w:rsidR="0066430D" w:rsidRPr="00FA1A19" w:rsidRDefault="0066430D" w:rsidP="00DD7E85">
      <w:r w:rsidRPr="00FA1A19">
        <w:rPr>
          <w:rFonts w:asciiTheme="minorHAnsi" w:hAnsiTheme="minorHAnsi" w:cstheme="minorHAnsi"/>
        </w:rPr>
        <w:t xml:space="preserve">On 8 December 2021, the former </w:t>
      </w:r>
      <w:r w:rsidR="000E24F6">
        <w:rPr>
          <w:rFonts w:asciiTheme="minorHAnsi" w:hAnsiTheme="minorHAnsi" w:cstheme="minorHAnsi"/>
        </w:rPr>
        <w:t>Australian</w:t>
      </w:r>
      <w:r w:rsidR="000E24F6" w:rsidRPr="00FA1A19" w:rsidDel="0029189D">
        <w:rPr>
          <w:rFonts w:asciiTheme="minorHAnsi" w:hAnsiTheme="minorHAnsi" w:cstheme="minorHAnsi"/>
        </w:rPr>
        <w:t xml:space="preserve"> </w:t>
      </w:r>
      <w:r w:rsidR="00E50EAC">
        <w:rPr>
          <w:rFonts w:asciiTheme="minorHAnsi" w:hAnsiTheme="minorHAnsi" w:cstheme="minorHAnsi"/>
        </w:rPr>
        <w:t>g</w:t>
      </w:r>
      <w:r w:rsidR="00E50EAC" w:rsidRPr="00FA1A19">
        <w:rPr>
          <w:rFonts w:asciiTheme="minorHAnsi" w:hAnsiTheme="minorHAnsi" w:cstheme="minorHAnsi"/>
        </w:rPr>
        <w:t xml:space="preserve">overnment </w:t>
      </w:r>
      <w:r w:rsidRPr="00FA1A19">
        <w:rPr>
          <w:rFonts w:asciiTheme="minorHAnsi" w:hAnsiTheme="minorHAnsi" w:cstheme="minorHAnsi"/>
        </w:rPr>
        <w:t>released its response to the three reports.</w:t>
      </w:r>
      <w:r w:rsidRPr="00170ADC">
        <w:rPr>
          <w:rStyle w:val="FootnoteReference"/>
        </w:rPr>
        <w:footnoteReference w:id="22"/>
      </w:r>
      <w:r w:rsidR="004F0A51" w:rsidRPr="00FA1A19">
        <w:rPr>
          <w:rFonts w:asciiTheme="minorHAnsi" w:hAnsiTheme="minorHAnsi" w:cstheme="minorHAnsi"/>
        </w:rPr>
        <w:t xml:space="preserve"> </w:t>
      </w:r>
      <w:r w:rsidRPr="00FA1A19">
        <w:rPr>
          <w:rFonts w:asciiTheme="minorHAnsi" w:hAnsiTheme="minorHAnsi" w:cstheme="minorHAnsi"/>
        </w:rPr>
        <w:t>The</w:t>
      </w:r>
      <w:r w:rsidR="00610D05">
        <w:rPr>
          <w:rFonts w:asciiTheme="minorHAnsi" w:hAnsiTheme="minorHAnsi" w:cstheme="minorHAnsi"/>
        </w:rPr>
        <w:t> </w:t>
      </w:r>
      <w:r w:rsidRPr="00FA1A19">
        <w:rPr>
          <w:rFonts w:asciiTheme="minorHAnsi" w:hAnsiTheme="minorHAnsi" w:cstheme="minorHAnsi"/>
        </w:rPr>
        <w:t xml:space="preserve">full response was contained in </w:t>
      </w:r>
      <w:r w:rsidR="00F75232">
        <w:rPr>
          <w:rFonts w:asciiTheme="minorHAnsi" w:hAnsiTheme="minorHAnsi" w:cstheme="minorHAnsi"/>
        </w:rPr>
        <w:t>‘</w:t>
      </w:r>
      <w:r w:rsidRPr="00D70759">
        <w:rPr>
          <w:rFonts w:asciiTheme="minorHAnsi" w:hAnsiTheme="minorHAnsi" w:cstheme="minorHAnsi"/>
        </w:rPr>
        <w:t>Transforming Australia</w:t>
      </w:r>
      <w:r w:rsidR="00F75232">
        <w:rPr>
          <w:rFonts w:asciiTheme="minorHAnsi" w:hAnsiTheme="minorHAnsi" w:cstheme="minorHAnsi"/>
        </w:rPr>
        <w:t>’</w:t>
      </w:r>
      <w:r w:rsidRPr="00D70759">
        <w:rPr>
          <w:rFonts w:asciiTheme="minorHAnsi" w:hAnsiTheme="minorHAnsi" w:cstheme="minorHAnsi"/>
        </w:rPr>
        <w:t>s Payments System</w:t>
      </w:r>
      <w:r w:rsidR="00F75232">
        <w:rPr>
          <w:rFonts w:asciiTheme="minorHAnsi" w:hAnsiTheme="minorHAnsi" w:cstheme="minorHAnsi"/>
        </w:rPr>
        <w:t>’</w:t>
      </w:r>
      <w:r w:rsidRPr="003D03A3">
        <w:rPr>
          <w:rFonts w:asciiTheme="minorHAnsi" w:hAnsiTheme="minorHAnsi" w:cstheme="minorHAnsi"/>
          <w:i/>
          <w:iCs/>
        </w:rPr>
        <w:t>,</w:t>
      </w:r>
      <w:r w:rsidRPr="00FA1A19">
        <w:rPr>
          <w:rFonts w:asciiTheme="minorHAnsi" w:hAnsiTheme="minorHAnsi" w:cstheme="minorHAnsi"/>
        </w:rPr>
        <w:t xml:space="preserve"> in which it was stated that </w:t>
      </w:r>
      <w:r w:rsidR="00F75232">
        <w:rPr>
          <w:rFonts w:asciiTheme="minorHAnsi" w:hAnsiTheme="minorHAnsi" w:cstheme="minorHAnsi"/>
        </w:rPr>
        <w:t>‘</w:t>
      </w:r>
      <w:r w:rsidRPr="00FA1A19">
        <w:rPr>
          <w:rFonts w:asciiTheme="minorHAnsi" w:hAnsiTheme="minorHAnsi" w:cstheme="minorHAnsi"/>
        </w:rPr>
        <w:t>To provide clarity to holders of crypto</w:t>
      </w:r>
      <w:r w:rsidR="00F75232">
        <w:rPr>
          <w:rFonts w:asciiTheme="minorHAnsi" w:hAnsiTheme="minorHAnsi" w:cstheme="minorHAnsi"/>
        </w:rPr>
        <w:noBreakHyphen/>
      </w:r>
      <w:r w:rsidRPr="00FA1A19">
        <w:rPr>
          <w:rFonts w:asciiTheme="minorHAnsi" w:hAnsiTheme="minorHAnsi" w:cstheme="minorHAnsi"/>
        </w:rPr>
        <w:t>assets, the Board of Taxation will review an appropriate policy framework for the taxation of digital transactions and assets</w:t>
      </w:r>
      <w:r w:rsidR="00F75232">
        <w:rPr>
          <w:rFonts w:asciiTheme="minorHAnsi" w:hAnsiTheme="minorHAnsi" w:cstheme="minorHAnsi"/>
        </w:rPr>
        <w:t>’</w:t>
      </w:r>
      <w:r w:rsidRPr="00FA1A19">
        <w:rPr>
          <w:rFonts w:asciiTheme="minorHAnsi" w:hAnsiTheme="minorHAnsi" w:cstheme="minorHAnsi"/>
        </w:rPr>
        <w:t>.</w:t>
      </w:r>
      <w:r w:rsidRPr="00170ADC">
        <w:rPr>
          <w:rStyle w:val="FootnoteReference"/>
        </w:rPr>
        <w:footnoteReference w:id="23"/>
      </w:r>
      <w:r w:rsidRPr="00FA1A19">
        <w:rPr>
          <w:rFonts w:asciiTheme="minorHAnsi" w:hAnsiTheme="minorHAnsi" w:cstheme="minorHAnsi"/>
        </w:rPr>
        <w:t xml:space="preserve"> </w:t>
      </w:r>
    </w:p>
    <w:p w14:paraId="04C4B573" w14:textId="25D5197F" w:rsidR="0066430D" w:rsidRPr="00FA1A19" w:rsidRDefault="0066430D" w:rsidP="00DD7E85">
      <w:r w:rsidRPr="00FA1A19">
        <w:t>The Terms of Reference for the Board</w:t>
      </w:r>
      <w:r w:rsidR="00F75232">
        <w:t>’</w:t>
      </w:r>
      <w:r w:rsidRPr="00FA1A19">
        <w:t xml:space="preserve">s review </w:t>
      </w:r>
      <w:r w:rsidR="008C0C1B">
        <w:t>was</w:t>
      </w:r>
      <w:r w:rsidR="008C0C1B" w:rsidRPr="00FA1A19">
        <w:t xml:space="preserve"> </w:t>
      </w:r>
      <w:r w:rsidRPr="00FA1A19">
        <w:t>released on 21 March 2022 and following the 2022 federal election were confirmed by the Government on 12 August 2022.</w:t>
      </w:r>
    </w:p>
    <w:p w14:paraId="0971BFEB" w14:textId="3519E90E" w:rsidR="0066430D" w:rsidRPr="00FA1A19" w:rsidRDefault="0066430D" w:rsidP="00C17225">
      <w:r w:rsidRPr="00FA1A19">
        <w:t xml:space="preserve">The former </w:t>
      </w:r>
      <w:r w:rsidR="00EC0A3D">
        <w:t>Australian</w:t>
      </w:r>
      <w:r w:rsidR="00EC0A3D" w:rsidRPr="00FA1A19" w:rsidDel="008D660A">
        <w:t xml:space="preserve"> </w:t>
      </w:r>
      <w:r w:rsidR="00E50EAC">
        <w:t>g</w:t>
      </w:r>
      <w:r w:rsidR="00E50EAC" w:rsidRPr="00FA1A19">
        <w:t>overnment</w:t>
      </w:r>
      <w:r w:rsidR="00E50EAC">
        <w:t>’</w:t>
      </w:r>
      <w:r w:rsidR="00E50EAC" w:rsidRPr="00FA1A19">
        <w:t xml:space="preserve">s </w:t>
      </w:r>
      <w:r w:rsidRPr="00FA1A19">
        <w:t xml:space="preserve">response of 8 December 2021 also indicated that it would undertake consultation on the establishment of a licencing </w:t>
      </w:r>
      <w:r w:rsidRPr="00C17225">
        <w:t>framework</w:t>
      </w:r>
      <w:r w:rsidRPr="00FA1A19">
        <w:t xml:space="preserve"> and a custody or depository regime for crypto assets, and that </w:t>
      </w:r>
      <w:r w:rsidR="00795A41">
        <w:t>The Treasury</w:t>
      </w:r>
      <w:r w:rsidRPr="00FA1A19">
        <w:t>, with the support of financial regulators and in consultation with industry, would conduct a token mapping exercise to identify relevant characteristics of digital assets.</w:t>
      </w:r>
      <w:r w:rsidRPr="00170ADC">
        <w:rPr>
          <w:rStyle w:val="FootnoteReference"/>
        </w:rPr>
        <w:footnoteReference w:id="24"/>
      </w:r>
    </w:p>
    <w:p w14:paraId="6BDC4441" w14:textId="5AC45E7C" w:rsidR="0066430D" w:rsidRPr="00FA1A19" w:rsidRDefault="0065676F" w:rsidP="0069352C">
      <w:pPr>
        <w:pStyle w:val="Heading2"/>
      </w:pPr>
      <w:bookmarkStart w:id="39" w:name="_Toc159513564"/>
      <w:r w:rsidRPr="00FA1A19">
        <w:t>Concurrent</w:t>
      </w:r>
      <w:r w:rsidR="00E72605" w:rsidRPr="00FA1A19">
        <w:t xml:space="preserve"> R</w:t>
      </w:r>
      <w:r w:rsidR="0066430D" w:rsidRPr="00FA1A19">
        <w:t>eview</w:t>
      </w:r>
      <w:r w:rsidRPr="00FA1A19">
        <w:t>s</w:t>
      </w:r>
      <w:bookmarkEnd w:id="39"/>
    </w:p>
    <w:p w14:paraId="6C5252EC" w14:textId="7152E47E" w:rsidR="002B50DF" w:rsidRDefault="0066430D" w:rsidP="00C71021">
      <w:r w:rsidRPr="00FA1A19">
        <w:t>The Board has highlighted a number of international reviews</w:t>
      </w:r>
      <w:r w:rsidR="00640813">
        <w:t xml:space="preserve"> in relation to crypto assets and transactions</w:t>
      </w:r>
      <w:r w:rsidRPr="00FA1A19">
        <w:t xml:space="preserve"> being undertaken globally throughout the Report.</w:t>
      </w:r>
      <w:r w:rsidR="004F0A51" w:rsidRPr="00FA1A19">
        <w:t xml:space="preserve"> </w:t>
      </w:r>
      <w:r w:rsidR="008A1427" w:rsidRPr="00FA1A19">
        <w:t>Notabl</w:t>
      </w:r>
      <w:r w:rsidR="00B73B32" w:rsidRPr="00FA1A19">
        <w:t xml:space="preserve">e work </w:t>
      </w:r>
      <w:r w:rsidR="00640813">
        <w:t xml:space="preserve">includes that </w:t>
      </w:r>
      <w:r w:rsidR="00B73B32" w:rsidRPr="00FA1A19">
        <w:t xml:space="preserve">of the </w:t>
      </w:r>
      <w:r w:rsidR="00A24B81">
        <w:t>Organisation for Economic Co</w:t>
      </w:r>
      <w:r w:rsidR="00F75232">
        <w:noBreakHyphen/>
      </w:r>
      <w:r w:rsidR="00A24B81">
        <w:t>operation and Development (</w:t>
      </w:r>
      <w:r w:rsidR="00B73B32" w:rsidRPr="00FA1A19">
        <w:t>OECD</w:t>
      </w:r>
      <w:r w:rsidR="00A24B81">
        <w:t>)</w:t>
      </w:r>
      <w:r w:rsidR="00B73B32" w:rsidRPr="00FA1A19">
        <w:t>.</w:t>
      </w:r>
      <w:r w:rsidR="004F0A51" w:rsidRPr="00FA1A19">
        <w:t xml:space="preserve"> </w:t>
      </w:r>
      <w:r w:rsidR="003272FB" w:rsidRPr="00FA1A19">
        <w:t>In June 2023, the OECD published its final report on a model Crypto</w:t>
      </w:r>
      <w:r w:rsidR="00F75232">
        <w:noBreakHyphen/>
      </w:r>
      <w:r w:rsidR="003272FB" w:rsidRPr="00FA1A19">
        <w:t>Asset Reporting Framework (CARF) which provides a framework for automatic exchange of tax</w:t>
      </w:r>
      <w:r w:rsidR="00F75232">
        <w:noBreakHyphen/>
      </w:r>
      <w:r w:rsidR="003272FB" w:rsidRPr="00FA1A19">
        <w:t>relevant information on crypto assets in a standardised manner.</w:t>
      </w:r>
      <w:r w:rsidR="003272FB" w:rsidRPr="00170ADC">
        <w:rPr>
          <w:rStyle w:val="FootnoteReference"/>
        </w:rPr>
        <w:footnoteReference w:id="25"/>
      </w:r>
      <w:r w:rsidR="003272FB" w:rsidRPr="00FA1A19">
        <w:t xml:space="preserve"> The CARF sets out the relevant crypto assets in scope and the intermediaries and other service providers that will be subject to reporting.</w:t>
      </w:r>
      <w:r w:rsidR="004F0A51" w:rsidRPr="00FA1A19">
        <w:t xml:space="preserve"> </w:t>
      </w:r>
      <w:r w:rsidR="00E2256D" w:rsidRPr="00FA1A19">
        <w:t>O</w:t>
      </w:r>
      <w:r w:rsidR="00071304" w:rsidRPr="00FA1A19">
        <w:t>n</w:t>
      </w:r>
      <w:r w:rsidR="001A2FFB">
        <w:t> </w:t>
      </w:r>
      <w:r w:rsidR="00071304" w:rsidRPr="00FA1A19">
        <w:t>10</w:t>
      </w:r>
      <w:r w:rsidR="0024535F">
        <w:t> </w:t>
      </w:r>
      <w:r w:rsidR="00071304" w:rsidRPr="00FA1A19">
        <w:t xml:space="preserve">November 2023 the OECD announced </w:t>
      </w:r>
      <w:r w:rsidR="009B65CC" w:rsidRPr="00FA1A19">
        <w:t xml:space="preserve">that 48 countries and </w:t>
      </w:r>
      <w:r w:rsidR="00CB13DF" w:rsidRPr="00FA1A19">
        <w:t>jurisdictions (including Australia)</w:t>
      </w:r>
      <w:r w:rsidR="009B65CC" w:rsidRPr="00FA1A19">
        <w:t xml:space="preserve"> intend to implement the </w:t>
      </w:r>
      <w:r w:rsidR="001D17B5" w:rsidRPr="00FA1A19">
        <w:t xml:space="preserve">CARF </w:t>
      </w:r>
      <w:r w:rsidR="00CB13DF" w:rsidRPr="00FA1A19">
        <w:t>by 2027.</w:t>
      </w:r>
      <w:r w:rsidR="00CB13DF" w:rsidRPr="00170ADC">
        <w:rPr>
          <w:rStyle w:val="FootnoteReference"/>
        </w:rPr>
        <w:footnoteReference w:id="26"/>
      </w:r>
      <w:r w:rsidR="004F0A51" w:rsidRPr="00FA1A19">
        <w:t xml:space="preserve"> </w:t>
      </w:r>
    </w:p>
    <w:p w14:paraId="7C33600E" w14:textId="0C25FCAA" w:rsidR="0066430D" w:rsidRPr="00FA1A19" w:rsidRDefault="00D100B5" w:rsidP="00C71021">
      <w:r w:rsidRPr="00FA1A19">
        <w:t xml:space="preserve">This followed on from the </w:t>
      </w:r>
      <w:r w:rsidR="008C5FFE" w:rsidRPr="00FA1A19">
        <w:t>OECD</w:t>
      </w:r>
      <w:r w:rsidR="00F75232">
        <w:t>’</w:t>
      </w:r>
      <w:r w:rsidR="008C5FFE" w:rsidRPr="00FA1A19">
        <w:t>s earlier work in crypto assets, which included publishing a paper on 12</w:t>
      </w:r>
      <w:r w:rsidR="001A2FFB">
        <w:t> </w:t>
      </w:r>
      <w:r w:rsidR="008C5FFE" w:rsidRPr="00FA1A19">
        <w:t xml:space="preserve">October 2020 titled </w:t>
      </w:r>
      <w:r w:rsidR="00F75232">
        <w:t>‘</w:t>
      </w:r>
      <w:r w:rsidR="008C5FFE" w:rsidRPr="00FA1A19">
        <w:t>Taxing Virtual Currencies: An Overview of Tax Treatments and Emerging Tax Policy Issues</w:t>
      </w:r>
      <w:r w:rsidR="00F75232">
        <w:t>’</w:t>
      </w:r>
      <w:r w:rsidR="008C5FFE" w:rsidRPr="00FA1A19">
        <w:t>.</w:t>
      </w:r>
      <w:r w:rsidR="008C5FFE" w:rsidRPr="00170ADC">
        <w:rPr>
          <w:rStyle w:val="FootnoteReference"/>
        </w:rPr>
        <w:footnoteReference w:id="27"/>
      </w:r>
      <w:r w:rsidR="004F0A51" w:rsidRPr="00FA1A19">
        <w:t xml:space="preserve"> </w:t>
      </w:r>
      <w:r w:rsidR="008361EC" w:rsidRPr="00FA1A19">
        <w:t>Also rel</w:t>
      </w:r>
      <w:r w:rsidR="014DCC42" w:rsidRPr="00FA1A19">
        <w:t>evant</w:t>
      </w:r>
      <w:r w:rsidR="008361EC" w:rsidRPr="00FA1A19">
        <w:t xml:space="preserve"> is the </w:t>
      </w:r>
      <w:r w:rsidR="00F75232">
        <w:t>‘</w:t>
      </w:r>
      <w:r w:rsidR="008361EC" w:rsidRPr="00FA1A19">
        <w:t>OECD Inclusive Framework</w:t>
      </w:r>
      <w:r w:rsidR="00F75232">
        <w:t>’</w:t>
      </w:r>
      <w:r w:rsidR="008361EC" w:rsidRPr="00FA1A19">
        <w:t xml:space="preserve"> on Base Erosion and Profit Shifting (BEPS): on 19</w:t>
      </w:r>
      <w:r w:rsidR="001A2FFB">
        <w:t> </w:t>
      </w:r>
      <w:r w:rsidR="008361EC" w:rsidRPr="00FA1A19">
        <w:t>July 2013, the OECD issued its BEPS Action Plan which identified 15</w:t>
      </w:r>
      <w:r w:rsidR="0024535F">
        <w:t> </w:t>
      </w:r>
      <w:r w:rsidR="008361EC" w:rsidRPr="00FA1A19">
        <w:t xml:space="preserve">actions dealing with international tax avoidance. Action 1 dealt with digitalisation of the economy but has developed to extend beyond digitalisation and into two </w:t>
      </w:r>
      <w:r w:rsidR="00F75232">
        <w:t>‘</w:t>
      </w:r>
      <w:r w:rsidR="008361EC" w:rsidRPr="00FA1A19">
        <w:t>pillars</w:t>
      </w:r>
      <w:r w:rsidR="00F75232">
        <w:t>’</w:t>
      </w:r>
      <w:r w:rsidR="008361EC" w:rsidRPr="00FA1A19">
        <w:t xml:space="preserve"> – Pillar One deals with nexus and profit allocation and Pillar Two deals with ensuring a minimum level of taxation.</w:t>
      </w:r>
      <w:r w:rsidR="006605D0" w:rsidRPr="00FA1A19">
        <w:t xml:space="preserve"> </w:t>
      </w:r>
      <w:r w:rsidR="4016D945" w:rsidRPr="00FA1A19">
        <w:t>Pillar Two</w:t>
      </w:r>
      <w:r w:rsidR="00F75232">
        <w:t>’</w:t>
      </w:r>
      <w:r w:rsidR="006D6D9A">
        <w:t>s Global Anti</w:t>
      </w:r>
      <w:r w:rsidR="00F75232">
        <w:noBreakHyphen/>
      </w:r>
      <w:r w:rsidR="006D6D9A">
        <w:t>Base Erosion (GloBE) rules and a Domestic Minimum Tax</w:t>
      </w:r>
      <w:r w:rsidR="4016D945" w:rsidRPr="00FA1A19">
        <w:t xml:space="preserve"> are currently in the process of being implemented in Australia</w:t>
      </w:r>
      <w:r w:rsidR="00F75232">
        <w:t xml:space="preserve">. </w:t>
      </w:r>
      <w:r w:rsidR="006C4B14">
        <w:t>Both Pillar One and Pillar Two</w:t>
      </w:r>
      <w:r w:rsidR="004F0A51" w:rsidRPr="00FA1A19">
        <w:t xml:space="preserve"> </w:t>
      </w:r>
      <w:r w:rsidR="006605D0" w:rsidRPr="00FA1A19">
        <w:t>may affect measures the Government may like to consider in relation to Digital Assets and Transactions</w:t>
      </w:r>
      <w:r w:rsidR="00DB68FD" w:rsidRPr="00FA1A19">
        <w:t>.</w:t>
      </w:r>
      <w:r w:rsidR="00DB68FD" w:rsidRPr="00170ADC">
        <w:rPr>
          <w:rStyle w:val="FootnoteReference"/>
        </w:rPr>
        <w:footnoteReference w:id="28"/>
      </w:r>
    </w:p>
    <w:p w14:paraId="59F8EF65" w14:textId="3B1C68FF" w:rsidR="0066430D" w:rsidRPr="00FA1A19" w:rsidRDefault="0066430D" w:rsidP="00C71021">
      <w:r w:rsidRPr="00FA1A19">
        <w:t xml:space="preserve">The Board </w:t>
      </w:r>
      <w:r w:rsidR="005A6592" w:rsidRPr="00FA1A19">
        <w:t xml:space="preserve">also </w:t>
      </w:r>
      <w:r w:rsidRPr="00FA1A19">
        <w:t xml:space="preserve">notes the following </w:t>
      </w:r>
      <w:r w:rsidR="002200A5" w:rsidRPr="00FA1A19">
        <w:t xml:space="preserve">Australian </w:t>
      </w:r>
      <w:r w:rsidRPr="00FA1A19">
        <w:t>reviews</w:t>
      </w:r>
      <w:r w:rsidR="00DD775E" w:rsidRPr="00FA1A19">
        <w:t xml:space="preserve"> and reports</w:t>
      </w:r>
      <w:r w:rsidRPr="00FA1A19">
        <w:t xml:space="preserve"> that have progressed </w:t>
      </w:r>
      <w:r w:rsidR="00AA1C63" w:rsidRPr="00FA1A19">
        <w:t>at the same time as</w:t>
      </w:r>
      <w:r w:rsidRPr="00FA1A19">
        <w:t xml:space="preserve"> the Board</w:t>
      </w:r>
      <w:r w:rsidR="00F75232">
        <w:t>’</w:t>
      </w:r>
      <w:r w:rsidRPr="00FA1A19">
        <w:t xml:space="preserve">s Review. </w:t>
      </w:r>
    </w:p>
    <w:p w14:paraId="3E04EEB3" w14:textId="101D3416" w:rsidR="0066430D" w:rsidRPr="00FA1A19" w:rsidRDefault="008202FE" w:rsidP="00342121">
      <w:pPr>
        <w:pStyle w:val="Heading3"/>
      </w:pPr>
      <w:r w:rsidRPr="00FA1A19">
        <w:t xml:space="preserve">The Treasury – </w:t>
      </w:r>
      <w:r w:rsidR="0066430D" w:rsidRPr="00FA1A19">
        <w:t>Token Mapping</w:t>
      </w:r>
    </w:p>
    <w:p w14:paraId="5E463047" w14:textId="17ED7256" w:rsidR="0066430D" w:rsidRPr="00FA1A19" w:rsidRDefault="0066430D" w:rsidP="0066430D">
      <w:r w:rsidRPr="00FA1A19">
        <w:t xml:space="preserve">On 22 August 2022, the Treasurer, the Assistant Treasurer and the Assistant Minister for Competition, Charities and Treasury announced that as a first step in a reform agenda, Treasury would prioritise </w:t>
      </w:r>
      <w:r w:rsidR="00F75232">
        <w:t>‘</w:t>
      </w:r>
      <w:r w:rsidRPr="00FA1A19">
        <w:t>token mapping</w:t>
      </w:r>
      <w:r w:rsidR="00F75232">
        <w:t>’</w:t>
      </w:r>
      <w:r w:rsidRPr="00FA1A19">
        <w:t xml:space="preserve">, being </w:t>
      </w:r>
      <w:r w:rsidR="00F75232">
        <w:t>‘</w:t>
      </w:r>
      <w:r w:rsidRPr="00FA1A19">
        <w:t>the process of identifying the key activities and functions of products in the crypto ecosystem and mapping them against existing regulatory frameworks.</w:t>
      </w:r>
      <w:r w:rsidR="00F75232">
        <w:t>’</w:t>
      </w:r>
      <w:r w:rsidRPr="00170ADC">
        <w:rPr>
          <w:rStyle w:val="FootnoteReference"/>
        </w:rPr>
        <w:footnoteReference w:id="29"/>
      </w:r>
      <w:r w:rsidR="004F0A51" w:rsidRPr="00FA1A19">
        <w:t xml:space="preserve"> </w:t>
      </w:r>
      <w:r w:rsidRPr="00FA1A19">
        <w:t>This is considered to be a foundational step to regulating the crypto ecosystem.</w:t>
      </w:r>
      <w:r w:rsidRPr="00170ADC">
        <w:rPr>
          <w:rStyle w:val="FootnoteReference"/>
        </w:rPr>
        <w:footnoteReference w:id="30"/>
      </w:r>
    </w:p>
    <w:p w14:paraId="45B6F92C" w14:textId="4D9722DC" w:rsidR="0066430D" w:rsidRPr="00FA1A19" w:rsidRDefault="0066430D" w:rsidP="0066430D">
      <w:r w:rsidRPr="00FA1A19">
        <w:t xml:space="preserve">On 3 February 2023, Treasury released its consultation paper </w:t>
      </w:r>
      <w:r w:rsidR="00F75232">
        <w:t>‘</w:t>
      </w:r>
      <w:r w:rsidRPr="00FA1A19">
        <w:t>Token Mapping</w:t>
      </w:r>
      <w:r w:rsidR="00F75232">
        <w:t>’</w:t>
      </w:r>
      <w:r w:rsidRPr="00FA1A19">
        <w:t>.</w:t>
      </w:r>
      <w:r w:rsidR="004F0A51" w:rsidRPr="00FA1A19">
        <w:t xml:space="preserve"> </w:t>
      </w:r>
      <w:r w:rsidRPr="00FA1A19">
        <w:t>The</w:t>
      </w:r>
      <w:r w:rsidR="00F62445" w:rsidRPr="00FA1A19">
        <w:t xml:space="preserve"> consultation</w:t>
      </w:r>
      <w:r w:rsidRPr="00FA1A19">
        <w:t xml:space="preserve"> paper aimed to </w:t>
      </w:r>
      <w:r w:rsidR="00F75232">
        <w:t>‘</w:t>
      </w:r>
      <w:r w:rsidRPr="00FA1A19">
        <w:t>explain key concepts in simple terms for a broad audience</w:t>
      </w:r>
      <w:r w:rsidR="00F75232">
        <w:t>’</w:t>
      </w:r>
      <w:r w:rsidRPr="00FA1A19">
        <w:t>,</w:t>
      </w:r>
      <w:r w:rsidRPr="00170ADC">
        <w:rPr>
          <w:rStyle w:val="FootnoteReference"/>
        </w:rPr>
        <w:footnoteReference w:id="31"/>
      </w:r>
      <w:r w:rsidR="004F0A51" w:rsidRPr="00FA1A19">
        <w:t xml:space="preserve"> </w:t>
      </w:r>
      <w:r w:rsidRPr="00FA1A19">
        <w:t>to describe how the existing financial services framework applies to a large part of the crypto ecosystem, and to describe how some elements of the crypto ecosystem challenge the assumptions underlying existing Australian regulatory frameworks.</w:t>
      </w:r>
      <w:r w:rsidRPr="00170ADC">
        <w:rPr>
          <w:rStyle w:val="FootnoteReference"/>
        </w:rPr>
        <w:footnoteReference w:id="32"/>
      </w:r>
      <w:r w:rsidR="004F0A51" w:rsidRPr="00FA1A19">
        <w:t xml:space="preserve"> </w:t>
      </w:r>
      <w:r w:rsidRPr="00FA1A19">
        <w:t>Token mapping should assist to identify:</w:t>
      </w:r>
    </w:p>
    <w:p w14:paraId="1781DD9C" w14:textId="66036BD5" w:rsidR="0066430D" w:rsidRPr="00FA1A19" w:rsidRDefault="0066430D" w:rsidP="001A2FFB">
      <w:pPr>
        <w:pStyle w:val="Bullet"/>
        <w:keepNext/>
        <w:rPr>
          <w:rFonts w:cstheme="minorHAnsi"/>
        </w:rPr>
      </w:pPr>
      <w:r w:rsidRPr="00FA1A19">
        <w:t>the elements of the crypto ecosystem that fall inside and outside the existing regulatory perimeters</w:t>
      </w:r>
    </w:p>
    <w:p w14:paraId="6C1F6E3B" w14:textId="4B8D2C71" w:rsidR="0066430D" w:rsidRPr="00FA1A19" w:rsidRDefault="0066430D" w:rsidP="00C17225">
      <w:pPr>
        <w:pStyle w:val="Bullet"/>
        <w:rPr>
          <w:rFonts w:cstheme="minorHAnsi"/>
        </w:rPr>
      </w:pPr>
      <w:r w:rsidRPr="00FA1A19">
        <w:t>the key risks that are added or removed by products using crypto networks</w:t>
      </w:r>
    </w:p>
    <w:p w14:paraId="0CD4AEFE" w14:textId="27EA918C" w:rsidR="0066430D" w:rsidRPr="00FA1A19" w:rsidRDefault="0066430D" w:rsidP="00C17225">
      <w:pPr>
        <w:pStyle w:val="Bullet"/>
        <w:rPr>
          <w:rFonts w:cstheme="minorHAnsi"/>
        </w:rPr>
      </w:pPr>
      <w:r w:rsidRPr="00FA1A19">
        <w:t>the sensible regulatory targets for a future regulatory framework</w:t>
      </w:r>
    </w:p>
    <w:p w14:paraId="564A0CEE" w14:textId="77777777" w:rsidR="0066430D" w:rsidRPr="00FA1A19" w:rsidRDefault="0066430D" w:rsidP="00C17225">
      <w:pPr>
        <w:pStyle w:val="Bullet"/>
      </w:pPr>
      <w:r w:rsidRPr="00FA1A19">
        <w:t>the legitimate technical criticism and anticipated opportunities of the technology.</w:t>
      </w:r>
      <w:r w:rsidRPr="00170ADC">
        <w:rPr>
          <w:rStyle w:val="FootnoteReference"/>
        </w:rPr>
        <w:footnoteReference w:id="33"/>
      </w:r>
    </w:p>
    <w:p w14:paraId="71DEEB50" w14:textId="0BA87D91" w:rsidR="0066430D" w:rsidRPr="00FA1A19" w:rsidRDefault="0066430D" w:rsidP="0066430D">
      <w:r w:rsidRPr="00FA1A19">
        <w:t xml:space="preserve">The </w:t>
      </w:r>
      <w:r w:rsidR="00F62445" w:rsidRPr="00FA1A19">
        <w:t>consultation</w:t>
      </w:r>
      <w:r w:rsidR="00C248A2" w:rsidRPr="00FA1A19">
        <w:t xml:space="preserve"> p</w:t>
      </w:r>
      <w:r w:rsidRPr="00FA1A19">
        <w:t xml:space="preserve">aper indicated that </w:t>
      </w:r>
      <w:r w:rsidR="00F75232">
        <w:t>‘</w:t>
      </w:r>
      <w:r w:rsidRPr="00FA1A19">
        <w:t>after token mapping, licensing and custody reforms are the logical next step for crypto reforms in Australia</w:t>
      </w:r>
      <w:r w:rsidR="00F75232">
        <w:t>’</w:t>
      </w:r>
      <w:r w:rsidRPr="00FA1A19">
        <w:t xml:space="preserve"> and foreshadowed the Government</w:t>
      </w:r>
      <w:r w:rsidR="00F75232">
        <w:t>’</w:t>
      </w:r>
      <w:r w:rsidRPr="00FA1A19">
        <w:t>s consultation paper proposing a licensing and custody framework for crypto asset service providers.</w:t>
      </w:r>
      <w:r w:rsidRPr="00170ADC">
        <w:rPr>
          <w:rStyle w:val="FootnoteReference"/>
        </w:rPr>
        <w:footnoteReference w:id="34"/>
      </w:r>
      <w:r w:rsidR="004F0A51" w:rsidRPr="00FA1A19">
        <w:t xml:space="preserve"> </w:t>
      </w:r>
      <w:r w:rsidRPr="00FA1A19">
        <w:t>This was released on 16</w:t>
      </w:r>
      <w:r w:rsidR="0024535F">
        <w:t> </w:t>
      </w:r>
      <w:r w:rsidRPr="00FA1A19">
        <w:t>October 2023 (see following).</w:t>
      </w:r>
      <w:r w:rsidR="004F0A51" w:rsidRPr="00FA1A19">
        <w:t xml:space="preserve"> </w:t>
      </w:r>
    </w:p>
    <w:p w14:paraId="0FF648A3" w14:textId="77777777" w:rsidR="0066430D" w:rsidRPr="00FA1A19" w:rsidRDefault="0066430D" w:rsidP="0066430D">
      <w:r w:rsidRPr="00FA1A19">
        <w:t>The Treasury consulted on the Paper until 3 March 2023, and 91 submissions were received.</w:t>
      </w:r>
    </w:p>
    <w:p w14:paraId="764D5055" w14:textId="592C5CEB" w:rsidR="0066430D" w:rsidRPr="00FA1A19" w:rsidRDefault="00DD775E" w:rsidP="00342121">
      <w:pPr>
        <w:pStyle w:val="Heading3"/>
      </w:pPr>
      <w:r w:rsidRPr="00FA1A19">
        <w:t xml:space="preserve">The Treasury – </w:t>
      </w:r>
      <w:r w:rsidR="0066430D" w:rsidRPr="00FA1A19">
        <w:t xml:space="preserve">Regulating Digital Asset Platforms: Licencing and </w:t>
      </w:r>
      <w:r w:rsidR="00CD1077" w:rsidRPr="00FA1A19">
        <w:t xml:space="preserve">Custody </w:t>
      </w:r>
      <w:r w:rsidR="0066430D" w:rsidRPr="00FA1A19">
        <w:t>arrangements</w:t>
      </w:r>
    </w:p>
    <w:p w14:paraId="0F0FB2C9" w14:textId="4A4D46F5" w:rsidR="0066430D" w:rsidRPr="00FA1A19" w:rsidRDefault="0066430D" w:rsidP="0066430D">
      <w:pPr>
        <w:rPr>
          <w:rFonts w:eastAsia="Calibri" w:cs="Calibri"/>
        </w:rPr>
      </w:pPr>
      <w:r w:rsidRPr="00FA1A19">
        <w:rPr>
          <w:rFonts w:eastAsia="Calibri" w:cs="Calibri"/>
        </w:rPr>
        <w:t xml:space="preserve">On 16 October 2023, the Treasurer </w:t>
      </w:r>
      <w:hyperlink r:id="rId35">
        <w:r w:rsidRPr="00FA1A19">
          <w:rPr>
            <w:rFonts w:eastAsia="Calibri"/>
          </w:rPr>
          <w:t>released</w:t>
        </w:r>
      </w:hyperlink>
      <w:r w:rsidRPr="00FA1A19">
        <w:rPr>
          <w:rFonts w:eastAsia="Calibri" w:cs="Calibri"/>
        </w:rPr>
        <w:t xml:space="preserve"> a </w:t>
      </w:r>
      <w:hyperlink r:id="rId36">
        <w:r w:rsidRPr="00FA1A19">
          <w:rPr>
            <w:rFonts w:eastAsia="Calibri"/>
          </w:rPr>
          <w:t xml:space="preserve">Proposal </w:t>
        </w:r>
      </w:hyperlink>
      <w:r w:rsidR="00196FE7" w:rsidRPr="00FA1A19">
        <w:rPr>
          <w:rFonts w:eastAsia="Calibri" w:cs="Calibri"/>
        </w:rPr>
        <w:t xml:space="preserve">Paper </w:t>
      </w:r>
      <w:r w:rsidRPr="00FA1A19">
        <w:rPr>
          <w:rFonts w:eastAsia="Calibri" w:cs="Calibri"/>
        </w:rPr>
        <w:t xml:space="preserve">entitled </w:t>
      </w:r>
      <w:r w:rsidR="00F75232">
        <w:rPr>
          <w:rFonts w:eastAsia="Calibri" w:cs="Calibri"/>
        </w:rPr>
        <w:t>‘</w:t>
      </w:r>
      <w:r w:rsidRPr="00FA1A19">
        <w:rPr>
          <w:rFonts w:eastAsia="Calibri" w:cs="Calibri"/>
        </w:rPr>
        <w:t>Regulating Digital Asset Platforms</w:t>
      </w:r>
      <w:r w:rsidR="00F75232">
        <w:rPr>
          <w:rFonts w:eastAsia="Calibri" w:cs="Calibri"/>
        </w:rPr>
        <w:t>’</w:t>
      </w:r>
      <w:r w:rsidRPr="00FA1A19">
        <w:rPr>
          <w:rFonts w:eastAsia="Calibri" w:cs="Calibri"/>
        </w:rPr>
        <w:t xml:space="preserve"> that recommends making crypto exchanges and digital asset platforms subject to existing Australian financial services laws and requiring platform operators to obtain an Australian Financial Services Licence.</w:t>
      </w:r>
      <w:r w:rsidRPr="00170ADC">
        <w:rPr>
          <w:rStyle w:val="FootnoteReference"/>
          <w:rFonts w:eastAsia="Calibri"/>
        </w:rPr>
        <w:footnoteReference w:id="35"/>
      </w:r>
      <w:r w:rsidR="004F0A51" w:rsidRPr="00FA1A19">
        <w:rPr>
          <w:rFonts w:eastAsia="Calibri" w:cs="Calibri"/>
        </w:rPr>
        <w:t xml:space="preserve"> </w:t>
      </w:r>
      <w:r w:rsidRPr="00FA1A19">
        <w:rPr>
          <w:rFonts w:eastAsia="Calibri" w:cs="Calibri"/>
        </w:rPr>
        <w:t>In addition, digital asset platforms would be required to meet specific obligations that take into account the nature of the platforms, including minimum standards for holding tokens, standards for custody software, and standards when transacting in tokens.</w:t>
      </w:r>
      <w:r w:rsidRPr="00170ADC">
        <w:rPr>
          <w:rStyle w:val="FootnoteReference"/>
          <w:rFonts w:eastAsia="Calibri"/>
        </w:rPr>
        <w:footnoteReference w:id="36"/>
      </w:r>
      <w:r w:rsidR="004F0A51" w:rsidRPr="00FA1A19">
        <w:rPr>
          <w:rFonts w:eastAsia="Calibri" w:cs="Calibri"/>
        </w:rPr>
        <w:t xml:space="preserve"> </w:t>
      </w:r>
      <w:r w:rsidRPr="00FA1A19">
        <w:rPr>
          <w:rFonts w:eastAsia="Calibri" w:cs="Calibri"/>
        </w:rPr>
        <w:t xml:space="preserve">The Proposal </w:t>
      </w:r>
      <w:r w:rsidR="00BC66E5" w:rsidRPr="00FA1A19">
        <w:rPr>
          <w:rFonts w:eastAsia="Calibri" w:cs="Calibri"/>
        </w:rPr>
        <w:t xml:space="preserve">Paper </w:t>
      </w:r>
      <w:r w:rsidRPr="00FA1A19">
        <w:rPr>
          <w:rFonts w:eastAsia="Calibri" w:cs="Calibri"/>
        </w:rPr>
        <w:t>was accompanied by a Factsheet.</w:t>
      </w:r>
    </w:p>
    <w:p w14:paraId="684A7DB1" w14:textId="639082D5" w:rsidR="0066430D" w:rsidRPr="00FA1A19" w:rsidRDefault="0066430D" w:rsidP="0066430D">
      <w:pPr>
        <w:rPr>
          <w:rFonts w:eastAsia="Calibri" w:cs="Calibri"/>
        </w:rPr>
      </w:pPr>
      <w:r w:rsidRPr="00FA1A19">
        <w:rPr>
          <w:rFonts w:eastAsia="Calibri" w:cs="Calibri"/>
        </w:rPr>
        <w:t xml:space="preserve">The proposals were intended to </w:t>
      </w:r>
      <w:r w:rsidR="00F75232">
        <w:rPr>
          <w:rFonts w:eastAsia="Calibri" w:cs="Calibri"/>
        </w:rPr>
        <w:t>‘</w:t>
      </w:r>
      <w:r w:rsidRPr="00FA1A19">
        <w:rPr>
          <w:rFonts w:eastAsia="Calibri" w:cs="Calibri"/>
        </w:rPr>
        <w:t>target identified consumer harms, while supporting innovation in the uses of digital assets and emerging technologies.</w:t>
      </w:r>
      <w:r w:rsidR="00F75232">
        <w:rPr>
          <w:rFonts w:eastAsia="Calibri" w:cs="Calibri"/>
        </w:rPr>
        <w:t>’</w:t>
      </w:r>
      <w:r w:rsidRPr="00170ADC">
        <w:rPr>
          <w:rStyle w:val="FootnoteReference"/>
          <w:rFonts w:eastAsia="Calibri"/>
        </w:rPr>
        <w:footnoteReference w:id="37"/>
      </w:r>
    </w:p>
    <w:p w14:paraId="0CC4E3BE" w14:textId="77777777" w:rsidR="0066430D" w:rsidRPr="00FA1A19" w:rsidRDefault="0066430D" w:rsidP="0066430D">
      <w:pPr>
        <w:rPr>
          <w:rFonts w:eastAsia="Calibri" w:cs="Calibri"/>
        </w:rPr>
      </w:pPr>
      <w:r w:rsidRPr="00FA1A19">
        <w:rPr>
          <w:rFonts w:eastAsia="Calibri" w:cs="Calibri"/>
        </w:rPr>
        <w:t>The Government consulted on its plans until 1 December 2023 and further consultation is proposed with the release of an exposure draft of its proposed legislation in 2024. It is intended that digital currency exchanges will have 12 months to transition to the new regime.</w:t>
      </w:r>
    </w:p>
    <w:p w14:paraId="7861ADD6" w14:textId="51A113E6" w:rsidR="0066430D" w:rsidRPr="00FA1A19" w:rsidRDefault="00DC675F" w:rsidP="00342121">
      <w:pPr>
        <w:pStyle w:val="Heading3"/>
      </w:pPr>
      <w:r w:rsidRPr="00FA1A19">
        <w:rPr>
          <w:rFonts w:eastAsia="Calibri"/>
        </w:rPr>
        <w:t xml:space="preserve">Reserve Bank of Australia – </w:t>
      </w:r>
      <w:r w:rsidR="0066430D" w:rsidRPr="00FA1A19">
        <w:rPr>
          <w:rFonts w:eastAsia="Calibri"/>
        </w:rPr>
        <w:t>Central Bank Digital Currency</w:t>
      </w:r>
    </w:p>
    <w:p w14:paraId="5656E553" w14:textId="15593C3A" w:rsidR="0066430D" w:rsidRPr="00FA1A19" w:rsidRDefault="0066430D" w:rsidP="0066430D">
      <w:r w:rsidRPr="00FA1A19">
        <w:t xml:space="preserve">On 9 August 2022, the </w:t>
      </w:r>
      <w:r w:rsidR="0028564D">
        <w:t>Reserve Bank of Australia (</w:t>
      </w:r>
      <w:r w:rsidRPr="00FA1A19">
        <w:t>RBA</w:t>
      </w:r>
      <w:r w:rsidR="0028564D">
        <w:t>)</w:t>
      </w:r>
      <w:r w:rsidRPr="00FA1A19">
        <w:t xml:space="preserve"> announced that it was collaborating with the Digital Finance Cooperative Research Centre on a research project to explore the use cases for a central bank digital currency</w:t>
      </w:r>
      <w:r w:rsidRPr="00061A61">
        <w:t xml:space="preserve"> (</w:t>
      </w:r>
      <w:r w:rsidRPr="00061A61">
        <w:rPr>
          <w:rStyle w:val="Strong"/>
          <w:b w:val="0"/>
          <w:bCs w:val="0"/>
        </w:rPr>
        <w:t>CBDC</w:t>
      </w:r>
      <w:r w:rsidRPr="00061A61">
        <w:t xml:space="preserve">) </w:t>
      </w:r>
      <w:r w:rsidRPr="00FA1A19">
        <w:t>in Australia.</w:t>
      </w:r>
      <w:r w:rsidRPr="00170ADC">
        <w:rPr>
          <w:rStyle w:val="FootnoteReference"/>
        </w:rPr>
        <w:footnoteReference w:id="38"/>
      </w:r>
      <w:r w:rsidR="004F0A51" w:rsidRPr="00FA1A19">
        <w:t xml:space="preserve"> </w:t>
      </w:r>
      <w:r w:rsidRPr="00FA1A19">
        <w:t>The project included the development of a limited pilot CBDC to operate within a ring</w:t>
      </w:r>
      <w:r w:rsidR="00F75232">
        <w:noBreakHyphen/>
      </w:r>
      <w:r w:rsidRPr="00FA1A19">
        <w:t xml:space="preserve">fenced environment. </w:t>
      </w:r>
    </w:p>
    <w:p w14:paraId="5EA88149" w14:textId="1F3C15B9" w:rsidR="0066430D" w:rsidRPr="00FA1A19" w:rsidRDefault="0066430D" w:rsidP="0066430D">
      <w:r w:rsidRPr="00FA1A19">
        <w:t xml:space="preserve">On 23 August 2023, the RBA announced that it had completed the CBDC research project and published its project report, </w:t>
      </w:r>
      <w:r w:rsidR="00F75232">
        <w:t>‘</w:t>
      </w:r>
      <w:r w:rsidRPr="00FA1A19">
        <w:t>Australian CBDC Pilot for Digital Finance Innovation</w:t>
      </w:r>
      <w:r w:rsidR="00F75232">
        <w:t>’</w:t>
      </w:r>
      <w:r w:rsidRPr="00FA1A19">
        <w:t>.</w:t>
      </w:r>
      <w:r w:rsidRPr="00170ADC">
        <w:rPr>
          <w:rStyle w:val="FootnoteReference"/>
        </w:rPr>
        <w:footnoteReference w:id="39"/>
      </w:r>
      <w:r w:rsidR="004F0A51" w:rsidRPr="00FA1A19">
        <w:t xml:space="preserve"> </w:t>
      </w:r>
      <w:r w:rsidRPr="00FA1A19">
        <w:t xml:space="preserve">The report notes the project has helped advance understanding of a number of issues related to the potential </w:t>
      </w:r>
      <w:r w:rsidR="00804F7F" w:rsidRPr="00FA1A19">
        <w:t xml:space="preserve">issuance </w:t>
      </w:r>
      <w:r w:rsidRPr="00FA1A19">
        <w:t>of a CBDC in Australia including by:</w:t>
      </w:r>
      <w:r w:rsidR="004F0A51" w:rsidRPr="00FA1A19">
        <w:t xml:space="preserve"> </w:t>
      </w:r>
    </w:p>
    <w:p w14:paraId="0174A916" w14:textId="5290C79D" w:rsidR="0066430D" w:rsidRPr="00FA1A19" w:rsidRDefault="0066430D" w:rsidP="00C17225">
      <w:pPr>
        <w:pStyle w:val="Bullet"/>
        <w:rPr>
          <w:rFonts w:cstheme="minorHAnsi"/>
        </w:rPr>
      </w:pPr>
      <w:r w:rsidRPr="00FA1A19">
        <w:t>yielding valuable insights into how a CBDC could be used by industry to enhance the functioning of the payments system</w:t>
      </w:r>
    </w:p>
    <w:p w14:paraId="7387631E" w14:textId="34A6E614" w:rsidR="0066430D" w:rsidRPr="00FA1A19" w:rsidRDefault="0066430D" w:rsidP="00C17225">
      <w:pPr>
        <w:pStyle w:val="Bullet"/>
        <w:rPr>
          <w:rFonts w:cstheme="minorHAnsi"/>
        </w:rPr>
      </w:pPr>
      <w:r w:rsidRPr="00FA1A19">
        <w:t>highlighting a range of legal, regulatory, technical and operational issues associated with CBDC that need to be better understood</w:t>
      </w:r>
    </w:p>
    <w:p w14:paraId="2BF26399" w14:textId="7B35CF95" w:rsidR="0066430D" w:rsidRPr="00FA1A19" w:rsidRDefault="0066430D" w:rsidP="00C17225">
      <w:pPr>
        <w:pStyle w:val="Bullet"/>
        <w:rPr>
          <w:rFonts w:cstheme="minorHAnsi"/>
        </w:rPr>
      </w:pPr>
      <w:r w:rsidRPr="00FA1A19">
        <w:t xml:space="preserve">providing a forum for increased industry engagement and information exchange with policymakers, including relating to the challenges and opportunities in further enhancing the operation of the payments system using new forms of digital money </w:t>
      </w:r>
    </w:p>
    <w:p w14:paraId="0CE3A09A" w14:textId="77777777" w:rsidR="0066430D" w:rsidRPr="00FA1A19" w:rsidRDefault="0066430D" w:rsidP="00C17225">
      <w:pPr>
        <w:pStyle w:val="Bullet"/>
      </w:pPr>
      <w:r w:rsidRPr="00FA1A19">
        <w:t>identifying a range of areas for future research into the future of money in Australia.</w:t>
      </w:r>
    </w:p>
    <w:p w14:paraId="5A61FF91" w14:textId="6D02C9C8" w:rsidR="00DD775E" w:rsidRPr="00FA1A19" w:rsidRDefault="002200A5" w:rsidP="00342121">
      <w:pPr>
        <w:pStyle w:val="Heading3"/>
      </w:pPr>
      <w:r w:rsidRPr="00FA1A19">
        <w:t xml:space="preserve">Australian </w:t>
      </w:r>
      <w:r w:rsidR="00DD775E" w:rsidRPr="00FA1A19">
        <w:t>L</w:t>
      </w:r>
      <w:r w:rsidRPr="00FA1A19">
        <w:t xml:space="preserve">aw Reform Commission </w:t>
      </w:r>
      <w:r w:rsidR="00064FFA" w:rsidRPr="00FA1A19">
        <w:t>–</w:t>
      </w:r>
      <w:r w:rsidRPr="00FA1A19">
        <w:t xml:space="preserve"> </w:t>
      </w:r>
      <w:r w:rsidR="00064FFA" w:rsidRPr="00FA1A19">
        <w:t>Financial Services Regulation</w:t>
      </w:r>
    </w:p>
    <w:p w14:paraId="173532D5" w14:textId="23512520" w:rsidR="00DC675F" w:rsidRPr="00FA1A19" w:rsidRDefault="00064FFA" w:rsidP="00804F7F">
      <w:r w:rsidRPr="00FA1A19">
        <w:t xml:space="preserve">On 11 </w:t>
      </w:r>
      <w:r w:rsidR="00C81140" w:rsidRPr="00FA1A19">
        <w:t>September</w:t>
      </w:r>
      <w:r w:rsidRPr="00FA1A19">
        <w:t xml:space="preserve"> 2020 and </w:t>
      </w:r>
      <w:r w:rsidR="00C81140" w:rsidRPr="00FA1A19">
        <w:t>in re</w:t>
      </w:r>
      <w:r w:rsidRPr="00FA1A19">
        <w:t>spon</w:t>
      </w:r>
      <w:r w:rsidR="009A5F10" w:rsidRPr="00FA1A19">
        <w:t>s</w:t>
      </w:r>
      <w:r w:rsidRPr="00FA1A19">
        <w:t xml:space="preserve">e to the Royal Commission into Misconduct in the Banking, </w:t>
      </w:r>
      <w:r w:rsidR="00177800" w:rsidRPr="00FA1A19">
        <w:t>Superannuation and Financial Services Industry, the then Attorney</w:t>
      </w:r>
      <w:r w:rsidR="00F75232">
        <w:noBreakHyphen/>
      </w:r>
      <w:r w:rsidR="00177800" w:rsidRPr="00FA1A19">
        <w:t xml:space="preserve">General referred to the Australian Law </w:t>
      </w:r>
      <w:r w:rsidR="00FE2164" w:rsidRPr="00FA1A19">
        <w:t>Reform</w:t>
      </w:r>
      <w:r w:rsidR="00177800" w:rsidRPr="00FA1A19">
        <w:t xml:space="preserve"> Commission (ALRC) for inquiry and report, consideration </w:t>
      </w:r>
      <w:r w:rsidR="00FE2164" w:rsidRPr="00FA1A19">
        <w:t xml:space="preserve">of </w:t>
      </w:r>
      <w:r w:rsidR="007B2D01" w:rsidRPr="00FA1A19">
        <w:t>the potential simplification of laws that regulate financial services in Australia</w:t>
      </w:r>
      <w:r w:rsidR="00A1163B" w:rsidRPr="00FA1A19">
        <w:t>.</w:t>
      </w:r>
      <w:r w:rsidR="00A1163B" w:rsidRPr="00170ADC">
        <w:rPr>
          <w:rStyle w:val="FootnoteReference"/>
        </w:rPr>
        <w:footnoteReference w:id="40"/>
      </w:r>
      <w:r w:rsidR="004F0A51" w:rsidRPr="00FA1A19">
        <w:t xml:space="preserve"> </w:t>
      </w:r>
      <w:r w:rsidR="00A1163B" w:rsidRPr="00FA1A19">
        <w:t xml:space="preserve">As part of its </w:t>
      </w:r>
      <w:r w:rsidR="00422DAD" w:rsidRPr="00FA1A19">
        <w:t xml:space="preserve">inquiry, </w:t>
      </w:r>
      <w:r w:rsidR="00257965" w:rsidRPr="00FA1A19">
        <w:t>on 12</w:t>
      </w:r>
      <w:r w:rsidR="008202FE" w:rsidRPr="00FA1A19">
        <w:t> </w:t>
      </w:r>
      <w:r w:rsidR="00257965" w:rsidRPr="00FA1A19">
        <w:t xml:space="preserve">October 2022 the ALRC released Background Paper FSL7 </w:t>
      </w:r>
      <w:r w:rsidR="00F75232">
        <w:t>‘</w:t>
      </w:r>
      <w:r w:rsidR="00257965" w:rsidRPr="00FA1A19">
        <w:t>Legislative Framework for Corporations and Financial Services Regulation – New Business Models, Technologies, and Practices</w:t>
      </w:r>
      <w:r w:rsidR="00F75232">
        <w:t>’</w:t>
      </w:r>
      <w:r w:rsidR="00257965" w:rsidRPr="00170ADC">
        <w:rPr>
          <w:rStyle w:val="FootnoteReference"/>
        </w:rPr>
        <w:footnoteReference w:id="41"/>
      </w:r>
      <w:r w:rsidR="007E0C70" w:rsidRPr="00FA1A19">
        <w:t xml:space="preserve"> which examined </w:t>
      </w:r>
      <w:r w:rsidR="00136548" w:rsidRPr="00FA1A19">
        <w:t xml:space="preserve">issues relevant to the </w:t>
      </w:r>
      <w:r w:rsidR="00757518" w:rsidRPr="00FA1A19">
        <w:t xml:space="preserve">extent to which reform of the existing regulatory framework </w:t>
      </w:r>
      <w:r w:rsidR="007A4D11" w:rsidRPr="00FA1A19">
        <w:t>is adaptive to technological developments.</w:t>
      </w:r>
      <w:r w:rsidR="004F0A51" w:rsidRPr="00FA1A19">
        <w:t xml:space="preserve"> </w:t>
      </w:r>
      <w:r w:rsidR="008E3F4C" w:rsidRPr="00FA1A19">
        <w:t xml:space="preserve">Matters considered in this Background Paper included </w:t>
      </w:r>
      <w:r w:rsidR="00F75232">
        <w:t>‘</w:t>
      </w:r>
      <w:r w:rsidR="008E3F4C" w:rsidRPr="00FA1A19">
        <w:t>What are crypto assets</w:t>
      </w:r>
      <w:r w:rsidR="00F75232">
        <w:t>’</w:t>
      </w:r>
      <w:r w:rsidR="008E3F4C" w:rsidRPr="00FA1A19">
        <w:t xml:space="preserve"> and </w:t>
      </w:r>
      <w:r w:rsidR="00F75232">
        <w:t>‘</w:t>
      </w:r>
      <w:r w:rsidR="008E3F4C" w:rsidRPr="00FA1A19">
        <w:t>What are DAOs</w:t>
      </w:r>
      <w:r w:rsidR="00F75232">
        <w:t>’</w:t>
      </w:r>
      <w:r w:rsidR="008E3F4C" w:rsidRPr="00FA1A19">
        <w:t xml:space="preserve"> (D</w:t>
      </w:r>
      <w:r w:rsidR="00AE1056" w:rsidRPr="00FA1A19">
        <w:t>ecentralised Autonomous Organisation</w:t>
      </w:r>
      <w:r w:rsidR="007839D9" w:rsidRPr="00FA1A19">
        <w:t xml:space="preserve">s – see </w:t>
      </w:r>
      <w:r w:rsidR="00372633">
        <w:t>Chapter </w:t>
      </w:r>
      <w:r w:rsidR="007839D9" w:rsidRPr="00FA1A19">
        <w:t>3</w:t>
      </w:r>
      <w:r w:rsidR="00DB3118" w:rsidRPr="00FA1A19">
        <w:t xml:space="preserve"> of this Report</w:t>
      </w:r>
      <w:r w:rsidR="00AE1056" w:rsidRPr="00FA1A19">
        <w:t>).</w:t>
      </w:r>
      <w:r w:rsidR="00843BE8" w:rsidRPr="00FA1A19">
        <w:t xml:space="preserve"> </w:t>
      </w:r>
    </w:p>
    <w:p w14:paraId="1394FA62" w14:textId="77777777" w:rsidR="0066430D" w:rsidRPr="00FA1A19" w:rsidRDefault="0066430D" w:rsidP="0069352C">
      <w:pPr>
        <w:pStyle w:val="Heading2"/>
      </w:pPr>
      <w:bookmarkStart w:id="40" w:name="_Toc159513565"/>
      <w:r w:rsidRPr="00FA1A19">
        <w:t>Size of the market</w:t>
      </w:r>
      <w:bookmarkEnd w:id="40"/>
    </w:p>
    <w:p w14:paraId="55562B30" w14:textId="2CA7528D" w:rsidR="0066430D" w:rsidRPr="00FA1A19" w:rsidRDefault="0066430D" w:rsidP="0066430D">
      <w:r w:rsidRPr="00FA1A19">
        <w:t xml:space="preserve">Due to the anonymous nature of crypto assets and the lack of visibility over international exchanges, it </w:t>
      </w:r>
      <w:r w:rsidR="00EA7F73" w:rsidRPr="00FA1A19">
        <w:t>can be difficult to ascertain</w:t>
      </w:r>
      <w:r w:rsidR="00C03C5E" w:rsidRPr="00FA1A19">
        <w:t xml:space="preserve"> </w:t>
      </w:r>
      <w:r w:rsidR="00950B44" w:rsidRPr="00FA1A19">
        <w:t xml:space="preserve">with any certainty </w:t>
      </w:r>
      <w:r w:rsidRPr="00FA1A19">
        <w:t xml:space="preserve">what portion of Australians own or have transacted with digital assets. </w:t>
      </w:r>
    </w:p>
    <w:p w14:paraId="65C3A302" w14:textId="3997BF99" w:rsidR="0066430D" w:rsidRPr="00FA1A19" w:rsidRDefault="0066430D" w:rsidP="0066430D">
      <w:r w:rsidRPr="00FA1A19">
        <w:t>Roy Morgan research published in April 2022</w:t>
      </w:r>
      <w:r w:rsidRPr="00170ADC">
        <w:rPr>
          <w:rStyle w:val="FootnoteReference"/>
        </w:rPr>
        <w:footnoteReference w:id="42"/>
      </w:r>
      <w:r w:rsidRPr="00FA1A19" w:rsidDel="004029CB">
        <w:t xml:space="preserve"> </w:t>
      </w:r>
      <w:r w:rsidR="004029CB" w:rsidRPr="00FA1A19">
        <w:t>concluded</w:t>
      </w:r>
      <w:r w:rsidRPr="00FA1A19">
        <w:t xml:space="preserve"> that 5% or over 1</w:t>
      </w:r>
      <w:r w:rsidR="00372633">
        <w:t> million</w:t>
      </w:r>
      <w:r w:rsidRPr="00FA1A19">
        <w:t xml:space="preserve"> Australians aged over</w:t>
      </w:r>
      <w:r w:rsidR="001A2FFB">
        <w:t> </w:t>
      </w:r>
      <w:r w:rsidRPr="00FA1A19">
        <w:t>18 own at least one cryptocurrency</w:t>
      </w:r>
      <w:r w:rsidR="00F75232">
        <w:t xml:space="preserve">. </w:t>
      </w:r>
      <w:r w:rsidR="00832F5F">
        <w:t>This aligns with the</w:t>
      </w:r>
      <w:r w:rsidR="00ED27F7">
        <w:t xml:space="preserve"> ATO </w:t>
      </w:r>
      <w:r w:rsidR="00832F5F">
        <w:t xml:space="preserve">report </w:t>
      </w:r>
      <w:r w:rsidR="00BF673A">
        <w:t xml:space="preserve">in July 2022 that </w:t>
      </w:r>
      <w:r w:rsidR="003E3B11">
        <w:t>around</w:t>
      </w:r>
      <w:r w:rsidR="002242F0" w:rsidRPr="00FA1A19">
        <w:t xml:space="preserve"> </w:t>
      </w:r>
      <w:r w:rsidRPr="00FA1A19">
        <w:t>one</w:t>
      </w:r>
      <w:r w:rsidR="00372633">
        <w:t> million</w:t>
      </w:r>
      <w:r w:rsidRPr="00FA1A19">
        <w:t xml:space="preserve"> Australians </w:t>
      </w:r>
      <w:r w:rsidR="00C269E8">
        <w:t xml:space="preserve">would have a message appear when they prepared their income tax return that they </w:t>
      </w:r>
      <w:r w:rsidR="002467C6">
        <w:t>may have capital gains or losses from crypto</w:t>
      </w:r>
      <w:r w:rsidR="005C388E">
        <w:t xml:space="preserve"> assets</w:t>
      </w:r>
      <w:r w:rsidR="002467C6">
        <w:t xml:space="preserve"> to declare.</w:t>
      </w:r>
      <w:r w:rsidR="002467C6" w:rsidRPr="00170ADC">
        <w:rPr>
          <w:rStyle w:val="FootnoteReference"/>
        </w:rPr>
        <w:footnoteReference w:id="43"/>
      </w:r>
      <w:r w:rsidRPr="00FA1A19">
        <w:t xml:space="preserve"> </w:t>
      </w:r>
      <w:r w:rsidR="00EC6DE6">
        <w:t>The Roy Morgan</w:t>
      </w:r>
      <w:r w:rsidR="00EC6DE6" w:rsidRPr="00FA1A19">
        <w:t xml:space="preserve"> </w:t>
      </w:r>
      <w:r w:rsidRPr="00FA1A19">
        <w:t>research estimated the total value of the market in Australia at $21.6</w:t>
      </w:r>
      <w:r w:rsidR="00372633">
        <w:t> billion</w:t>
      </w:r>
      <w:r w:rsidRPr="00FA1A19">
        <w:t>. The research noted that while 59% of crypto asset holders were aged under 35, 65% of the value of all crypto asset holdings sat with people aged over 35, with men representing the vast majority of holders. This research was summarised in the following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7"/>
        <w:gridCol w:w="4817"/>
      </w:tblGrid>
      <w:tr w:rsidR="00E65895" w14:paraId="03B18C1A" w14:textId="77777777" w:rsidTr="00E65895">
        <w:tc>
          <w:tcPr>
            <w:tcW w:w="4815" w:type="dxa"/>
          </w:tcPr>
          <w:p w14:paraId="31F81D1C" w14:textId="4586DE8D" w:rsidR="00E65895" w:rsidRDefault="00E65895" w:rsidP="00E65895">
            <w:pPr>
              <w:pStyle w:val="ChartHeading1"/>
            </w:pPr>
            <w:r w:rsidRPr="00FA1A19">
              <w:t xml:space="preserve">Cryptocurrency investors by </w:t>
            </w:r>
            <w:r>
              <w:t xml:space="preserve">age - </w:t>
            </w:r>
            <w:r w:rsidRPr="00FA1A19">
              <w:t>February 2022</w:t>
            </w:r>
          </w:p>
        </w:tc>
        <w:tc>
          <w:tcPr>
            <w:tcW w:w="4816" w:type="dxa"/>
          </w:tcPr>
          <w:p w14:paraId="16819158" w14:textId="19762B2B" w:rsidR="00E65895" w:rsidRDefault="004127EE" w:rsidP="004127EE">
            <w:pPr>
              <w:pStyle w:val="ChartHeading1"/>
            </w:pPr>
            <w:r w:rsidRPr="00FA1A19">
              <w:t xml:space="preserve">Cryptocurrency investors by </w:t>
            </w:r>
            <w:r>
              <w:t xml:space="preserve">gender - </w:t>
            </w:r>
            <w:r w:rsidRPr="00FA1A19">
              <w:t>February 2022</w:t>
            </w:r>
          </w:p>
        </w:tc>
      </w:tr>
      <w:tr w:rsidR="00E65895" w14:paraId="4829F211" w14:textId="77777777" w:rsidTr="00E65895">
        <w:tc>
          <w:tcPr>
            <w:tcW w:w="4815" w:type="dxa"/>
          </w:tcPr>
          <w:p w14:paraId="4D587E96" w14:textId="779BD021" w:rsidR="00E65895" w:rsidRDefault="00AF659C" w:rsidP="00E65895">
            <w:r>
              <w:rPr>
                <w:noProof/>
              </w:rPr>
              <w:drawing>
                <wp:inline distT="0" distB="0" distL="0" distR="0" wp14:anchorId="2F8C69FD" wp14:editId="4F4231D2">
                  <wp:extent cx="3059113" cy="2698892"/>
                  <wp:effectExtent l="0" t="0" r="0" b="0"/>
                  <wp:docPr id="3" name="Picture 3" descr="This chart shows the portion of crypto asset investors by age groups: 23% aged 18-24; 36% aged 25-34; 28% aged 35-49; and 13% aged ove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hart shows the portion of crypto asset investors by age groups: 23% aged 18-24; 36% aged 25-34; 28% aged 35-49; and 13% aged over 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9113" cy="2698892"/>
                          </a:xfrm>
                          <a:prstGeom prst="rect">
                            <a:avLst/>
                          </a:prstGeom>
                        </pic:spPr>
                      </pic:pic>
                    </a:graphicData>
                  </a:graphic>
                </wp:inline>
              </w:drawing>
            </w:r>
          </w:p>
        </w:tc>
        <w:tc>
          <w:tcPr>
            <w:tcW w:w="4816" w:type="dxa"/>
          </w:tcPr>
          <w:p w14:paraId="56FD22B9" w14:textId="7688655F" w:rsidR="00E65895" w:rsidRDefault="00AF659C" w:rsidP="00E65895">
            <w:r>
              <w:rPr>
                <w:noProof/>
              </w:rPr>
              <w:drawing>
                <wp:inline distT="0" distB="0" distL="0" distR="0" wp14:anchorId="69A5DC8E" wp14:editId="13E5E7F9">
                  <wp:extent cx="3059113" cy="2701663"/>
                  <wp:effectExtent l="0" t="0" r="0" b="3810"/>
                  <wp:docPr id="5" name="Picture 5" descr="This chart shows the portion of crypto asset investors by gender: 69% male; and 31%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the portion of crypto asset investors by gender: 69% male; and 31% femal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9113" cy="2701663"/>
                          </a:xfrm>
                          <a:prstGeom prst="rect">
                            <a:avLst/>
                          </a:prstGeom>
                        </pic:spPr>
                      </pic:pic>
                    </a:graphicData>
                  </a:graphic>
                </wp:inline>
              </w:drawing>
            </w:r>
          </w:p>
        </w:tc>
      </w:tr>
    </w:tbl>
    <w:p w14:paraId="5C5BAA62" w14:textId="794588B7" w:rsidR="00DE7A98" w:rsidRDefault="00A9541A" w:rsidP="00E65895">
      <w:pPr>
        <w:pStyle w:val="Note"/>
      </w:pPr>
      <w:r>
        <w:t>Source</w:t>
      </w:r>
      <w:r w:rsidR="007A4D7E">
        <w:t xml:space="preserve">: </w:t>
      </w:r>
      <w:r w:rsidR="00AF659C">
        <w:tab/>
      </w:r>
      <w:r w:rsidR="007A4D7E">
        <w:t xml:space="preserve">Roy Morgan Single Source, December 2021 </w:t>
      </w:r>
      <w:r w:rsidR="004239C6">
        <w:t>– February 2022, n=15,989. Base: Australians 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5"/>
        <w:gridCol w:w="4817"/>
      </w:tblGrid>
      <w:tr w:rsidR="004127EE" w14:paraId="1174B263" w14:textId="77777777" w:rsidTr="00D775E0">
        <w:tc>
          <w:tcPr>
            <w:tcW w:w="4815" w:type="dxa"/>
          </w:tcPr>
          <w:p w14:paraId="17C00FFA" w14:textId="63307D22" w:rsidR="004127EE" w:rsidRDefault="004127EE" w:rsidP="00D775E0">
            <w:pPr>
              <w:pStyle w:val="ChartHeading1"/>
              <w:rPr>
                <w:noProof/>
              </w:rPr>
            </w:pPr>
            <w:r w:rsidRPr="00FA1A19">
              <w:t>Total value of cryptocurrency investments by age</w:t>
            </w:r>
            <w:r>
              <w:t xml:space="preserve"> -</w:t>
            </w:r>
            <w:r w:rsidRPr="00FA1A19">
              <w:t xml:space="preserve"> February 2022</w:t>
            </w:r>
          </w:p>
        </w:tc>
        <w:tc>
          <w:tcPr>
            <w:tcW w:w="4816" w:type="dxa"/>
          </w:tcPr>
          <w:p w14:paraId="3E31A431" w14:textId="55E2CD6E" w:rsidR="004127EE" w:rsidRDefault="004127EE" w:rsidP="00D775E0">
            <w:pPr>
              <w:pStyle w:val="ChartHeading1"/>
            </w:pPr>
            <w:r w:rsidRPr="00FA1A19">
              <w:t xml:space="preserve">Total value of cryptocurrency investments by </w:t>
            </w:r>
            <w:r>
              <w:t>gender -</w:t>
            </w:r>
            <w:r w:rsidRPr="00FA1A19">
              <w:t xml:space="preserve"> February 2022</w:t>
            </w:r>
          </w:p>
        </w:tc>
      </w:tr>
      <w:tr w:rsidR="004127EE" w14:paraId="2E6CB3B2" w14:textId="77777777" w:rsidTr="00D775E0">
        <w:tc>
          <w:tcPr>
            <w:tcW w:w="4815" w:type="dxa"/>
          </w:tcPr>
          <w:p w14:paraId="44EC377D" w14:textId="77777777" w:rsidR="004127EE" w:rsidRDefault="004127EE" w:rsidP="00D775E0">
            <w:r>
              <w:rPr>
                <w:noProof/>
              </w:rPr>
              <w:drawing>
                <wp:inline distT="0" distB="0" distL="0" distR="0" wp14:anchorId="1B366FC2" wp14:editId="3053A4CC">
                  <wp:extent cx="3018820" cy="2698892"/>
                  <wp:effectExtent l="0" t="0" r="0" b="6350"/>
                  <wp:docPr id="21" name="Picture 21" descr="This chart shows the total value of crypto asset investors by age: 3% aged 18-24; 32% aged 25-34; 30% aged 35-49; and 35% aged ove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shows the total value of crypto asset investors by age: 3% aged 18-24; 32% aged 25-34; 30% aged 35-49; and 35% aged over 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18820" cy="2698892"/>
                          </a:xfrm>
                          <a:prstGeom prst="rect">
                            <a:avLst/>
                          </a:prstGeom>
                        </pic:spPr>
                      </pic:pic>
                    </a:graphicData>
                  </a:graphic>
                </wp:inline>
              </w:drawing>
            </w:r>
          </w:p>
        </w:tc>
        <w:tc>
          <w:tcPr>
            <w:tcW w:w="4816" w:type="dxa"/>
          </w:tcPr>
          <w:p w14:paraId="351980BD" w14:textId="77777777" w:rsidR="004127EE" w:rsidRDefault="004127EE" w:rsidP="00D775E0">
            <w:r>
              <w:rPr>
                <w:noProof/>
              </w:rPr>
              <w:drawing>
                <wp:inline distT="0" distB="0" distL="0" distR="0" wp14:anchorId="0F2EAD92" wp14:editId="4EB92880">
                  <wp:extent cx="3059113" cy="2698892"/>
                  <wp:effectExtent l="0" t="0" r="0" b="6350"/>
                  <wp:docPr id="546271172" name="Picture 546271172" descr="This chart shows the total value of crypto asset investors by gender: 81% male; and 19%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1172" name="Picture 546271172" descr="This chart shows the total value of crypto asset investors by gender: 81% male; and 19% femal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9113" cy="2698892"/>
                          </a:xfrm>
                          <a:prstGeom prst="rect">
                            <a:avLst/>
                          </a:prstGeom>
                        </pic:spPr>
                      </pic:pic>
                    </a:graphicData>
                  </a:graphic>
                </wp:inline>
              </w:drawing>
            </w:r>
          </w:p>
        </w:tc>
      </w:tr>
    </w:tbl>
    <w:p w14:paraId="6D4A31D8" w14:textId="31DF78CC" w:rsidR="00EC6287" w:rsidRDefault="00EC6287" w:rsidP="004127EE">
      <w:pPr>
        <w:pStyle w:val="Note"/>
      </w:pPr>
      <w:r>
        <w:t xml:space="preserve">Source: </w:t>
      </w:r>
      <w:r w:rsidR="004127EE">
        <w:tab/>
      </w:r>
      <w:r>
        <w:t>Roy Morgan Single Source, December 2021 – February 2022, n=15,989. Base: Australians 18+.</w:t>
      </w:r>
    </w:p>
    <w:p w14:paraId="7E4E8A32" w14:textId="6C96EC4B" w:rsidR="0066430D" w:rsidRPr="00FA1A19" w:rsidRDefault="00950B44" w:rsidP="0066430D">
      <w:r w:rsidRPr="00FA1A19">
        <w:t>T</w:t>
      </w:r>
      <w:r w:rsidR="0066430D" w:rsidRPr="00FA1A19">
        <w:t>hese figures may be conservative. Australian based crypto exchange Swyftx ha</w:t>
      </w:r>
      <w:r w:rsidRPr="00FA1A19">
        <w:t>s</w:t>
      </w:r>
      <w:r w:rsidR="0066430D" w:rsidRPr="00FA1A19">
        <w:t xml:space="preserve"> undertaken an annual crypto survey commencing in 2021. The results of the 2023 survey, published in August 2023</w:t>
      </w:r>
      <w:r w:rsidR="00C32EFA">
        <w:t>,</w:t>
      </w:r>
      <w:r w:rsidR="0066430D" w:rsidRPr="00170ADC">
        <w:rPr>
          <w:rStyle w:val="FootnoteReference"/>
        </w:rPr>
        <w:footnoteReference w:id="44"/>
      </w:r>
      <w:r w:rsidR="0066430D" w:rsidRPr="00FA1A19">
        <w:t xml:space="preserve"> indicate that 23% of Australians currently own cryptocurrency and over 900,000 further Australians intend to enter the cryptocurrency market in the next 12 months.</w:t>
      </w:r>
      <w:r w:rsidR="004F0A51" w:rsidRPr="00FA1A19">
        <w:t xml:space="preserve"> </w:t>
      </w:r>
      <w:r w:rsidR="0066430D" w:rsidRPr="00FA1A19">
        <w:t xml:space="preserve">This survey indicated that the average cryptocurrency profit reported over the past year was $8,218 per holder. </w:t>
      </w:r>
    </w:p>
    <w:p w14:paraId="587C9FBC" w14:textId="59D9BA1E" w:rsidR="000E72DD" w:rsidRPr="00FA1A19" w:rsidRDefault="003B20C5" w:rsidP="00585C62">
      <w:r w:rsidRPr="00FA1A19">
        <w:t xml:space="preserve">What is clear is that </w:t>
      </w:r>
      <w:r w:rsidR="002D14F7" w:rsidRPr="00FA1A19">
        <w:t>ownership of</w:t>
      </w:r>
      <w:r w:rsidRPr="00FA1A19">
        <w:t xml:space="preserve"> crypto</w:t>
      </w:r>
      <w:r w:rsidR="00516CA8" w:rsidRPr="00FA1A19">
        <w:t xml:space="preserve"> assets in Australia is significant and increasing, which underli</w:t>
      </w:r>
      <w:r w:rsidR="00510279">
        <w:t>n</w:t>
      </w:r>
      <w:r w:rsidR="00516CA8" w:rsidRPr="00FA1A19">
        <w:t xml:space="preserve">es the importance of ensuring that the taxation system deals with </w:t>
      </w:r>
      <w:r w:rsidR="00510279">
        <w:t>crypto asset transactions</w:t>
      </w:r>
      <w:r w:rsidR="00393B6F">
        <w:t xml:space="preserve"> </w:t>
      </w:r>
      <w:r w:rsidR="00516CA8" w:rsidRPr="00FA1A19">
        <w:t>appropriately.</w:t>
      </w:r>
    </w:p>
    <w:p w14:paraId="6B527A91" w14:textId="77777777" w:rsidR="00585C62" w:rsidRPr="00FA1A19" w:rsidRDefault="00585C62" w:rsidP="00C17225">
      <w:pPr>
        <w:pStyle w:val="SingleParagraph"/>
      </w:pPr>
    </w:p>
    <w:tbl>
      <w:tblPr>
        <w:tblStyle w:val="BoTObservation"/>
        <w:tblW w:w="5000" w:type="pct"/>
        <w:tblLook w:val="01E0" w:firstRow="1" w:lastRow="1" w:firstColumn="1" w:lastColumn="1" w:noHBand="0" w:noVBand="0"/>
      </w:tblPr>
      <w:tblGrid>
        <w:gridCol w:w="9641"/>
      </w:tblGrid>
      <w:tr w:rsidR="0066430D" w:rsidRPr="00FA1A19" w14:paraId="2CDBCFB8"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487E7FE" w14:textId="46151830" w:rsidR="0066430D" w:rsidRPr="00FA1A19" w:rsidRDefault="00372633" w:rsidP="003316D7">
            <w:pPr>
              <w:pStyle w:val="BoxHeading1"/>
            </w:pPr>
            <w:r>
              <w:t>Observation </w:t>
            </w:r>
            <w:r w:rsidR="0066430D" w:rsidRPr="00FA1A19">
              <w:t>2.1</w:t>
            </w:r>
          </w:p>
        </w:tc>
      </w:tr>
      <w:tr w:rsidR="0066430D" w:rsidRPr="00FA1A19" w14:paraId="689A8183"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07BC9486" w14:textId="469C5315" w:rsidR="0066430D" w:rsidRPr="00FA1A19" w:rsidRDefault="0066430D">
            <w:pPr>
              <w:rPr>
                <w:rFonts w:asciiTheme="minorHAnsi" w:hAnsiTheme="minorHAnsi" w:cstheme="minorBidi"/>
              </w:rPr>
            </w:pPr>
            <w:r w:rsidRPr="00FA1A19">
              <w:rPr>
                <w:rFonts w:asciiTheme="minorHAnsi" w:hAnsiTheme="minorHAnsi" w:cstheme="minorBidi"/>
              </w:rPr>
              <w:t>Crypto asset adoption continues to grow within Australia</w:t>
            </w:r>
            <w:r w:rsidR="637ECB81" w:rsidRPr="00FA1A19">
              <w:rPr>
                <w:rFonts w:asciiTheme="minorHAnsi" w:hAnsiTheme="minorHAnsi" w:cstheme="minorBidi"/>
              </w:rPr>
              <w:t>.</w:t>
            </w:r>
            <w:r w:rsidRPr="00FA1A19">
              <w:rPr>
                <w:rFonts w:asciiTheme="minorHAnsi" w:hAnsiTheme="minorHAnsi" w:cstheme="minorBidi"/>
              </w:rPr>
              <w:t xml:space="preserve"> </w:t>
            </w:r>
            <w:r w:rsidR="2DE2022F" w:rsidRPr="00FA1A19">
              <w:rPr>
                <w:rFonts w:asciiTheme="minorHAnsi" w:hAnsiTheme="minorHAnsi" w:cstheme="minorBidi"/>
              </w:rPr>
              <w:t>C</w:t>
            </w:r>
            <w:r w:rsidRPr="00FA1A19">
              <w:rPr>
                <w:rFonts w:asciiTheme="minorHAnsi" w:hAnsiTheme="minorHAnsi" w:cstheme="minorBidi"/>
              </w:rPr>
              <w:t>ertainty and clarity in relation to</w:t>
            </w:r>
            <w:r w:rsidR="00F46AEB" w:rsidRPr="00FA1A19">
              <w:rPr>
                <w:rFonts w:asciiTheme="minorHAnsi" w:hAnsiTheme="minorHAnsi" w:cstheme="minorBidi"/>
              </w:rPr>
              <w:t xml:space="preserve"> the application of</w:t>
            </w:r>
            <w:r w:rsidRPr="00FA1A19">
              <w:rPr>
                <w:rFonts w:asciiTheme="minorHAnsi" w:hAnsiTheme="minorHAnsi" w:cstheme="minorBidi"/>
              </w:rPr>
              <w:t xml:space="preserve"> tax laws will </w:t>
            </w:r>
            <w:r w:rsidR="0091484D" w:rsidRPr="00FA1A19">
              <w:rPr>
                <w:rFonts w:asciiTheme="minorHAnsi" w:hAnsiTheme="minorHAnsi" w:cstheme="minorBidi"/>
              </w:rPr>
              <w:t xml:space="preserve">assist to </w:t>
            </w:r>
            <w:r w:rsidRPr="00FA1A19">
              <w:rPr>
                <w:rFonts w:asciiTheme="minorHAnsi" w:hAnsiTheme="minorHAnsi" w:cstheme="minorBidi"/>
              </w:rPr>
              <w:t xml:space="preserve">ensure that </w:t>
            </w:r>
            <w:r w:rsidR="009B7506" w:rsidRPr="00FA1A19">
              <w:rPr>
                <w:rFonts w:asciiTheme="minorHAnsi" w:hAnsiTheme="minorHAnsi" w:cstheme="minorBidi"/>
              </w:rPr>
              <w:t xml:space="preserve">ownership of these assets does not present a </w:t>
            </w:r>
            <w:r w:rsidR="7B1420B2" w:rsidRPr="00FA1A19">
              <w:rPr>
                <w:rFonts w:asciiTheme="minorHAnsi" w:hAnsiTheme="minorHAnsi" w:cstheme="minorBidi"/>
              </w:rPr>
              <w:t xml:space="preserve">risk to the </w:t>
            </w:r>
            <w:r w:rsidR="009B7506" w:rsidRPr="00FA1A19">
              <w:rPr>
                <w:rFonts w:asciiTheme="minorHAnsi" w:hAnsiTheme="minorHAnsi" w:cstheme="minorBidi"/>
              </w:rPr>
              <w:t xml:space="preserve">Australian tax </w:t>
            </w:r>
            <w:r w:rsidR="7B1420B2" w:rsidRPr="00FA1A19">
              <w:rPr>
                <w:rFonts w:asciiTheme="minorHAnsi" w:hAnsiTheme="minorHAnsi" w:cstheme="minorBidi"/>
              </w:rPr>
              <w:t>revenue</w:t>
            </w:r>
            <w:r w:rsidR="009B7506" w:rsidRPr="00FA1A19">
              <w:rPr>
                <w:rFonts w:asciiTheme="minorHAnsi" w:hAnsiTheme="minorHAnsi" w:cstheme="minorBidi"/>
              </w:rPr>
              <w:t xml:space="preserve"> base</w:t>
            </w:r>
            <w:r w:rsidRPr="00FA1A19">
              <w:rPr>
                <w:rFonts w:asciiTheme="minorHAnsi" w:hAnsiTheme="minorHAnsi" w:cstheme="minorBidi"/>
              </w:rPr>
              <w:t xml:space="preserve">. </w:t>
            </w:r>
          </w:p>
        </w:tc>
      </w:tr>
    </w:tbl>
    <w:p w14:paraId="512B8416" w14:textId="77777777" w:rsidR="00585C62" w:rsidRPr="00FA1A19" w:rsidRDefault="00585C62" w:rsidP="00C17225">
      <w:pPr>
        <w:pStyle w:val="SingleParagraph"/>
      </w:pPr>
    </w:p>
    <w:p w14:paraId="5BE5FE16" w14:textId="731132FB" w:rsidR="00935E71" w:rsidRPr="00FA1A19" w:rsidRDefault="00D603D1">
      <w:r w:rsidRPr="00FA1A19">
        <w:t>Investment in digital assets is increasing around the world.</w:t>
      </w:r>
      <w:r w:rsidR="004F0A51" w:rsidRPr="00FA1A19">
        <w:t xml:space="preserve"> </w:t>
      </w:r>
      <w:r w:rsidRPr="00FA1A19">
        <w:t xml:space="preserve">It was reported by the OECD that </w:t>
      </w:r>
      <w:r w:rsidR="00D1219F" w:rsidRPr="00FA1A19">
        <w:t>the value of crypto</w:t>
      </w:r>
      <w:r w:rsidR="007E3361">
        <w:t xml:space="preserve"> </w:t>
      </w:r>
      <w:r w:rsidR="00D1219F" w:rsidRPr="00FA1A19">
        <w:t xml:space="preserve">asset markets reached USD 3 trillion </w:t>
      </w:r>
      <w:r w:rsidR="003C122E" w:rsidRPr="00FA1A19">
        <w:t>as at the end of 2021.</w:t>
      </w:r>
      <w:r w:rsidR="006B705C" w:rsidRPr="00170ADC">
        <w:rPr>
          <w:rStyle w:val="FootnoteReference"/>
        </w:rPr>
        <w:footnoteReference w:id="45"/>
      </w:r>
    </w:p>
    <w:p w14:paraId="2BE52A8A" w14:textId="77777777" w:rsidR="00C17225" w:rsidRPr="00C17225" w:rsidRDefault="00C17225" w:rsidP="00C17225">
      <w:pPr>
        <w:sectPr w:rsidR="00C17225" w:rsidRPr="00C17225" w:rsidSect="00320772">
          <w:pgSz w:w="11909" w:h="16834" w:code="9"/>
          <w:pgMar w:top="1985" w:right="1134" w:bottom="1985" w:left="1134" w:header="1134" w:footer="1134" w:gutter="0"/>
          <w:cols w:space="708"/>
          <w:docGrid w:linePitch="360"/>
        </w:sectPr>
      </w:pPr>
      <w:bookmarkStart w:id="41" w:name="_Toc514848871"/>
    </w:p>
    <w:p w14:paraId="2B9E434D" w14:textId="4B23FAE3" w:rsidR="00301B95" w:rsidRPr="00FA1A19" w:rsidRDefault="00372633" w:rsidP="0069352C">
      <w:pPr>
        <w:pStyle w:val="Heading1"/>
      </w:pPr>
      <w:bookmarkStart w:id="42" w:name="_Toc159513566"/>
      <w:r>
        <w:t>Chapter </w:t>
      </w:r>
      <w:r w:rsidR="00301B95" w:rsidRPr="00FA1A19">
        <w:t>3: Digital Assets</w:t>
      </w:r>
      <w:bookmarkEnd w:id="41"/>
      <w:bookmarkEnd w:id="42"/>
    </w:p>
    <w:p w14:paraId="718898A4" w14:textId="77777777" w:rsidR="00301B95" w:rsidRPr="00FA1A19" w:rsidRDefault="00301B95" w:rsidP="0069352C">
      <w:pPr>
        <w:pStyle w:val="Heading2"/>
        <w:rPr>
          <w:rStyle w:val="Emphasis"/>
        </w:rPr>
      </w:pPr>
      <w:bookmarkStart w:id="43" w:name="_Toc159513567"/>
      <w:r w:rsidRPr="00FA1A19">
        <w:rPr>
          <w:rStyle w:val="Emphasis"/>
        </w:rPr>
        <w:t>Key Points</w:t>
      </w:r>
      <w:bookmarkEnd w:id="43"/>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2147" w:themeFill="accent1"/>
        <w:tblCellMar>
          <w:top w:w="397" w:type="dxa"/>
          <w:left w:w="454" w:type="dxa"/>
          <w:bottom w:w="397" w:type="dxa"/>
          <w:right w:w="454" w:type="dxa"/>
        </w:tblCellMar>
        <w:tblLook w:val="04A0" w:firstRow="1" w:lastRow="0" w:firstColumn="1" w:lastColumn="0" w:noHBand="0" w:noVBand="1"/>
      </w:tblPr>
      <w:tblGrid>
        <w:gridCol w:w="9641"/>
      </w:tblGrid>
      <w:tr w:rsidR="00301B95" w:rsidRPr="00C17225" w14:paraId="54DE82A5" w14:textId="77777777" w:rsidTr="00610D05">
        <w:tc>
          <w:tcPr>
            <w:tcW w:w="5000" w:type="pct"/>
            <w:shd w:val="clear" w:color="auto" w:fill="701F4D" w:themeFill="accent2"/>
          </w:tcPr>
          <w:p w14:paraId="1A807F76" w14:textId="3208CF67" w:rsidR="00AF3C5F" w:rsidRDefault="00AF3C5F" w:rsidP="000E72DD">
            <w:pPr>
              <w:pStyle w:val="BoxBulletWhite"/>
            </w:pPr>
            <w:r w:rsidRPr="00AF3C5F">
              <w:t>Recognising the background to and context of the Board</w:t>
            </w:r>
            <w:r w:rsidR="00F75232">
              <w:t>’</w:t>
            </w:r>
            <w:r w:rsidRPr="00AF3C5F">
              <w:t xml:space="preserve">s review, in this Report </w:t>
            </w:r>
            <w:r w:rsidR="00F75232">
              <w:t>‘</w:t>
            </w:r>
            <w:r w:rsidRPr="00AF3C5F">
              <w:t>digital assets</w:t>
            </w:r>
            <w:r w:rsidR="00F75232">
              <w:t>’</w:t>
            </w:r>
            <w:r w:rsidRPr="00AF3C5F">
              <w:t xml:space="preserve"> refers to assets that are now often referred to as </w:t>
            </w:r>
            <w:r w:rsidR="00F75232">
              <w:t>‘</w:t>
            </w:r>
            <w:r w:rsidRPr="00AF3C5F">
              <w:t>crypto assets</w:t>
            </w:r>
            <w:r w:rsidR="00F75232">
              <w:t xml:space="preserve">’. </w:t>
            </w:r>
            <w:r w:rsidRPr="00AF3C5F">
              <w:t xml:space="preserve">The terms </w:t>
            </w:r>
            <w:r w:rsidR="00F75232">
              <w:t>‘</w:t>
            </w:r>
            <w:r w:rsidRPr="00AF3C5F">
              <w:t>digital assets</w:t>
            </w:r>
            <w:r w:rsidR="00F75232">
              <w:t>’</w:t>
            </w:r>
            <w:r w:rsidRPr="00AF3C5F">
              <w:t xml:space="preserve"> and </w:t>
            </w:r>
            <w:r w:rsidR="00F75232">
              <w:t>‘</w:t>
            </w:r>
            <w:r w:rsidRPr="00AF3C5F">
              <w:t>crypto assets</w:t>
            </w:r>
            <w:r w:rsidR="00F75232">
              <w:t>’</w:t>
            </w:r>
            <w:r w:rsidR="0016293A">
              <w:t xml:space="preserve"> or </w:t>
            </w:r>
            <w:r w:rsidR="00F75232">
              <w:t>‘</w:t>
            </w:r>
            <w:r w:rsidR="0016293A">
              <w:t>crypto</w:t>
            </w:r>
            <w:r w:rsidR="00F75232">
              <w:t>’</w:t>
            </w:r>
            <w:r w:rsidRPr="00AF3C5F">
              <w:t xml:space="preserve"> are used interchangeably in this Report.</w:t>
            </w:r>
          </w:p>
          <w:p w14:paraId="2054CA36" w14:textId="2D0B030B" w:rsidR="00301B95" w:rsidRPr="00C17225" w:rsidRDefault="00301B95" w:rsidP="000E72DD">
            <w:pPr>
              <w:pStyle w:val="BoxBulletWhite"/>
            </w:pPr>
            <w:r w:rsidRPr="00C17225">
              <w:t xml:space="preserve">The </w:t>
            </w:r>
            <w:r w:rsidR="00B200EC" w:rsidRPr="00C17225">
              <w:t xml:space="preserve">ecosystem </w:t>
            </w:r>
            <w:r w:rsidRPr="00C17225">
              <w:t xml:space="preserve">of digital </w:t>
            </w:r>
            <w:r w:rsidR="00251FF3">
              <w:t xml:space="preserve">(crypto) </w:t>
            </w:r>
            <w:r w:rsidRPr="00C17225">
              <w:t>assets and transactions is continually evolving.</w:t>
            </w:r>
          </w:p>
          <w:p w14:paraId="6FDE2C31" w14:textId="73288FDF" w:rsidR="00301B95" w:rsidRPr="00C17225" w:rsidRDefault="00301B95" w:rsidP="000E72DD">
            <w:pPr>
              <w:pStyle w:val="BoxBulletWhite"/>
            </w:pPr>
            <w:r w:rsidRPr="00C17225">
              <w:t>Distributed Ledger Technology (DLT) is the primary driver of the crypto ecosystem.</w:t>
            </w:r>
            <w:r w:rsidR="004F0A51" w:rsidRPr="00C17225">
              <w:t xml:space="preserve"> </w:t>
            </w:r>
            <w:r w:rsidRPr="00C17225">
              <w:t xml:space="preserve">It is designed to enable electronic transactions without an intermediary (i.e. </w:t>
            </w:r>
            <w:r w:rsidR="00F75232">
              <w:t>‘</w:t>
            </w:r>
            <w:r w:rsidRPr="00C17225">
              <w:t>Peer</w:t>
            </w:r>
            <w:r w:rsidR="001712AD">
              <w:t>-</w:t>
            </w:r>
            <w:r w:rsidRPr="00C17225">
              <w:t>to</w:t>
            </w:r>
            <w:r w:rsidR="001712AD">
              <w:t>-</w:t>
            </w:r>
            <w:r w:rsidRPr="00C17225">
              <w:t>Peer</w:t>
            </w:r>
            <w:r w:rsidR="00F75232">
              <w:t>’</w:t>
            </w:r>
            <w:r w:rsidRPr="00C17225">
              <w:t xml:space="preserve"> transactions) with security and pseudo anonymity.</w:t>
            </w:r>
          </w:p>
          <w:p w14:paraId="395244F1" w14:textId="03B80352" w:rsidR="00301B95" w:rsidRPr="00C17225" w:rsidRDefault="00301B95" w:rsidP="000E72DD">
            <w:pPr>
              <w:pStyle w:val="BoxBulletWhite"/>
            </w:pPr>
            <w:r w:rsidRPr="00C17225">
              <w:t xml:space="preserve">DLT </w:t>
            </w:r>
            <w:r w:rsidR="004C6E5E" w:rsidRPr="00C17225">
              <w:t>has become</w:t>
            </w:r>
            <w:r w:rsidRPr="00C17225">
              <w:t xml:space="preserve"> widespread with cryptocurrencies, but other products </w:t>
            </w:r>
            <w:r w:rsidR="00500926" w:rsidRPr="00C17225">
              <w:t xml:space="preserve">also </w:t>
            </w:r>
            <w:r w:rsidRPr="00C17225">
              <w:t>rely on DLT.</w:t>
            </w:r>
          </w:p>
          <w:p w14:paraId="242BB62E" w14:textId="03040248" w:rsidR="00301B95" w:rsidRPr="00C17225" w:rsidRDefault="00301B95" w:rsidP="000E72DD">
            <w:pPr>
              <w:pStyle w:val="BoxBulletWhite"/>
            </w:pPr>
            <w:r w:rsidRPr="00C17225">
              <w:t xml:space="preserve">A significant </w:t>
            </w:r>
            <w:r w:rsidR="00500926" w:rsidRPr="00C17225">
              <w:t xml:space="preserve">and relatively </w:t>
            </w:r>
            <w:r w:rsidRPr="00C17225">
              <w:t xml:space="preserve">recent development relying on DLT is </w:t>
            </w:r>
            <w:r w:rsidR="00D50D34" w:rsidRPr="00D50D34">
              <w:t xml:space="preserve">DeFi </w:t>
            </w:r>
            <w:r w:rsidRPr="00C17225">
              <w:t xml:space="preserve">which aims to provide a </w:t>
            </w:r>
            <w:r w:rsidR="00F75232">
              <w:t>‘</w:t>
            </w:r>
            <w:r w:rsidRPr="00C17225">
              <w:t>Peer</w:t>
            </w:r>
            <w:r w:rsidR="0019141B">
              <w:t>-</w:t>
            </w:r>
            <w:r w:rsidRPr="00C17225">
              <w:t>to</w:t>
            </w:r>
            <w:r w:rsidR="0019141B">
              <w:t>-</w:t>
            </w:r>
            <w:r w:rsidRPr="00C17225">
              <w:t>Peer</w:t>
            </w:r>
            <w:r w:rsidR="00F75232">
              <w:t>’</w:t>
            </w:r>
            <w:r w:rsidRPr="00C17225">
              <w:t xml:space="preserve"> alternative to using central intermediaries or institutions such as banks, brokerages and clearing houses.</w:t>
            </w:r>
          </w:p>
          <w:p w14:paraId="3BF8DA61" w14:textId="1537E490" w:rsidR="00301B95" w:rsidRPr="00C17225" w:rsidRDefault="00301B95" w:rsidP="000E72DD">
            <w:pPr>
              <w:pStyle w:val="BoxBulletWhite"/>
            </w:pPr>
            <w:r w:rsidRPr="00C17225">
              <w:t xml:space="preserve">Notwithstanding the aim of DLT to facilitate </w:t>
            </w:r>
            <w:r w:rsidR="00F75232">
              <w:t>‘</w:t>
            </w:r>
            <w:r w:rsidRPr="00C17225">
              <w:t>Peer</w:t>
            </w:r>
            <w:r w:rsidR="00CA02F1">
              <w:t>-</w:t>
            </w:r>
            <w:r w:rsidRPr="00C17225">
              <w:t>to</w:t>
            </w:r>
            <w:r w:rsidR="00CA02F1">
              <w:t>-</w:t>
            </w:r>
            <w:r w:rsidRPr="00C17225">
              <w:t>Peer</w:t>
            </w:r>
            <w:r w:rsidR="00F75232">
              <w:t>’</w:t>
            </w:r>
            <w:r w:rsidRPr="00C17225">
              <w:t xml:space="preserve"> transactions without the need for intermediaries, the growth of service providers and intermediaries in the crypto ecosystem has given rise to the generally</w:t>
            </w:r>
            <w:r w:rsidR="00BC726C" w:rsidRPr="00C17225">
              <w:t xml:space="preserve"> (although not universally)</w:t>
            </w:r>
            <w:r w:rsidRPr="00C17225">
              <w:t xml:space="preserve"> accepted need for regulation.</w:t>
            </w:r>
          </w:p>
        </w:tc>
      </w:tr>
    </w:tbl>
    <w:p w14:paraId="72E99C79" w14:textId="77777777" w:rsidR="00301B95" w:rsidRPr="00FA1A19" w:rsidRDefault="00301B95" w:rsidP="0069352C">
      <w:pPr>
        <w:pStyle w:val="Heading2"/>
      </w:pPr>
      <w:bookmarkStart w:id="44" w:name="_Toc159513568"/>
      <w:r w:rsidRPr="00FA1A19">
        <w:t>Introduction</w:t>
      </w:r>
      <w:bookmarkEnd w:id="44"/>
    </w:p>
    <w:p w14:paraId="0724B330" w14:textId="7D4031A5" w:rsidR="00301B95" w:rsidRPr="00FA1A19" w:rsidRDefault="00C40DE8" w:rsidP="00301B95">
      <w:r w:rsidRPr="00FA1A19">
        <w:t xml:space="preserve">A significant </w:t>
      </w:r>
      <w:r w:rsidR="00301B95" w:rsidRPr="00FA1A19">
        <w:t xml:space="preserve">issue in any review of digital assets is that there is </w:t>
      </w:r>
      <w:r w:rsidR="00F75232">
        <w:rPr>
          <w:iCs/>
        </w:rPr>
        <w:t>‘</w:t>
      </w:r>
      <w:r w:rsidR="00301B95" w:rsidRPr="00FA1A19">
        <w:rPr>
          <w:iCs/>
        </w:rPr>
        <w:t>currently no consensus – either in Australia or globally – on the meaning of key concepts in the crypto space.</w:t>
      </w:r>
      <w:r w:rsidR="004F0A51" w:rsidRPr="00FA1A19">
        <w:rPr>
          <w:iCs/>
        </w:rPr>
        <w:t xml:space="preserve"> </w:t>
      </w:r>
      <w:r w:rsidR="00301B95" w:rsidRPr="00FA1A19">
        <w:rPr>
          <w:iCs/>
        </w:rPr>
        <w:t>A single concept may have varied and conflicting meanings across industry, academia, and government institutions</w:t>
      </w:r>
      <w:r w:rsidR="00301B95" w:rsidRPr="00FA1A19">
        <w:rPr>
          <w:i/>
          <w:iCs/>
        </w:rPr>
        <w:t>.</w:t>
      </w:r>
      <w:r w:rsidR="00F75232">
        <w:t>’</w:t>
      </w:r>
      <w:r w:rsidR="00E138A9" w:rsidRPr="00170ADC">
        <w:rPr>
          <w:rStyle w:val="FootnoteReference"/>
        </w:rPr>
        <w:footnoteReference w:id="46"/>
      </w:r>
      <w:r w:rsidR="004F0A51" w:rsidRPr="00FA1A19">
        <w:t xml:space="preserve"> </w:t>
      </w:r>
      <w:r w:rsidR="00301B95" w:rsidRPr="00FA1A19">
        <w:t>It is therefore essential that the meanings of relevant terms used in this Report are clearly set out.</w:t>
      </w:r>
    </w:p>
    <w:p w14:paraId="13846476" w14:textId="4C3A9C20" w:rsidR="0817250C" w:rsidRPr="00FA1A19" w:rsidRDefault="00301B95" w:rsidP="0817250C">
      <w:r w:rsidRPr="00FA1A19">
        <w:t xml:space="preserve">The purpose of this </w:t>
      </w:r>
      <w:r w:rsidR="002C78F7" w:rsidRPr="00FA1A19">
        <w:t>c</w:t>
      </w:r>
      <w:r w:rsidRPr="00FA1A19">
        <w:t xml:space="preserve">hapter is to set out the meaning of </w:t>
      </w:r>
      <w:r w:rsidR="00F75232">
        <w:t>‘</w:t>
      </w:r>
      <w:r w:rsidRPr="00FA1A19">
        <w:t>digital assets</w:t>
      </w:r>
      <w:r w:rsidR="00F75232">
        <w:t>’</w:t>
      </w:r>
      <w:r w:rsidRPr="00FA1A19">
        <w:t xml:space="preserve"> </w:t>
      </w:r>
      <w:r w:rsidR="003842B9" w:rsidRPr="00FA1A19">
        <w:t>for the purposes</w:t>
      </w:r>
      <w:r w:rsidRPr="00FA1A19">
        <w:t xml:space="preserve"> of this review</w:t>
      </w:r>
      <w:r w:rsidR="00D36606" w:rsidRPr="00FA1A19">
        <w:t>,</w:t>
      </w:r>
      <w:r w:rsidRPr="00FA1A19">
        <w:t xml:space="preserve"> describe how </w:t>
      </w:r>
      <w:r w:rsidR="000A7A4E" w:rsidRPr="00FA1A19">
        <w:t>digital</w:t>
      </w:r>
      <w:r w:rsidRPr="00FA1A19">
        <w:t xml:space="preserve"> assets have evolved </w:t>
      </w:r>
      <w:r w:rsidR="00D77442" w:rsidRPr="00FA1A19">
        <w:t xml:space="preserve">and the different arrangements in the </w:t>
      </w:r>
      <w:r w:rsidR="00D36606" w:rsidRPr="00FA1A19">
        <w:t xml:space="preserve">digital asset (or </w:t>
      </w:r>
      <w:r w:rsidR="00D77442" w:rsidRPr="00FA1A19">
        <w:t>crypto</w:t>
      </w:r>
      <w:r w:rsidR="00DD5B49" w:rsidRPr="00FA1A19">
        <w:t>)</w:t>
      </w:r>
      <w:r w:rsidR="00D77442" w:rsidRPr="00FA1A19">
        <w:t xml:space="preserve"> ecosystem, and </w:t>
      </w:r>
      <w:r w:rsidRPr="00FA1A19">
        <w:t xml:space="preserve">explain some of the common terms used in this </w:t>
      </w:r>
      <w:r w:rsidR="003535EE">
        <w:t>R</w:t>
      </w:r>
      <w:r w:rsidR="003535EE" w:rsidRPr="00FA1A19">
        <w:t>eport</w:t>
      </w:r>
      <w:r w:rsidRPr="00FA1A19">
        <w:t>.</w:t>
      </w:r>
      <w:r w:rsidR="004F0A51" w:rsidRPr="00FA1A19">
        <w:t xml:space="preserve"> </w:t>
      </w:r>
      <w:r w:rsidR="00D36606" w:rsidRPr="00FA1A19">
        <w:t>T</w:t>
      </w:r>
      <w:r w:rsidRPr="00FA1A19">
        <w:t>his will</w:t>
      </w:r>
      <w:r w:rsidR="00D36606" w:rsidRPr="00FA1A19">
        <w:t xml:space="preserve"> </w:t>
      </w:r>
      <w:r w:rsidRPr="00FA1A19">
        <w:t xml:space="preserve">establish the basis for the analysis of the tax treatment </w:t>
      </w:r>
      <w:r w:rsidR="00205227">
        <w:t xml:space="preserve">of </w:t>
      </w:r>
      <w:r w:rsidR="00BA41DC">
        <w:t>digital</w:t>
      </w:r>
      <w:r w:rsidR="00205227">
        <w:t xml:space="preserve"> assets and transactions </w:t>
      </w:r>
      <w:r w:rsidRPr="00FA1A19">
        <w:t>in the subsequent chapters.</w:t>
      </w:r>
    </w:p>
    <w:p w14:paraId="5DB5EB4B" w14:textId="77777777" w:rsidR="00301B95" w:rsidRPr="00FA1A19" w:rsidRDefault="00301B95" w:rsidP="0069352C">
      <w:pPr>
        <w:pStyle w:val="Heading2"/>
      </w:pPr>
      <w:bookmarkStart w:id="45" w:name="_Toc159513569"/>
      <w:r w:rsidRPr="00FA1A19">
        <w:t>What are digital assets?</w:t>
      </w:r>
      <w:bookmarkEnd w:id="45"/>
    </w:p>
    <w:p w14:paraId="2522700F" w14:textId="2C6A0E77" w:rsidR="00136573" w:rsidRPr="00FA1A19" w:rsidRDefault="00F23FC1" w:rsidP="00342121">
      <w:pPr>
        <w:pStyle w:val="Heading3"/>
      </w:pPr>
      <w:r w:rsidRPr="00FA1A19">
        <w:t>B</w:t>
      </w:r>
      <w:r w:rsidR="00136573" w:rsidRPr="00FA1A19">
        <w:t xml:space="preserve">ackground to the term </w:t>
      </w:r>
      <w:r w:rsidR="00F75232">
        <w:t>‘</w:t>
      </w:r>
      <w:r w:rsidR="00136573" w:rsidRPr="00FA1A19">
        <w:t>Digital Assets</w:t>
      </w:r>
      <w:r w:rsidR="00F75232">
        <w:t>’</w:t>
      </w:r>
    </w:p>
    <w:p w14:paraId="27109089" w14:textId="3C709320" w:rsidR="00301B95" w:rsidRPr="00FA1A19" w:rsidRDefault="00301B95" w:rsidP="00301B95">
      <w:r w:rsidRPr="00FA1A19">
        <w:t xml:space="preserve">The term </w:t>
      </w:r>
      <w:r w:rsidR="00F75232">
        <w:t>‘</w:t>
      </w:r>
      <w:r w:rsidRPr="00FA1A19">
        <w:t>digital assets</w:t>
      </w:r>
      <w:r w:rsidR="00F75232">
        <w:t>’</w:t>
      </w:r>
      <w:r w:rsidRPr="00FA1A19">
        <w:t xml:space="preserve"> has historically referred to media formats that were traditionally physical items, such as photos, videos and documents, that began to be created, stored and shared in a digital environment.</w:t>
      </w:r>
      <w:r w:rsidR="004F0A51" w:rsidRPr="00FA1A19">
        <w:t xml:space="preserve"> </w:t>
      </w:r>
      <w:r w:rsidRPr="00FA1A19">
        <w:t xml:space="preserve">However, with the emergence of </w:t>
      </w:r>
      <w:r w:rsidRPr="00AD28CB">
        <w:rPr>
          <w:rStyle w:val="Strong"/>
        </w:rPr>
        <w:t>blockchain technology</w:t>
      </w:r>
      <w:r w:rsidRPr="00FA1A19">
        <w:t xml:space="preserve">, the term </w:t>
      </w:r>
      <w:r w:rsidR="00F75232">
        <w:t>‘</w:t>
      </w:r>
      <w:r w:rsidRPr="00FA1A19">
        <w:t>digital assets</w:t>
      </w:r>
      <w:r w:rsidR="00F75232">
        <w:t>’</w:t>
      </w:r>
      <w:r w:rsidRPr="00FA1A19">
        <w:t xml:space="preserve"> expanded to include blockchain</w:t>
      </w:r>
      <w:r w:rsidR="00F75232">
        <w:noBreakHyphen/>
      </w:r>
      <w:r w:rsidRPr="00FA1A19">
        <w:t xml:space="preserve">backed </w:t>
      </w:r>
      <w:r w:rsidRPr="00AD28CB">
        <w:rPr>
          <w:rStyle w:val="Strong"/>
        </w:rPr>
        <w:t>cryptocurrencies</w:t>
      </w:r>
      <w:r w:rsidRPr="00FA1A19">
        <w:t xml:space="preserve"> and </w:t>
      </w:r>
      <w:r w:rsidRPr="00AD28CB">
        <w:rPr>
          <w:rStyle w:val="Strong"/>
        </w:rPr>
        <w:t>non</w:t>
      </w:r>
      <w:r w:rsidR="00F75232">
        <w:rPr>
          <w:rStyle w:val="Strong"/>
        </w:rPr>
        <w:noBreakHyphen/>
      </w:r>
      <w:r w:rsidRPr="00AD28CB">
        <w:rPr>
          <w:rStyle w:val="Strong"/>
        </w:rPr>
        <w:t>fungible tokens</w:t>
      </w:r>
      <w:r w:rsidR="005558B7">
        <w:rPr>
          <w:rStyle w:val="Strong"/>
        </w:rPr>
        <w:t xml:space="preserve"> </w:t>
      </w:r>
      <w:r w:rsidR="005558B7" w:rsidRPr="005558B7">
        <w:rPr>
          <w:rStyle w:val="Strong"/>
          <w:b w:val="0"/>
          <w:bCs w:val="0"/>
        </w:rPr>
        <w:t>(NFTs)</w:t>
      </w:r>
      <w:r w:rsidRPr="00FA1A19">
        <w:t>, as well as asset</w:t>
      </w:r>
      <w:r w:rsidR="00F75232">
        <w:noBreakHyphen/>
      </w:r>
      <w:r w:rsidRPr="00FA1A19">
        <w:t xml:space="preserve">backed </w:t>
      </w:r>
      <w:r w:rsidRPr="00AD28CB">
        <w:rPr>
          <w:rStyle w:val="Strong"/>
        </w:rPr>
        <w:t>tokens</w:t>
      </w:r>
      <w:r w:rsidRPr="00FA1A19">
        <w:t>.</w:t>
      </w:r>
      <w:r w:rsidR="004F0A51" w:rsidRPr="00FA1A19">
        <w:t xml:space="preserve"> </w:t>
      </w:r>
      <w:r w:rsidRPr="00FA1A19">
        <w:t>As these new blockchain</w:t>
      </w:r>
      <w:r w:rsidR="00F75232">
        <w:noBreakHyphen/>
      </w:r>
      <w:r w:rsidRPr="00FA1A19">
        <w:t xml:space="preserve">backed digital assets have become more widely adopted, the meaning of the term </w:t>
      </w:r>
      <w:r w:rsidR="00F75232">
        <w:t>‘</w:t>
      </w:r>
      <w:r w:rsidRPr="00FA1A19">
        <w:t>digital assets</w:t>
      </w:r>
      <w:r w:rsidR="00F75232">
        <w:t>’</w:t>
      </w:r>
      <w:r w:rsidRPr="00FA1A19">
        <w:t xml:space="preserve"> has shifted so that it now is primarily focused on assets that are backed by a </w:t>
      </w:r>
      <w:r w:rsidRPr="00AD28CB">
        <w:rPr>
          <w:rStyle w:val="Strong"/>
        </w:rPr>
        <w:t>distributed ledger</w:t>
      </w:r>
      <w:r w:rsidRPr="00FA1A19">
        <w:t>, rather than digital media files.</w:t>
      </w:r>
      <w:r w:rsidRPr="00170ADC">
        <w:rPr>
          <w:rStyle w:val="FootnoteReference"/>
        </w:rPr>
        <w:footnoteReference w:id="47"/>
      </w:r>
    </w:p>
    <w:p w14:paraId="4185AE03" w14:textId="68CDD69B" w:rsidR="00301B95" w:rsidRPr="00FA1A19" w:rsidRDefault="00301B95" w:rsidP="00301B95">
      <w:r w:rsidRPr="00FA1A19">
        <w:t xml:space="preserve">This relatively more recent meaning of the term </w:t>
      </w:r>
      <w:r w:rsidR="00F75232">
        <w:t>‘</w:t>
      </w:r>
      <w:r w:rsidRPr="00FA1A19">
        <w:t>digital assets</w:t>
      </w:r>
      <w:r w:rsidR="00F75232">
        <w:t>’</w:t>
      </w:r>
      <w:r w:rsidRPr="00FA1A19">
        <w:t xml:space="preserve"> is reflected in the Reports that led to the Board</w:t>
      </w:r>
      <w:r w:rsidR="00F75232">
        <w:t>’</w:t>
      </w:r>
      <w:r w:rsidRPr="00FA1A19">
        <w:t>s Review.</w:t>
      </w:r>
      <w:r w:rsidRPr="00170ADC">
        <w:rPr>
          <w:rStyle w:val="FootnoteReference"/>
        </w:rPr>
        <w:footnoteReference w:id="48"/>
      </w:r>
      <w:r w:rsidR="004F0A51" w:rsidRPr="00FA1A19">
        <w:t xml:space="preserve"> </w:t>
      </w:r>
      <w:r w:rsidRPr="00FA1A19">
        <w:t xml:space="preserve">For instance, in its </w:t>
      </w:r>
      <w:r w:rsidR="00F75232">
        <w:t>‘</w:t>
      </w:r>
      <w:r w:rsidRPr="00FA1A19">
        <w:t>overview of digital asset classes and the current market for these products</w:t>
      </w:r>
      <w:r w:rsidR="00F75232">
        <w:t>’</w:t>
      </w:r>
      <w:r w:rsidRPr="00FA1A19">
        <w:t xml:space="preserve">, the Senate Committee made particular reference to </w:t>
      </w:r>
      <w:r w:rsidRPr="00AD28CB">
        <w:rPr>
          <w:rStyle w:val="Strong"/>
        </w:rPr>
        <w:t>cryptocurrency</w:t>
      </w:r>
      <w:r w:rsidRPr="00FA1A19">
        <w:t xml:space="preserve">, </w:t>
      </w:r>
      <w:r w:rsidRPr="00AD28CB">
        <w:rPr>
          <w:rStyle w:val="Strong"/>
        </w:rPr>
        <w:t>decentralised finance</w:t>
      </w:r>
      <w:r w:rsidR="00AF3662">
        <w:rPr>
          <w:rStyle w:val="Strong"/>
        </w:rPr>
        <w:t xml:space="preserve"> </w:t>
      </w:r>
      <w:r w:rsidR="00AF3662" w:rsidRPr="00AA4A66">
        <w:rPr>
          <w:rStyle w:val="Strong"/>
          <w:b w:val="0"/>
          <w:bCs w:val="0"/>
        </w:rPr>
        <w:t>(DeFi)</w:t>
      </w:r>
      <w:r w:rsidRPr="00AA4A66">
        <w:rPr>
          <w:b/>
          <w:bCs/>
        </w:rPr>
        <w:t>,</w:t>
      </w:r>
      <w:r w:rsidRPr="00FA1A19">
        <w:t xml:space="preserve"> </w:t>
      </w:r>
      <w:r w:rsidRPr="00AD28CB">
        <w:rPr>
          <w:rStyle w:val="Strong"/>
        </w:rPr>
        <w:t>stablecoins</w:t>
      </w:r>
      <w:r w:rsidRPr="00FA1A19">
        <w:t xml:space="preserve">, </w:t>
      </w:r>
      <w:r w:rsidRPr="00AD28CB">
        <w:rPr>
          <w:rStyle w:val="Strong"/>
        </w:rPr>
        <w:t>central bank digital currencies</w:t>
      </w:r>
      <w:r w:rsidRPr="00FA1A19">
        <w:t xml:space="preserve"> </w:t>
      </w:r>
      <w:r w:rsidR="00AF3662">
        <w:t xml:space="preserve">(CBDCs) </w:t>
      </w:r>
      <w:r w:rsidRPr="00FA1A19">
        <w:t xml:space="preserve">and </w:t>
      </w:r>
      <w:r w:rsidR="005178C6" w:rsidRPr="00A1310C">
        <w:rPr>
          <w:b/>
          <w:bCs/>
        </w:rPr>
        <w:t>NFTs</w:t>
      </w:r>
      <w:r w:rsidRPr="00FA1A19">
        <w:t>.</w:t>
      </w:r>
      <w:r w:rsidR="004F0A51" w:rsidRPr="00FA1A19">
        <w:t xml:space="preserve"> </w:t>
      </w:r>
    </w:p>
    <w:p w14:paraId="4071858D" w14:textId="67C1A9B1" w:rsidR="00301B95" w:rsidRPr="00FA1A19" w:rsidRDefault="00301B95" w:rsidP="00301B95">
      <w:r w:rsidRPr="00FA1A19">
        <w:t>In announcing the Board</w:t>
      </w:r>
      <w:r w:rsidR="00F75232">
        <w:t>’</w:t>
      </w:r>
      <w:r w:rsidRPr="00FA1A19">
        <w:t xml:space="preserve">s Review on 8 December 2021, the </w:t>
      </w:r>
      <w:r w:rsidR="3E0537D4" w:rsidRPr="00FA1A19">
        <w:t xml:space="preserve">former </w:t>
      </w:r>
      <w:r w:rsidR="000E24F6">
        <w:t>Australian</w:t>
      </w:r>
      <w:r w:rsidR="000E24F6" w:rsidRPr="00FA1A19">
        <w:t xml:space="preserve"> </w:t>
      </w:r>
      <w:r w:rsidR="00E50EAC">
        <w:t>g</w:t>
      </w:r>
      <w:r w:rsidR="00E50EAC" w:rsidRPr="00FA1A19">
        <w:t xml:space="preserve">overnment </w:t>
      </w:r>
      <w:r w:rsidRPr="00FA1A19">
        <w:t xml:space="preserve">indicated that the Review would </w:t>
      </w:r>
      <w:r w:rsidR="00F75232">
        <w:t>‘</w:t>
      </w:r>
      <w:r w:rsidRPr="00FA1A19">
        <w:t>provide clarity to holders of crypto</w:t>
      </w:r>
      <w:r w:rsidR="00F75232">
        <w:noBreakHyphen/>
      </w:r>
      <w:r w:rsidRPr="00FA1A19">
        <w:t>assets</w:t>
      </w:r>
      <w:r w:rsidR="00F75232">
        <w:t>’</w:t>
      </w:r>
      <w:r w:rsidRPr="00FA1A19">
        <w:t>.</w:t>
      </w:r>
      <w:r w:rsidRPr="00170ADC">
        <w:rPr>
          <w:rStyle w:val="FootnoteReference"/>
        </w:rPr>
        <w:footnoteReference w:id="49"/>
      </w:r>
      <w:r w:rsidR="004F0A51" w:rsidRPr="00FA1A19">
        <w:t xml:space="preserve"> </w:t>
      </w:r>
      <w:r w:rsidR="00747F5C" w:rsidRPr="00FA1A19">
        <w:t>In its Report, the</w:t>
      </w:r>
      <w:r w:rsidR="00916C47" w:rsidRPr="00FA1A19">
        <w:t xml:space="preserve"> Senate </w:t>
      </w:r>
      <w:r w:rsidR="00BF235E">
        <w:t>Se</w:t>
      </w:r>
      <w:r w:rsidR="00504E66">
        <w:t xml:space="preserve">lect Committee </w:t>
      </w:r>
      <w:r w:rsidR="00747F5C" w:rsidRPr="00FA1A19">
        <w:t>identified that</w:t>
      </w:r>
      <w:r w:rsidRPr="00FA1A19">
        <w:t xml:space="preserve"> the Australian Securities and Investments Commission (ASIC) </w:t>
      </w:r>
      <w:r w:rsidR="00747F5C" w:rsidRPr="00FA1A19">
        <w:t xml:space="preserve">had </w:t>
      </w:r>
      <w:r w:rsidRPr="00FA1A19">
        <w:t xml:space="preserve">used the term </w:t>
      </w:r>
      <w:r w:rsidR="00F75232">
        <w:t>‘</w:t>
      </w:r>
      <w:r w:rsidRPr="00FA1A19">
        <w:t>crypto</w:t>
      </w:r>
      <w:r w:rsidR="00F75232">
        <w:noBreakHyphen/>
      </w:r>
      <w:r w:rsidRPr="00FA1A19">
        <w:t>asset</w:t>
      </w:r>
      <w:r w:rsidR="00F75232">
        <w:t>’</w:t>
      </w:r>
      <w:r w:rsidRPr="00FA1A19">
        <w:t xml:space="preserve"> as an umbrella term to describe products that are also commonly referred to as </w:t>
      </w:r>
      <w:r w:rsidR="00F75232">
        <w:t>‘</w:t>
      </w:r>
      <w:r w:rsidRPr="00FA1A19">
        <w:t>digital assets</w:t>
      </w:r>
      <w:r w:rsidR="00F75232">
        <w:t>’</w:t>
      </w:r>
      <w:r w:rsidRPr="00FA1A19">
        <w:t xml:space="preserve">, </w:t>
      </w:r>
      <w:r w:rsidR="00F75232">
        <w:t>‘</w:t>
      </w:r>
      <w:r w:rsidRPr="00FA1A19">
        <w:t>virtual assets</w:t>
      </w:r>
      <w:r w:rsidR="00F75232">
        <w:t>’</w:t>
      </w:r>
      <w:r w:rsidRPr="00FA1A19">
        <w:t xml:space="preserve"> or </w:t>
      </w:r>
      <w:r w:rsidR="00F75232">
        <w:t>‘</w:t>
      </w:r>
      <w:r w:rsidRPr="00FA1A19">
        <w:t>digital tokens</w:t>
      </w:r>
      <w:r w:rsidR="00F75232">
        <w:t>’</w:t>
      </w:r>
      <w:r w:rsidRPr="00FA1A19">
        <w:t>.</w:t>
      </w:r>
      <w:r w:rsidRPr="00170ADC">
        <w:rPr>
          <w:rStyle w:val="FootnoteReference"/>
        </w:rPr>
        <w:footnoteReference w:id="50"/>
      </w:r>
      <w:r w:rsidR="004F0A51" w:rsidRPr="00FA1A19">
        <w:t xml:space="preserve"> </w:t>
      </w:r>
      <w:r w:rsidRPr="00FA1A19">
        <w:t>ASIC also said:</w:t>
      </w:r>
      <w:r w:rsidRPr="00170ADC">
        <w:rPr>
          <w:rStyle w:val="FootnoteReference"/>
        </w:rPr>
        <w:footnoteReference w:id="51"/>
      </w:r>
    </w:p>
    <w:p w14:paraId="5E1D519B" w14:textId="00B03E15" w:rsidR="00301B95" w:rsidRPr="00FA1A19" w:rsidRDefault="00301B95" w:rsidP="00991EBC">
      <w:pPr>
        <w:pStyle w:val="Quote"/>
      </w:pPr>
      <w:r w:rsidRPr="00FA1A19">
        <w:t>A crypto</w:t>
      </w:r>
      <w:r w:rsidR="00F75232">
        <w:noBreakHyphen/>
      </w:r>
      <w:r w:rsidRPr="00FA1A19">
        <w:t>asset is a digital representation of value or contractual rights that can be transferred, stored or traded electronically.</w:t>
      </w:r>
      <w:r w:rsidR="004F0A51" w:rsidRPr="00FA1A19">
        <w:t xml:space="preserve"> </w:t>
      </w:r>
      <w:r w:rsidRPr="00FA1A19">
        <w:t>Crypto</w:t>
      </w:r>
      <w:r w:rsidR="00F75232">
        <w:noBreakHyphen/>
      </w:r>
      <w:r w:rsidRPr="00FA1A19">
        <w:t>assets use cryptography, distributed ledger technology or other technology to provide features such as security and pseudo</w:t>
      </w:r>
      <w:r w:rsidR="00F75232">
        <w:noBreakHyphen/>
      </w:r>
      <w:r w:rsidRPr="00FA1A19">
        <w:t>anonymity.</w:t>
      </w:r>
      <w:r w:rsidR="004F0A51" w:rsidRPr="00FA1A19">
        <w:t xml:space="preserve"> </w:t>
      </w:r>
      <w:r w:rsidRPr="00FA1A19">
        <w:t>A crypto</w:t>
      </w:r>
      <w:r w:rsidR="00F75232">
        <w:noBreakHyphen/>
      </w:r>
      <w:r w:rsidRPr="00FA1A19">
        <w:t>asset may or may not have identifiable economic features that reflect fundamental or intrinsic value</w:t>
      </w:r>
      <w:r w:rsidR="005617EC" w:rsidRPr="00FA1A19">
        <w:t>.</w:t>
      </w:r>
    </w:p>
    <w:p w14:paraId="25D089EB" w14:textId="705E87AD" w:rsidR="00301B95" w:rsidRPr="00FA1A19" w:rsidRDefault="00301B95" w:rsidP="00301B95">
      <w:r w:rsidRPr="00FA1A19">
        <w:t xml:space="preserve">In October 2023, the Treasury stated that </w:t>
      </w:r>
      <w:r w:rsidR="00F75232">
        <w:t>‘</w:t>
      </w:r>
      <w:r w:rsidRPr="00FA1A19">
        <w:t xml:space="preserve">A digital asset refers to a </w:t>
      </w:r>
      <w:r w:rsidRPr="00AD28CB">
        <w:rPr>
          <w:rStyle w:val="Strong"/>
        </w:rPr>
        <w:t>token</w:t>
      </w:r>
      <w:r w:rsidRPr="00FA1A19">
        <w:rPr>
          <w:u w:val="single"/>
        </w:rPr>
        <w:t xml:space="preserve"> </w:t>
      </w:r>
      <w:r w:rsidRPr="00FA1A19">
        <w:t xml:space="preserve">and its associated entitlements (i.e. a digital </w:t>
      </w:r>
      <w:r w:rsidR="00F75232">
        <w:t>‘</w:t>
      </w:r>
      <w:r w:rsidRPr="00FA1A19">
        <w:t>bearer asset</w:t>
      </w:r>
      <w:r w:rsidR="00F75232">
        <w:t>’</w:t>
      </w:r>
      <w:r w:rsidR="00FA7E72" w:rsidRPr="00FA1A19">
        <w:t>)</w:t>
      </w:r>
      <w:r w:rsidR="00F75232">
        <w:t>’</w:t>
      </w:r>
      <w:r w:rsidR="00FA7E72" w:rsidRPr="00FA1A19">
        <w:t xml:space="preserve"> </w:t>
      </w:r>
      <w:r w:rsidRPr="00FA1A19">
        <w:t xml:space="preserve">and that a </w:t>
      </w:r>
      <w:r w:rsidR="00F75232">
        <w:t>‘</w:t>
      </w:r>
      <w:r w:rsidRPr="00FA1A19">
        <w:t>true digital token</w:t>
      </w:r>
      <w:r w:rsidR="00F75232">
        <w:t>’</w:t>
      </w:r>
      <w:r w:rsidRPr="00FA1A19">
        <w:t xml:space="preserve"> is a </w:t>
      </w:r>
      <w:r w:rsidR="00F75232">
        <w:t>‘</w:t>
      </w:r>
      <w:r w:rsidRPr="00FA1A19">
        <w:t>crypto token</w:t>
      </w:r>
      <w:r w:rsidR="00F75232">
        <w:t>’</w:t>
      </w:r>
      <w:r w:rsidRPr="00FA1A19">
        <w:t>.</w:t>
      </w:r>
      <w:r w:rsidRPr="00170ADC">
        <w:rPr>
          <w:rStyle w:val="FootnoteReference"/>
        </w:rPr>
        <w:footnoteReference w:id="52"/>
      </w:r>
    </w:p>
    <w:p w14:paraId="27DA9B51" w14:textId="2CFD8501" w:rsidR="004045EA" w:rsidRPr="00FA1A19" w:rsidRDefault="004045EA" w:rsidP="004045EA">
      <w:r w:rsidRPr="00FA1A19">
        <w:t xml:space="preserve">In its Background Paper FSL7 issued in October 2022, the </w:t>
      </w:r>
      <w:r w:rsidR="001342C6">
        <w:t>ALRC</w:t>
      </w:r>
      <w:r w:rsidRPr="00FA1A19">
        <w:t xml:space="preserve"> indicated that </w:t>
      </w:r>
      <w:r w:rsidR="00F75232">
        <w:t>‘</w:t>
      </w:r>
      <w:r w:rsidRPr="00FA1A19">
        <w:t>crypto assets</w:t>
      </w:r>
      <w:r w:rsidR="00F75232">
        <w:t>’</w:t>
      </w:r>
      <w:r w:rsidRPr="00FA1A19">
        <w:t xml:space="preserve"> include </w:t>
      </w:r>
      <w:r w:rsidRPr="00AD28CB">
        <w:rPr>
          <w:rStyle w:val="Strong"/>
        </w:rPr>
        <w:t>cryptocurrencies</w:t>
      </w:r>
      <w:r w:rsidRPr="00FA1A19">
        <w:t xml:space="preserve"> and </w:t>
      </w:r>
      <w:r w:rsidRPr="00AD28CB">
        <w:rPr>
          <w:rStyle w:val="Strong"/>
        </w:rPr>
        <w:t>tokens</w:t>
      </w:r>
      <w:r w:rsidRPr="00FA1A19">
        <w:t xml:space="preserve"> generally</w:t>
      </w:r>
      <w:r w:rsidRPr="00170ADC">
        <w:rPr>
          <w:rStyle w:val="FootnoteReference"/>
        </w:rPr>
        <w:footnoteReference w:id="53"/>
      </w:r>
      <w:r w:rsidRPr="00FA1A19">
        <w:t xml:space="preserve"> whilst recognising that </w:t>
      </w:r>
      <w:r w:rsidR="00F75232">
        <w:t>‘</w:t>
      </w:r>
      <w:r w:rsidRPr="00FA1A19">
        <w:t>Crypto assets are defined in different ways and for different purposes.</w:t>
      </w:r>
      <w:r w:rsidR="00F75232">
        <w:t>’</w:t>
      </w:r>
      <w:r w:rsidRPr="00170ADC">
        <w:rPr>
          <w:rStyle w:val="FootnoteReference"/>
        </w:rPr>
        <w:footnoteReference w:id="54"/>
      </w:r>
      <w:r w:rsidR="004F0A51" w:rsidRPr="00FA1A19">
        <w:t xml:space="preserve"> </w:t>
      </w:r>
      <w:r w:rsidRPr="00FA1A19">
        <w:t>It note</w:t>
      </w:r>
      <w:r w:rsidR="00D36606" w:rsidRPr="00FA1A19">
        <w:t>d</w:t>
      </w:r>
      <w:r w:rsidRPr="00FA1A19">
        <w:t xml:space="preserve"> that the Treasury Consultation Paper of 21 March 2022 in relation to Licensing and Custody arrangements for Crypto asset service providers</w:t>
      </w:r>
      <w:r w:rsidRPr="00170ADC">
        <w:rPr>
          <w:rStyle w:val="FootnoteReference"/>
        </w:rPr>
        <w:footnoteReference w:id="55"/>
      </w:r>
      <w:r w:rsidRPr="00FA1A19">
        <w:t xml:space="preserve"> defined a </w:t>
      </w:r>
      <w:r w:rsidR="00F75232">
        <w:t>‘</w:t>
      </w:r>
      <w:r w:rsidRPr="00FA1A19">
        <w:t>crypto asset</w:t>
      </w:r>
      <w:r w:rsidR="00F75232">
        <w:t>’</w:t>
      </w:r>
      <w:r w:rsidRPr="00FA1A19">
        <w:t xml:space="preserve"> as </w:t>
      </w:r>
      <w:r w:rsidR="00F75232">
        <w:t>‘</w:t>
      </w:r>
      <w:r w:rsidRPr="00FA1A19">
        <w:t>a digital representation of value that can be transferred, stored, or traded electronically</w:t>
      </w:r>
      <w:r w:rsidR="00F75232">
        <w:t>’</w:t>
      </w:r>
      <w:r w:rsidR="007B2391" w:rsidRPr="00FA1A19">
        <w:t xml:space="preserve">, </w:t>
      </w:r>
      <w:r w:rsidR="006E27E1" w:rsidRPr="00FA1A19">
        <w:t xml:space="preserve">and said </w:t>
      </w:r>
      <w:r w:rsidR="003340FE" w:rsidRPr="00FA1A19">
        <w:t>in relation to</w:t>
      </w:r>
      <w:r w:rsidR="006E27E1" w:rsidRPr="00FA1A19">
        <w:t xml:space="preserve"> </w:t>
      </w:r>
      <w:r w:rsidR="003340FE" w:rsidRPr="00FA1A19">
        <w:t>crypto assets</w:t>
      </w:r>
      <w:r w:rsidR="006E27E1" w:rsidRPr="00FA1A19">
        <w:t xml:space="preserve"> </w:t>
      </w:r>
      <w:r w:rsidR="003340FE" w:rsidRPr="00FA1A19">
        <w:t xml:space="preserve">that they </w:t>
      </w:r>
      <w:r w:rsidR="00F16879" w:rsidRPr="00FA1A19">
        <w:t xml:space="preserve">use cryptography and distributed ledger technology; they </w:t>
      </w:r>
      <w:r w:rsidR="006E27E1" w:rsidRPr="00FA1A19">
        <w:t>have three primary uses</w:t>
      </w:r>
      <w:r w:rsidR="003340FE" w:rsidRPr="00FA1A19">
        <w:t xml:space="preserve"> (</w:t>
      </w:r>
      <w:r w:rsidR="006E27E1" w:rsidRPr="00FA1A19">
        <w:t>as an investment, as a means of exchange, and to access goods and services</w:t>
      </w:r>
      <w:r w:rsidR="003340FE" w:rsidRPr="00FA1A19">
        <w:t>)</w:t>
      </w:r>
      <w:r w:rsidR="006E27E1" w:rsidRPr="00FA1A19">
        <w:t xml:space="preserve">; </w:t>
      </w:r>
      <w:r w:rsidR="00F16879" w:rsidRPr="00FA1A19">
        <w:t xml:space="preserve">and </w:t>
      </w:r>
      <w:r w:rsidR="006E27E1" w:rsidRPr="00FA1A19">
        <w:t>they are commonly referred to as speculative assets with volatile prices and minimal to no regulatory oversight</w:t>
      </w:r>
      <w:r w:rsidRPr="00FA1A19">
        <w:t>.</w:t>
      </w:r>
      <w:r w:rsidRPr="00170ADC">
        <w:rPr>
          <w:rStyle w:val="FootnoteReference"/>
        </w:rPr>
        <w:footnoteReference w:id="56"/>
      </w:r>
    </w:p>
    <w:p w14:paraId="4EE992F6" w14:textId="0172DADF" w:rsidR="00136573" w:rsidRPr="00FA1A19" w:rsidRDefault="00F75232" w:rsidP="00342121">
      <w:pPr>
        <w:pStyle w:val="Heading3"/>
      </w:pPr>
      <w:r>
        <w:t>‘</w:t>
      </w:r>
      <w:r w:rsidR="00136573" w:rsidRPr="00FA1A19">
        <w:t>Digital Assets</w:t>
      </w:r>
      <w:r>
        <w:t>’</w:t>
      </w:r>
      <w:r w:rsidR="00136573" w:rsidRPr="00FA1A19">
        <w:t xml:space="preserve"> for the purposes of this </w:t>
      </w:r>
      <w:r w:rsidR="00047407" w:rsidRPr="00FA1A19">
        <w:t>Review</w:t>
      </w:r>
    </w:p>
    <w:p w14:paraId="78F3DFC2" w14:textId="4AEABD9F" w:rsidR="00781CD9" w:rsidRPr="00FA1A19" w:rsidRDefault="0068593D" w:rsidP="00E308D2">
      <w:r w:rsidRPr="00FA1A19">
        <w:t>From th</w:t>
      </w:r>
      <w:r w:rsidR="00140A32" w:rsidRPr="00FA1A19">
        <w:t>is</w:t>
      </w:r>
      <w:r w:rsidRPr="00FA1A19">
        <w:t xml:space="preserve"> background, it can be seen that </w:t>
      </w:r>
      <w:r w:rsidR="00A1333D" w:rsidRPr="00FA1A19">
        <w:t xml:space="preserve">the term </w:t>
      </w:r>
      <w:r w:rsidR="00F75232">
        <w:t>‘</w:t>
      </w:r>
      <w:r w:rsidR="00A1333D" w:rsidRPr="00FA1A19">
        <w:t>d</w:t>
      </w:r>
      <w:r w:rsidR="00E308D2" w:rsidRPr="00FA1A19">
        <w:t>igital assets</w:t>
      </w:r>
      <w:r w:rsidR="00F75232">
        <w:t>’</w:t>
      </w:r>
      <w:r w:rsidR="00E308D2" w:rsidRPr="00FA1A19">
        <w:t xml:space="preserve"> </w:t>
      </w:r>
      <w:r w:rsidR="005920EB" w:rsidRPr="00FA1A19">
        <w:t xml:space="preserve">in the context of and </w:t>
      </w:r>
      <w:r w:rsidRPr="00FA1A19">
        <w:t>for the purposes of</w:t>
      </w:r>
      <w:r w:rsidR="00D36606" w:rsidRPr="00FA1A19">
        <w:t xml:space="preserve"> this </w:t>
      </w:r>
      <w:r w:rsidR="00047407" w:rsidRPr="00FA1A19">
        <w:t>R</w:t>
      </w:r>
      <w:r w:rsidR="00D36606" w:rsidRPr="00FA1A19">
        <w:t xml:space="preserve">eview </w:t>
      </w:r>
      <w:r w:rsidRPr="00FA1A19">
        <w:t>are</w:t>
      </w:r>
      <w:r w:rsidR="00E308D2" w:rsidRPr="00FA1A19">
        <w:t xml:space="preserve"> digital assets that involve </w:t>
      </w:r>
      <w:r w:rsidR="00E308D2" w:rsidRPr="00AD28CB">
        <w:rPr>
          <w:rStyle w:val="Strong"/>
        </w:rPr>
        <w:t>distributed ledger technology</w:t>
      </w:r>
      <w:r w:rsidR="00E308D2" w:rsidRPr="00FA1A19">
        <w:t xml:space="preserve"> and </w:t>
      </w:r>
      <w:r w:rsidR="00E308D2" w:rsidRPr="00AD28CB">
        <w:rPr>
          <w:rStyle w:val="Strong"/>
        </w:rPr>
        <w:t>cryptography</w:t>
      </w:r>
      <w:r w:rsidR="00E308D2" w:rsidRPr="00FA1A19">
        <w:t>.</w:t>
      </w:r>
      <w:r w:rsidR="004F0A51" w:rsidRPr="00FA1A19">
        <w:t xml:space="preserve"> </w:t>
      </w:r>
    </w:p>
    <w:p w14:paraId="56B472B3" w14:textId="73C64429" w:rsidR="00E308D2" w:rsidRDefault="0075665C" w:rsidP="00E308D2">
      <w:r w:rsidRPr="00FA1A19">
        <w:t>These digital assets</w:t>
      </w:r>
      <w:r w:rsidR="00E13BDB" w:rsidRPr="00FA1A19">
        <w:t xml:space="preserve"> are sometimes referred to as </w:t>
      </w:r>
      <w:r w:rsidR="00F75232">
        <w:t>‘</w:t>
      </w:r>
      <w:r w:rsidR="00E13BDB" w:rsidRPr="00FA1A19">
        <w:t>crypto assets</w:t>
      </w:r>
      <w:r w:rsidR="00F75232">
        <w:t>’</w:t>
      </w:r>
      <w:r w:rsidR="00F66B04">
        <w:t xml:space="preserve"> or </w:t>
      </w:r>
      <w:r w:rsidR="00F75232">
        <w:t>‘</w:t>
      </w:r>
      <w:r w:rsidR="00F66B04">
        <w:t>crypto</w:t>
      </w:r>
      <w:r w:rsidR="00F75232">
        <w:t>’</w:t>
      </w:r>
      <w:r w:rsidR="00E13BDB" w:rsidRPr="00FA1A19">
        <w:t>.</w:t>
      </w:r>
      <w:r w:rsidR="004F0A51" w:rsidRPr="00FA1A19">
        <w:t xml:space="preserve"> </w:t>
      </w:r>
      <w:r w:rsidR="00E13BDB" w:rsidRPr="00FA1A19">
        <w:t xml:space="preserve">The terms </w:t>
      </w:r>
      <w:r w:rsidR="00F75232">
        <w:t>‘</w:t>
      </w:r>
      <w:r w:rsidR="00E13BDB" w:rsidRPr="00FA1A19">
        <w:t>digital assets</w:t>
      </w:r>
      <w:r w:rsidR="00F75232">
        <w:t>’</w:t>
      </w:r>
      <w:r w:rsidR="00E13BDB" w:rsidRPr="00FA1A19">
        <w:t xml:space="preserve"> and </w:t>
      </w:r>
      <w:r w:rsidR="00F75232">
        <w:t>‘</w:t>
      </w:r>
      <w:r w:rsidR="00E13BDB" w:rsidRPr="00FA1A19">
        <w:t>crypto assets</w:t>
      </w:r>
      <w:r w:rsidR="00F75232">
        <w:t>’</w:t>
      </w:r>
      <w:r w:rsidR="00E13BDB" w:rsidRPr="00FA1A19">
        <w:t xml:space="preserve"> </w:t>
      </w:r>
      <w:r w:rsidR="00F66B04">
        <w:t xml:space="preserve">or </w:t>
      </w:r>
      <w:r w:rsidR="00F75232">
        <w:t>‘</w:t>
      </w:r>
      <w:r w:rsidR="00F66B04">
        <w:t>crypto</w:t>
      </w:r>
      <w:r w:rsidR="00F75232">
        <w:t>’</w:t>
      </w:r>
      <w:r w:rsidR="00F66B04">
        <w:t xml:space="preserve"> </w:t>
      </w:r>
      <w:r w:rsidR="00E13BDB" w:rsidRPr="00FA1A19">
        <w:t>are used interchangeabl</w:t>
      </w:r>
      <w:r w:rsidR="00781CD9" w:rsidRPr="00FA1A19">
        <w:t>y</w:t>
      </w:r>
      <w:r w:rsidR="00E13BDB" w:rsidRPr="00FA1A19">
        <w:t xml:space="preserve"> in this </w:t>
      </w:r>
      <w:r w:rsidR="00087FF7">
        <w:t>R</w:t>
      </w:r>
      <w:r w:rsidR="00E13BDB" w:rsidRPr="00FA1A19">
        <w:t>eport.</w:t>
      </w:r>
    </w:p>
    <w:p w14:paraId="1DD92015" w14:textId="77777777" w:rsidR="00EB09BD" w:rsidRDefault="00EB09BD" w:rsidP="00EB09BD">
      <w:pPr>
        <w:pStyle w:val="SingleParagraph"/>
      </w:pPr>
    </w:p>
    <w:tbl>
      <w:tblPr>
        <w:tblStyle w:val="BoTObservation"/>
        <w:tblW w:w="5000" w:type="pct"/>
        <w:tblLook w:val="01E0" w:firstRow="1" w:lastRow="1" w:firstColumn="1" w:lastColumn="1" w:noHBand="0" w:noVBand="0"/>
      </w:tblPr>
      <w:tblGrid>
        <w:gridCol w:w="9641"/>
      </w:tblGrid>
      <w:tr w:rsidR="00447359" w:rsidRPr="00FA1A19" w14:paraId="4983ED3E"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84FD3FA" w14:textId="6F2EEB19" w:rsidR="00447359" w:rsidRPr="00FA1A19" w:rsidRDefault="00372633">
            <w:pPr>
              <w:pStyle w:val="BoxHeading1"/>
            </w:pPr>
            <w:r>
              <w:t>Observation </w:t>
            </w:r>
            <w:r w:rsidR="00276FE7">
              <w:t>3</w:t>
            </w:r>
            <w:r w:rsidR="00447359" w:rsidRPr="00FA1A19">
              <w:t>.1</w:t>
            </w:r>
          </w:p>
        </w:tc>
      </w:tr>
      <w:tr w:rsidR="00447359" w:rsidRPr="00FA1A19" w14:paraId="302546C4"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6531520A" w14:textId="04A7C1AD" w:rsidR="00447359" w:rsidRPr="00AF3C5F" w:rsidRDefault="00276FE7">
            <w:pPr>
              <w:rPr>
                <w:rFonts w:asciiTheme="minorHAnsi" w:hAnsiTheme="minorHAnsi" w:cstheme="minorBidi"/>
              </w:rPr>
            </w:pPr>
            <w:r w:rsidRPr="00AF3C5F">
              <w:t>Recognising the background to and context of the Board</w:t>
            </w:r>
            <w:r w:rsidR="00F75232">
              <w:t>’</w:t>
            </w:r>
            <w:r w:rsidRPr="00AF3C5F">
              <w:t xml:space="preserve">s review, in this Report </w:t>
            </w:r>
            <w:r w:rsidR="00F75232">
              <w:t>‘</w:t>
            </w:r>
            <w:r w:rsidRPr="00AF3C5F">
              <w:t>digital</w:t>
            </w:r>
            <w:r w:rsidR="008D06E2" w:rsidRPr="00AF3C5F">
              <w:t xml:space="preserve"> assets</w:t>
            </w:r>
            <w:r w:rsidR="00F75232">
              <w:t>’</w:t>
            </w:r>
            <w:r w:rsidRPr="00AF3C5F">
              <w:t xml:space="preserve"> refers to assets that are </w:t>
            </w:r>
            <w:r w:rsidR="008D06E2" w:rsidRPr="00AF3C5F">
              <w:t xml:space="preserve">now often referred to as </w:t>
            </w:r>
            <w:r w:rsidR="00F75232">
              <w:t>‘</w:t>
            </w:r>
            <w:r w:rsidRPr="00AF3C5F">
              <w:t>crypto</w:t>
            </w:r>
            <w:r w:rsidR="007E49F2" w:rsidRPr="00AF3C5F">
              <w:t xml:space="preserve"> assets</w:t>
            </w:r>
            <w:r w:rsidR="00F75232">
              <w:t>’</w:t>
            </w:r>
            <w:r w:rsidR="00F66B04">
              <w:t xml:space="preserve"> or </w:t>
            </w:r>
            <w:r w:rsidR="00F75232">
              <w:t>‘</w:t>
            </w:r>
            <w:r w:rsidR="00F66B04">
              <w:t>crypto</w:t>
            </w:r>
            <w:r w:rsidR="00F75232">
              <w:t xml:space="preserve">’. </w:t>
            </w:r>
            <w:r w:rsidRPr="00AF3C5F">
              <w:t xml:space="preserve">The terms </w:t>
            </w:r>
            <w:r w:rsidR="00F75232">
              <w:t>‘</w:t>
            </w:r>
            <w:r w:rsidRPr="00AF3C5F">
              <w:t>digital</w:t>
            </w:r>
            <w:r w:rsidR="007E49F2" w:rsidRPr="00AF3C5F">
              <w:t xml:space="preserve"> assets</w:t>
            </w:r>
            <w:r w:rsidR="00F75232">
              <w:t>’</w:t>
            </w:r>
            <w:r w:rsidR="00F66B04">
              <w:t>,</w:t>
            </w:r>
            <w:r w:rsidRPr="00AF3C5F">
              <w:t xml:space="preserve"> </w:t>
            </w:r>
            <w:r w:rsidR="00F75232">
              <w:t>‘</w:t>
            </w:r>
            <w:r w:rsidRPr="00AF3C5F">
              <w:t>crypto</w:t>
            </w:r>
            <w:r w:rsidR="007E49F2" w:rsidRPr="00AF3C5F">
              <w:t xml:space="preserve"> assets</w:t>
            </w:r>
            <w:r w:rsidR="00F75232">
              <w:t>’</w:t>
            </w:r>
            <w:r w:rsidR="00F66B04">
              <w:t xml:space="preserve"> and </w:t>
            </w:r>
            <w:r w:rsidR="00F75232">
              <w:t>‘</w:t>
            </w:r>
            <w:r w:rsidR="00F66B04">
              <w:t>crypto</w:t>
            </w:r>
            <w:r w:rsidR="00F75232">
              <w:t>’</w:t>
            </w:r>
            <w:r w:rsidRPr="00AF3C5F">
              <w:t xml:space="preserve"> are used interchangeably in this Report.</w:t>
            </w:r>
          </w:p>
        </w:tc>
      </w:tr>
    </w:tbl>
    <w:p w14:paraId="3CC34BCD" w14:textId="77777777" w:rsidR="00EB09BD" w:rsidRDefault="00EB09BD" w:rsidP="00EB09BD">
      <w:pPr>
        <w:pStyle w:val="SingleParagraph"/>
      </w:pPr>
    </w:p>
    <w:p w14:paraId="756B66EA" w14:textId="3BDA322A" w:rsidR="00301B95" w:rsidRPr="00FA1A19" w:rsidRDefault="00301B95" w:rsidP="00301B95">
      <w:r w:rsidRPr="00FA1A19">
        <w:t xml:space="preserve">The terms in </w:t>
      </w:r>
      <w:r w:rsidR="00514B13" w:rsidRPr="00FA1A19">
        <w:t xml:space="preserve">bold </w:t>
      </w:r>
      <w:r w:rsidRPr="00FA1A19">
        <w:t xml:space="preserve">in the preceding paragraphs are </w:t>
      </w:r>
      <w:r w:rsidR="00534CEB" w:rsidRPr="00FA1A19">
        <w:t>explained in the following paragraphs</w:t>
      </w:r>
      <w:r w:rsidRPr="00FA1A19">
        <w:t>.</w:t>
      </w:r>
    </w:p>
    <w:p w14:paraId="34581911" w14:textId="77777777" w:rsidR="00301B95" w:rsidRPr="00FA1A19" w:rsidRDefault="00301B95" w:rsidP="0069352C">
      <w:pPr>
        <w:pStyle w:val="Heading2"/>
      </w:pPr>
      <w:bookmarkStart w:id="46" w:name="_Toc159513570"/>
      <w:r w:rsidRPr="00FA1A19">
        <w:t>Distributed ledger technology</w:t>
      </w:r>
      <w:bookmarkEnd w:id="46"/>
    </w:p>
    <w:p w14:paraId="1CC07D8E" w14:textId="5CCD25F2" w:rsidR="00463120" w:rsidRPr="00FA1A19" w:rsidRDefault="00463120" w:rsidP="00342121">
      <w:pPr>
        <w:pStyle w:val="Heading3"/>
      </w:pPr>
      <w:r w:rsidRPr="00FA1A19">
        <w:t>Overview</w:t>
      </w:r>
    </w:p>
    <w:p w14:paraId="223647DC" w14:textId="20FA58D3" w:rsidR="000A5553" w:rsidRPr="00FA1A19" w:rsidRDefault="003E5531" w:rsidP="00301B95">
      <w:r w:rsidRPr="00FA1A19">
        <w:t xml:space="preserve">Distributed ledger technology </w:t>
      </w:r>
      <w:r w:rsidR="00DA4C55">
        <w:t xml:space="preserve">(DLT) </w:t>
      </w:r>
      <w:r w:rsidRPr="00FA1A19">
        <w:t xml:space="preserve">was developed </w:t>
      </w:r>
      <w:r w:rsidR="0013286A" w:rsidRPr="00FA1A19">
        <w:t>to enable assets to be transferred</w:t>
      </w:r>
      <w:r w:rsidR="00AB7054" w:rsidRPr="00FA1A19">
        <w:t xml:space="preserve"> </w:t>
      </w:r>
      <w:r w:rsidR="001E57A8" w:rsidRPr="00FA1A19">
        <w:t>using</w:t>
      </w:r>
      <w:r w:rsidR="00733815" w:rsidRPr="00FA1A19">
        <w:t xml:space="preserve"> the internet</w:t>
      </w:r>
      <w:r w:rsidR="002D67F5" w:rsidRPr="00FA1A19">
        <w:t xml:space="preserve"> </w:t>
      </w:r>
      <w:r w:rsidR="00F9607D" w:rsidRPr="00FA1A19">
        <w:t xml:space="preserve">with </w:t>
      </w:r>
      <w:r w:rsidR="008F670B" w:rsidRPr="00FA1A19">
        <w:t xml:space="preserve">trust </w:t>
      </w:r>
      <w:r w:rsidR="001E57A8" w:rsidRPr="00FA1A19">
        <w:t xml:space="preserve">as to </w:t>
      </w:r>
      <w:r w:rsidR="006C6582" w:rsidRPr="00FA1A19">
        <w:t>the valid</w:t>
      </w:r>
      <w:r w:rsidR="001E57A8" w:rsidRPr="00FA1A19">
        <w:t xml:space="preserve"> ownership of the asset</w:t>
      </w:r>
      <w:r w:rsidR="006C6582" w:rsidRPr="00FA1A19">
        <w:t>,</w:t>
      </w:r>
      <w:r w:rsidR="001E57A8" w:rsidRPr="00FA1A19">
        <w:t xml:space="preserve"> whilst maintaining pseudo</w:t>
      </w:r>
      <w:r w:rsidR="00F75232">
        <w:noBreakHyphen/>
      </w:r>
      <w:r w:rsidR="000A5553" w:rsidRPr="00FA1A19">
        <w:t>anonymity.</w:t>
      </w:r>
      <w:r w:rsidR="004F0A51" w:rsidRPr="00FA1A19">
        <w:t xml:space="preserve"> </w:t>
      </w:r>
      <w:r w:rsidR="000A7EBE" w:rsidRPr="00FA1A19">
        <w:t>It overcame</w:t>
      </w:r>
      <w:r w:rsidR="00644AF2" w:rsidRPr="00FA1A19">
        <w:t xml:space="preserve"> </w:t>
      </w:r>
      <w:r w:rsidR="000A7EBE" w:rsidRPr="00FA1A19">
        <w:t>the</w:t>
      </w:r>
      <w:r w:rsidR="0026645C" w:rsidRPr="00FA1A19">
        <w:t xml:space="preserve"> </w:t>
      </w:r>
      <w:r w:rsidR="00F75232">
        <w:t>‘</w:t>
      </w:r>
      <w:r w:rsidR="00180998" w:rsidRPr="00FA1A19">
        <w:t>double spend</w:t>
      </w:r>
      <w:r w:rsidR="00F75232">
        <w:t>’</w:t>
      </w:r>
      <w:r w:rsidR="00180998" w:rsidRPr="00FA1A19">
        <w:t xml:space="preserve"> problem – that is, the </w:t>
      </w:r>
      <w:r w:rsidR="00644AF2" w:rsidRPr="00FA1A19">
        <w:t>risk that the digital asset transferred was a copy rather than the original</w:t>
      </w:r>
      <w:r w:rsidR="00D25167" w:rsidRPr="00FA1A19">
        <w:t>.</w:t>
      </w:r>
      <w:r w:rsidR="004F0A51" w:rsidRPr="00FA1A19">
        <w:t xml:space="preserve"> </w:t>
      </w:r>
      <w:r w:rsidR="001441A2" w:rsidRPr="00FA1A19">
        <w:t xml:space="preserve">In essence, </w:t>
      </w:r>
      <w:r w:rsidR="00D80B77" w:rsidRPr="00FA1A19">
        <w:t>DLT</w:t>
      </w:r>
      <w:r w:rsidR="001441A2" w:rsidRPr="00FA1A19">
        <w:t xml:space="preserve"> enabled the concept of scarcity and authenticity for digital assets, which was previously not possible.</w:t>
      </w:r>
    </w:p>
    <w:p w14:paraId="23C61D62" w14:textId="20888590" w:rsidR="00A30F9D" w:rsidRPr="00FA1A19" w:rsidRDefault="007C5FDE" w:rsidP="00301B95">
      <w:r w:rsidRPr="00FA1A19">
        <w:t xml:space="preserve">A </w:t>
      </w:r>
      <w:r w:rsidR="00F75232">
        <w:t>‘</w:t>
      </w:r>
      <w:r w:rsidRPr="00FA1A19">
        <w:t>Distributed Ledger</w:t>
      </w:r>
      <w:r w:rsidR="00F75232">
        <w:t>’</w:t>
      </w:r>
      <w:r w:rsidRPr="00FA1A19">
        <w:t xml:space="preserve"> is, in </w:t>
      </w:r>
      <w:r w:rsidR="00746B9D" w:rsidRPr="00FA1A19">
        <w:t>basic</w:t>
      </w:r>
      <w:r w:rsidRPr="00FA1A19">
        <w:t xml:space="preserve"> terms, a </w:t>
      </w:r>
      <w:r w:rsidR="0037353D" w:rsidRPr="00FA1A19">
        <w:t xml:space="preserve">ledger (or </w:t>
      </w:r>
      <w:r w:rsidRPr="00FA1A19">
        <w:t>record</w:t>
      </w:r>
      <w:r w:rsidR="0037353D" w:rsidRPr="00FA1A19">
        <w:t>)</w:t>
      </w:r>
      <w:r w:rsidRPr="00FA1A19">
        <w:t xml:space="preserve"> that is </w:t>
      </w:r>
      <w:r w:rsidR="0037353D" w:rsidRPr="00FA1A19">
        <w:t>distributed (</w:t>
      </w:r>
      <w:r w:rsidR="00CB2EEE" w:rsidRPr="00FA1A19">
        <w:t>or dispersed) across various locations</w:t>
      </w:r>
      <w:r w:rsidR="00796F38" w:rsidRPr="00FA1A19">
        <w:t xml:space="preserve"> (or nodes)</w:t>
      </w:r>
      <w:r w:rsidR="00CB2EEE" w:rsidRPr="00FA1A19">
        <w:t>, with each location maintaining an identical record</w:t>
      </w:r>
      <w:r w:rsidR="008B3787" w:rsidRPr="00FA1A19">
        <w:t xml:space="preserve"> of the ledger</w:t>
      </w:r>
      <w:r w:rsidR="00CB2EEE" w:rsidRPr="00FA1A19">
        <w:t>.</w:t>
      </w:r>
      <w:r w:rsidR="004F0A51" w:rsidRPr="00FA1A19">
        <w:t xml:space="preserve"> </w:t>
      </w:r>
      <w:r w:rsidR="00050922" w:rsidRPr="00FA1A19">
        <w:t xml:space="preserve">In the crypto </w:t>
      </w:r>
      <w:r w:rsidR="00AD09A9" w:rsidRPr="00FA1A19">
        <w:t xml:space="preserve">ecosystem, </w:t>
      </w:r>
      <w:r w:rsidR="00094BCF" w:rsidRPr="00FA1A19">
        <w:t xml:space="preserve">the </w:t>
      </w:r>
      <w:r w:rsidR="00DB67DD" w:rsidRPr="00FA1A19">
        <w:t xml:space="preserve">ledger contains </w:t>
      </w:r>
      <w:r w:rsidR="00081AE2" w:rsidRPr="00FA1A19">
        <w:t xml:space="preserve">the detail of every past transaction in </w:t>
      </w:r>
      <w:r w:rsidR="00B3068F" w:rsidRPr="00FA1A19">
        <w:t xml:space="preserve">the </w:t>
      </w:r>
      <w:r w:rsidR="00081AE2" w:rsidRPr="00FA1A19">
        <w:t>crypto asset</w:t>
      </w:r>
      <w:r w:rsidR="002B2E68" w:rsidRPr="00FA1A19">
        <w:t>s</w:t>
      </w:r>
      <w:r w:rsidR="008B7D3C" w:rsidRPr="00FA1A19">
        <w:t xml:space="preserve"> that are recorded on the ledger</w:t>
      </w:r>
      <w:r w:rsidR="00F944FB" w:rsidRPr="00FA1A19">
        <w:t xml:space="preserve">, </w:t>
      </w:r>
      <w:r w:rsidR="00E74199" w:rsidRPr="00FA1A19">
        <w:t>in</w:t>
      </w:r>
      <w:r w:rsidR="00F944FB" w:rsidRPr="00FA1A19">
        <w:t xml:space="preserve"> encrypted </w:t>
      </w:r>
      <w:r w:rsidR="00E74199" w:rsidRPr="00FA1A19">
        <w:t>form.</w:t>
      </w:r>
      <w:r w:rsidR="004F0A51" w:rsidRPr="00FA1A19">
        <w:t xml:space="preserve"> </w:t>
      </w:r>
      <w:r w:rsidR="006477A5" w:rsidRPr="00FA1A19">
        <w:t>Each node</w:t>
      </w:r>
      <w:r w:rsidR="0081758A" w:rsidRPr="00170ADC">
        <w:rPr>
          <w:rStyle w:val="FootnoteReference"/>
        </w:rPr>
        <w:footnoteReference w:id="57"/>
      </w:r>
      <w:r w:rsidR="006477A5" w:rsidRPr="00FA1A19">
        <w:t xml:space="preserve"> </w:t>
      </w:r>
      <w:r w:rsidR="008F7F68" w:rsidRPr="00FA1A19">
        <w:t>maintains a separate and identical copy of the ledger.</w:t>
      </w:r>
      <w:r w:rsidR="004F0A51" w:rsidRPr="00FA1A19">
        <w:t xml:space="preserve"> </w:t>
      </w:r>
      <w:r w:rsidR="00EC6AE2" w:rsidRPr="00FA1A19">
        <w:t>Any</w:t>
      </w:r>
      <w:r w:rsidR="00B55E13" w:rsidRPr="00FA1A19">
        <w:t xml:space="preserve"> new transaction </w:t>
      </w:r>
      <w:r w:rsidR="00EC6AE2" w:rsidRPr="00FA1A19">
        <w:t>in</w:t>
      </w:r>
      <w:r w:rsidR="008802B1" w:rsidRPr="00FA1A19">
        <w:t>volving</w:t>
      </w:r>
      <w:r w:rsidR="00B55E13" w:rsidRPr="00FA1A19">
        <w:t xml:space="preserve"> crypto asset</w:t>
      </w:r>
      <w:r w:rsidR="001323FE" w:rsidRPr="00FA1A19">
        <w:t>s</w:t>
      </w:r>
      <w:r w:rsidR="00B55E13" w:rsidRPr="00FA1A19">
        <w:t xml:space="preserve"> </w:t>
      </w:r>
      <w:r w:rsidR="00EC6AE2" w:rsidRPr="00FA1A19">
        <w:t xml:space="preserve">will only be added to the ledger </w:t>
      </w:r>
      <w:r w:rsidR="00FC2991" w:rsidRPr="00FA1A19">
        <w:t xml:space="preserve">after </w:t>
      </w:r>
      <w:r w:rsidR="00947431" w:rsidRPr="00FA1A19">
        <w:t xml:space="preserve">the nodes reach </w:t>
      </w:r>
      <w:r w:rsidR="00F75232">
        <w:t>‘</w:t>
      </w:r>
      <w:r w:rsidR="00947431" w:rsidRPr="00FA1A19">
        <w:t>consensus</w:t>
      </w:r>
      <w:r w:rsidR="00F75232">
        <w:t>’</w:t>
      </w:r>
      <w:r w:rsidR="00947431" w:rsidRPr="00FA1A19">
        <w:t xml:space="preserve"> that the transaction is </w:t>
      </w:r>
      <w:r w:rsidR="00F75232">
        <w:t>‘</w:t>
      </w:r>
      <w:r w:rsidR="00947431" w:rsidRPr="00FA1A19">
        <w:t>valid</w:t>
      </w:r>
      <w:r w:rsidR="00F75232">
        <w:t>’</w:t>
      </w:r>
      <w:r w:rsidR="00CD0728" w:rsidRPr="00FA1A19">
        <w:t xml:space="preserve"> (which includes </w:t>
      </w:r>
      <w:r w:rsidR="00E859B2" w:rsidRPr="00FA1A19">
        <w:t xml:space="preserve">validating that </w:t>
      </w:r>
      <w:r w:rsidR="002C4435" w:rsidRPr="00FA1A19">
        <w:t xml:space="preserve">the </w:t>
      </w:r>
      <w:r w:rsidR="00E859B2" w:rsidRPr="00FA1A19">
        <w:t>asserted ownership</w:t>
      </w:r>
      <w:r w:rsidR="00FA5945" w:rsidRPr="00FA1A19">
        <w:t xml:space="preserve"> of the </w:t>
      </w:r>
      <w:r w:rsidR="00E641BB" w:rsidRPr="00FA1A19">
        <w:t xml:space="preserve">crypto </w:t>
      </w:r>
      <w:r w:rsidR="00FA5945" w:rsidRPr="00FA1A19">
        <w:t>asset</w:t>
      </w:r>
      <w:r w:rsidR="001323FE" w:rsidRPr="00FA1A19">
        <w:t>s</w:t>
      </w:r>
      <w:r w:rsidR="00FA5945" w:rsidRPr="00FA1A19">
        <w:t xml:space="preserve"> </w:t>
      </w:r>
      <w:r w:rsidR="00E859B2" w:rsidRPr="00FA1A19">
        <w:t xml:space="preserve">is consistent with </w:t>
      </w:r>
      <w:r w:rsidR="00372137" w:rsidRPr="00FA1A19">
        <w:t xml:space="preserve">the </w:t>
      </w:r>
      <w:r w:rsidR="00E859B2" w:rsidRPr="00FA1A19">
        <w:t>chain</w:t>
      </w:r>
      <w:r w:rsidR="00FA5945" w:rsidRPr="00FA1A19">
        <w:t xml:space="preserve"> of </w:t>
      </w:r>
      <w:r w:rsidR="001323FE" w:rsidRPr="00FA1A19">
        <w:t xml:space="preserve">transactions </w:t>
      </w:r>
      <w:r w:rsidR="00E859B2" w:rsidRPr="00FA1A19">
        <w:t>on the ledger)</w:t>
      </w:r>
      <w:r w:rsidR="00BC07F7" w:rsidRPr="00FA1A19">
        <w:t>.</w:t>
      </w:r>
      <w:r w:rsidR="004F0A51" w:rsidRPr="00FA1A19">
        <w:t xml:space="preserve"> </w:t>
      </w:r>
      <w:r w:rsidR="001070DA" w:rsidRPr="00FA1A19">
        <w:t>Holders</w:t>
      </w:r>
      <w:r w:rsidR="000B12AE" w:rsidRPr="00FA1A19">
        <w:t xml:space="preserve"> of crypto assets can </w:t>
      </w:r>
      <w:r w:rsidR="00902108" w:rsidRPr="00FA1A19">
        <w:t>initiate transactions with</w:t>
      </w:r>
      <w:r w:rsidR="00166EF7" w:rsidRPr="00FA1A19">
        <w:t xml:space="preserve"> </w:t>
      </w:r>
      <w:r w:rsidR="00372137" w:rsidRPr="00FA1A19">
        <w:t>their</w:t>
      </w:r>
      <w:r w:rsidR="00166EF7" w:rsidRPr="00FA1A19">
        <w:t xml:space="preserve"> </w:t>
      </w:r>
      <w:r w:rsidR="004B426D" w:rsidRPr="00FA1A19">
        <w:t xml:space="preserve">crypto </w:t>
      </w:r>
      <w:r w:rsidR="00166EF7" w:rsidRPr="00FA1A19">
        <w:t>assets</w:t>
      </w:r>
      <w:r w:rsidR="00CA311D" w:rsidRPr="00FA1A19">
        <w:t xml:space="preserve"> </w:t>
      </w:r>
      <w:r w:rsidR="00CB4609" w:rsidRPr="00FA1A19">
        <w:t xml:space="preserve">only by using their </w:t>
      </w:r>
      <w:r w:rsidR="00DE68EB" w:rsidRPr="00FA1A19">
        <w:t>unique</w:t>
      </w:r>
      <w:r w:rsidR="00CA311D" w:rsidRPr="00FA1A19">
        <w:t xml:space="preserve"> </w:t>
      </w:r>
      <w:r w:rsidR="00F75232">
        <w:t>‘</w:t>
      </w:r>
      <w:r w:rsidR="00CA311D" w:rsidRPr="00FA1A19">
        <w:t>private key</w:t>
      </w:r>
      <w:r w:rsidR="00F75232">
        <w:t>’</w:t>
      </w:r>
      <w:r w:rsidR="00DE68EB" w:rsidRPr="00FA1A19">
        <w:t xml:space="preserve">, which is distinguished from the </w:t>
      </w:r>
      <w:r w:rsidR="00F75232">
        <w:t>‘</w:t>
      </w:r>
      <w:r w:rsidR="00DE68EB" w:rsidRPr="00FA1A19">
        <w:t>public key</w:t>
      </w:r>
      <w:r w:rsidR="00F75232">
        <w:t>’</w:t>
      </w:r>
      <w:r w:rsidR="00DE68EB" w:rsidRPr="00FA1A19">
        <w:t xml:space="preserve"> by which they are </w:t>
      </w:r>
      <w:r w:rsidR="000E42C6" w:rsidRPr="00FA1A19">
        <w:t>publicly identified</w:t>
      </w:r>
      <w:r w:rsidR="00DD6525" w:rsidRPr="00FA1A19">
        <w:t xml:space="preserve"> on the ledger</w:t>
      </w:r>
      <w:r w:rsidR="00DE68EB" w:rsidRPr="00FA1A19">
        <w:t>.</w:t>
      </w:r>
    </w:p>
    <w:p w14:paraId="21D4D3D4" w14:textId="589FA1C4" w:rsidR="005D2EB5" w:rsidRPr="00FA1A19" w:rsidRDefault="005D2EB5" w:rsidP="00342121">
      <w:pPr>
        <w:pStyle w:val="Heading3"/>
      </w:pPr>
      <w:r w:rsidRPr="00FA1A19">
        <w:t>Background</w:t>
      </w:r>
    </w:p>
    <w:p w14:paraId="32C676F8" w14:textId="359CDA71" w:rsidR="00301B95" w:rsidRPr="00FA1A19" w:rsidRDefault="00733388" w:rsidP="00301B95">
      <w:r w:rsidRPr="00FA1A19">
        <w:t>In 2017, t</w:t>
      </w:r>
      <w:r w:rsidR="00301B95" w:rsidRPr="00FA1A19">
        <w:t xml:space="preserve">he background to DLT </w:t>
      </w:r>
      <w:r w:rsidRPr="00FA1A19">
        <w:t xml:space="preserve">was </w:t>
      </w:r>
      <w:r w:rsidR="00301B95" w:rsidRPr="00FA1A19">
        <w:t>explained as follows:</w:t>
      </w:r>
    </w:p>
    <w:p w14:paraId="02CEE11D" w14:textId="49AD4C15" w:rsidR="00301B95" w:rsidRPr="00E62825" w:rsidRDefault="00301B95" w:rsidP="00991EBC">
      <w:pPr>
        <w:pStyle w:val="Quote"/>
        <w:rPr>
          <w:spacing w:val="-2"/>
        </w:rPr>
      </w:pPr>
      <w:r w:rsidRPr="00E62825">
        <w:rPr>
          <w:spacing w:val="-2"/>
        </w:rPr>
        <w:t>DLT comes on the heels of several peer</w:t>
      </w:r>
      <w:r w:rsidR="00F75232" w:rsidRPr="00E62825">
        <w:rPr>
          <w:spacing w:val="-2"/>
        </w:rPr>
        <w:noBreakHyphen/>
      </w:r>
      <w:r w:rsidRPr="00E62825">
        <w:rPr>
          <w:spacing w:val="-2"/>
        </w:rPr>
        <w:t>to</w:t>
      </w:r>
      <w:r w:rsidR="00F75232" w:rsidRPr="00E62825">
        <w:rPr>
          <w:spacing w:val="-2"/>
        </w:rPr>
        <w:noBreakHyphen/>
      </w:r>
      <w:r w:rsidRPr="00E62825">
        <w:rPr>
          <w:spacing w:val="-2"/>
        </w:rPr>
        <w:t>peer (P2P) technologies enabled by the internet, such as email, sharing music or other media files, and internet telephony.</w:t>
      </w:r>
      <w:r w:rsidR="004F0A51" w:rsidRPr="00E62825">
        <w:rPr>
          <w:spacing w:val="-2"/>
        </w:rPr>
        <w:t xml:space="preserve"> </w:t>
      </w:r>
      <w:r w:rsidRPr="00E62825">
        <w:rPr>
          <w:spacing w:val="-2"/>
        </w:rPr>
        <w:t>However, internet</w:t>
      </w:r>
      <w:r w:rsidR="00F75232" w:rsidRPr="00E62825">
        <w:rPr>
          <w:spacing w:val="-2"/>
        </w:rPr>
        <w:noBreakHyphen/>
      </w:r>
      <w:r w:rsidRPr="00E62825">
        <w:rPr>
          <w:spacing w:val="-2"/>
        </w:rPr>
        <w:t>based transfers of asset ownership have long been elusive, as this requires ensuring that an asset is only transferred by its true owner and ensuring that the asset cannot be transferred more than once, i.e. no double</w:t>
      </w:r>
      <w:r w:rsidR="00F75232" w:rsidRPr="00E62825">
        <w:rPr>
          <w:spacing w:val="-2"/>
        </w:rPr>
        <w:noBreakHyphen/>
      </w:r>
      <w:r w:rsidRPr="00E62825">
        <w:rPr>
          <w:spacing w:val="-2"/>
        </w:rPr>
        <w:t>spend.</w:t>
      </w:r>
      <w:r w:rsidR="004F0A51" w:rsidRPr="00E62825">
        <w:rPr>
          <w:spacing w:val="-2"/>
        </w:rPr>
        <w:t xml:space="preserve"> </w:t>
      </w:r>
      <w:r w:rsidRPr="00E62825">
        <w:rPr>
          <w:spacing w:val="-2"/>
        </w:rPr>
        <w:t>The asset in question could be anything of value.</w:t>
      </w:r>
    </w:p>
    <w:p w14:paraId="559EC0EB" w14:textId="71325C06" w:rsidR="00301B95" w:rsidRPr="00FA1A19" w:rsidRDefault="00301B95" w:rsidP="00991EBC">
      <w:pPr>
        <w:pStyle w:val="Quote"/>
      </w:pPr>
      <w:r w:rsidRPr="00FA1A19">
        <w:t xml:space="preserve">In 2008, a landmark paper written by an as yet unidentified person using the pseudonym Satoshi Nakamoto, </w:t>
      </w:r>
      <w:r w:rsidR="00F75232">
        <w:t>‘</w:t>
      </w:r>
      <w:r w:rsidRPr="00FA1A19">
        <w:t>Bitcoin: A Peer</w:t>
      </w:r>
      <w:r w:rsidR="00F75232">
        <w:noBreakHyphen/>
      </w:r>
      <w:r w:rsidRPr="00FA1A19">
        <w:t>to</w:t>
      </w:r>
      <w:r w:rsidR="00F75232">
        <w:noBreakHyphen/>
      </w:r>
      <w:r w:rsidRPr="00FA1A19">
        <w:t>Peer Electronic Cash System</w:t>
      </w:r>
      <w:r w:rsidR="00F75232">
        <w:t>’</w:t>
      </w:r>
      <w:r w:rsidRPr="00FA1A19">
        <w:t xml:space="preserve">, proposed a novel approach to transferring </w:t>
      </w:r>
      <w:r w:rsidR="00F75232">
        <w:t>‘</w:t>
      </w:r>
      <w:r w:rsidRPr="00FA1A19">
        <w:t>funds</w:t>
      </w:r>
      <w:r w:rsidR="00F75232">
        <w:t>’</w:t>
      </w:r>
      <w:r w:rsidRPr="00FA1A19">
        <w:t xml:space="preserve"> in the form of </w:t>
      </w:r>
      <w:r w:rsidR="00F75232">
        <w:t>‘</w:t>
      </w:r>
      <w:r w:rsidRPr="00FA1A19">
        <w:t>Bitcoin</w:t>
      </w:r>
      <w:r w:rsidR="00F75232">
        <w:t>’</w:t>
      </w:r>
      <w:r w:rsidRPr="00FA1A19">
        <w:t xml:space="preserve"> in a P2P manner. The underlying technology for Bitcoin outlined in Nakamoto</w:t>
      </w:r>
      <w:r w:rsidR="00F75232">
        <w:t>’</w:t>
      </w:r>
      <w:r w:rsidRPr="00FA1A19">
        <w:t>s paper was termed Blockchain, which refers to a particular way of organizing and storing information and transactions.</w:t>
      </w:r>
      <w:r w:rsidR="004F0A51" w:rsidRPr="00FA1A19">
        <w:t xml:space="preserve"> </w:t>
      </w:r>
      <w:r w:rsidRPr="00FA1A19">
        <w:t xml:space="preserve">Subsequently, other ways of organizing information and transactions for asset transfers in a P2P manner were devised – leading to the term </w:t>
      </w:r>
      <w:r w:rsidR="00F75232">
        <w:t>“</w:t>
      </w:r>
      <w:r w:rsidRPr="00FA1A19">
        <w:t>Distributed Ledger Technology</w:t>
      </w:r>
      <w:r w:rsidR="00F75232">
        <w:t>’</w:t>
      </w:r>
      <w:r w:rsidRPr="00FA1A19">
        <w:t xml:space="preserve"> (DLT) to refer to the broader category of technologies.</w:t>
      </w:r>
    </w:p>
    <w:p w14:paraId="465BD7BB" w14:textId="0179B3DF" w:rsidR="00301B95" w:rsidRPr="00FA1A19" w:rsidRDefault="00301B95" w:rsidP="00991EBC">
      <w:pPr>
        <w:pStyle w:val="Quote"/>
      </w:pPr>
      <w:r w:rsidRPr="00FA1A19">
        <w:t>DLT refers to a novel and fast</w:t>
      </w:r>
      <w:r w:rsidR="00F75232">
        <w:noBreakHyphen/>
      </w:r>
      <w:r w:rsidRPr="00FA1A19">
        <w:t>evolving approach to recording and sharing data across multiple data stores (ledgers), which each have the exact same data records and are collectively maintained and controlled by a distributed network of computer servers, which are called nodes</w:t>
      </w:r>
      <w:r w:rsidR="00733388" w:rsidRPr="00FA1A19">
        <w:t>.</w:t>
      </w:r>
      <w:r w:rsidR="004F0A51" w:rsidRPr="00FA1A19">
        <w:t xml:space="preserve"> </w:t>
      </w:r>
      <w:r w:rsidR="006A7BDF" w:rsidRPr="00FA1A19">
        <w:t>One way to think abou</w:t>
      </w:r>
      <w:r w:rsidR="00733388" w:rsidRPr="00FA1A19">
        <w:t>t</w:t>
      </w:r>
      <w:r w:rsidR="006A7BDF" w:rsidRPr="00FA1A19">
        <w:t xml:space="preserve"> DLT is that it is simply a distributed database with certain specific properties</w:t>
      </w:r>
      <w:r w:rsidRPr="00FA1A19">
        <w:t>.</w:t>
      </w:r>
      <w:r w:rsidRPr="00170ADC">
        <w:rPr>
          <w:rStyle w:val="FootnoteReference"/>
        </w:rPr>
        <w:footnoteReference w:id="58"/>
      </w:r>
      <w:r w:rsidR="004F0A51" w:rsidRPr="00FA1A19">
        <w:t xml:space="preserve"> </w:t>
      </w:r>
    </w:p>
    <w:p w14:paraId="1C8EE3DC" w14:textId="610EE955" w:rsidR="00404B5D" w:rsidRPr="00FA1A19" w:rsidRDefault="00404B5D" w:rsidP="006E60A3">
      <w:r w:rsidRPr="00FA1A19">
        <w:t>Two core attributes of a DLT</w:t>
      </w:r>
      <w:r w:rsidR="00F75232">
        <w:noBreakHyphen/>
      </w:r>
      <w:r w:rsidRPr="00FA1A19">
        <w:t>based infrastructure are:</w:t>
      </w:r>
    </w:p>
    <w:p w14:paraId="30C82BFD" w14:textId="0051A598" w:rsidR="00404B5D" w:rsidRPr="00FA1A19" w:rsidRDefault="008A642D" w:rsidP="00C17225">
      <w:pPr>
        <w:pStyle w:val="Bullet"/>
      </w:pPr>
      <w:r w:rsidRPr="00FA1A19">
        <w:t xml:space="preserve">the </w:t>
      </w:r>
      <w:r w:rsidR="00404B5D" w:rsidRPr="00FA1A19">
        <w:rPr>
          <w:rFonts w:asciiTheme="minorHAnsi" w:hAnsiTheme="minorHAnsi" w:cstheme="minorHAnsi"/>
          <w:color w:val="333333"/>
        </w:rPr>
        <w:t>ability</w:t>
      </w:r>
      <w:r w:rsidR="00404B5D" w:rsidRPr="00FA1A19">
        <w:t xml:space="preserve"> to store, record and exchange </w:t>
      </w:r>
      <w:r w:rsidR="00F75232">
        <w:t>‘</w:t>
      </w:r>
      <w:r w:rsidR="00404B5D" w:rsidRPr="00FA1A19">
        <w:t>information</w:t>
      </w:r>
      <w:r w:rsidR="00F75232">
        <w:t>’</w:t>
      </w:r>
      <w:r w:rsidR="00404B5D" w:rsidRPr="00FA1A19">
        <w:t xml:space="preserve"> in digital form across different, self</w:t>
      </w:r>
      <w:r w:rsidR="00F75232">
        <w:noBreakHyphen/>
      </w:r>
      <w:r w:rsidR="00404B5D" w:rsidRPr="00FA1A19">
        <w:rPr>
          <w:rFonts w:asciiTheme="minorHAnsi" w:hAnsiTheme="minorHAnsi" w:cstheme="minorHAnsi"/>
          <w:color w:val="333333"/>
        </w:rPr>
        <w:t>interested</w:t>
      </w:r>
      <w:r w:rsidR="00404B5D" w:rsidRPr="00FA1A19">
        <w:t xml:space="preserve"> counterparties without the need for a central record</w:t>
      </w:r>
      <w:r w:rsidR="00F75232">
        <w:noBreakHyphen/>
      </w:r>
      <w:r w:rsidR="00404B5D" w:rsidRPr="00FA1A19">
        <w:t>keeper (i.e. peer</w:t>
      </w:r>
      <w:r w:rsidR="00F75232">
        <w:noBreakHyphen/>
      </w:r>
      <w:r w:rsidR="00404B5D" w:rsidRPr="00FA1A19">
        <w:t>to</w:t>
      </w:r>
      <w:r w:rsidR="00F75232">
        <w:noBreakHyphen/>
      </w:r>
      <w:r w:rsidR="00404B5D" w:rsidRPr="00FA1A19">
        <w:t>peer) and without the need for trust among counterparties</w:t>
      </w:r>
    </w:p>
    <w:p w14:paraId="0A4C642D" w14:textId="141F1297" w:rsidR="00404B5D" w:rsidRPr="00FA1A19" w:rsidRDefault="00404B5D" w:rsidP="00C17225">
      <w:pPr>
        <w:pStyle w:val="Bullet"/>
      </w:pPr>
      <w:r w:rsidRPr="00FA1A19">
        <w:rPr>
          <w:rFonts w:asciiTheme="minorHAnsi" w:hAnsiTheme="minorHAnsi" w:cstheme="minorHAnsi"/>
          <w:color w:val="333333"/>
        </w:rPr>
        <w:t>ensuring</w:t>
      </w:r>
      <w:r w:rsidRPr="00FA1A19">
        <w:t xml:space="preserve"> there is no </w:t>
      </w:r>
      <w:r w:rsidR="00F75232">
        <w:t>‘</w:t>
      </w:r>
      <w:r w:rsidRPr="00FA1A19">
        <w:t>double</w:t>
      </w:r>
      <w:r w:rsidR="00F75232">
        <w:noBreakHyphen/>
      </w:r>
      <w:r w:rsidRPr="00FA1A19">
        <w:t>spend</w:t>
      </w:r>
      <w:r w:rsidR="00F75232">
        <w:t>’</w:t>
      </w:r>
      <w:r w:rsidRPr="00FA1A19">
        <w:t xml:space="preserve"> (i.e. the same asset or token cannot be sent to multiple parties).</w:t>
      </w:r>
    </w:p>
    <w:p w14:paraId="5F4F54B4" w14:textId="40563939" w:rsidR="005D2EB5" w:rsidRPr="00FA1A19" w:rsidRDefault="005D2EB5" w:rsidP="00342121">
      <w:pPr>
        <w:pStyle w:val="Heading3"/>
      </w:pPr>
      <w:r w:rsidRPr="00FA1A19">
        <w:t>Key Features of DLT</w:t>
      </w:r>
    </w:p>
    <w:p w14:paraId="4C70020A" w14:textId="23827857" w:rsidR="00301B95" w:rsidRPr="00FA1A19" w:rsidRDefault="00301B95" w:rsidP="00301B95">
      <w:r w:rsidRPr="00FA1A19">
        <w:t>There are three features that are generally considered key to the effectiveness of DLT:</w:t>
      </w:r>
      <w:r w:rsidRPr="00170ADC">
        <w:rPr>
          <w:rStyle w:val="FootnoteReference"/>
        </w:rPr>
        <w:footnoteReference w:id="59"/>
      </w:r>
    </w:p>
    <w:p w14:paraId="000B2310" w14:textId="43FB359B" w:rsidR="00301B95" w:rsidRPr="00FA1A19" w:rsidRDefault="0005354E" w:rsidP="000A721C">
      <w:pPr>
        <w:pStyle w:val="OutlineNumbered1"/>
        <w:numPr>
          <w:ilvl w:val="0"/>
          <w:numId w:val="30"/>
        </w:numPr>
      </w:pPr>
      <w:r>
        <w:t>T</w:t>
      </w:r>
      <w:r w:rsidRPr="00FA1A19">
        <w:t xml:space="preserve">he </w:t>
      </w:r>
      <w:r w:rsidR="00301B95" w:rsidRPr="00FA1A19">
        <w:t>distributed nature of the ledger</w:t>
      </w:r>
      <w:r>
        <w:t>.</w:t>
      </w:r>
    </w:p>
    <w:p w14:paraId="464CBFBB" w14:textId="34AE5707" w:rsidR="00301B95" w:rsidRPr="00FA1A19" w:rsidRDefault="0005354E" w:rsidP="004E10B5">
      <w:pPr>
        <w:pStyle w:val="OutlineNumbered1"/>
        <w:numPr>
          <w:ilvl w:val="0"/>
          <w:numId w:val="30"/>
        </w:numPr>
      </w:pPr>
      <w:r>
        <w:t>A</w:t>
      </w:r>
      <w:r w:rsidRPr="00FA1A19">
        <w:t xml:space="preserve"> </w:t>
      </w:r>
      <w:r w:rsidR="00301B95" w:rsidRPr="00FA1A19">
        <w:t>consensus mechanism</w:t>
      </w:r>
      <w:r>
        <w:t>.</w:t>
      </w:r>
    </w:p>
    <w:p w14:paraId="09643524" w14:textId="7A5B2A6D" w:rsidR="00301B95" w:rsidRPr="00FA1A19" w:rsidRDefault="0005354E" w:rsidP="004E10B5">
      <w:pPr>
        <w:pStyle w:val="OutlineNumbered1"/>
        <w:numPr>
          <w:ilvl w:val="0"/>
          <w:numId w:val="30"/>
        </w:numPr>
      </w:pPr>
      <w:r>
        <w:t>C</w:t>
      </w:r>
      <w:r w:rsidRPr="00FA1A19">
        <w:t xml:space="preserve">ryptographic </w:t>
      </w:r>
      <w:r w:rsidR="00301B95" w:rsidRPr="00FA1A19">
        <w:t>mechanisms.</w:t>
      </w:r>
      <w:r w:rsidR="00301B95" w:rsidRPr="00170ADC">
        <w:rPr>
          <w:rStyle w:val="FootnoteReference"/>
        </w:rPr>
        <w:footnoteReference w:id="60"/>
      </w:r>
    </w:p>
    <w:p w14:paraId="64575CC6" w14:textId="61CF713F" w:rsidR="00301B95" w:rsidRPr="00FA1A19" w:rsidRDefault="00D12660" w:rsidP="0069352C">
      <w:pPr>
        <w:pStyle w:val="Heading4"/>
      </w:pPr>
      <w:r>
        <w:t xml:space="preserve">1. </w:t>
      </w:r>
      <w:r w:rsidR="00301B95" w:rsidRPr="00FA1A19">
        <w:t>Distributed nature of the ledger</w:t>
      </w:r>
    </w:p>
    <w:p w14:paraId="068F08B3" w14:textId="55E1AB28" w:rsidR="00301B95" w:rsidRPr="00FA1A19" w:rsidRDefault="00301B95" w:rsidP="00991EBC">
      <w:r w:rsidRPr="00FA1A19">
        <w:t xml:space="preserve">The distributed nature of the ledger means that </w:t>
      </w:r>
      <w:r w:rsidR="00F75232">
        <w:t>‘</w:t>
      </w:r>
      <w:r w:rsidRPr="00FA1A19">
        <w:t>no single entity in the network can amend past data entries in the ledgers and no single entity can approve new additions to the ledger.</w:t>
      </w:r>
      <w:r w:rsidR="004F0A51" w:rsidRPr="00FA1A19">
        <w:t xml:space="preserve"> </w:t>
      </w:r>
      <w:r w:rsidRPr="00FA1A19">
        <w:t>Instead, a pre</w:t>
      </w:r>
      <w:r w:rsidR="00F75232">
        <w:noBreakHyphen/>
      </w:r>
      <w:r w:rsidRPr="00FA1A19">
        <w:t>defined, decentralized consensus mechanism is used to validate new entries in the ledger…</w:t>
      </w:r>
      <w:r w:rsidR="00F75232">
        <w:t>’</w:t>
      </w:r>
      <w:r w:rsidRPr="00FA1A19">
        <w:t xml:space="preserve"> There exists, at any point in time, only one version of the ledger and each network participant owns a full and up</w:t>
      </w:r>
      <w:r w:rsidR="00F75232">
        <w:noBreakHyphen/>
      </w:r>
      <w:r w:rsidRPr="00FA1A19">
        <w:t>to</w:t>
      </w:r>
      <w:r w:rsidR="00F75232">
        <w:noBreakHyphen/>
      </w:r>
      <w:r w:rsidRPr="00FA1A19">
        <w:t>date copy of the entire ledger.</w:t>
      </w:r>
      <w:r w:rsidR="004F0A51" w:rsidRPr="00FA1A19">
        <w:t xml:space="preserve"> </w:t>
      </w:r>
      <w:r w:rsidRPr="00FA1A19">
        <w:t>Every local addition to the ledger by a network participant is propagated to all nodes.</w:t>
      </w:r>
      <w:r w:rsidR="004F0A51" w:rsidRPr="00FA1A19">
        <w:t xml:space="preserve"> </w:t>
      </w:r>
      <w:r w:rsidRPr="00FA1A19">
        <w:t>After validation is accepted, the new transaction is added to all respective ledgers to ensure data consistency across the entire network.</w:t>
      </w:r>
      <w:r w:rsidR="00F75232">
        <w:t>’</w:t>
      </w:r>
      <w:r w:rsidRPr="00170ADC">
        <w:rPr>
          <w:rStyle w:val="FootnoteReference"/>
        </w:rPr>
        <w:footnoteReference w:id="61"/>
      </w:r>
    </w:p>
    <w:p w14:paraId="384D7CAA" w14:textId="6D96AA8E" w:rsidR="00301B95" w:rsidRPr="00FA1A19" w:rsidRDefault="00C8060B" w:rsidP="0069352C">
      <w:pPr>
        <w:pStyle w:val="Heading4"/>
      </w:pPr>
      <w:r w:rsidRPr="00FA1A19">
        <w:t>2.</w:t>
      </w:r>
      <w:r w:rsidR="00D12660">
        <w:t xml:space="preserve"> </w:t>
      </w:r>
      <w:r w:rsidR="00301B95" w:rsidRPr="00FA1A19">
        <w:t xml:space="preserve">Consensus </w:t>
      </w:r>
      <w:r w:rsidR="00661E10" w:rsidRPr="00FA1A19">
        <w:t>mechanism</w:t>
      </w:r>
    </w:p>
    <w:p w14:paraId="0FB46419" w14:textId="3AC38800" w:rsidR="00301B95" w:rsidRPr="00FA1A19" w:rsidRDefault="00301B95" w:rsidP="00991EBC">
      <w:r w:rsidRPr="00FA1A19">
        <w:t xml:space="preserve">The existence of a consensus mechanism as part of a DLT platform </w:t>
      </w:r>
      <w:r w:rsidR="00F75232">
        <w:t>‘</w:t>
      </w:r>
      <w:r w:rsidRPr="00FA1A19">
        <w:t>requires the participants in the network (nodes) to reach a consensus regarding the validity of new data entries by following a set of rules … which is specified in the algorithmic design of the [distributed ledger].</w:t>
      </w:r>
      <w:r w:rsidR="00F75232">
        <w:t>’</w:t>
      </w:r>
      <w:r w:rsidR="00530760" w:rsidRPr="00170ADC">
        <w:rPr>
          <w:rStyle w:val="FootnoteReference"/>
        </w:rPr>
        <w:t xml:space="preserve"> </w:t>
      </w:r>
      <w:r w:rsidR="00530760" w:rsidRPr="00170ADC">
        <w:rPr>
          <w:rStyle w:val="FootnoteReference"/>
        </w:rPr>
        <w:footnoteReference w:id="62"/>
      </w:r>
      <w:r w:rsidR="004F0A51" w:rsidRPr="00FA1A19">
        <w:t xml:space="preserve"> </w:t>
      </w:r>
      <w:r w:rsidRPr="00FA1A19">
        <w:t>This establishes whether a particular transaction is legitimate or not and is important to handle conflicts between multiple simultaneous competing entries (such as different transactions on the same asset proposed by different nodes).</w:t>
      </w:r>
      <w:r w:rsidR="004F0A51" w:rsidRPr="00FA1A19">
        <w:t xml:space="preserve"> </w:t>
      </w:r>
    </w:p>
    <w:p w14:paraId="2D58A5D2" w14:textId="206647FE" w:rsidR="005C4AB2" w:rsidRPr="00FA1A19" w:rsidRDefault="000037C6" w:rsidP="00991EBC">
      <w:r w:rsidRPr="00FA1A19">
        <w:t xml:space="preserve">There are various consensus mechanisms, but the two most significant are </w:t>
      </w:r>
      <w:r w:rsidR="00F75232">
        <w:t>‘</w:t>
      </w:r>
      <w:r w:rsidR="0001454F" w:rsidRPr="00FA1A19">
        <w:t>proof of work</w:t>
      </w:r>
      <w:r w:rsidR="00F75232">
        <w:t>’</w:t>
      </w:r>
      <w:r w:rsidR="0001454F" w:rsidRPr="00FA1A19">
        <w:t xml:space="preserve"> (which is used by the Bitcoin blockchain) and </w:t>
      </w:r>
      <w:r w:rsidR="00F75232">
        <w:t>‘</w:t>
      </w:r>
      <w:r w:rsidR="0001454F" w:rsidRPr="00FA1A19">
        <w:t>proof of stake</w:t>
      </w:r>
      <w:r w:rsidR="00F75232">
        <w:t>’</w:t>
      </w:r>
      <w:r w:rsidR="0001454F" w:rsidRPr="00FA1A19">
        <w:t xml:space="preserve"> (which since September 2022 has been used by the Ethereum blockchain).</w:t>
      </w:r>
      <w:r w:rsidR="004F0A51" w:rsidRPr="00FA1A19">
        <w:t xml:space="preserve"> </w:t>
      </w:r>
      <w:r w:rsidR="00F75232">
        <w:t>‘</w:t>
      </w:r>
      <w:r w:rsidR="0001454F" w:rsidRPr="00FA1A19">
        <w:t>Proof of work</w:t>
      </w:r>
      <w:r w:rsidR="00F75232">
        <w:t>’</w:t>
      </w:r>
      <w:r w:rsidR="0001454F" w:rsidRPr="00FA1A19">
        <w:t xml:space="preserve"> and </w:t>
      </w:r>
      <w:r w:rsidR="00F75232">
        <w:t>‘</w:t>
      </w:r>
      <w:r w:rsidR="0001454F" w:rsidRPr="00FA1A19">
        <w:t>proof of stake</w:t>
      </w:r>
      <w:r w:rsidR="00F75232">
        <w:t>’</w:t>
      </w:r>
      <w:r w:rsidR="0001454F" w:rsidRPr="00FA1A19">
        <w:t xml:space="preserve"> are discussed further below.</w:t>
      </w:r>
    </w:p>
    <w:p w14:paraId="1670BA7F" w14:textId="68AA312C" w:rsidR="00301B95" w:rsidRPr="00FA1A19" w:rsidRDefault="00C8060B" w:rsidP="0069352C">
      <w:pPr>
        <w:pStyle w:val="Heading4"/>
      </w:pPr>
      <w:r w:rsidRPr="00FA1A19">
        <w:t>3.</w:t>
      </w:r>
      <w:r w:rsidR="00D12660">
        <w:t xml:space="preserve"> </w:t>
      </w:r>
      <w:r w:rsidR="00301B95" w:rsidRPr="00FA1A19">
        <w:t xml:space="preserve">Cryptographic </w:t>
      </w:r>
      <w:r w:rsidR="00661E10" w:rsidRPr="00FA1A19">
        <w:t>mechanisms</w:t>
      </w:r>
    </w:p>
    <w:p w14:paraId="7DAF6270" w14:textId="2188B328" w:rsidR="00301B95" w:rsidRPr="00FA1A19" w:rsidRDefault="00301B95" w:rsidP="00991EBC">
      <w:r w:rsidRPr="00FA1A19">
        <w:t>Consensus can be achieved by reliance on cryptographic mechanisms.</w:t>
      </w:r>
      <w:r w:rsidR="004F0A51" w:rsidRPr="00FA1A19">
        <w:t xml:space="preserve"> </w:t>
      </w:r>
      <w:r w:rsidRPr="00FA1A19">
        <w:t xml:space="preserve">Cryptographic mechanisms refer to the mechanism by which each new transaction record is </w:t>
      </w:r>
      <w:r w:rsidR="00F75232">
        <w:t>‘</w:t>
      </w:r>
      <w:r w:rsidRPr="00FA1A19">
        <w:t>hashed</w:t>
      </w:r>
      <w:r w:rsidR="00F75232">
        <w:t>’</w:t>
      </w:r>
      <w:r w:rsidR="006F0F21" w:rsidRPr="00FA1A19">
        <w:t xml:space="preserve">, </w:t>
      </w:r>
      <w:r w:rsidRPr="00FA1A19">
        <w:t>i</w:t>
      </w:r>
      <w:r w:rsidR="006F0F21" w:rsidRPr="00FA1A19">
        <w:t>.</w:t>
      </w:r>
      <w:r w:rsidRPr="00FA1A19">
        <w:t>e</w:t>
      </w:r>
      <w:r w:rsidR="006F0F21" w:rsidRPr="00FA1A19">
        <w:t>.</w:t>
      </w:r>
      <w:r w:rsidRPr="00FA1A19">
        <w:t xml:space="preserve"> a digital fingerprint similar in uniqueness to a human fingerprint is computed for the transaction, with only one hash output possible for each transaction, reflecting as it does </w:t>
      </w:r>
      <w:r w:rsidR="003A4934" w:rsidRPr="00FA1A19">
        <w:t>the complete history of</w:t>
      </w:r>
      <w:r w:rsidRPr="00FA1A19">
        <w:t xml:space="preserve"> transactions in relation to the subject </w:t>
      </w:r>
      <w:r w:rsidR="00F75232">
        <w:t>‘</w:t>
      </w:r>
      <w:r w:rsidRPr="00FA1A19">
        <w:t>token</w:t>
      </w:r>
      <w:r w:rsidR="00F75232">
        <w:t>’</w:t>
      </w:r>
      <w:r w:rsidR="006F0F21" w:rsidRPr="00FA1A19">
        <w:t>.</w:t>
      </w:r>
      <w:r w:rsidR="0068161F" w:rsidRPr="00170ADC">
        <w:rPr>
          <w:rStyle w:val="FootnoteReference"/>
        </w:rPr>
        <w:footnoteReference w:id="63"/>
      </w:r>
      <w:r w:rsidRPr="00FA1A19">
        <w:t xml:space="preserve"> The significance of cryptographic mechanisms is that they enable detection of any tampering of the underlying transaction data.</w:t>
      </w:r>
      <w:r w:rsidRPr="00170ADC">
        <w:rPr>
          <w:rStyle w:val="FootnoteReference"/>
        </w:rPr>
        <w:footnoteReference w:id="64"/>
      </w:r>
      <w:r w:rsidR="004F0A51" w:rsidRPr="00FA1A19">
        <w:t xml:space="preserve"> </w:t>
      </w:r>
      <w:r w:rsidRPr="00FA1A19">
        <w:t xml:space="preserve">Cryptographic mechanisms provide security and protect system integrity in a </w:t>
      </w:r>
      <w:r w:rsidR="00834DCD" w:rsidRPr="00FA1A19">
        <w:t>decentrali</w:t>
      </w:r>
      <w:r w:rsidR="00834DCD">
        <w:t>s</w:t>
      </w:r>
      <w:r w:rsidR="00834DCD" w:rsidRPr="00FA1A19">
        <w:t xml:space="preserve">ed </w:t>
      </w:r>
      <w:r w:rsidRPr="00FA1A19">
        <w:t>ledger that is maintained by a network of anonymous participants, without any need for placing trust in a central party to validate transactions to ensure ownership of account</w:t>
      </w:r>
      <w:r w:rsidR="0068161F" w:rsidRPr="00FA1A19">
        <w:t>s</w:t>
      </w:r>
      <w:r w:rsidRPr="00FA1A19">
        <w:t xml:space="preserve"> and balance</w:t>
      </w:r>
      <w:r w:rsidR="0068161F" w:rsidRPr="00FA1A19">
        <w:t>s</w:t>
      </w:r>
      <w:r w:rsidRPr="00FA1A19">
        <w:t>.</w:t>
      </w:r>
      <w:r w:rsidRPr="00170ADC">
        <w:rPr>
          <w:rStyle w:val="FootnoteReference"/>
        </w:rPr>
        <w:footnoteReference w:id="65"/>
      </w:r>
      <w:r w:rsidRPr="00FA1A19">
        <w:t xml:space="preserve"> </w:t>
      </w:r>
    </w:p>
    <w:p w14:paraId="4C606DC1" w14:textId="276F7829" w:rsidR="00301B95" w:rsidRPr="00FA1A19" w:rsidRDefault="00301B95" w:rsidP="00991EBC">
      <w:pPr>
        <w:pStyle w:val="Quote"/>
      </w:pPr>
      <w:r w:rsidRPr="00FA1A19">
        <w:t>Cryptographic mechanisms involve each participant in the network having a public key and a private key.</w:t>
      </w:r>
      <w:r w:rsidR="004F0A51" w:rsidRPr="00FA1A19">
        <w:t xml:space="preserve"> </w:t>
      </w:r>
      <w:r w:rsidRPr="00FA1A19">
        <w:t xml:space="preserve">The private key is known only by the individual user and is used to encrypt a </w:t>
      </w:r>
      <w:r w:rsidR="00F75232">
        <w:t>‘</w:t>
      </w:r>
      <w:r w:rsidRPr="00FA1A19">
        <w:t>hash</w:t>
      </w:r>
      <w:r w:rsidR="00F75232">
        <w:t>’</w:t>
      </w:r>
      <w:r w:rsidRPr="00FA1A19">
        <w:t xml:space="preserve"> of a digital message (the encrypted hash being know</w:t>
      </w:r>
      <w:r w:rsidR="00E62943" w:rsidRPr="00FA1A19">
        <w:t>n</w:t>
      </w:r>
      <w:r w:rsidRPr="00FA1A19">
        <w:t xml:space="preserve"> as the </w:t>
      </w:r>
      <w:r w:rsidR="00F75232">
        <w:t>‘</w:t>
      </w:r>
      <w:r w:rsidRPr="00FA1A19">
        <w:t>digital signature</w:t>
      </w:r>
      <w:r w:rsidR="00F75232">
        <w:t>’</w:t>
      </w:r>
      <w:r w:rsidR="00E80A75" w:rsidRPr="00FA1A19">
        <w:t>)</w:t>
      </w:r>
      <w:r w:rsidRPr="00FA1A19">
        <w:t xml:space="preserve"> which is received by other network participants who can use the individual</w:t>
      </w:r>
      <w:r w:rsidR="00F75232">
        <w:t>’</w:t>
      </w:r>
      <w:r w:rsidRPr="00FA1A19">
        <w:t>s public key (which is shared) to validate that the digital message was encrypted with the individual</w:t>
      </w:r>
      <w:r w:rsidR="00F75232">
        <w:t>’</w:t>
      </w:r>
      <w:r w:rsidRPr="00FA1A19">
        <w:t>s private key and that the individual is the sender of the message.</w:t>
      </w:r>
      <w:r w:rsidRPr="00170ADC">
        <w:rPr>
          <w:rStyle w:val="FootnoteReference"/>
        </w:rPr>
        <w:footnoteReference w:id="66"/>
      </w:r>
      <w:r w:rsidR="004F0A51" w:rsidRPr="00FA1A19">
        <w:t xml:space="preserve"> </w:t>
      </w:r>
      <w:r w:rsidRPr="00FA1A19">
        <w:t xml:space="preserve">By this mechanism, transactions can occur with confidence that the contracting party has the ownership rights that they assert. </w:t>
      </w:r>
    </w:p>
    <w:p w14:paraId="2A5F63C0" w14:textId="77777777" w:rsidR="00301B95" w:rsidRPr="00FA1A19" w:rsidRDefault="00301B95" w:rsidP="0069352C">
      <w:pPr>
        <w:pStyle w:val="Heading2"/>
      </w:pPr>
      <w:bookmarkStart w:id="47" w:name="_Toc159513571"/>
      <w:r w:rsidRPr="00FA1A19">
        <w:t>Blockchain</w:t>
      </w:r>
      <w:bookmarkEnd w:id="47"/>
    </w:p>
    <w:p w14:paraId="6537FEFC" w14:textId="45772C80" w:rsidR="00D36606" w:rsidRPr="00FA1A19" w:rsidRDefault="00D36606" w:rsidP="00D36606">
      <w:r w:rsidRPr="00FA1A19">
        <w:t xml:space="preserve">Blockchain is a </w:t>
      </w:r>
      <w:r w:rsidR="00CE0B92" w:rsidRPr="00FA1A19">
        <w:t xml:space="preserve">common </w:t>
      </w:r>
      <w:r w:rsidRPr="00FA1A19">
        <w:t>type of DLT.</w:t>
      </w:r>
      <w:r w:rsidR="00787633" w:rsidRPr="00170ADC">
        <w:rPr>
          <w:rStyle w:val="FootnoteReference"/>
        </w:rPr>
        <w:footnoteReference w:id="67"/>
      </w:r>
    </w:p>
    <w:p w14:paraId="42312BB1" w14:textId="07F2FF9F" w:rsidR="006A7BDF" w:rsidRPr="00FA1A19" w:rsidRDefault="00CB5D87" w:rsidP="00D36606">
      <w:r w:rsidRPr="00FA1A19">
        <w:t xml:space="preserve">The High Court of Justice of England and Wales </w:t>
      </w:r>
      <w:r w:rsidR="004B3C92" w:rsidRPr="00FA1A19">
        <w:t xml:space="preserve">in </w:t>
      </w:r>
      <w:r w:rsidR="004B3C92" w:rsidRPr="00813896">
        <w:rPr>
          <w:rStyle w:val="Emphasis"/>
        </w:rPr>
        <w:t xml:space="preserve">Tulip Trading </w:t>
      </w:r>
      <w:r w:rsidRPr="00FA1A19">
        <w:t>described blockchain</w:t>
      </w:r>
      <w:r w:rsidR="004E180D" w:rsidRPr="00FA1A19">
        <w:t xml:space="preserve"> </w:t>
      </w:r>
      <w:r w:rsidRPr="00FA1A19">
        <w:t>as follows</w:t>
      </w:r>
      <w:r w:rsidR="006A7BDF" w:rsidRPr="00FA1A19">
        <w:t>:</w:t>
      </w:r>
    </w:p>
    <w:p w14:paraId="5579A841" w14:textId="7B894B88" w:rsidR="00D36606" w:rsidRPr="00D12660" w:rsidRDefault="00D36606" w:rsidP="00722D65">
      <w:pPr>
        <w:pStyle w:val="Quote"/>
      </w:pPr>
      <w:r w:rsidRPr="00FA1A19">
        <w:t>the blockchain constitutes a public registry recording every transaction in the relevant digital asset.</w:t>
      </w:r>
      <w:r w:rsidR="004F0A51" w:rsidRPr="00FA1A19">
        <w:t xml:space="preserve"> </w:t>
      </w:r>
      <w:r w:rsidRPr="00FA1A19">
        <w:t>However, whilst the blockchain will show that a transaction has taken place and therefore the location of the asset on the network, it will not disclose the identity of the parties to that transaction.</w:t>
      </w:r>
      <w:r w:rsidR="004F0A51" w:rsidRPr="00FA1A19">
        <w:t xml:space="preserve"> </w:t>
      </w:r>
      <w:r w:rsidRPr="00FA1A19">
        <w:t>Instead, the assets are shown as held at a digital address.</w:t>
      </w:r>
      <w:r w:rsidR="004F0A51" w:rsidRPr="00FA1A19">
        <w:t xml:space="preserve"> </w:t>
      </w:r>
      <w:r w:rsidRPr="00FA1A19">
        <w:t>Addresses have both public keys, which identify them on the network, and private keys, knowledge of which allows dealings in assets held at that address to occur through the use of a digital signature.</w:t>
      </w:r>
      <w:r w:rsidR="004F0A51" w:rsidRPr="00FA1A19">
        <w:t xml:space="preserve"> </w:t>
      </w:r>
      <w:r w:rsidRPr="00FA1A19">
        <w:t>Both forms of address comprise a series of letters and numbers.</w:t>
      </w:r>
      <w:r w:rsidRPr="00170ADC">
        <w:rPr>
          <w:rStyle w:val="FootnoteReference"/>
        </w:rPr>
        <w:footnoteReference w:id="68"/>
      </w:r>
    </w:p>
    <w:p w14:paraId="2009276C" w14:textId="6E640F10" w:rsidR="006016F4" w:rsidRPr="00FA1A19" w:rsidRDefault="004E180D" w:rsidP="00D36606">
      <w:r w:rsidRPr="00FA1A19">
        <w:t xml:space="preserve">Whilst the </w:t>
      </w:r>
      <w:r w:rsidR="00586C9C" w:rsidRPr="00813896">
        <w:rPr>
          <w:rStyle w:val="Emphasis"/>
        </w:rPr>
        <w:t>Tulip Trading case</w:t>
      </w:r>
      <w:r w:rsidR="00586C9C" w:rsidRPr="00FA1A19">
        <w:t xml:space="preserve"> </w:t>
      </w:r>
      <w:r w:rsidR="00C02464" w:rsidRPr="00FA1A19">
        <w:t>is</w:t>
      </w:r>
      <w:r w:rsidR="00586C9C" w:rsidRPr="00FA1A19">
        <w:t xml:space="preserve"> concerned with </w:t>
      </w:r>
      <w:r w:rsidR="007924F1" w:rsidRPr="00FA1A19">
        <w:t xml:space="preserve">blockchain, </w:t>
      </w:r>
      <w:r w:rsidR="00395D3E" w:rsidRPr="00FA1A19">
        <w:t>the</w:t>
      </w:r>
      <w:r w:rsidR="007924F1" w:rsidRPr="00FA1A19">
        <w:t xml:space="preserve"> description </w:t>
      </w:r>
      <w:r w:rsidR="00815D75" w:rsidRPr="00FA1A19">
        <w:t xml:space="preserve">would apply to all distributed ledger technology, of which blockchain is </w:t>
      </w:r>
      <w:r w:rsidR="00395D3E" w:rsidRPr="00FA1A19">
        <w:t xml:space="preserve">only </w:t>
      </w:r>
      <w:r w:rsidR="00815D75" w:rsidRPr="00FA1A19">
        <w:t>one type.</w:t>
      </w:r>
      <w:r w:rsidR="004F0A51" w:rsidRPr="00FA1A19">
        <w:t xml:space="preserve"> </w:t>
      </w:r>
      <w:r w:rsidR="00815D75" w:rsidRPr="00FA1A19">
        <w:t xml:space="preserve">The </w:t>
      </w:r>
      <w:r w:rsidR="00A17806" w:rsidRPr="00FA1A19">
        <w:t>defining</w:t>
      </w:r>
      <w:r w:rsidR="00815D75" w:rsidRPr="00FA1A19">
        <w:t xml:space="preserve"> feature of </w:t>
      </w:r>
      <w:r w:rsidR="00661528" w:rsidRPr="00FA1A19">
        <w:t>blockchain networks is that</w:t>
      </w:r>
      <w:r w:rsidR="002D18AE" w:rsidRPr="00FA1A19">
        <w:t>, as the name suggests,</w:t>
      </w:r>
      <w:r w:rsidR="00661528" w:rsidRPr="00FA1A19">
        <w:t xml:space="preserve"> they involve a </w:t>
      </w:r>
      <w:r w:rsidR="00F75232">
        <w:t>‘</w:t>
      </w:r>
      <w:r w:rsidR="00661528" w:rsidRPr="00FA1A19">
        <w:t>chain</w:t>
      </w:r>
      <w:r w:rsidR="00F75232">
        <w:t>’</w:t>
      </w:r>
      <w:r w:rsidR="00661528" w:rsidRPr="00FA1A19">
        <w:t xml:space="preserve"> of </w:t>
      </w:r>
      <w:r w:rsidR="00F75232">
        <w:t>‘</w:t>
      </w:r>
      <w:r w:rsidR="00661528" w:rsidRPr="00FA1A19">
        <w:t>blocks</w:t>
      </w:r>
      <w:r w:rsidR="00F75232">
        <w:t>’</w:t>
      </w:r>
      <w:r w:rsidR="00FD663B" w:rsidRPr="00FA1A19">
        <w:t>.</w:t>
      </w:r>
      <w:r w:rsidR="004F0A51" w:rsidRPr="00FA1A19">
        <w:t xml:space="preserve"> </w:t>
      </w:r>
      <w:r w:rsidR="00FD663B" w:rsidRPr="00FA1A19">
        <w:t>Each</w:t>
      </w:r>
      <w:r w:rsidR="00A17806" w:rsidRPr="00FA1A19">
        <w:t xml:space="preserve"> block</w:t>
      </w:r>
      <w:r w:rsidR="00661528" w:rsidRPr="00FA1A19">
        <w:t xml:space="preserve"> </w:t>
      </w:r>
      <w:r w:rsidR="00FD663B" w:rsidRPr="00FA1A19">
        <w:t>in the blockchain contains</w:t>
      </w:r>
      <w:r w:rsidR="00661528" w:rsidRPr="00FA1A19">
        <w:t xml:space="preserve"> a unique set of </w:t>
      </w:r>
      <w:r w:rsidR="00597687" w:rsidRPr="00FA1A19">
        <w:t xml:space="preserve">validated </w:t>
      </w:r>
      <w:r w:rsidR="00DE7809" w:rsidRPr="00FA1A19">
        <w:t xml:space="preserve">transactions </w:t>
      </w:r>
      <w:r w:rsidR="00D20089" w:rsidRPr="00FA1A19">
        <w:t>and</w:t>
      </w:r>
      <w:r w:rsidR="006016F4" w:rsidRPr="00FA1A19">
        <w:t xml:space="preserve"> each </w:t>
      </w:r>
      <w:r w:rsidR="00777525" w:rsidRPr="00FA1A19">
        <w:t>with</w:t>
      </w:r>
      <w:r w:rsidR="006016F4" w:rsidRPr="00FA1A19">
        <w:t xml:space="preserve"> a cryptographic fingerprint (i.e. the </w:t>
      </w:r>
      <w:r w:rsidR="00F75232">
        <w:t>‘</w:t>
      </w:r>
      <w:r w:rsidR="006016F4" w:rsidRPr="00FA1A19">
        <w:t>hash</w:t>
      </w:r>
      <w:r w:rsidR="00F75232">
        <w:t>’</w:t>
      </w:r>
      <w:r w:rsidR="006016F4" w:rsidRPr="00FA1A19">
        <w:t xml:space="preserve">). </w:t>
      </w:r>
      <w:r w:rsidR="00D20089" w:rsidRPr="00FA1A19">
        <w:t>T</w:t>
      </w:r>
      <w:r w:rsidR="006016F4" w:rsidRPr="00FA1A19">
        <w:t>he information remains accessible for verification but cannot be tampered with.</w:t>
      </w:r>
    </w:p>
    <w:p w14:paraId="3C6A89B9" w14:textId="6D004EEB" w:rsidR="00D36606" w:rsidRPr="00FA1A19" w:rsidRDefault="00D36606" w:rsidP="00342121">
      <w:pPr>
        <w:pStyle w:val="Heading3"/>
      </w:pPr>
      <w:r w:rsidRPr="00FA1A19">
        <w:t>How blockchain works</w:t>
      </w:r>
    </w:p>
    <w:p w14:paraId="71EED00C" w14:textId="0A5E409F" w:rsidR="006A7BDF" w:rsidRPr="00FA1A19" w:rsidRDefault="006A7BDF" w:rsidP="00301B95">
      <w:r w:rsidRPr="00FA1A19">
        <w:t xml:space="preserve">The World Bank </w:t>
      </w:r>
      <w:r w:rsidR="00F0113C" w:rsidRPr="00FA1A19">
        <w:t xml:space="preserve">has </w:t>
      </w:r>
      <w:r w:rsidR="00C57E60" w:rsidRPr="00FA1A19">
        <w:t>said</w:t>
      </w:r>
      <w:r w:rsidRPr="00FA1A19">
        <w:t>:</w:t>
      </w:r>
      <w:r w:rsidR="00A25EFA" w:rsidRPr="00FA1A19">
        <w:t xml:space="preserve"> </w:t>
      </w:r>
    </w:p>
    <w:p w14:paraId="249E1DD6" w14:textId="6A81947C" w:rsidR="006A7BDF" w:rsidRPr="00FA1A19" w:rsidRDefault="006A7BDF" w:rsidP="00722D65">
      <w:pPr>
        <w:pStyle w:val="Quote"/>
      </w:pPr>
      <w:r w:rsidRPr="00FA1A19">
        <w:t>Blockchain, a particular type of DLT, uses cryptographic and algorithmic methods to create and verify a continuously growing, append</w:t>
      </w:r>
      <w:r w:rsidR="00F75232">
        <w:noBreakHyphen/>
      </w:r>
      <w:r w:rsidRPr="00FA1A19">
        <w:t>only data structure that takes the form of a chain of so</w:t>
      </w:r>
      <w:r w:rsidR="00F75232">
        <w:noBreakHyphen/>
      </w:r>
      <w:r w:rsidRPr="00FA1A19">
        <w:t xml:space="preserve">called </w:t>
      </w:r>
      <w:r w:rsidR="00F75232">
        <w:t>‘</w:t>
      </w:r>
      <w:r w:rsidRPr="00FA1A19">
        <w:t>transaction blocks</w:t>
      </w:r>
      <w:r w:rsidR="00F75232">
        <w:t>’</w:t>
      </w:r>
      <w:r w:rsidRPr="00FA1A19">
        <w:t xml:space="preserve"> – the blockchain – which serves the function of a ledger.</w:t>
      </w:r>
    </w:p>
    <w:p w14:paraId="60EB5124" w14:textId="36348D3D" w:rsidR="006A7BDF" w:rsidRPr="00FA1A19" w:rsidRDefault="006A7BDF" w:rsidP="00722D65">
      <w:pPr>
        <w:pStyle w:val="Quote"/>
      </w:pPr>
      <w:r w:rsidRPr="00FA1A19">
        <w:t xml:space="preserve">New additions to the database are initiated by one of the members (nodes), who creates a new </w:t>
      </w:r>
      <w:r w:rsidR="00F75232">
        <w:t>‘</w:t>
      </w:r>
      <w:r w:rsidRPr="00FA1A19">
        <w:t>block</w:t>
      </w:r>
      <w:r w:rsidR="00F75232">
        <w:t>’</w:t>
      </w:r>
      <w:r w:rsidRPr="00FA1A19">
        <w:t xml:space="preserve"> of data, for example containing several transaction records. Information about this new data block is then shared across the entire network, containing encrypted data so transaction details are not made public, and all network participants collectively determine the block</w:t>
      </w:r>
      <w:r w:rsidR="00F75232">
        <w:t>’</w:t>
      </w:r>
      <w:r w:rsidRPr="00FA1A19">
        <w:t>s validity according to a pre</w:t>
      </w:r>
      <w:r w:rsidR="00F75232">
        <w:noBreakHyphen/>
      </w:r>
      <w:r w:rsidRPr="00FA1A19">
        <w:t>defined algorithmic validation method (</w:t>
      </w:r>
      <w:r w:rsidR="00F75232">
        <w:t>‘</w:t>
      </w:r>
      <w:r w:rsidRPr="00FA1A19">
        <w:t>consensus mechanism</w:t>
      </w:r>
      <w:r w:rsidR="00F75232">
        <w:t>’</w:t>
      </w:r>
      <w:r w:rsidRPr="00FA1A19">
        <w:t>).</w:t>
      </w:r>
      <w:r w:rsidR="004F0A51" w:rsidRPr="00FA1A19">
        <w:t xml:space="preserve"> </w:t>
      </w:r>
      <w:r w:rsidRPr="00FA1A19">
        <w:t>Only after validation, all participants add the new block to their respective ledgers.</w:t>
      </w:r>
      <w:r w:rsidR="004F0A51" w:rsidRPr="00FA1A19">
        <w:t xml:space="preserve"> </w:t>
      </w:r>
      <w:r w:rsidRPr="00FA1A19">
        <w:t>Through this mechanism each change to the ledger is replicated across the entire network and each network member has a full, identical copy of the entire ledger at any point in time. This approach can be used to record transactions on any asset which can be represented in digital form.</w:t>
      </w:r>
      <w:r w:rsidRPr="00170ADC">
        <w:rPr>
          <w:rStyle w:val="FootnoteReference"/>
        </w:rPr>
        <w:footnoteReference w:id="69"/>
      </w:r>
    </w:p>
    <w:p w14:paraId="563D981C" w14:textId="63E3C694" w:rsidR="00301B95" w:rsidRDefault="00301B95" w:rsidP="00A018B4">
      <w:r w:rsidRPr="00FA1A19">
        <w:t>Shown diagrammatically, a blockchain distributed ledger works as follows:</w:t>
      </w:r>
      <w:r w:rsidRPr="00170ADC">
        <w:rPr>
          <w:rStyle w:val="FootnoteReference"/>
        </w:rPr>
        <w:footnoteReference w:id="70"/>
      </w:r>
    </w:p>
    <w:p w14:paraId="5B125E42" w14:textId="660A73A9" w:rsidR="00A018B4" w:rsidRPr="00FA1A19" w:rsidRDefault="00A018B4" w:rsidP="00A018B4">
      <w:pPr>
        <w:pStyle w:val="ChartGraphic"/>
      </w:pPr>
      <w:r>
        <w:rPr>
          <w:noProof/>
        </w:rPr>
        <w:drawing>
          <wp:inline distT="0" distB="0" distL="0" distR="0" wp14:anchorId="3A03F6DB" wp14:editId="2E10D9BC">
            <wp:extent cx="6120000" cy="4250547"/>
            <wp:effectExtent l="0" t="0" r="0" b="0"/>
            <wp:docPr id="546271170" name="Picture 546271170" descr="Image shows three steps to how a blockchain distributed ledger works: (1) Blockchain-based DLT systems take the form of an append-only chain of data ‘blocks’. New additions to the database are initiated by one of the members who creates a new block of data containing several transaction records; (2) Information about this new data block is then shared across the entire network, containing encrypted data so transaction details are not made public; and (3) All network participants collectively determine the blocks validity according to a pre-defined algorithmic validation method (consensus mechanism). Only after validation, all participants add the new block to their respective led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1170" name="Picture 546271170" descr="Image shows three steps to how a blockchain distributed ledger works: (1) Blockchain-based DLT systems take the form of an append-only chain of data ‘blocks’. New additions to the database are initiated by one of the members who creates a new block of data containing several transaction records; (2) Information about this new data block is then shared across the entire network, containing encrypted data so transaction details are not made public; and (3) All network participants collectively determine the blocks validity according to a pre-defined algorithmic validation method (consensus mechanism). Only after validation, all participants add the new block to their respective ledger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000" cy="4250547"/>
                    </a:xfrm>
                    <a:prstGeom prst="rect">
                      <a:avLst/>
                    </a:prstGeom>
                  </pic:spPr>
                </pic:pic>
              </a:graphicData>
            </a:graphic>
          </wp:inline>
        </w:drawing>
      </w:r>
    </w:p>
    <w:p w14:paraId="14013E3F" w14:textId="539A5F12" w:rsidR="00301B95" w:rsidRPr="00A018B4" w:rsidRDefault="00301B95" w:rsidP="00A018B4">
      <w:pPr>
        <w:pStyle w:val="Note"/>
      </w:pPr>
      <w:r w:rsidRPr="00FA1A19">
        <w:t>Source:</w:t>
      </w:r>
      <w:r w:rsidRPr="00FA1A19">
        <w:rPr>
          <w:spacing w:val="-2"/>
        </w:rPr>
        <w:t xml:space="preserve"> </w:t>
      </w:r>
      <w:r w:rsidR="00D12660">
        <w:rPr>
          <w:spacing w:val="-2"/>
        </w:rPr>
        <w:tab/>
      </w:r>
      <w:r w:rsidRPr="00FA1A19">
        <w:t xml:space="preserve">Adapted from: </w:t>
      </w:r>
      <w:r w:rsidR="00F75232">
        <w:t>‘</w:t>
      </w:r>
      <w:r w:rsidRPr="00FA1A19">
        <w:t>Dubai</w:t>
      </w:r>
      <w:r w:rsidRPr="00FA1A19">
        <w:rPr>
          <w:spacing w:val="-2"/>
        </w:rPr>
        <w:t xml:space="preserve"> </w:t>
      </w:r>
      <w:r w:rsidRPr="00FA1A19">
        <w:t>Aims to Be a City Built on Blockchain</w:t>
      </w:r>
      <w:r w:rsidR="00F75232">
        <w:t>’</w:t>
      </w:r>
      <w:r w:rsidRPr="00FA1A19">
        <w:t>, By Nikhil Lohade, 24</w:t>
      </w:r>
      <w:r w:rsidRPr="00FA1A19">
        <w:rPr>
          <w:spacing w:val="-2"/>
        </w:rPr>
        <w:t xml:space="preserve"> </w:t>
      </w:r>
      <w:r w:rsidRPr="00FA1A19">
        <w:t>April 2017,</w:t>
      </w:r>
      <w:r w:rsidRPr="00FA1A19">
        <w:rPr>
          <w:spacing w:val="-2"/>
        </w:rPr>
        <w:t xml:space="preserve"> </w:t>
      </w:r>
      <w:hyperlink r:id="rId42" w:history="1">
        <w:r w:rsidRPr="0016484E">
          <w:rPr>
            <w:rStyle w:val="Hyperlink"/>
          </w:rPr>
          <w:t>Wall Street Journal</w:t>
        </w:r>
      </w:hyperlink>
      <w:r w:rsidRPr="00287180">
        <w:t xml:space="preserve"> </w:t>
      </w:r>
    </w:p>
    <w:p w14:paraId="06C20024" w14:textId="6EAB0644" w:rsidR="00301B95" w:rsidRPr="00FA1A19" w:rsidRDefault="00301B95" w:rsidP="00327D16">
      <w:r w:rsidRPr="00FA1A19">
        <w:t xml:space="preserve">Blocks are not independent of one another. Rather, all blocks are intrinsically related insofar as they are linked in linear, sequential order by their own unique hashes that act as fingerprints </w:t>
      </w:r>
      <w:r w:rsidR="00D36606" w:rsidRPr="00FA1A19">
        <w:t xml:space="preserve">– hence </w:t>
      </w:r>
      <w:r w:rsidRPr="00FA1A19">
        <w:t xml:space="preserve">the concept of </w:t>
      </w:r>
      <w:r w:rsidR="00F75232">
        <w:t>‘</w:t>
      </w:r>
      <w:r w:rsidRPr="00FA1A19">
        <w:t>blocks</w:t>
      </w:r>
      <w:r w:rsidR="00F75232">
        <w:t>’</w:t>
      </w:r>
      <w:r w:rsidRPr="00FA1A19">
        <w:t xml:space="preserve"> in a </w:t>
      </w:r>
      <w:r w:rsidR="00F75232">
        <w:t>‘</w:t>
      </w:r>
      <w:r w:rsidRPr="00FA1A19">
        <w:t>chain</w:t>
      </w:r>
      <w:r w:rsidR="00F75232">
        <w:t>’</w:t>
      </w:r>
      <w:r w:rsidR="003E410C" w:rsidRPr="00FA1A19">
        <w:t xml:space="preserve"> (as stated earlier)</w:t>
      </w:r>
      <w:r w:rsidRPr="00FA1A19">
        <w:t>.</w:t>
      </w:r>
    </w:p>
    <w:p w14:paraId="5B8C1063" w14:textId="497EB2C7" w:rsidR="00301B95" w:rsidRPr="00FA1A19" w:rsidRDefault="003F4957" w:rsidP="00A84E15">
      <w:pPr>
        <w:keepNext/>
        <w:keepLines/>
      </w:pPr>
      <w:r w:rsidRPr="00FA1A19">
        <w:t>T</w:t>
      </w:r>
      <w:r w:rsidR="00301B95" w:rsidRPr="00FA1A19">
        <w:t xml:space="preserve">he transactions in a block are </w:t>
      </w:r>
      <w:r w:rsidR="00F75232">
        <w:t>‘</w:t>
      </w:r>
      <w:r w:rsidR="00301B95" w:rsidRPr="00FA1A19">
        <w:t>hashed</w:t>
      </w:r>
      <w:r w:rsidR="00F75232">
        <w:t>’</w:t>
      </w:r>
      <w:r w:rsidR="00301B95" w:rsidRPr="00FA1A19">
        <w:t xml:space="preserve"> to create a unique hash code for the block. These hash codes are used to </w:t>
      </w:r>
      <w:r w:rsidR="0081480C" w:rsidRPr="00FA1A19">
        <w:t>connect</w:t>
      </w:r>
      <w:r w:rsidR="00301B95" w:rsidRPr="00FA1A19" w:rsidDel="0081480C">
        <w:t xml:space="preserve"> blocks</w:t>
      </w:r>
      <w:r w:rsidR="00301B95" w:rsidRPr="00FA1A19">
        <w:t>. Blocks are added one after the other in linear, chronological order, with each containing its own hash code and the code of the previous block. This links the blocks together to form a chain.</w:t>
      </w:r>
      <w:r w:rsidR="004F0A51" w:rsidRPr="00FA1A19">
        <w:t xml:space="preserve"> </w:t>
      </w:r>
      <w:r w:rsidR="00301B95" w:rsidRPr="00FA1A19">
        <w:t>Shown diagrammatically, the blockchain is:</w:t>
      </w:r>
      <w:r w:rsidR="00301B95" w:rsidRPr="00170ADC">
        <w:rPr>
          <w:rStyle w:val="FootnoteReference"/>
        </w:rPr>
        <w:footnoteReference w:id="71"/>
      </w:r>
    </w:p>
    <w:p w14:paraId="11D9C969" w14:textId="705AAC31" w:rsidR="00301B95" w:rsidRPr="00FA1A19" w:rsidRDefault="00F606F1" w:rsidP="00D12660">
      <w:pPr>
        <w:pStyle w:val="ChartGraphic"/>
      </w:pPr>
      <w:r w:rsidRPr="00FA1A19">
        <w:rPr>
          <w:noProof/>
        </w:rPr>
        <w:drawing>
          <wp:inline distT="0" distB="0" distL="0" distR="0" wp14:anchorId="36C5EFD6" wp14:editId="440682BA">
            <wp:extent cx="6120000" cy="2937600"/>
            <wp:effectExtent l="0" t="0" r="0" b="0"/>
            <wp:docPr id="538512042" name="Picture 538512042" descr="Image shows five blocks from the genesis block to Block 2, Block 3, Block 4 and Block 5, with the cryptographic block hash of the data which is generated by solving a difficult proof-of-work puzzle in the first block and a new unique proof-of-work protocol referenced in the second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512042" name="Picture 538512042" descr="Image shows five blocks from the genesis block to Block 2, Block 3, Block 4 and Block 5, with the cryptographic block hash of the data which is generated by solving a difficult proof-of-work puzzle in the first block and a new unique proof-of-work protocol referenced in the second blo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000" cy="2937600"/>
                    </a:xfrm>
                    <a:prstGeom prst="rect">
                      <a:avLst/>
                    </a:prstGeom>
                    <a:noFill/>
                  </pic:spPr>
                </pic:pic>
              </a:graphicData>
            </a:graphic>
          </wp:inline>
        </w:drawing>
      </w:r>
    </w:p>
    <w:p w14:paraId="3D91CCA9" w14:textId="09A739A7" w:rsidR="00B813C7" w:rsidRPr="00FA1A19" w:rsidRDefault="005C4AB2" w:rsidP="0069352C">
      <w:pPr>
        <w:pStyle w:val="Heading2"/>
      </w:pPr>
      <w:bookmarkStart w:id="48" w:name="_Toc159513572"/>
      <w:r w:rsidRPr="00FA1A19">
        <w:t>Con</w:t>
      </w:r>
      <w:r w:rsidR="005334C5" w:rsidRPr="00FA1A19">
        <w:t>s</w:t>
      </w:r>
      <w:r w:rsidRPr="00FA1A19">
        <w:t xml:space="preserve">ensus </w:t>
      </w:r>
      <w:r w:rsidRPr="00D12660">
        <w:t>mecha</w:t>
      </w:r>
      <w:r w:rsidR="005334C5" w:rsidRPr="00D12660">
        <w:t>n</w:t>
      </w:r>
      <w:r w:rsidRPr="00D12660">
        <w:t>isms</w:t>
      </w:r>
      <w:r w:rsidRPr="00FA1A19">
        <w:t xml:space="preserve">: </w:t>
      </w:r>
      <w:r w:rsidR="00F75232">
        <w:t>‘</w:t>
      </w:r>
      <w:r w:rsidR="0021638F" w:rsidRPr="00FA1A19">
        <w:t>Proof of Work</w:t>
      </w:r>
      <w:r w:rsidR="00F75232">
        <w:t>’</w:t>
      </w:r>
      <w:r w:rsidR="0021638F" w:rsidRPr="00FA1A19">
        <w:t xml:space="preserve"> </w:t>
      </w:r>
      <w:r w:rsidRPr="00FA1A19">
        <w:t>vs</w:t>
      </w:r>
      <w:r w:rsidR="0021638F" w:rsidRPr="00FA1A19">
        <w:t xml:space="preserve"> </w:t>
      </w:r>
      <w:r w:rsidR="00F75232">
        <w:t>‘</w:t>
      </w:r>
      <w:r w:rsidR="0021638F" w:rsidRPr="00FA1A19">
        <w:t>Proof</w:t>
      </w:r>
      <w:r w:rsidR="00E62825">
        <w:t> </w:t>
      </w:r>
      <w:r w:rsidR="0021638F" w:rsidRPr="00FA1A19">
        <w:t>of</w:t>
      </w:r>
      <w:r w:rsidR="00E62825">
        <w:t> </w:t>
      </w:r>
      <w:r w:rsidR="0021638F" w:rsidRPr="00FA1A19">
        <w:t>Stake</w:t>
      </w:r>
      <w:r w:rsidR="00F75232">
        <w:t>’</w:t>
      </w:r>
      <w:bookmarkEnd w:id="48"/>
    </w:p>
    <w:p w14:paraId="3F04F702" w14:textId="09BF6483" w:rsidR="00117D5A" w:rsidRPr="00FA1A19" w:rsidRDefault="00117D5A" w:rsidP="00117D5A">
      <w:r w:rsidRPr="00FA1A19">
        <w:t xml:space="preserve">A number of different blockchain networks have been developed since October 2008 when Satoshi Nakamoto published the paper </w:t>
      </w:r>
      <w:r w:rsidR="00F75232">
        <w:t>‘</w:t>
      </w:r>
      <w:r w:rsidRPr="002616C5">
        <w:rPr>
          <w:rStyle w:val="Emphasis"/>
          <w:i w:val="0"/>
          <w:iCs w:val="0"/>
        </w:rPr>
        <w:t>Bitcoin: A Peer</w:t>
      </w:r>
      <w:r w:rsidR="00F75232">
        <w:rPr>
          <w:rStyle w:val="Emphasis"/>
          <w:i w:val="0"/>
          <w:iCs w:val="0"/>
        </w:rPr>
        <w:noBreakHyphen/>
      </w:r>
      <w:r w:rsidRPr="002616C5">
        <w:rPr>
          <w:rStyle w:val="Emphasis"/>
          <w:i w:val="0"/>
          <w:iCs w:val="0"/>
        </w:rPr>
        <w:t>to</w:t>
      </w:r>
      <w:r w:rsidR="00F75232">
        <w:rPr>
          <w:rStyle w:val="Emphasis"/>
          <w:i w:val="0"/>
          <w:iCs w:val="0"/>
        </w:rPr>
        <w:noBreakHyphen/>
      </w:r>
      <w:r w:rsidRPr="002616C5">
        <w:rPr>
          <w:rStyle w:val="Emphasis"/>
          <w:i w:val="0"/>
          <w:iCs w:val="0"/>
        </w:rPr>
        <w:t>Peer Electronic Cash System</w:t>
      </w:r>
      <w:r w:rsidR="00F75232">
        <w:rPr>
          <w:rStyle w:val="Emphasis"/>
        </w:rPr>
        <w:t>’</w:t>
      </w:r>
      <w:r w:rsidRPr="00FA1A19">
        <w:t>.</w:t>
      </w:r>
      <w:r w:rsidR="00D84406" w:rsidRPr="00170ADC">
        <w:rPr>
          <w:rStyle w:val="FootnoteReference"/>
        </w:rPr>
        <w:footnoteReference w:id="72"/>
      </w:r>
      <w:r w:rsidR="004F0A51" w:rsidRPr="00FA1A19">
        <w:t xml:space="preserve"> </w:t>
      </w:r>
      <w:r w:rsidRPr="00FA1A19">
        <w:t xml:space="preserve">Each network has its own blockchain which is defined and controlled by its own </w:t>
      </w:r>
      <w:r w:rsidR="00F75232">
        <w:t>‘</w:t>
      </w:r>
      <w:r w:rsidRPr="00FA1A19">
        <w:t>protocols</w:t>
      </w:r>
      <w:r w:rsidR="00F75232">
        <w:t>’</w:t>
      </w:r>
      <w:r w:rsidRPr="00FA1A19">
        <w:t xml:space="preserve"> – i.e. underlying rules, guidelines and algorithms.</w:t>
      </w:r>
      <w:r w:rsidR="004F0A51" w:rsidRPr="00FA1A19">
        <w:t xml:space="preserve"> </w:t>
      </w:r>
      <w:r w:rsidRPr="00FA1A19">
        <w:t>These protocols determine how data is stored, transmitted, and validated across the network, and are intended to ensure the data</w:t>
      </w:r>
      <w:r w:rsidR="00F75232">
        <w:t>’</w:t>
      </w:r>
      <w:r w:rsidRPr="00FA1A19">
        <w:t>s security, consistency, and reliability.</w:t>
      </w:r>
      <w:r w:rsidRPr="00170ADC">
        <w:rPr>
          <w:rStyle w:val="FootnoteReference"/>
        </w:rPr>
        <w:footnoteReference w:id="73"/>
      </w:r>
      <w:r w:rsidR="004F0A51" w:rsidRPr="00FA1A19">
        <w:t xml:space="preserve"> </w:t>
      </w:r>
    </w:p>
    <w:p w14:paraId="3C84DB46" w14:textId="7E5C3EA3" w:rsidR="00117D5A" w:rsidRPr="00FA1A19" w:rsidRDefault="00117D5A" w:rsidP="00117D5A">
      <w:r w:rsidRPr="00FA1A19">
        <w:t xml:space="preserve">The two most prominent blockchain networks are the Bitcoin </w:t>
      </w:r>
      <w:r w:rsidR="007E04CD" w:rsidRPr="00FA1A19">
        <w:t>blockchain</w:t>
      </w:r>
      <w:r w:rsidR="004F46B2" w:rsidRPr="00FA1A19">
        <w:t>/</w:t>
      </w:r>
      <w:r w:rsidRPr="00FA1A19">
        <w:t>network</w:t>
      </w:r>
      <w:r w:rsidR="007E04CD" w:rsidRPr="00FA1A19">
        <w:t>,</w:t>
      </w:r>
      <w:r w:rsidRPr="00FA1A19">
        <w:t xml:space="preserve"> and the Ethereum </w:t>
      </w:r>
      <w:r w:rsidR="004F46B2" w:rsidRPr="00FA1A19">
        <w:t>blockchain/</w:t>
      </w:r>
      <w:r w:rsidRPr="00FA1A19">
        <w:t>network.</w:t>
      </w:r>
      <w:r w:rsidR="004F0A51" w:rsidRPr="00FA1A19">
        <w:t xml:space="preserve"> </w:t>
      </w:r>
    </w:p>
    <w:p w14:paraId="05CF4D57" w14:textId="3A02255B" w:rsidR="000C6678" w:rsidRPr="00FA1A19" w:rsidRDefault="000C6678" w:rsidP="00342121">
      <w:pPr>
        <w:pStyle w:val="Heading3"/>
      </w:pPr>
      <w:r w:rsidRPr="00FA1A19">
        <w:t>Proof of Work</w:t>
      </w:r>
      <w:r w:rsidR="00BC6183" w:rsidRPr="00FA1A19">
        <w:t xml:space="preserve"> – the Bitcoin Blockchain</w:t>
      </w:r>
    </w:p>
    <w:p w14:paraId="62822B2B" w14:textId="3DD1F444" w:rsidR="00F00F67" w:rsidRPr="00FA1A19" w:rsidRDefault="00CF1EB9" w:rsidP="00CF1EB9">
      <w:r w:rsidRPr="00FA1A19">
        <w:t xml:space="preserve">The consensus mechanism for the Bitcoin blockchain uses a </w:t>
      </w:r>
      <w:r w:rsidR="00F75232">
        <w:t>‘</w:t>
      </w:r>
      <w:r w:rsidRPr="00FA1A19">
        <w:t>proof of work</w:t>
      </w:r>
      <w:r w:rsidR="00F75232">
        <w:t>’</w:t>
      </w:r>
      <w:r w:rsidRPr="00FA1A19">
        <w:rPr>
          <w:i/>
          <w:iCs/>
        </w:rPr>
        <w:t xml:space="preserve"> </w:t>
      </w:r>
      <w:r w:rsidRPr="00FA1A19">
        <w:t>protocol which</w:t>
      </w:r>
      <w:r w:rsidR="00CD3836" w:rsidRPr="00FA1A19">
        <w:t xml:space="preserve"> </w:t>
      </w:r>
      <w:r w:rsidR="0057746C" w:rsidRPr="00FA1A19">
        <w:t>involves</w:t>
      </w:r>
      <w:r w:rsidRPr="00FA1A19">
        <w:t xml:space="preserve"> a computational challenge that is hard to solve (in terms of computing power and processing time) and the process of generating proof</w:t>
      </w:r>
      <w:r w:rsidR="00F75232">
        <w:noBreakHyphen/>
      </w:r>
      <w:r w:rsidRPr="00FA1A19">
        <w:t>of</w:t>
      </w:r>
      <w:r w:rsidR="00F75232">
        <w:noBreakHyphen/>
      </w:r>
      <w:r w:rsidRPr="00FA1A19">
        <w:t xml:space="preserve">work is called </w:t>
      </w:r>
      <w:r w:rsidR="00F75232">
        <w:t>‘</w:t>
      </w:r>
      <w:r w:rsidRPr="00FA1A19">
        <w:t>mining</w:t>
      </w:r>
      <w:r w:rsidR="00F75232">
        <w:t>’</w:t>
      </w:r>
      <w:r w:rsidR="006C7A9F" w:rsidRPr="00FA1A19">
        <w:t xml:space="preserve">, with each </w:t>
      </w:r>
      <w:r w:rsidR="00F75232">
        <w:t>‘</w:t>
      </w:r>
      <w:r w:rsidR="006C7A9F" w:rsidRPr="00FA1A19">
        <w:t>miner</w:t>
      </w:r>
      <w:r w:rsidR="00F75232">
        <w:t>’</w:t>
      </w:r>
      <w:r w:rsidR="006C7A9F" w:rsidRPr="00FA1A19">
        <w:t xml:space="preserve"> operating a node</w:t>
      </w:r>
      <w:r w:rsidRPr="00FA1A19">
        <w:t>.</w:t>
      </w:r>
      <w:r w:rsidR="00133C7E" w:rsidRPr="00170ADC">
        <w:rPr>
          <w:rStyle w:val="FootnoteReference"/>
        </w:rPr>
        <w:footnoteReference w:id="74"/>
      </w:r>
      <w:r w:rsidR="004F0A51" w:rsidRPr="00FA1A19">
        <w:t xml:space="preserve"> </w:t>
      </w:r>
      <w:r w:rsidRPr="00FA1A19">
        <w:t>Each miner that produces a valid proof</w:t>
      </w:r>
      <w:r w:rsidR="00F75232">
        <w:noBreakHyphen/>
      </w:r>
      <w:r w:rsidRPr="00FA1A19">
        <w:t>of</w:t>
      </w:r>
      <w:r w:rsidR="00F75232">
        <w:noBreakHyphen/>
      </w:r>
      <w:r w:rsidRPr="00FA1A19">
        <w:t xml:space="preserve">work in the Bitcoin </w:t>
      </w:r>
      <w:r w:rsidR="007D7463" w:rsidRPr="00FA1A19">
        <w:t>blockchain</w:t>
      </w:r>
      <w:r w:rsidRPr="00FA1A19">
        <w:t xml:space="preserve"> receives</w:t>
      </w:r>
      <w:r w:rsidR="00A77EE7" w:rsidRPr="00FA1A19">
        <w:t xml:space="preserve"> a reward </w:t>
      </w:r>
      <w:r w:rsidR="008268C1" w:rsidRPr="00FA1A19">
        <w:t>in bitcoin, which is the cryptocurrency that is native to the Bitcoin blockchain (see explanation of cryptocurrencies below).</w:t>
      </w:r>
      <w:r w:rsidR="004F0A51" w:rsidRPr="00FA1A19">
        <w:t xml:space="preserve"> </w:t>
      </w:r>
      <w:r w:rsidR="008268C1" w:rsidRPr="00FA1A19">
        <w:t>The reward comprises two parts</w:t>
      </w:r>
      <w:r w:rsidR="00F00F67" w:rsidRPr="00FA1A19">
        <w:t>:</w:t>
      </w:r>
      <w:r w:rsidR="00E259D2" w:rsidRPr="00170ADC">
        <w:rPr>
          <w:rStyle w:val="FootnoteReference"/>
        </w:rPr>
        <w:footnoteReference w:id="75"/>
      </w:r>
    </w:p>
    <w:p w14:paraId="5BDD6031" w14:textId="4D6B895F" w:rsidR="00F00F67" w:rsidRPr="00FA1A19" w:rsidRDefault="00905BFE" w:rsidP="008C036E">
      <w:pPr>
        <w:pStyle w:val="OutlineNumbered1"/>
        <w:numPr>
          <w:ilvl w:val="0"/>
          <w:numId w:val="37"/>
        </w:numPr>
      </w:pPr>
      <w:r w:rsidRPr="00FA1A19">
        <w:t>T</w:t>
      </w:r>
      <w:r w:rsidR="00D94DB9" w:rsidRPr="00FA1A19">
        <w:t xml:space="preserve">he </w:t>
      </w:r>
      <w:r w:rsidR="00F75232">
        <w:t>‘</w:t>
      </w:r>
      <w:r w:rsidR="00D94DB9" w:rsidRPr="00FA1A19">
        <w:t>Block Subsidy</w:t>
      </w:r>
      <w:r w:rsidR="00F75232">
        <w:t>’</w:t>
      </w:r>
      <w:r w:rsidR="00D94DB9" w:rsidRPr="00FA1A19">
        <w:t xml:space="preserve"> </w:t>
      </w:r>
      <w:r w:rsidR="003E51AE" w:rsidRPr="00FA1A19">
        <w:t xml:space="preserve">which is an amount of </w:t>
      </w:r>
      <w:r w:rsidR="00880D21" w:rsidRPr="00FA1A19">
        <w:t xml:space="preserve">new </w:t>
      </w:r>
      <w:r w:rsidR="003E51AE" w:rsidRPr="00FA1A19">
        <w:t xml:space="preserve">bitcoin that the miner who </w:t>
      </w:r>
      <w:r w:rsidR="00880D21" w:rsidRPr="00FA1A19">
        <w:t>produces and adds</w:t>
      </w:r>
      <w:r w:rsidR="003E51AE" w:rsidRPr="00FA1A19">
        <w:t xml:space="preserve"> </w:t>
      </w:r>
      <w:r w:rsidR="00880D21" w:rsidRPr="00FA1A19">
        <w:t xml:space="preserve">a block in the blockchain is </w:t>
      </w:r>
      <w:r w:rsidR="0096359A" w:rsidRPr="00FA1A19">
        <w:t>allowed</w:t>
      </w:r>
      <w:r w:rsidR="00880D21" w:rsidRPr="00FA1A19">
        <w:t xml:space="preserve"> to </w:t>
      </w:r>
      <w:r w:rsidR="00F75232">
        <w:t>‘</w:t>
      </w:r>
      <w:r w:rsidR="00880D21" w:rsidRPr="00FA1A19">
        <w:t>mint</w:t>
      </w:r>
      <w:r w:rsidR="00F75232">
        <w:t>’</w:t>
      </w:r>
      <w:r w:rsidR="00880D21" w:rsidRPr="00FA1A19">
        <w:t>.</w:t>
      </w:r>
      <w:r w:rsidR="004F0A51" w:rsidRPr="00FA1A19">
        <w:t xml:space="preserve"> </w:t>
      </w:r>
      <w:r w:rsidR="00B85E43" w:rsidRPr="00FA1A19">
        <w:t xml:space="preserve">The amount </w:t>
      </w:r>
      <w:r w:rsidR="0096359A" w:rsidRPr="00FA1A19">
        <w:t xml:space="preserve">of </w:t>
      </w:r>
      <w:r w:rsidR="00B85E43" w:rsidRPr="00FA1A19">
        <w:t>the block subsidy is determined by an algorithm in Bitcoin</w:t>
      </w:r>
      <w:r w:rsidR="00F75232">
        <w:t>’</w:t>
      </w:r>
      <w:r w:rsidR="00B85E43" w:rsidRPr="00FA1A19">
        <w:t>s source code: the subsidy started at 50 bitcoin per block and is cut in half every 210,000 blocks or roughly 4 years.</w:t>
      </w:r>
      <w:r w:rsidR="004F0A51" w:rsidRPr="00FA1A19">
        <w:t xml:space="preserve"> </w:t>
      </w:r>
      <w:r w:rsidR="00691803" w:rsidRPr="00FA1A19">
        <w:t xml:space="preserve">The Block Subsidy </w:t>
      </w:r>
      <w:r w:rsidR="001E280C" w:rsidRPr="00FA1A19">
        <w:t>since 11 May 2020 has been 6.25 bitcoin, and it will halve again to 3.125 sometime in 2024.</w:t>
      </w:r>
      <w:r w:rsidR="004F0A51" w:rsidRPr="00FA1A19">
        <w:t xml:space="preserve"> </w:t>
      </w:r>
      <w:r w:rsidR="0019564A" w:rsidRPr="00FA1A19">
        <w:t xml:space="preserve">The regular halving </w:t>
      </w:r>
      <w:r w:rsidR="0079057A" w:rsidRPr="00FA1A19">
        <w:t>of the Block Subsidy e</w:t>
      </w:r>
      <w:r w:rsidRPr="00FA1A19">
        <w:t>n</w:t>
      </w:r>
      <w:r w:rsidR="0079057A" w:rsidRPr="00FA1A19">
        <w:t>sures that the bitcoin supply will never exceed 21</w:t>
      </w:r>
      <w:r w:rsidR="00372633">
        <w:t> million</w:t>
      </w:r>
      <w:r w:rsidR="0079057A" w:rsidRPr="00FA1A19">
        <w:t xml:space="preserve"> bitcoin, with the last new bitcoin expected to be mined sometime around the year</w:t>
      </w:r>
      <w:r w:rsidR="00E259D2" w:rsidRPr="00FA1A19">
        <w:t xml:space="preserve"> 2140.</w:t>
      </w:r>
    </w:p>
    <w:p w14:paraId="6AEBDD91" w14:textId="48DE5719" w:rsidR="006F5894" w:rsidRPr="00FA1A19" w:rsidRDefault="00013E57" w:rsidP="008C036E">
      <w:pPr>
        <w:pStyle w:val="OutlineNumbered1"/>
        <w:numPr>
          <w:ilvl w:val="0"/>
          <w:numId w:val="37"/>
        </w:numPr>
      </w:pPr>
      <w:r w:rsidRPr="00FA1A19">
        <w:t>T</w:t>
      </w:r>
      <w:r w:rsidR="008268C1" w:rsidRPr="00FA1A19">
        <w:t>ransaction fees</w:t>
      </w:r>
      <w:r w:rsidR="00E47C89" w:rsidRPr="00FA1A19">
        <w:t xml:space="preserve"> </w:t>
      </w:r>
      <w:r w:rsidR="00812111">
        <w:t xml:space="preserve">which are not </w:t>
      </w:r>
      <w:r w:rsidR="00F63346">
        <w:t>mandatory</w:t>
      </w:r>
      <w:r w:rsidR="00812111">
        <w:t xml:space="preserve"> but are paid by users to miners </w:t>
      </w:r>
      <w:r w:rsidR="00E47C89" w:rsidRPr="00FA1A19">
        <w:t>to get their transaction included in the blockchain</w:t>
      </w:r>
      <w:r w:rsidR="0087493A">
        <w:t>. Users are incentivised to pay these fees because</w:t>
      </w:r>
      <w:r w:rsidR="00E47C89" w:rsidRPr="00FA1A19">
        <w:t xml:space="preserve"> the </w:t>
      </w:r>
      <w:r w:rsidR="00A20F2D" w:rsidRPr="00FA1A19">
        <w:t>more a user pays, the higher the chance their transaction will be processed quickly as there is only a limited amount of space in each block.</w:t>
      </w:r>
      <w:r w:rsidR="004F0A51" w:rsidRPr="00FA1A19">
        <w:t xml:space="preserve"> </w:t>
      </w:r>
    </w:p>
    <w:p w14:paraId="237987A3" w14:textId="7C913D5C" w:rsidR="00061B59" w:rsidRPr="00FA1A19" w:rsidRDefault="00B979CD" w:rsidP="00135DA8">
      <w:r w:rsidRPr="00FA1A19">
        <w:t xml:space="preserve">With the </w:t>
      </w:r>
      <w:r w:rsidR="00B00EFF" w:rsidRPr="00FA1A19">
        <w:t xml:space="preserve">regular </w:t>
      </w:r>
      <w:r w:rsidRPr="00FA1A19">
        <w:t>halving of the Block Subsidy</w:t>
      </w:r>
      <w:r w:rsidR="00B00EFF" w:rsidRPr="00FA1A19">
        <w:t>, transaction fees will slowly begin to make up most and then all of the block reward.</w:t>
      </w:r>
    </w:p>
    <w:p w14:paraId="04D30961" w14:textId="78C6E074" w:rsidR="00696CBF" w:rsidRPr="00FA1A19" w:rsidRDefault="00921D12" w:rsidP="00061B59">
      <w:r w:rsidRPr="00FA1A19">
        <w:t xml:space="preserve">As </w:t>
      </w:r>
      <w:r w:rsidR="00760693" w:rsidRPr="00FA1A19">
        <w:t>miners with a small percentage of the mining power stand a very small chance of discovering the next block alone, they will often join a mining pool operated by third parties to coordinate groups of miners.</w:t>
      </w:r>
      <w:r w:rsidR="00760693" w:rsidRPr="00170ADC">
        <w:rPr>
          <w:rStyle w:val="FootnoteReference"/>
        </w:rPr>
        <w:footnoteReference w:id="76"/>
      </w:r>
    </w:p>
    <w:p w14:paraId="662960C3" w14:textId="5692AE5E" w:rsidR="00CF1EB9" w:rsidRPr="00FA1A19" w:rsidRDefault="00AC7077" w:rsidP="00061B59">
      <w:r w:rsidRPr="00FA1A19">
        <w:t xml:space="preserve">It is unknown how many nodes there are in the Bitcoin network, </w:t>
      </w:r>
      <w:r w:rsidR="004C74AA" w:rsidRPr="00FA1A19">
        <w:t>with estimates varying.</w:t>
      </w:r>
      <w:r w:rsidR="004F0A51" w:rsidRPr="00FA1A19">
        <w:t xml:space="preserve"> </w:t>
      </w:r>
      <w:r w:rsidR="00A8016A" w:rsidRPr="00FA1A19">
        <w:t xml:space="preserve">Some sources </w:t>
      </w:r>
      <w:r w:rsidR="001226E5" w:rsidRPr="00FA1A19">
        <w:t xml:space="preserve">calculate just over 13,000 Bitcoin nodes, whereas others </w:t>
      </w:r>
      <w:r w:rsidR="00E63CAB" w:rsidRPr="00FA1A19">
        <w:t>have estimate</w:t>
      </w:r>
      <w:r w:rsidR="043CACD7" w:rsidRPr="00FA1A19">
        <w:t>d</w:t>
      </w:r>
      <w:r w:rsidR="00E63CAB" w:rsidRPr="00FA1A19">
        <w:t xml:space="preserve"> there w</w:t>
      </w:r>
      <w:r w:rsidR="00A231BB" w:rsidRPr="00FA1A19">
        <w:t>e</w:t>
      </w:r>
      <w:r w:rsidR="00E63CAB" w:rsidRPr="00FA1A19">
        <w:t xml:space="preserve">re about </w:t>
      </w:r>
      <w:r w:rsidR="00A231BB" w:rsidRPr="00FA1A19">
        <w:t>200,000 nodes</w:t>
      </w:r>
      <w:r w:rsidR="00E63CAB" w:rsidRPr="00FA1A19">
        <w:t xml:space="preserve"> </w:t>
      </w:r>
      <w:r w:rsidR="006A4EE8" w:rsidRPr="00FA1A19">
        <w:t xml:space="preserve">running at the peak of the 2017 market, and others that there were </w:t>
      </w:r>
      <w:r w:rsidR="00E63CAB" w:rsidRPr="00FA1A19">
        <w:t>83,000 Bitcoin Core nodes activ</w:t>
      </w:r>
      <w:r w:rsidR="006A4EE8" w:rsidRPr="00FA1A19">
        <w:t>e</w:t>
      </w:r>
      <w:r w:rsidR="00E63CAB" w:rsidRPr="00FA1A19">
        <w:t xml:space="preserve"> in January 2021 which declined in 2022 to roughly 50,000.</w:t>
      </w:r>
      <w:r w:rsidR="006A4EE8" w:rsidRPr="00170ADC">
        <w:rPr>
          <w:rStyle w:val="FootnoteReference"/>
        </w:rPr>
        <w:footnoteReference w:id="77"/>
      </w:r>
      <w:r w:rsidR="005B03FA">
        <w:t xml:space="preserve"> </w:t>
      </w:r>
      <w:r w:rsidR="006A4EE8" w:rsidRPr="00FA1A19">
        <w:t>A</w:t>
      </w:r>
      <w:r w:rsidR="00D83DCE" w:rsidRPr="00FA1A19">
        <w:t xml:space="preserve"> </w:t>
      </w:r>
      <w:r w:rsidR="00C36D1B" w:rsidRPr="00FA1A19">
        <w:t>recent</w:t>
      </w:r>
      <w:r w:rsidR="00AF6865" w:rsidRPr="00FA1A19">
        <w:t xml:space="preserve"> </w:t>
      </w:r>
      <w:r w:rsidR="00D83DCE" w:rsidRPr="00FA1A19">
        <w:t xml:space="preserve">analysis </w:t>
      </w:r>
      <w:r w:rsidR="006A4EE8" w:rsidRPr="00FA1A19">
        <w:t>suggested</w:t>
      </w:r>
      <w:r w:rsidR="00F920CE" w:rsidRPr="00FA1A19">
        <w:t xml:space="preserve"> </w:t>
      </w:r>
      <w:r w:rsidR="00683E83" w:rsidRPr="00FA1A19">
        <w:t>there are around 9,000</w:t>
      </w:r>
      <w:r w:rsidR="00BD438C" w:rsidRPr="00FA1A19">
        <w:t xml:space="preserve"> active Bitcoin nodes</w:t>
      </w:r>
      <w:r w:rsidR="00893E3F" w:rsidRPr="00FA1A19">
        <w:t>.</w:t>
      </w:r>
      <w:r w:rsidR="00D94AFC" w:rsidRPr="00170ADC">
        <w:rPr>
          <w:rStyle w:val="FootnoteReference"/>
        </w:rPr>
        <w:footnoteReference w:id="78"/>
      </w:r>
      <w:r w:rsidR="004F0A51" w:rsidRPr="00FA1A19">
        <w:t xml:space="preserve"> </w:t>
      </w:r>
      <w:r w:rsidR="00F75232">
        <w:t>‘</w:t>
      </w:r>
      <w:r w:rsidR="00AB6831" w:rsidRPr="00FA1A19">
        <w:t>Bitnodes</w:t>
      </w:r>
      <w:r w:rsidR="00F75232">
        <w:t>’</w:t>
      </w:r>
      <w:r w:rsidR="00AB6831" w:rsidRPr="00FA1A19">
        <w:t xml:space="preserve"> estimates the relative size of the Bitcoin peer</w:t>
      </w:r>
      <w:r w:rsidR="00F75232">
        <w:noBreakHyphen/>
      </w:r>
      <w:r w:rsidR="00AB6831" w:rsidRPr="00FA1A19">
        <w:t>to</w:t>
      </w:r>
      <w:r w:rsidR="00F75232">
        <w:noBreakHyphen/>
      </w:r>
      <w:r w:rsidR="00AB6831" w:rsidRPr="00FA1A19">
        <w:t>peer network by finding all of its reachable nodes which on 16 January 2024 numbered at 16,367</w:t>
      </w:r>
      <w:r w:rsidR="00581102" w:rsidRPr="00170ADC">
        <w:rPr>
          <w:rStyle w:val="FootnoteReference"/>
        </w:rPr>
        <w:footnoteReference w:id="79"/>
      </w:r>
      <w:r w:rsidR="00525E3E" w:rsidRPr="00FA1A19">
        <w:t xml:space="preserve"> with the Global Bitcoin Nodes estimated at 52,204.</w:t>
      </w:r>
      <w:r w:rsidR="00525E3E" w:rsidRPr="00170ADC">
        <w:rPr>
          <w:rStyle w:val="FootnoteReference"/>
        </w:rPr>
        <w:footnoteReference w:id="80"/>
      </w:r>
    </w:p>
    <w:p w14:paraId="5F73D64E" w14:textId="5945DDF4" w:rsidR="002A7BB8" w:rsidRPr="00FA1A19" w:rsidRDefault="002A7BB8" w:rsidP="00342121">
      <w:pPr>
        <w:pStyle w:val="Heading3"/>
      </w:pPr>
      <w:r w:rsidRPr="00FA1A19">
        <w:t>Proof of Stake – the Ethereum Blockchain</w:t>
      </w:r>
    </w:p>
    <w:p w14:paraId="678B06E7" w14:textId="5FB22354" w:rsidR="00086776" w:rsidRPr="00FA1A19" w:rsidRDefault="00CF1EB9" w:rsidP="00CF1EB9">
      <w:r w:rsidRPr="00FA1A19">
        <w:t xml:space="preserve">In September 2022, the Ethereum blockchain changed its consensus mechanism from a </w:t>
      </w:r>
      <w:r w:rsidR="00F75232">
        <w:t>‘</w:t>
      </w:r>
      <w:r w:rsidRPr="00FA1A19">
        <w:t>proof of work</w:t>
      </w:r>
      <w:r w:rsidR="00F75232">
        <w:t>’</w:t>
      </w:r>
      <w:r w:rsidRPr="00FA1A19">
        <w:t xml:space="preserve"> protocol to a </w:t>
      </w:r>
      <w:r w:rsidR="00F75232">
        <w:t>‘</w:t>
      </w:r>
      <w:r w:rsidRPr="00FA1A19">
        <w:t>proof of stake</w:t>
      </w:r>
      <w:r w:rsidR="00F75232">
        <w:t>’</w:t>
      </w:r>
      <w:r w:rsidRPr="00FA1A19">
        <w:t xml:space="preserve"> protocol.</w:t>
      </w:r>
      <w:r w:rsidR="004F0A51" w:rsidRPr="00FA1A19">
        <w:t xml:space="preserve"> </w:t>
      </w:r>
      <w:r w:rsidRPr="00FA1A19">
        <w:t>A proof of stake protocol is less energy</w:t>
      </w:r>
      <w:r w:rsidR="00F75232">
        <w:noBreakHyphen/>
      </w:r>
      <w:r w:rsidRPr="00FA1A19">
        <w:t>intensive and requires less hardware tha</w:t>
      </w:r>
      <w:r w:rsidR="001954F0" w:rsidRPr="00FA1A19">
        <w:t>n</w:t>
      </w:r>
      <w:r w:rsidRPr="00FA1A19">
        <w:t xml:space="preserve"> </w:t>
      </w:r>
      <w:r w:rsidR="00710303" w:rsidRPr="00FA1A19">
        <w:t xml:space="preserve">a </w:t>
      </w:r>
      <w:r w:rsidRPr="00FA1A19">
        <w:t xml:space="preserve">proof of work </w:t>
      </w:r>
      <w:r w:rsidR="00710303" w:rsidRPr="00FA1A19">
        <w:t>protocol.</w:t>
      </w:r>
      <w:r w:rsidR="004F0A51" w:rsidRPr="00FA1A19">
        <w:t xml:space="preserve"> </w:t>
      </w:r>
      <w:r w:rsidR="00710303" w:rsidRPr="00FA1A19">
        <w:t>A proof of stake protocol</w:t>
      </w:r>
      <w:r w:rsidRPr="00FA1A19">
        <w:t xml:space="preserve"> is based on </w:t>
      </w:r>
      <w:r w:rsidR="00F75232">
        <w:t>‘</w:t>
      </w:r>
      <w:r w:rsidRPr="00FA1A19">
        <w:t>validators</w:t>
      </w:r>
      <w:r w:rsidR="00F75232">
        <w:t>’</w:t>
      </w:r>
      <w:r w:rsidR="00A72E19" w:rsidRPr="00FA1A19">
        <w:t xml:space="preserve"> (rather than miners) </w:t>
      </w:r>
      <w:r w:rsidRPr="00FA1A19">
        <w:t>who are responsible for the nodes on the network.</w:t>
      </w:r>
      <w:r w:rsidR="004F0A51" w:rsidRPr="00FA1A19">
        <w:t xml:space="preserve"> </w:t>
      </w:r>
      <w:r w:rsidRPr="00FA1A19">
        <w:t xml:space="preserve">Validators </w:t>
      </w:r>
      <w:r w:rsidR="00F75232">
        <w:t>‘</w:t>
      </w:r>
      <w:r w:rsidRPr="00FA1A19">
        <w:t>stake</w:t>
      </w:r>
      <w:r w:rsidR="00F75232">
        <w:t>’</w:t>
      </w:r>
      <w:r w:rsidR="00D6225A" w:rsidRPr="00170ADC">
        <w:rPr>
          <w:rStyle w:val="FootnoteReference"/>
        </w:rPr>
        <w:footnoteReference w:id="81"/>
      </w:r>
      <w:r w:rsidRPr="00FA1A19">
        <w:t xml:space="preserve"> a certain amount of their holdings in the </w:t>
      </w:r>
      <w:r w:rsidR="002B5C59" w:rsidRPr="00FA1A19">
        <w:t>crypto</w:t>
      </w:r>
      <w:r w:rsidRPr="00FA1A19">
        <w:t xml:space="preserve">currency </w:t>
      </w:r>
      <w:r w:rsidR="002B5C59" w:rsidRPr="00FA1A19">
        <w:t>native to</w:t>
      </w:r>
      <w:r w:rsidRPr="00FA1A19">
        <w:t xml:space="preserve"> the blockchain </w:t>
      </w:r>
      <w:r w:rsidR="00086776" w:rsidRPr="00FA1A19">
        <w:t xml:space="preserve">(which is ether for the Ethereum Blockchain) </w:t>
      </w:r>
      <w:r w:rsidRPr="00FA1A19">
        <w:t>and their stake will be destroyed</w:t>
      </w:r>
      <w:r w:rsidR="00960629" w:rsidRPr="00FA1A19">
        <w:t xml:space="preserve"> (or </w:t>
      </w:r>
      <w:r w:rsidR="00F75232">
        <w:t>‘</w:t>
      </w:r>
      <w:r w:rsidR="00960629" w:rsidRPr="00FA1A19">
        <w:t>burned</w:t>
      </w:r>
      <w:r w:rsidR="00F75232">
        <w:t>’</w:t>
      </w:r>
      <w:r w:rsidR="00960629" w:rsidRPr="00FA1A19">
        <w:t>)</w:t>
      </w:r>
      <w:r w:rsidRPr="00FA1A19">
        <w:t xml:space="preserve"> if the</w:t>
      </w:r>
      <w:r w:rsidR="00640B35" w:rsidRPr="00FA1A19">
        <w:t>y attempt to undermine the system or fail to validate accurately and reliably</w:t>
      </w:r>
      <w:r w:rsidRPr="00FA1A19">
        <w:t>.</w:t>
      </w:r>
      <w:r w:rsidRPr="00170ADC">
        <w:rPr>
          <w:rStyle w:val="FootnoteReference"/>
        </w:rPr>
        <w:footnoteReference w:id="82"/>
      </w:r>
      <w:r w:rsidR="004F0A51" w:rsidRPr="00FA1A19">
        <w:t xml:space="preserve"> </w:t>
      </w:r>
      <w:r w:rsidRPr="00FA1A19">
        <w:t>For each new block in the blockchain, a validator is chosen to create (forge) the new block and the other validators then validate that block.</w:t>
      </w:r>
      <w:r w:rsidR="004F0A51" w:rsidRPr="00FA1A19">
        <w:t xml:space="preserve"> </w:t>
      </w:r>
      <w:r w:rsidR="00E711FA" w:rsidRPr="00FA1A19">
        <w:t xml:space="preserve">The process of creating the new block is called </w:t>
      </w:r>
      <w:r w:rsidR="00F75232">
        <w:t>‘</w:t>
      </w:r>
      <w:r w:rsidR="00E711FA" w:rsidRPr="00FA1A19">
        <w:t>forging</w:t>
      </w:r>
      <w:r w:rsidR="00F75232">
        <w:t>’</w:t>
      </w:r>
      <w:r w:rsidR="00E711FA" w:rsidRPr="00FA1A19">
        <w:t xml:space="preserve"> or sometimes </w:t>
      </w:r>
      <w:r w:rsidR="00F75232">
        <w:t>‘</w:t>
      </w:r>
      <w:r w:rsidR="00E711FA" w:rsidRPr="00FA1A19">
        <w:t>minting</w:t>
      </w:r>
      <w:r w:rsidR="00F75232">
        <w:t>’</w:t>
      </w:r>
      <w:r w:rsidR="00E711FA" w:rsidRPr="00FA1A19">
        <w:t>.</w:t>
      </w:r>
      <w:r w:rsidR="004F0A51" w:rsidRPr="00FA1A19">
        <w:t xml:space="preserve"> </w:t>
      </w:r>
      <w:r w:rsidR="00E711FA" w:rsidRPr="00FA1A19">
        <w:t xml:space="preserve">Validators may also be called </w:t>
      </w:r>
      <w:r w:rsidR="00F75232">
        <w:t>‘</w:t>
      </w:r>
      <w:r w:rsidR="00E711FA" w:rsidRPr="00FA1A19">
        <w:t>forgers</w:t>
      </w:r>
      <w:r w:rsidR="00F75232">
        <w:t>’</w:t>
      </w:r>
      <w:r w:rsidR="00E711FA" w:rsidRPr="00FA1A19">
        <w:t xml:space="preserve">, as well as </w:t>
      </w:r>
      <w:r w:rsidR="00F75232">
        <w:t>‘</w:t>
      </w:r>
      <w:r w:rsidR="00E711FA" w:rsidRPr="00FA1A19">
        <w:t>stakers</w:t>
      </w:r>
      <w:r w:rsidR="00F75232">
        <w:t>’</w:t>
      </w:r>
      <w:r w:rsidR="00E711FA" w:rsidRPr="00FA1A19">
        <w:t>.</w:t>
      </w:r>
    </w:p>
    <w:p w14:paraId="332CBB32" w14:textId="1A00451F" w:rsidR="007650C4" w:rsidRPr="00FA1A19" w:rsidRDefault="00E711FA" w:rsidP="00E711FA">
      <w:r w:rsidRPr="00FA1A19">
        <w:t>Validators receive a reward for creating the new block in the form of the cryptocurrency native to the blockchain.</w:t>
      </w:r>
      <w:r w:rsidR="004F0A51" w:rsidRPr="00FA1A19">
        <w:t xml:space="preserve"> </w:t>
      </w:r>
      <w:r w:rsidR="00525AF5" w:rsidRPr="00FA1A19">
        <w:t xml:space="preserve">Ether is minted for each block proposed and at every </w:t>
      </w:r>
      <w:r w:rsidR="00F75232">
        <w:t>‘</w:t>
      </w:r>
      <w:r w:rsidR="00D57217" w:rsidRPr="00FA1A19">
        <w:t>epoch</w:t>
      </w:r>
      <w:r w:rsidR="00F75232">
        <w:t>’</w:t>
      </w:r>
      <w:r w:rsidR="00D57217" w:rsidRPr="00FA1A19">
        <w:t xml:space="preserve"> checkpoint for other validator activity related to reaching consensus.</w:t>
      </w:r>
      <w:r w:rsidR="004F0A51" w:rsidRPr="00FA1A19">
        <w:t xml:space="preserve"> </w:t>
      </w:r>
      <w:r w:rsidR="00D57217" w:rsidRPr="00FA1A19">
        <w:t xml:space="preserve">The total issuance is divided among validators with about </w:t>
      </w:r>
      <w:r w:rsidR="00583C5E">
        <w:t>one</w:t>
      </w:r>
      <w:r w:rsidR="00F75232">
        <w:noBreakHyphen/>
      </w:r>
      <w:r w:rsidR="00583C5E">
        <w:t>eighth</w:t>
      </w:r>
      <w:r w:rsidR="00782851">
        <w:t xml:space="preserve"> </w:t>
      </w:r>
      <w:r w:rsidR="00D57217" w:rsidRPr="00FA1A19">
        <w:t xml:space="preserve">of the total issuance going to the block proposer and the remainder being distributed </w:t>
      </w:r>
      <w:r w:rsidR="008E0D57" w:rsidRPr="00FA1A19">
        <w:t>across the other validators.</w:t>
      </w:r>
      <w:r w:rsidR="004F0A51" w:rsidRPr="00FA1A19">
        <w:t xml:space="preserve"> </w:t>
      </w:r>
    </w:p>
    <w:p w14:paraId="346DD3C3" w14:textId="39A669C4" w:rsidR="00C1419E" w:rsidRPr="00FA1A19" w:rsidRDefault="008E0D57" w:rsidP="00E711FA">
      <w:r w:rsidRPr="00FA1A19">
        <w:t xml:space="preserve">Block proposers also receive transaction fees </w:t>
      </w:r>
      <w:r w:rsidR="00BB3FB3" w:rsidRPr="00FA1A19">
        <w:t>w</w:t>
      </w:r>
      <w:r w:rsidR="00B73B5F" w:rsidRPr="00FA1A19">
        <w:t>hich come from recycled ether rather than new ether.</w:t>
      </w:r>
      <w:r w:rsidR="004F0A51" w:rsidRPr="00FA1A19">
        <w:t xml:space="preserve"> </w:t>
      </w:r>
      <w:r w:rsidR="007650C4" w:rsidRPr="00FA1A19">
        <w:t>These transaction fees are based on</w:t>
      </w:r>
      <w:r w:rsidR="00801DAB" w:rsidRPr="00FA1A19">
        <w:t xml:space="preserve"> the </w:t>
      </w:r>
      <w:r w:rsidR="00F75232">
        <w:t>‘</w:t>
      </w:r>
      <w:r w:rsidR="00801DAB" w:rsidRPr="00FA1A19">
        <w:t>gas fee</w:t>
      </w:r>
      <w:r w:rsidR="00F75232">
        <w:t>’</w:t>
      </w:r>
      <w:r w:rsidR="00801DAB" w:rsidRPr="00FA1A19">
        <w:t xml:space="preserve"> for the transaction.</w:t>
      </w:r>
      <w:r w:rsidR="004F0A51" w:rsidRPr="00FA1A19">
        <w:t xml:space="preserve"> </w:t>
      </w:r>
      <w:r w:rsidR="00CF7DF6" w:rsidRPr="00FA1A19">
        <w:t xml:space="preserve">Every transaction on the Ethereum network </w:t>
      </w:r>
      <w:r w:rsidR="008407E1" w:rsidRPr="00FA1A19">
        <w:t xml:space="preserve">requires </w:t>
      </w:r>
      <w:r w:rsidR="007F6717" w:rsidRPr="00FA1A19">
        <w:t>the user to pay</w:t>
      </w:r>
      <w:r w:rsidR="008407E1" w:rsidRPr="00FA1A19">
        <w:t xml:space="preserve"> a gas fee in order</w:t>
      </w:r>
      <w:r w:rsidR="00726A46" w:rsidRPr="00FA1A19">
        <w:t xml:space="preserve"> for the transaction</w:t>
      </w:r>
      <w:r w:rsidR="008407E1" w:rsidRPr="00FA1A19">
        <w:t xml:space="preserve"> to be executed</w:t>
      </w:r>
      <w:r w:rsidR="00C731A0" w:rsidRPr="00FA1A19">
        <w:t xml:space="preserve">, with the gas fee paid in ether and taken from the </w:t>
      </w:r>
      <w:r w:rsidR="00540818" w:rsidRPr="00FA1A19">
        <w:t>transaction</w:t>
      </w:r>
      <w:r w:rsidR="00DD7E85">
        <w:t xml:space="preserve">. </w:t>
      </w:r>
      <w:r w:rsidR="00DC49AC" w:rsidRPr="00FA1A19">
        <w:t>The gas fee has two parts</w:t>
      </w:r>
      <w:r w:rsidR="00C1419E" w:rsidRPr="00FA1A19">
        <w:t>:</w:t>
      </w:r>
      <w:r w:rsidR="001F7C9A" w:rsidRPr="00170ADC">
        <w:rPr>
          <w:rStyle w:val="FootnoteReference"/>
        </w:rPr>
        <w:footnoteReference w:id="83"/>
      </w:r>
    </w:p>
    <w:p w14:paraId="5FA4F67E" w14:textId="5EA921AA" w:rsidR="008D1B5D" w:rsidRPr="00FA1A19" w:rsidRDefault="009340F5" w:rsidP="008371A3">
      <w:pPr>
        <w:pStyle w:val="Bullet"/>
      </w:pPr>
      <w:r>
        <w:t>T</w:t>
      </w:r>
      <w:r w:rsidR="00DC49AC" w:rsidRPr="00FA1A19">
        <w:t xml:space="preserve">he </w:t>
      </w:r>
      <w:r w:rsidR="00F75232">
        <w:t>‘</w:t>
      </w:r>
      <w:r w:rsidR="00DC49AC" w:rsidRPr="00FA1A19">
        <w:t>base fee</w:t>
      </w:r>
      <w:r w:rsidR="00F75232">
        <w:t>’</w:t>
      </w:r>
      <w:r w:rsidR="00DC49AC" w:rsidRPr="00FA1A19">
        <w:t xml:space="preserve"> is </w:t>
      </w:r>
      <w:r w:rsidR="00822804" w:rsidRPr="00FA1A19">
        <w:t xml:space="preserve">based </w:t>
      </w:r>
      <w:r w:rsidR="004A278B" w:rsidRPr="00FA1A19">
        <w:t xml:space="preserve">on the complexity of the </w:t>
      </w:r>
      <w:r w:rsidR="00FB2C71" w:rsidRPr="00FA1A19">
        <w:t xml:space="preserve">transaction </w:t>
      </w:r>
      <w:r w:rsidR="00B37AC1" w:rsidRPr="00FA1A19">
        <w:t>(e.g.</w:t>
      </w:r>
      <w:r w:rsidR="00FB2C71" w:rsidRPr="00FA1A19">
        <w:t xml:space="preserve"> simply sending ether </w:t>
      </w:r>
      <w:r w:rsidR="009D0F07" w:rsidRPr="00FA1A19">
        <w:t xml:space="preserve">typically </w:t>
      </w:r>
      <w:r w:rsidR="00E412B5" w:rsidRPr="00FA1A19">
        <w:rPr>
          <w:rFonts w:asciiTheme="minorHAnsi" w:hAnsiTheme="minorHAnsi" w:cstheme="minorBidi"/>
          <w:color w:val="333333"/>
        </w:rPr>
        <w:t>has</w:t>
      </w:r>
      <w:r w:rsidR="00E412B5" w:rsidRPr="00FA1A19">
        <w:t xml:space="preserve"> a lower base fee</w:t>
      </w:r>
      <w:r w:rsidR="009D0F07" w:rsidRPr="00FA1A19">
        <w:t xml:space="preserve"> tha</w:t>
      </w:r>
      <w:r w:rsidR="00767E21" w:rsidRPr="00FA1A19">
        <w:t xml:space="preserve">n transactions using </w:t>
      </w:r>
      <w:r w:rsidR="009D0F07" w:rsidRPr="00FA1A19">
        <w:t>complicated smart contracts</w:t>
      </w:r>
      <w:r w:rsidR="006D2B91" w:rsidRPr="00FA1A19">
        <w:t xml:space="preserve"> (see below)</w:t>
      </w:r>
      <w:r w:rsidR="009D0F07" w:rsidRPr="00FA1A19">
        <w:t>) and the transactional capacity o</w:t>
      </w:r>
      <w:r w:rsidR="0026250D" w:rsidRPr="00FA1A19">
        <w:t>f</w:t>
      </w:r>
      <w:r w:rsidR="009D0F07" w:rsidRPr="00FA1A19">
        <w:t xml:space="preserve"> the network at the time of execution (with </w:t>
      </w:r>
      <w:r w:rsidR="005B4D25" w:rsidRPr="00FA1A19">
        <w:t xml:space="preserve">base gas fees higher at </w:t>
      </w:r>
      <w:r w:rsidR="00BB0EC5" w:rsidRPr="00FA1A19">
        <w:t>times of peak transactions</w:t>
      </w:r>
      <w:r w:rsidR="00BA2177" w:rsidRPr="00FA1A19">
        <w:t>, so helping to bring the network demand back into supply</w:t>
      </w:r>
      <w:r w:rsidR="00F75232">
        <w:noBreakHyphen/>
      </w:r>
      <w:r w:rsidR="00BA2177" w:rsidRPr="00FA1A19">
        <w:t>and</w:t>
      </w:r>
      <w:r w:rsidR="00F75232">
        <w:noBreakHyphen/>
      </w:r>
      <w:r w:rsidR="00BA2177" w:rsidRPr="00FA1A19">
        <w:t>demand equilibrium</w:t>
      </w:r>
      <w:r w:rsidR="003F23C7" w:rsidRPr="00FA1A19">
        <w:t>)</w:t>
      </w:r>
      <w:r w:rsidR="00BA2177" w:rsidRPr="00FA1A19">
        <w:t>.</w:t>
      </w:r>
      <w:r w:rsidR="004F0A51" w:rsidRPr="00FA1A19">
        <w:t xml:space="preserve"> </w:t>
      </w:r>
      <w:r w:rsidR="00C1419E" w:rsidRPr="00FA1A19">
        <w:t>The base fee</w:t>
      </w:r>
      <w:r w:rsidR="006556AF" w:rsidRPr="00FA1A19">
        <w:t xml:space="preserve">s are </w:t>
      </w:r>
      <w:r w:rsidR="00F75232">
        <w:t>‘</w:t>
      </w:r>
      <w:r w:rsidR="006556AF" w:rsidRPr="00FA1A19">
        <w:t>burnt</w:t>
      </w:r>
      <w:r w:rsidR="00F75232">
        <w:t>’</w:t>
      </w:r>
      <w:r w:rsidR="006556AF" w:rsidRPr="00FA1A19">
        <w:t xml:space="preserve"> </w:t>
      </w:r>
      <w:r w:rsidR="00B37AC1" w:rsidRPr="00FA1A19">
        <w:t>(i.e.</w:t>
      </w:r>
      <w:r w:rsidR="006556AF" w:rsidRPr="00FA1A19">
        <w:t xml:space="preserve"> removed from circulation permanently)</w:t>
      </w:r>
      <w:r w:rsidR="006556AF" w:rsidRPr="00170ADC">
        <w:rPr>
          <w:rStyle w:val="FootnoteReference"/>
        </w:rPr>
        <w:footnoteReference w:id="84"/>
      </w:r>
      <w:r w:rsidR="006556AF" w:rsidRPr="00FA1A19">
        <w:t xml:space="preserve"> </w:t>
      </w:r>
      <w:r w:rsidR="007C79B9" w:rsidRPr="00FA1A19">
        <w:t xml:space="preserve">to </w:t>
      </w:r>
      <w:r w:rsidR="00572371" w:rsidRPr="00FA1A19">
        <w:t xml:space="preserve">offset some of the inflation from the issuance of new ether </w:t>
      </w:r>
      <w:r w:rsidR="00D64894" w:rsidRPr="00FA1A19">
        <w:t xml:space="preserve">to validators </w:t>
      </w:r>
      <w:r w:rsidR="00572371" w:rsidRPr="00FA1A19">
        <w:t>when the block is created</w:t>
      </w:r>
      <w:r w:rsidR="00CA797C" w:rsidRPr="00FA1A19">
        <w:t>.</w:t>
      </w:r>
      <w:r w:rsidR="004F0A51" w:rsidRPr="00FA1A19">
        <w:t xml:space="preserve"> </w:t>
      </w:r>
      <w:r w:rsidR="00CA797C" w:rsidRPr="00FA1A19">
        <w:t>In this regard, it is noted that unlike bitcoin, there are no limits on the total amount of ether.</w:t>
      </w:r>
      <w:r w:rsidR="004F0A51" w:rsidRPr="00FA1A19">
        <w:t xml:space="preserve"> </w:t>
      </w:r>
      <w:r w:rsidR="00CA797C" w:rsidRPr="00FA1A19">
        <w:t>There were about 120.2</w:t>
      </w:r>
      <w:r w:rsidR="00372633">
        <w:t> million</w:t>
      </w:r>
      <w:r w:rsidR="00CA797C" w:rsidRPr="00FA1A19">
        <w:t xml:space="preserve"> ether in circulation as at 30 August 2023.</w:t>
      </w:r>
      <w:r w:rsidR="00CA797C" w:rsidRPr="00170ADC">
        <w:rPr>
          <w:rStyle w:val="FootnoteReference"/>
        </w:rPr>
        <w:footnoteReference w:id="85"/>
      </w:r>
    </w:p>
    <w:p w14:paraId="4FA147E6" w14:textId="01A4CA9D" w:rsidR="00CA797C" w:rsidRPr="00FA1A19" w:rsidRDefault="009340F5" w:rsidP="008371A3">
      <w:pPr>
        <w:pStyle w:val="Bullet"/>
      </w:pPr>
      <w:r>
        <w:t>T</w:t>
      </w:r>
      <w:r w:rsidR="00CA797C" w:rsidRPr="00FA1A19">
        <w:t xml:space="preserve">he </w:t>
      </w:r>
      <w:r w:rsidR="00F75232">
        <w:t>‘</w:t>
      </w:r>
      <w:r w:rsidR="00F631C6" w:rsidRPr="00FA1A19">
        <w:t>priority fee</w:t>
      </w:r>
      <w:r w:rsidR="00F75232">
        <w:t>’</w:t>
      </w:r>
      <w:r w:rsidR="00F631C6" w:rsidRPr="00FA1A19">
        <w:t xml:space="preserve"> or </w:t>
      </w:r>
      <w:r w:rsidR="00F75232">
        <w:t>‘</w:t>
      </w:r>
      <w:r w:rsidR="00F631C6" w:rsidRPr="00FA1A19">
        <w:t>tip fee</w:t>
      </w:r>
      <w:r w:rsidR="00F75232">
        <w:t>’</w:t>
      </w:r>
      <w:r w:rsidR="00F631C6" w:rsidRPr="00FA1A19">
        <w:t xml:space="preserve"> which is optional but is paid by </w:t>
      </w:r>
      <w:r w:rsidR="00AB3F34" w:rsidRPr="00FA1A19">
        <w:t>a user</w:t>
      </w:r>
      <w:r w:rsidR="00F631C6" w:rsidRPr="00FA1A19">
        <w:t xml:space="preserve"> to get their transaction processed more quickly</w:t>
      </w:r>
      <w:r w:rsidR="008C6B9C" w:rsidRPr="00FA1A19">
        <w:t>.</w:t>
      </w:r>
      <w:r w:rsidR="004F0A51" w:rsidRPr="00FA1A19">
        <w:t xml:space="preserve"> </w:t>
      </w:r>
      <w:r w:rsidR="008C6B9C" w:rsidRPr="00FA1A19">
        <w:t>The validator receives this portion of the gas fee as a transaction fee.</w:t>
      </w:r>
    </w:p>
    <w:p w14:paraId="207B6AC5" w14:textId="0C64C111" w:rsidR="001838A6" w:rsidRPr="00FA1A19" w:rsidRDefault="001838A6" w:rsidP="001838A6">
      <w:r w:rsidRPr="00FA1A19">
        <w:t>In order to become a validator on the Ethereum network, a mini</w:t>
      </w:r>
      <w:r w:rsidR="00E711FA" w:rsidRPr="00FA1A19">
        <w:t>m</w:t>
      </w:r>
      <w:r w:rsidRPr="00FA1A19">
        <w:t>um stake of 32 ether is required.</w:t>
      </w:r>
      <w:r w:rsidR="004F0A51" w:rsidRPr="00FA1A19">
        <w:t xml:space="preserve"> </w:t>
      </w:r>
      <w:r w:rsidRPr="00FA1A19">
        <w:t>It is possible to engage a staking service, and merely provide the 32 ether to stake</w:t>
      </w:r>
      <w:r w:rsidR="003B2497" w:rsidRPr="00FA1A19">
        <w:t xml:space="preserve"> without undertaking any further activity</w:t>
      </w:r>
      <w:r w:rsidRPr="00FA1A19">
        <w:t>.</w:t>
      </w:r>
      <w:r w:rsidR="004F0A51" w:rsidRPr="00FA1A19">
        <w:t xml:space="preserve"> </w:t>
      </w:r>
      <w:r w:rsidRPr="00FA1A19">
        <w:t>Pooled staking is also available, for those who wish to stake less than 32 ether.</w:t>
      </w:r>
      <w:r w:rsidR="008D3329" w:rsidRPr="00170ADC">
        <w:rPr>
          <w:rStyle w:val="FootnoteReference"/>
        </w:rPr>
        <w:footnoteReference w:id="86"/>
      </w:r>
    </w:p>
    <w:p w14:paraId="47870F59" w14:textId="472CB0DA" w:rsidR="00927C9C" w:rsidRPr="00FA1A19" w:rsidRDefault="00927C9C" w:rsidP="00927C9C">
      <w:r w:rsidRPr="00FA1A19">
        <w:t xml:space="preserve">The Ethereum blockchain enables smart contracts, which in turn enable </w:t>
      </w:r>
      <w:r w:rsidR="00F75232">
        <w:t>‘</w:t>
      </w:r>
      <w:r w:rsidRPr="00FA1A19">
        <w:t>D</w:t>
      </w:r>
      <w:r w:rsidR="006F5A4A" w:rsidRPr="00FA1A19">
        <w:t>ecentralised</w:t>
      </w:r>
      <w:r w:rsidRPr="00FA1A19">
        <w:t xml:space="preserve"> Finance</w:t>
      </w:r>
      <w:r w:rsidR="00F75232">
        <w:t>’</w:t>
      </w:r>
      <w:r w:rsidRPr="00FA1A19">
        <w:t xml:space="preserve"> (Defi).</w:t>
      </w:r>
      <w:r w:rsidR="00511D42" w:rsidRPr="00170ADC">
        <w:rPr>
          <w:rStyle w:val="FootnoteReference"/>
        </w:rPr>
        <w:footnoteReference w:id="87"/>
      </w:r>
      <w:r w:rsidR="004F0A51" w:rsidRPr="00FA1A19">
        <w:t xml:space="preserve"> </w:t>
      </w:r>
      <w:r w:rsidR="00F75232">
        <w:t>‘</w:t>
      </w:r>
      <w:r w:rsidRPr="00FA1A19">
        <w:t>Smart Contracts</w:t>
      </w:r>
      <w:r w:rsidR="00F75232">
        <w:t>’</w:t>
      </w:r>
      <w:r w:rsidRPr="00FA1A19">
        <w:t xml:space="preserve"> and </w:t>
      </w:r>
      <w:r w:rsidR="00F75232">
        <w:t>‘</w:t>
      </w:r>
      <w:r w:rsidRPr="00FA1A19">
        <w:t>DeFi</w:t>
      </w:r>
      <w:r w:rsidR="00F75232">
        <w:t>’</w:t>
      </w:r>
      <w:r w:rsidRPr="00FA1A19">
        <w:t xml:space="preserve"> are discussed below.</w:t>
      </w:r>
      <w:r w:rsidR="00BD438C" w:rsidRPr="00FA1A19">
        <w:t xml:space="preserve"> </w:t>
      </w:r>
    </w:p>
    <w:p w14:paraId="18EC3C75" w14:textId="126CA4AB" w:rsidR="00A727F0" w:rsidRPr="00FA1A19" w:rsidRDefault="00B87D50" w:rsidP="00CF1EB9">
      <w:r w:rsidRPr="00FA1A19">
        <w:t>Similar to Bitcoin, it</w:t>
      </w:r>
      <w:r w:rsidR="00A727F0" w:rsidRPr="00FA1A19">
        <w:t xml:space="preserve"> is unknown precisely how many nodes there are on the Ethereum network</w:t>
      </w:r>
      <w:r w:rsidRPr="00FA1A19">
        <w:t>.</w:t>
      </w:r>
      <w:r w:rsidR="004F0A51" w:rsidRPr="00FA1A19">
        <w:t xml:space="preserve"> </w:t>
      </w:r>
      <w:r w:rsidRPr="00FA1A19">
        <w:t>A</w:t>
      </w:r>
      <w:r w:rsidR="00A727F0" w:rsidRPr="00FA1A19">
        <w:t xml:space="preserve"> recent analysis </w:t>
      </w:r>
      <w:r w:rsidRPr="00FA1A19">
        <w:t>estimated</w:t>
      </w:r>
      <w:r w:rsidR="00A727F0" w:rsidRPr="00FA1A19">
        <w:t xml:space="preserve"> that </w:t>
      </w:r>
      <w:r w:rsidR="00F451D4" w:rsidRPr="00FA1A19">
        <w:t>there were around 8,000 active Ethereum nodes.</w:t>
      </w:r>
      <w:r w:rsidR="00F451D4" w:rsidRPr="00170ADC">
        <w:rPr>
          <w:rStyle w:val="FootnoteReference"/>
        </w:rPr>
        <w:footnoteReference w:id="88"/>
      </w:r>
      <w:r w:rsidR="00026B32" w:rsidRPr="00FA1A19">
        <w:t xml:space="preserve"> </w:t>
      </w:r>
      <w:r w:rsidR="009C7497" w:rsidRPr="00FA1A19">
        <w:t xml:space="preserve">Ethernodes </w:t>
      </w:r>
      <w:r w:rsidR="00463F3B" w:rsidRPr="00FA1A19">
        <w:t xml:space="preserve">recently </w:t>
      </w:r>
      <w:r w:rsidR="00613092" w:rsidRPr="00FA1A19">
        <w:t xml:space="preserve">identified 6,985 </w:t>
      </w:r>
      <w:r w:rsidR="00463F3B" w:rsidRPr="00FA1A19">
        <w:t xml:space="preserve">nodes </w:t>
      </w:r>
      <w:r w:rsidR="00805948" w:rsidRPr="00FA1A19">
        <w:t>or, after filtering for unsynced nodes, 6,077.</w:t>
      </w:r>
      <w:r w:rsidR="00805948" w:rsidRPr="00170ADC">
        <w:rPr>
          <w:rStyle w:val="FootnoteReference"/>
        </w:rPr>
        <w:footnoteReference w:id="89"/>
      </w:r>
      <w:r w:rsidR="004F0A51" w:rsidRPr="00FA1A19">
        <w:t xml:space="preserve"> </w:t>
      </w:r>
    </w:p>
    <w:p w14:paraId="3A24D354" w14:textId="39DB0C12" w:rsidR="00EB3AD2" w:rsidRPr="00FA1A19" w:rsidRDefault="00121B55" w:rsidP="00342121">
      <w:pPr>
        <w:pStyle w:val="Heading3"/>
      </w:pPr>
      <w:r w:rsidRPr="00FA1A19">
        <w:t>How blockchain transactions work</w:t>
      </w:r>
    </w:p>
    <w:p w14:paraId="32D97DFB" w14:textId="10E182CF" w:rsidR="000E41B4" w:rsidRPr="00FA1A19" w:rsidRDefault="000E41B4" w:rsidP="0069352C">
      <w:pPr>
        <w:pStyle w:val="Heading4"/>
      </w:pPr>
      <w:r w:rsidRPr="00FA1A19">
        <w:t>Bitcoin blockchain transactions</w:t>
      </w:r>
    </w:p>
    <w:p w14:paraId="485D5D71" w14:textId="32F056B4" w:rsidR="004A1FC3" w:rsidRPr="00FA1A19" w:rsidRDefault="0087786D" w:rsidP="00121B55">
      <w:r w:rsidRPr="00FA1A19">
        <w:t xml:space="preserve">Bitcoin blockchain transactions </w:t>
      </w:r>
      <w:r w:rsidR="005C5A84" w:rsidRPr="00FA1A19">
        <w:t>are based on a</w:t>
      </w:r>
      <w:r w:rsidR="00D01FC0" w:rsidRPr="00FA1A19">
        <w:t xml:space="preserve">n </w:t>
      </w:r>
      <w:r w:rsidR="00F75232">
        <w:t>‘</w:t>
      </w:r>
      <w:r w:rsidR="00D01FC0" w:rsidRPr="00FA1A19">
        <w:t>unspent transaction output</w:t>
      </w:r>
      <w:r w:rsidR="00F75232">
        <w:t>’</w:t>
      </w:r>
      <w:r w:rsidR="00D01FC0" w:rsidRPr="00FA1A19">
        <w:t xml:space="preserve"> (UTXO) </w:t>
      </w:r>
      <w:r w:rsidR="005C5A84" w:rsidRPr="00FA1A19">
        <w:t>protocol.</w:t>
      </w:r>
      <w:r w:rsidR="00FA5F76" w:rsidRPr="00FA5F76">
        <w:rPr>
          <w:rStyle w:val="FootnoteReference"/>
        </w:rPr>
        <w:t xml:space="preserve"> </w:t>
      </w:r>
      <w:r w:rsidR="00FA5F76" w:rsidRPr="00170ADC">
        <w:rPr>
          <w:rStyle w:val="FootnoteReference"/>
        </w:rPr>
        <w:footnoteReference w:id="90"/>
      </w:r>
      <w:r w:rsidR="004F0A51" w:rsidRPr="00FA1A19">
        <w:t xml:space="preserve"> </w:t>
      </w:r>
    </w:p>
    <w:p w14:paraId="03351902" w14:textId="101D3F60" w:rsidR="00627F8D" w:rsidRPr="00FA1A19" w:rsidRDefault="00AA5AEC" w:rsidP="00121B55">
      <w:r w:rsidRPr="00FA1A19">
        <w:t xml:space="preserve">From the perspective of a user, a UTXO </w:t>
      </w:r>
      <w:r w:rsidR="008A1493" w:rsidRPr="00FA1A19">
        <w:t>shows an</w:t>
      </w:r>
      <w:r w:rsidR="00F46261" w:rsidRPr="00FA1A19">
        <w:t xml:space="preserve"> amount of cryptocurrency that </w:t>
      </w:r>
      <w:r w:rsidRPr="00FA1A19">
        <w:t>the</w:t>
      </w:r>
      <w:r w:rsidR="0027716B" w:rsidRPr="00FA1A19">
        <w:t xml:space="preserve"> user holds</w:t>
      </w:r>
      <w:r w:rsidR="00CE45CB" w:rsidRPr="00FA1A19">
        <w:t>.</w:t>
      </w:r>
      <w:r w:rsidR="004F0A51" w:rsidRPr="00FA1A19">
        <w:t xml:space="preserve"> </w:t>
      </w:r>
      <w:r w:rsidR="00EB33E9" w:rsidRPr="00FA1A19">
        <w:t xml:space="preserve">By way of example: </w:t>
      </w:r>
      <w:r w:rsidR="0026339E" w:rsidRPr="00FA1A19">
        <w:t>if person A has 0.45 bitcoin in their wallet, th</w:t>
      </w:r>
      <w:r w:rsidR="00A243CD" w:rsidRPr="00FA1A19">
        <w:t xml:space="preserve">is may be in the form of one </w:t>
      </w:r>
      <w:r w:rsidR="005F6110" w:rsidRPr="00FA1A19">
        <w:t>UTXO for 0.45 bitcoin.</w:t>
      </w:r>
      <w:r w:rsidR="00A243CD" w:rsidRPr="00170ADC">
        <w:rPr>
          <w:rStyle w:val="FootnoteReference"/>
        </w:rPr>
        <w:footnoteReference w:id="91"/>
      </w:r>
      <w:r w:rsidR="004F0A51" w:rsidRPr="00FA1A19">
        <w:t xml:space="preserve"> </w:t>
      </w:r>
      <w:r w:rsidR="000D7DA5" w:rsidRPr="00FA1A19">
        <w:t xml:space="preserve">If person A wants </w:t>
      </w:r>
      <w:r w:rsidR="006C29FA" w:rsidRPr="00FA1A19">
        <w:t xml:space="preserve">to </w:t>
      </w:r>
      <w:r w:rsidR="00BD341C" w:rsidRPr="00FA1A19">
        <w:t>transfer</w:t>
      </w:r>
      <w:r w:rsidR="006C29FA" w:rsidRPr="00FA1A19">
        <w:t xml:space="preserve"> 0.3 bitcoin to person B, they will </w:t>
      </w:r>
      <w:r w:rsidR="00871478" w:rsidRPr="00FA1A19">
        <w:t>creat</w:t>
      </w:r>
      <w:r w:rsidR="00FF2013" w:rsidRPr="00FA1A19">
        <w:t>e</w:t>
      </w:r>
      <w:r w:rsidR="00871478" w:rsidRPr="00FA1A19">
        <w:t xml:space="preserve"> a transaction that essentially </w:t>
      </w:r>
      <w:r w:rsidR="00CD7D17" w:rsidRPr="00FA1A19">
        <w:t>instructs the network to take their 0.45</w:t>
      </w:r>
      <w:r w:rsidR="00871478" w:rsidRPr="00FA1A19">
        <w:t xml:space="preserve"> bitcoin UTXO as an input and send </w:t>
      </w:r>
      <w:r w:rsidR="00FF2013" w:rsidRPr="00FA1A19">
        <w:t>a 0.3 bitcoin UTXO to person B</w:t>
      </w:r>
      <w:r w:rsidR="00594CBA" w:rsidRPr="00FA1A19">
        <w:t xml:space="preserve"> and return a 0.15 bitcoin UTXO</w:t>
      </w:r>
      <w:r w:rsidR="00B768BA" w:rsidRPr="00FA1A19">
        <w:t xml:space="preserve"> back to them</w:t>
      </w:r>
      <w:r w:rsidR="00594CBA" w:rsidRPr="00FA1A19">
        <w:t>.</w:t>
      </w:r>
      <w:r w:rsidR="004F0A51" w:rsidRPr="00FA1A19">
        <w:t xml:space="preserve"> </w:t>
      </w:r>
      <w:r w:rsidR="00613EFB" w:rsidRPr="00FA1A19">
        <w:t>After the transaction, t</w:t>
      </w:r>
      <w:r w:rsidR="00594CBA" w:rsidRPr="00FA1A19">
        <w:t xml:space="preserve">he 0.45 bitcoin UTXO is now </w:t>
      </w:r>
      <w:r w:rsidR="00F75232">
        <w:t>‘</w:t>
      </w:r>
      <w:r w:rsidR="00594CBA" w:rsidRPr="00FA1A19">
        <w:t>spent</w:t>
      </w:r>
      <w:r w:rsidR="00F75232">
        <w:t>’</w:t>
      </w:r>
      <w:r w:rsidR="00594CBA" w:rsidRPr="00FA1A19">
        <w:t xml:space="preserve"> and cannot be reused, and two new UTXOs have been created – a 0.3 bitcoin UTXO and a 0.15 bitcoin UTXO.</w:t>
      </w:r>
    </w:p>
    <w:p w14:paraId="61FF3600" w14:textId="3442C272" w:rsidR="008A1493" w:rsidRPr="00FA1A19" w:rsidRDefault="008A1493" w:rsidP="00121B55">
      <w:r w:rsidRPr="00FA1A19">
        <w:t xml:space="preserve">From the perspective of </w:t>
      </w:r>
      <w:r w:rsidR="00613EFB" w:rsidRPr="00FA1A19">
        <w:t>the network</w:t>
      </w:r>
      <w:r w:rsidR="005E3D9F" w:rsidRPr="00FA1A19">
        <w:t>, a cryptocurrency transaction is a transfer of information within a database</w:t>
      </w:r>
      <w:r w:rsidR="00B768BA" w:rsidRPr="00FA1A19">
        <w:t xml:space="preserve"> using</w:t>
      </w:r>
      <w:r w:rsidR="00B37D4B" w:rsidRPr="00FA1A19">
        <w:t xml:space="preserve"> the technique of</w:t>
      </w:r>
      <w:r w:rsidR="008E2E76" w:rsidRPr="00FA1A19">
        <w:t xml:space="preserve"> UTXOs.</w:t>
      </w:r>
    </w:p>
    <w:p w14:paraId="71B1BD23" w14:textId="3CDBCB30" w:rsidR="000E41B4" w:rsidRPr="00FA1A19" w:rsidRDefault="000E41B4" w:rsidP="0069352C">
      <w:pPr>
        <w:pStyle w:val="Heading4"/>
      </w:pPr>
      <w:r w:rsidRPr="00FA1A19">
        <w:t>Ethereum blockchain transactions</w:t>
      </w:r>
      <w:r w:rsidR="004A5AB8" w:rsidRPr="00170ADC">
        <w:rPr>
          <w:rStyle w:val="FootnoteReference"/>
        </w:rPr>
        <w:footnoteReference w:id="92"/>
      </w:r>
    </w:p>
    <w:p w14:paraId="57528386" w14:textId="38FC03E7" w:rsidR="002B2D3F" w:rsidRPr="00FA1A19" w:rsidRDefault="00AC116F" w:rsidP="000E41B4">
      <w:r w:rsidRPr="00FA1A19">
        <w:t>Ethereum is one of the few blockchains that use an accounts</w:t>
      </w:r>
      <w:r w:rsidR="00F75232">
        <w:noBreakHyphen/>
      </w:r>
      <w:r w:rsidRPr="00FA1A19">
        <w:t>based model instead of a UTXO model.</w:t>
      </w:r>
      <w:r w:rsidR="004F0A51" w:rsidRPr="00FA1A19">
        <w:t xml:space="preserve"> </w:t>
      </w:r>
      <w:r w:rsidR="00EC29FA" w:rsidRPr="00FA1A19">
        <w:t>Under this model</w:t>
      </w:r>
      <w:r w:rsidR="00E22BD1" w:rsidRPr="00FA1A19">
        <w:t xml:space="preserve"> and from the perspective of a user, </w:t>
      </w:r>
      <w:r w:rsidR="007A68C8" w:rsidRPr="00FA1A19">
        <w:t>if person A holds 0.45 ether then their account will show this holding.</w:t>
      </w:r>
      <w:r w:rsidR="004F0A51" w:rsidRPr="00FA1A19">
        <w:t xml:space="preserve"> </w:t>
      </w:r>
      <w:r w:rsidR="007A68C8" w:rsidRPr="00FA1A19">
        <w:t>If they want to transfer 0.</w:t>
      </w:r>
      <w:r w:rsidR="002B118F" w:rsidRPr="00FA1A19">
        <w:t>3</w:t>
      </w:r>
      <w:r w:rsidR="007A68C8" w:rsidRPr="00FA1A19">
        <w:t xml:space="preserve"> ether to </w:t>
      </w:r>
      <w:r w:rsidR="00194A5A" w:rsidRPr="00FA1A19">
        <w:t xml:space="preserve">person B, </w:t>
      </w:r>
      <w:r w:rsidR="002B118F" w:rsidRPr="00FA1A19">
        <w:t>they send an instruction to the network that will reduce their account by 0.3 ether and increase person B</w:t>
      </w:r>
      <w:r w:rsidR="00F75232">
        <w:t>’</w:t>
      </w:r>
      <w:r w:rsidR="002B118F" w:rsidRPr="00FA1A19">
        <w:t>s account by 0.3 ether.</w:t>
      </w:r>
    </w:p>
    <w:p w14:paraId="216F6BD0" w14:textId="69461BB4" w:rsidR="000E41B4" w:rsidRPr="00FA1A19" w:rsidRDefault="002B2D3F" w:rsidP="000E41B4">
      <w:r w:rsidRPr="00FA1A19">
        <w:t xml:space="preserve">The Ethereum blockchain has two types of accounts: Externally Owned Accounts </w:t>
      </w:r>
      <w:r w:rsidR="00270E9D" w:rsidRPr="00FA1A19">
        <w:t xml:space="preserve">(EOA) </w:t>
      </w:r>
      <w:r w:rsidRPr="00FA1A19">
        <w:t xml:space="preserve">which are controlled by users via private keys (similar to a bank account being controlled by a </w:t>
      </w:r>
      <w:r w:rsidR="00C5701C">
        <w:t>Personal Identification Number (</w:t>
      </w:r>
      <w:r w:rsidRPr="00FA1A19">
        <w:t>PIN</w:t>
      </w:r>
      <w:r w:rsidR="00C5701C">
        <w:t>)</w:t>
      </w:r>
      <w:r w:rsidRPr="00FA1A19">
        <w:t xml:space="preserve">) and Contract Accounts which are controlled by smart contract </w:t>
      </w:r>
      <w:r w:rsidR="00833BFA" w:rsidRPr="00FA1A19">
        <w:t xml:space="preserve">code and so cannot initiate transactions </w:t>
      </w:r>
      <w:r w:rsidR="00986264" w:rsidRPr="00FA1A19">
        <w:t>but</w:t>
      </w:r>
      <w:r w:rsidR="0065453E" w:rsidRPr="00FA1A19">
        <w:t xml:space="preserve"> will function in accordance with </w:t>
      </w:r>
      <w:r w:rsidR="00907B41" w:rsidRPr="00FA1A19">
        <w:t xml:space="preserve">their </w:t>
      </w:r>
      <w:r w:rsidR="00BC7754" w:rsidRPr="00FA1A19">
        <w:t>code when a transaction is sent to them.</w:t>
      </w:r>
      <w:r w:rsidR="004F0A51" w:rsidRPr="00FA1A19">
        <w:t xml:space="preserve"> </w:t>
      </w:r>
      <w:r w:rsidR="00467796" w:rsidRPr="00FA1A19">
        <w:t xml:space="preserve">If </w:t>
      </w:r>
      <w:r w:rsidR="00337765" w:rsidRPr="00FA1A19">
        <w:t>a receiving account is an EOA, its balance will increase; if a receiving account is a Contract Account, its code will be executed</w:t>
      </w:r>
      <w:r w:rsidR="00210096" w:rsidRPr="00FA1A19">
        <w:t xml:space="preserve">, which may involve calling another </w:t>
      </w:r>
      <w:r w:rsidR="00270E9D" w:rsidRPr="00FA1A19">
        <w:t>smart contract, sending ether to another smart contract, sending ether to an EOA, etc.</w:t>
      </w:r>
      <w:r w:rsidR="004F0A51" w:rsidRPr="00FA1A19">
        <w:t xml:space="preserve"> </w:t>
      </w:r>
      <w:r w:rsidR="00270E9D" w:rsidRPr="00FA1A19">
        <w:t>Ultimately,</w:t>
      </w:r>
      <w:r w:rsidR="0015060A" w:rsidRPr="00FA1A19">
        <w:t xml:space="preserve"> however, every transaction</w:t>
      </w:r>
      <w:r w:rsidR="00270E9D" w:rsidRPr="00FA1A19">
        <w:t xml:space="preserve"> has its origin in a transaction created by an EOA.</w:t>
      </w:r>
    </w:p>
    <w:p w14:paraId="62217210" w14:textId="7A7DA3B7" w:rsidR="00301B95" w:rsidRPr="00FA1A19" w:rsidRDefault="005441C4" w:rsidP="0069352C">
      <w:pPr>
        <w:pStyle w:val="Heading2"/>
      </w:pPr>
      <w:bookmarkStart w:id="49" w:name="_Toc159513573"/>
      <w:r w:rsidRPr="00FA1A19">
        <w:t xml:space="preserve">Fiat, </w:t>
      </w:r>
      <w:r w:rsidR="00D7115B" w:rsidRPr="00FA1A19">
        <w:t xml:space="preserve">digital </w:t>
      </w:r>
      <w:r w:rsidR="00301B95" w:rsidRPr="00FA1A19">
        <w:t xml:space="preserve">and </w:t>
      </w:r>
      <w:r w:rsidR="00D7115B" w:rsidRPr="00FA1A19">
        <w:t>crypto currencies</w:t>
      </w:r>
      <w:bookmarkEnd w:id="49"/>
    </w:p>
    <w:p w14:paraId="48EFF009" w14:textId="45E33CDF" w:rsidR="008D79A5" w:rsidRPr="00FA1A19" w:rsidRDefault="008D79A5" w:rsidP="00342121">
      <w:pPr>
        <w:pStyle w:val="Heading3"/>
      </w:pPr>
      <w:r w:rsidRPr="00FA1A19">
        <w:t>Fiat Currencies</w:t>
      </w:r>
    </w:p>
    <w:p w14:paraId="3821AB4D" w14:textId="57BD9EC5" w:rsidR="00301B95" w:rsidRPr="00FA1A19" w:rsidRDefault="00301B95" w:rsidP="00301B95">
      <w:r w:rsidRPr="00FA1A19">
        <w:t xml:space="preserve">Fiat currency is </w:t>
      </w:r>
      <w:r w:rsidR="003F054C" w:rsidRPr="00FA1A19">
        <w:t>money</w:t>
      </w:r>
      <w:r w:rsidR="004D42C0" w:rsidRPr="00FA1A19">
        <w:t xml:space="preserve"> that is </w:t>
      </w:r>
      <w:r w:rsidRPr="00FA1A19">
        <w:t xml:space="preserve">issued by a government and designated as legal tender. The RBA currently issues two forms of </w:t>
      </w:r>
      <w:r w:rsidR="00B45B2C" w:rsidRPr="00FA1A19">
        <w:t>money</w:t>
      </w:r>
      <w:r w:rsidRPr="00FA1A19">
        <w:t>:</w:t>
      </w:r>
    </w:p>
    <w:p w14:paraId="7EB57A7E" w14:textId="72CB9017" w:rsidR="00301B95" w:rsidRPr="00FA1A19" w:rsidRDefault="00301B95" w:rsidP="008371A3">
      <w:pPr>
        <w:pStyle w:val="Bullet"/>
      </w:pPr>
      <w:r w:rsidRPr="00FA1A19">
        <w:t xml:space="preserve">physical money </w:t>
      </w:r>
      <w:r w:rsidRPr="00FA1A19">
        <w:rPr>
          <w:rFonts w:asciiTheme="minorHAnsi" w:hAnsiTheme="minorHAnsi" w:cstheme="minorBidi"/>
          <w:color w:val="333333"/>
        </w:rPr>
        <w:t>in</w:t>
      </w:r>
      <w:r w:rsidRPr="00FA1A19">
        <w:t xml:space="preserve"> the form of banknotes</w:t>
      </w:r>
    </w:p>
    <w:p w14:paraId="13292598" w14:textId="2080DA8A" w:rsidR="00301B95" w:rsidRPr="00FA1A19" w:rsidRDefault="00301B95" w:rsidP="008371A3">
      <w:pPr>
        <w:pStyle w:val="Bullet"/>
      </w:pPr>
      <w:r w:rsidRPr="00FA1A19">
        <w:t xml:space="preserve">digital money in the form of balances held in accounts that commercial banks and some other types of financial institutions can hold at the </w:t>
      </w:r>
      <w:r w:rsidR="00A15A79">
        <w:t>RBA</w:t>
      </w:r>
      <w:r w:rsidRPr="00FA1A19">
        <w:t xml:space="preserve"> to settle payment </w:t>
      </w:r>
      <w:r w:rsidRPr="00FA1A19">
        <w:rPr>
          <w:rFonts w:asciiTheme="minorHAnsi" w:hAnsiTheme="minorHAnsi" w:cstheme="minorBidi"/>
          <w:color w:val="333333"/>
        </w:rPr>
        <w:t>obligations</w:t>
      </w:r>
      <w:r w:rsidRPr="00FA1A19">
        <w:t xml:space="preserve"> between each other.</w:t>
      </w:r>
      <w:r w:rsidRPr="00170ADC">
        <w:rPr>
          <w:rStyle w:val="FootnoteReference"/>
        </w:rPr>
        <w:footnoteReference w:id="93"/>
      </w:r>
    </w:p>
    <w:p w14:paraId="2C93E866" w14:textId="591025A9" w:rsidR="00301B95" w:rsidRPr="00FA1A19" w:rsidRDefault="00301B95" w:rsidP="00301B95">
      <w:r w:rsidRPr="00FA1A19">
        <w:t>A government</w:t>
      </w:r>
      <w:r w:rsidR="00F75232">
        <w:t>’</w:t>
      </w:r>
      <w:r w:rsidRPr="00FA1A19">
        <w:t xml:space="preserve">s central bank could also issue a CBDC. A CBDC would be </w:t>
      </w:r>
      <w:r w:rsidR="00F75232">
        <w:t>‘</w:t>
      </w:r>
      <w:r w:rsidRPr="00FA1A19">
        <w:t>a new form of money, denominated in a national currency, that would be issued as a direct liability of the central bank</w:t>
      </w:r>
      <w:r w:rsidR="00F75232">
        <w:t>’</w:t>
      </w:r>
      <w:r w:rsidRPr="00FA1A19">
        <w:t>.</w:t>
      </w:r>
      <w:r w:rsidRPr="00170ADC">
        <w:rPr>
          <w:rStyle w:val="FootnoteReference"/>
        </w:rPr>
        <w:footnoteReference w:id="94"/>
      </w:r>
      <w:r w:rsidR="004F0A51" w:rsidRPr="00FA1A19">
        <w:t xml:space="preserve"> </w:t>
      </w:r>
      <w:r w:rsidRPr="00FA1A19">
        <w:t>A CBDC could be based on a centralised ledger or alternatively Distributed Ledger Technology.</w:t>
      </w:r>
      <w:r w:rsidR="004F0A51" w:rsidRPr="00FA1A19">
        <w:t xml:space="preserve"> </w:t>
      </w:r>
      <w:r w:rsidRPr="00FA1A19">
        <w:t>The RBA is currently actively researching CBDC as a complement to existing forms of money.</w:t>
      </w:r>
      <w:r w:rsidRPr="00170ADC">
        <w:rPr>
          <w:rStyle w:val="FootnoteReference"/>
        </w:rPr>
        <w:footnoteReference w:id="95"/>
      </w:r>
      <w:r w:rsidRPr="00FA1A19">
        <w:t xml:space="preserve"> </w:t>
      </w:r>
    </w:p>
    <w:p w14:paraId="5291A054" w14:textId="24E59CD0" w:rsidR="008D79A5" w:rsidRPr="00FA1A19" w:rsidRDefault="008D79A5" w:rsidP="00342121">
      <w:pPr>
        <w:pStyle w:val="Heading3"/>
      </w:pPr>
      <w:r w:rsidRPr="00FA1A19">
        <w:t>Digital Currencies</w:t>
      </w:r>
    </w:p>
    <w:p w14:paraId="41476307" w14:textId="17921348" w:rsidR="00301B95" w:rsidRPr="00FA1A19" w:rsidRDefault="00301B95" w:rsidP="00301B95">
      <w:r w:rsidRPr="00FA1A19">
        <w:t>By contrast with a CBDC, non</w:t>
      </w:r>
      <w:r w:rsidR="00F75232">
        <w:noBreakHyphen/>
      </w:r>
      <w:r w:rsidRPr="00FA1A19">
        <w:t>fiat digital currencies have been said to have three features:</w:t>
      </w:r>
    </w:p>
    <w:p w14:paraId="6AAED271" w14:textId="77777777" w:rsidR="00301B95" w:rsidRPr="00FA1A19" w:rsidRDefault="00301B95" w:rsidP="00CA7247">
      <w:pPr>
        <w:pStyle w:val="OutlineNumbered1"/>
        <w:numPr>
          <w:ilvl w:val="0"/>
          <w:numId w:val="49"/>
        </w:numPr>
      </w:pPr>
      <w:r w:rsidRPr="00FA1A19">
        <w:t>They are not backed by any underlying asset, have zero intrinsic value, and do not represent a liability on any institution.</w:t>
      </w:r>
    </w:p>
    <w:p w14:paraId="4FCC1D28" w14:textId="03FC0B11" w:rsidR="00301B95" w:rsidRPr="00CA7247" w:rsidRDefault="00301B95" w:rsidP="00CA7247">
      <w:pPr>
        <w:pStyle w:val="OutlineNumbered1"/>
      </w:pPr>
      <w:r w:rsidRPr="00FA1A19">
        <w:t xml:space="preserve">They are exchanged through distributed ledgers absent trust between partners and absent </w:t>
      </w:r>
      <w:r w:rsidRPr="00FA1A19">
        <w:rPr>
          <w:rFonts w:asciiTheme="minorHAnsi" w:hAnsiTheme="minorHAnsi" w:cstheme="minorBidi"/>
          <w:color w:val="333333"/>
        </w:rPr>
        <w:t>central</w:t>
      </w:r>
      <w:r w:rsidRPr="00FA1A19">
        <w:t xml:space="preserve"> record</w:t>
      </w:r>
      <w:r w:rsidR="003C16C0">
        <w:t xml:space="preserve"> </w:t>
      </w:r>
      <w:r w:rsidRPr="00FA1A19">
        <w:t>keeping.</w:t>
      </w:r>
    </w:p>
    <w:p w14:paraId="648754C8" w14:textId="554ACABB" w:rsidR="00301B95" w:rsidRPr="00FA1A19" w:rsidRDefault="00301B95" w:rsidP="0020167B">
      <w:pPr>
        <w:pStyle w:val="OutlineNumbered1"/>
      </w:pPr>
      <w:r w:rsidRPr="00FA1A19">
        <w:t xml:space="preserve">As a result of </w:t>
      </w:r>
      <w:r w:rsidRPr="00FA1A19">
        <w:rPr>
          <w:rFonts w:asciiTheme="minorHAnsi" w:hAnsiTheme="minorHAnsi" w:cstheme="minorBidi"/>
          <w:color w:val="333333"/>
        </w:rPr>
        <w:t>the</w:t>
      </w:r>
      <w:r w:rsidRPr="00FA1A19">
        <w:t xml:space="preserve"> above two characteristics, they do not rely on specific institutional arrangements or intermediaries for peer</w:t>
      </w:r>
      <w:r w:rsidR="00F75232">
        <w:noBreakHyphen/>
      </w:r>
      <w:r w:rsidRPr="00FA1A19">
        <w:t>to</w:t>
      </w:r>
      <w:r w:rsidR="00F75232">
        <w:noBreakHyphen/>
      </w:r>
      <w:r w:rsidRPr="00FA1A19">
        <w:t>peer exchanges.</w:t>
      </w:r>
      <w:r w:rsidRPr="00170ADC">
        <w:rPr>
          <w:rStyle w:val="FootnoteReference"/>
        </w:rPr>
        <w:footnoteReference w:id="96"/>
      </w:r>
    </w:p>
    <w:p w14:paraId="1A227323" w14:textId="03E2D628" w:rsidR="008D79A5" w:rsidRPr="00FA1A19" w:rsidRDefault="008D79A5" w:rsidP="00342121">
      <w:pPr>
        <w:pStyle w:val="Heading3"/>
      </w:pPr>
      <w:r w:rsidRPr="00FA1A19">
        <w:t>Cryptocurrencies</w:t>
      </w:r>
    </w:p>
    <w:p w14:paraId="287D10A2" w14:textId="6E41317B" w:rsidR="00387912" w:rsidRPr="00FA1A19" w:rsidRDefault="00301B95" w:rsidP="00301B95">
      <w:r w:rsidRPr="00FA1A19">
        <w:t xml:space="preserve">Cryptocurrencies are a subset of digital currencies that rely on cryptographic techniques to achieve consensus, for example </w:t>
      </w:r>
      <w:r w:rsidR="00BC3398" w:rsidRPr="00FA1A19">
        <w:t>b</w:t>
      </w:r>
      <w:r w:rsidRPr="00FA1A19">
        <w:t xml:space="preserve">itcoin and </w:t>
      </w:r>
      <w:r w:rsidR="00BC3398" w:rsidRPr="00FA1A19">
        <w:t>e</w:t>
      </w:r>
      <w:r w:rsidRPr="00FA1A19">
        <w:t>ther.</w:t>
      </w:r>
      <w:r w:rsidRPr="00170ADC">
        <w:rPr>
          <w:rStyle w:val="FootnoteReference"/>
        </w:rPr>
        <w:footnoteReference w:id="97"/>
      </w:r>
      <w:r w:rsidR="004F0A51" w:rsidRPr="00FA1A19">
        <w:t xml:space="preserve"> </w:t>
      </w:r>
      <w:r w:rsidRPr="00FA1A19">
        <w:t xml:space="preserve">Bitcoin </w:t>
      </w:r>
      <w:r w:rsidR="00387912" w:rsidRPr="00FA1A19">
        <w:t xml:space="preserve">is the base unit </w:t>
      </w:r>
      <w:r w:rsidR="00A57451" w:rsidRPr="00FA1A19">
        <w:t xml:space="preserve">(or native cryptocurrency) </w:t>
      </w:r>
      <w:r w:rsidR="00387912" w:rsidRPr="00FA1A19">
        <w:t xml:space="preserve">on the Bitcoin blockchain and </w:t>
      </w:r>
      <w:r w:rsidR="00BC3398" w:rsidRPr="00FA1A19">
        <w:t xml:space="preserve">ether </w:t>
      </w:r>
      <w:r w:rsidR="00387912" w:rsidRPr="00FA1A19">
        <w:t xml:space="preserve">is the base unit </w:t>
      </w:r>
      <w:r w:rsidR="00A57451" w:rsidRPr="00FA1A19">
        <w:t xml:space="preserve">(or native cryptocurrency) </w:t>
      </w:r>
      <w:r w:rsidR="00387912" w:rsidRPr="00FA1A19">
        <w:t>on the Ethereum blockchain</w:t>
      </w:r>
      <w:r w:rsidRPr="00FA1A19">
        <w:t>.</w:t>
      </w:r>
    </w:p>
    <w:p w14:paraId="2CBFF1A3" w14:textId="055E7EF9" w:rsidR="00E33F81" w:rsidRPr="00FA1A19" w:rsidRDefault="00E33F81" w:rsidP="00301B95">
      <w:r w:rsidRPr="00FA1A19">
        <w:t xml:space="preserve">Cryptocurrencies </w:t>
      </w:r>
      <w:r w:rsidR="00D93B63" w:rsidRPr="00FA1A19">
        <w:t xml:space="preserve">can </w:t>
      </w:r>
      <w:r w:rsidR="004D3FC4" w:rsidRPr="00FA1A19">
        <w:t>be split into smaller units to facilitate smaller transactions.</w:t>
      </w:r>
      <w:r w:rsidR="004F0A51" w:rsidRPr="00FA1A19">
        <w:t xml:space="preserve"> </w:t>
      </w:r>
      <w:r w:rsidR="00D93B63" w:rsidRPr="00FA1A19">
        <w:t xml:space="preserve">The smallest denomination of bitcoin is the Satoshi, with </w:t>
      </w:r>
      <w:r w:rsidR="000D1A56" w:rsidRPr="00FA1A19">
        <w:t>100</w:t>
      </w:r>
      <w:r w:rsidR="00372633">
        <w:t> million</w:t>
      </w:r>
      <w:r w:rsidR="000D1A56" w:rsidRPr="00FA1A19">
        <w:t xml:space="preserve"> satoshis to one bitcoin.</w:t>
      </w:r>
      <w:r w:rsidR="004F0A51" w:rsidRPr="00FA1A19">
        <w:t xml:space="preserve"> </w:t>
      </w:r>
      <w:r w:rsidR="009B0FDF" w:rsidRPr="00FA1A19">
        <w:t>Ether has a number</w:t>
      </w:r>
      <w:r w:rsidR="00F154F7" w:rsidRPr="00FA1A19">
        <w:t xml:space="preserve"> of </w:t>
      </w:r>
      <w:r w:rsidR="009B0FDF" w:rsidRPr="00FA1A19">
        <w:t>denominations</w:t>
      </w:r>
      <w:r w:rsidR="00852AEE" w:rsidRPr="00FA1A19">
        <w:t>, the most commonly used of which</w:t>
      </w:r>
      <w:r w:rsidR="00F154F7" w:rsidRPr="00FA1A19">
        <w:t xml:space="preserve"> are the wei (1 quintillionth of 1 ether) and the Gwei (1</w:t>
      </w:r>
      <w:r w:rsidR="00372633">
        <w:t> billion</w:t>
      </w:r>
      <w:r w:rsidR="00F154F7" w:rsidRPr="00FA1A19">
        <w:t xml:space="preserve"> wei)</w:t>
      </w:r>
      <w:r w:rsidR="009B0FDF" w:rsidRPr="00FA1A19">
        <w:t>.</w:t>
      </w:r>
      <w:r w:rsidR="007018A7" w:rsidRPr="00170ADC">
        <w:rPr>
          <w:rStyle w:val="FootnoteReference"/>
        </w:rPr>
        <w:footnoteReference w:id="98"/>
      </w:r>
    </w:p>
    <w:p w14:paraId="2CFC12FD" w14:textId="252F1122" w:rsidR="00921130" w:rsidRPr="00FA1A19" w:rsidRDefault="007F432A" w:rsidP="0069352C">
      <w:pPr>
        <w:pStyle w:val="Heading2"/>
      </w:pPr>
      <w:bookmarkStart w:id="50" w:name="_Toc159513574"/>
      <w:r w:rsidRPr="00FA1A19">
        <w:t>Smart contracts</w:t>
      </w:r>
      <w:bookmarkEnd w:id="50"/>
    </w:p>
    <w:p w14:paraId="382AF1DA" w14:textId="21BE11A6" w:rsidR="0012352F" w:rsidRPr="00FA1A19" w:rsidRDefault="00002828" w:rsidP="007F432A">
      <w:r w:rsidRPr="00FA1A19">
        <w:t xml:space="preserve">A </w:t>
      </w:r>
      <w:r w:rsidR="00F75232">
        <w:t>‘</w:t>
      </w:r>
      <w:r w:rsidRPr="00FA1A19">
        <w:t>smart contract</w:t>
      </w:r>
      <w:r w:rsidR="00F75232">
        <w:t>’</w:t>
      </w:r>
      <w:r w:rsidRPr="00FA1A19">
        <w:t xml:space="preserve"> is a </w:t>
      </w:r>
      <w:r w:rsidR="00DF244A" w:rsidRPr="00FA1A19">
        <w:t>DLT</w:t>
      </w:r>
      <w:r w:rsidR="00F75232">
        <w:noBreakHyphen/>
      </w:r>
      <w:r w:rsidRPr="00FA1A19">
        <w:t xml:space="preserve">based software code that carries out, controls, and documents relevant events and actions according to predefined </w:t>
      </w:r>
      <w:r w:rsidR="00965C64" w:rsidRPr="00FA1A19">
        <w:t>requirements</w:t>
      </w:r>
      <w:r w:rsidRPr="00FA1A19">
        <w:t xml:space="preserve"> and rules.</w:t>
      </w:r>
      <w:r w:rsidRPr="00170ADC">
        <w:rPr>
          <w:rStyle w:val="FootnoteReference"/>
        </w:rPr>
        <w:footnoteReference w:id="99"/>
      </w:r>
      <w:r w:rsidR="004F0A51" w:rsidRPr="00FA1A19">
        <w:t xml:space="preserve"> </w:t>
      </w:r>
      <w:r w:rsidR="00A1705A" w:rsidRPr="00FA1A19">
        <w:t>I</w:t>
      </w:r>
      <w:r w:rsidR="00E2036E" w:rsidRPr="00FA1A19">
        <w:t>t</w:t>
      </w:r>
      <w:r w:rsidR="00D3063F" w:rsidRPr="00FA1A19" w:rsidDel="006B122D">
        <w:t xml:space="preserve"> </w:t>
      </w:r>
      <w:r w:rsidR="00945561" w:rsidRPr="00FA1A19">
        <w:t>i</w:t>
      </w:r>
      <w:r w:rsidR="006E4340" w:rsidRPr="00FA1A19">
        <w:t xml:space="preserve">s a type of software that </w:t>
      </w:r>
      <w:r w:rsidR="00842F09" w:rsidRPr="00FA1A19">
        <w:t>r</w:t>
      </w:r>
      <w:r w:rsidR="00791DFE" w:rsidRPr="00FA1A19">
        <w:t>uns in a predefined and deterministic manner without risk of intervention.</w:t>
      </w:r>
      <w:r w:rsidR="00791DFE" w:rsidRPr="00170ADC">
        <w:rPr>
          <w:rStyle w:val="FootnoteReference"/>
        </w:rPr>
        <w:footnoteReference w:id="100"/>
      </w:r>
      <w:r w:rsidR="005B03FA">
        <w:t xml:space="preserve"> </w:t>
      </w:r>
      <w:r w:rsidR="004A7CF3" w:rsidRPr="00FA1A19">
        <w:t>A smart contract</w:t>
      </w:r>
      <w:r w:rsidRPr="00FA1A19">
        <w:t xml:space="preserve"> enables unrelated parties to maintain anonymity</w:t>
      </w:r>
      <w:r w:rsidR="00BF0557" w:rsidRPr="00170ADC">
        <w:rPr>
          <w:rStyle w:val="FootnoteReference"/>
        </w:rPr>
        <w:footnoteReference w:id="101"/>
      </w:r>
      <w:r w:rsidRPr="00FA1A19">
        <w:t xml:space="preserve"> and yet </w:t>
      </w:r>
      <w:r w:rsidR="00F81666" w:rsidRPr="00FA1A19">
        <w:t>in effect</w:t>
      </w:r>
      <w:r w:rsidR="00C00BCB" w:rsidRPr="00FA1A19">
        <w:t xml:space="preserve"> transact</w:t>
      </w:r>
      <w:r w:rsidR="00B87EB3" w:rsidRPr="00FA1A19">
        <w:t xml:space="preserve"> </w:t>
      </w:r>
      <w:r w:rsidR="00F81666" w:rsidRPr="00FA1A19">
        <w:t xml:space="preserve">across the </w:t>
      </w:r>
      <w:r w:rsidR="00C00BCB" w:rsidRPr="00FA1A19">
        <w:t xml:space="preserve">DLT </w:t>
      </w:r>
      <w:r w:rsidRPr="00FA1A19">
        <w:t xml:space="preserve">platform with trust that the </w:t>
      </w:r>
      <w:r w:rsidR="00BE6C89" w:rsidRPr="00FA1A19">
        <w:t>transaction</w:t>
      </w:r>
      <w:r w:rsidRPr="00FA1A19">
        <w:t xml:space="preserve"> </w:t>
      </w:r>
      <w:r w:rsidR="00A30562" w:rsidRPr="00FA1A19">
        <w:t xml:space="preserve">will proceed </w:t>
      </w:r>
      <w:r w:rsidR="00451015" w:rsidRPr="00FA1A19">
        <w:t xml:space="preserve">only </w:t>
      </w:r>
      <w:r w:rsidR="00A30562" w:rsidRPr="00FA1A19">
        <w:t>in the expected way</w:t>
      </w:r>
      <w:r w:rsidR="00321B9E" w:rsidRPr="00FA1A19">
        <w:t>,</w:t>
      </w:r>
      <w:r w:rsidRPr="00FA1A19">
        <w:t xml:space="preserve"> by reason of </w:t>
      </w:r>
      <w:r w:rsidR="00D21594" w:rsidRPr="00FA1A19">
        <w:t>the</w:t>
      </w:r>
      <w:r w:rsidRPr="00FA1A19">
        <w:t xml:space="preserve"> smart contract</w:t>
      </w:r>
      <w:r w:rsidR="00D57875" w:rsidRPr="00FA1A19">
        <w:t xml:space="preserve"> </w:t>
      </w:r>
      <w:r w:rsidRPr="00FA1A19">
        <w:t>being self</w:t>
      </w:r>
      <w:r w:rsidR="00F75232">
        <w:noBreakHyphen/>
      </w:r>
      <w:r w:rsidRPr="00FA1A19">
        <w:t>fulfilling once the</w:t>
      </w:r>
      <w:r w:rsidR="00143ACB" w:rsidRPr="00FA1A19">
        <w:t xml:space="preserve"> </w:t>
      </w:r>
      <w:r w:rsidR="00222D13" w:rsidRPr="00FA1A19">
        <w:t>pre</w:t>
      </w:r>
      <w:r w:rsidR="00F75232">
        <w:noBreakHyphen/>
      </w:r>
      <w:r w:rsidR="00222D13" w:rsidRPr="00FA1A19">
        <w:t xml:space="preserve">determined </w:t>
      </w:r>
      <w:r w:rsidR="00143ACB" w:rsidRPr="00FA1A19">
        <w:t xml:space="preserve">requirements </w:t>
      </w:r>
      <w:r w:rsidRPr="00FA1A19">
        <w:t>are met.</w:t>
      </w:r>
      <w:r w:rsidR="00C72ED1" w:rsidRPr="00FA1A19">
        <w:t xml:space="preserve"> </w:t>
      </w:r>
    </w:p>
    <w:p w14:paraId="3CF21123" w14:textId="24386F6B" w:rsidR="007F432A" w:rsidRPr="00FA1A19" w:rsidRDefault="00321B9E" w:rsidP="007F432A">
      <w:r w:rsidRPr="00FA1A19">
        <w:t xml:space="preserve">It is important to recognise that a </w:t>
      </w:r>
      <w:r w:rsidR="00F75232">
        <w:t>‘</w:t>
      </w:r>
      <w:r w:rsidRPr="00FA1A19">
        <w:t>smart contract</w:t>
      </w:r>
      <w:r w:rsidR="00F75232">
        <w:t>’</w:t>
      </w:r>
      <w:r w:rsidRPr="00FA1A19">
        <w:t xml:space="preserve"> is not a legal contract but </w:t>
      </w:r>
      <w:r w:rsidR="0012352F" w:rsidRPr="00FA1A19">
        <w:t xml:space="preserve">a collection of code and data </w:t>
      </w:r>
      <w:r w:rsidR="00086263" w:rsidRPr="00FA1A19">
        <w:t xml:space="preserve">that </w:t>
      </w:r>
      <w:r w:rsidR="00C05838" w:rsidRPr="00FA1A19">
        <w:t xml:space="preserve">is </w:t>
      </w:r>
      <w:r w:rsidR="0012352F" w:rsidRPr="00FA1A19">
        <w:t xml:space="preserve">deployed to multiple </w:t>
      </w:r>
      <w:r w:rsidR="00086263" w:rsidRPr="00FA1A19">
        <w:t>computers on a decentralized public network</w:t>
      </w:r>
      <w:r w:rsidR="00E16A51" w:rsidRPr="00FA1A19">
        <w:t>.</w:t>
      </w:r>
      <w:r w:rsidR="004F0A51" w:rsidRPr="00FA1A19">
        <w:t xml:space="preserve"> </w:t>
      </w:r>
      <w:r w:rsidR="00E16A51" w:rsidRPr="00FA1A19">
        <w:t>Users interact with the smart contract via messages cryptographically signed with their private key.</w:t>
      </w:r>
    </w:p>
    <w:p w14:paraId="3E424709" w14:textId="3575AA7D" w:rsidR="00A9786A" w:rsidRPr="00FA1A19" w:rsidRDefault="006A7BDF" w:rsidP="007F432A">
      <w:r w:rsidRPr="00FA1A19">
        <w:t>As indicated previously, s</w:t>
      </w:r>
      <w:r w:rsidR="00A9786A" w:rsidRPr="00FA1A19">
        <w:t xml:space="preserve">mart contracts are able to run on the Ethereum </w:t>
      </w:r>
      <w:r w:rsidR="0091695C" w:rsidRPr="00FA1A19">
        <w:t>blockchain</w:t>
      </w:r>
      <w:r w:rsidR="00A96BD6" w:rsidRPr="00FA1A19">
        <w:t>.</w:t>
      </w:r>
      <w:r w:rsidR="00A96BD6" w:rsidRPr="00170ADC">
        <w:rPr>
          <w:rStyle w:val="FootnoteReference"/>
        </w:rPr>
        <w:footnoteReference w:id="102"/>
      </w:r>
    </w:p>
    <w:p w14:paraId="460E2707" w14:textId="0774B229" w:rsidR="00C1336D" w:rsidRPr="00FA1A19" w:rsidRDefault="00C1336D" w:rsidP="00342121">
      <w:pPr>
        <w:pStyle w:val="Heading3"/>
      </w:pPr>
      <w:r w:rsidRPr="00FA1A19">
        <w:t>Web3</w:t>
      </w:r>
    </w:p>
    <w:p w14:paraId="2CC5087F" w14:textId="0514871E" w:rsidR="0088567C" w:rsidRPr="00FA1A19" w:rsidRDefault="0088567C" w:rsidP="007F432A">
      <w:r w:rsidRPr="00FA1A19">
        <w:t>Some argue that</w:t>
      </w:r>
      <w:r w:rsidR="005846A7" w:rsidRPr="00FA1A19">
        <w:t xml:space="preserve"> smart contracts and their underlying blockchain</w:t>
      </w:r>
      <w:r w:rsidR="00F75232">
        <w:noBreakHyphen/>
      </w:r>
      <w:r w:rsidR="005846A7" w:rsidRPr="00FA1A19">
        <w:t xml:space="preserve">based distributed </w:t>
      </w:r>
      <w:r w:rsidR="00E12253" w:rsidRPr="00FA1A19">
        <w:t xml:space="preserve">ledger technology </w:t>
      </w:r>
      <w:r w:rsidR="003559C1" w:rsidRPr="00FA1A19">
        <w:t>herald</w:t>
      </w:r>
      <w:r w:rsidR="004F5E75" w:rsidRPr="00FA1A19">
        <w:t xml:space="preserve"> a</w:t>
      </w:r>
      <w:r w:rsidR="003559C1" w:rsidRPr="00FA1A19">
        <w:t xml:space="preserve"> new</w:t>
      </w:r>
      <w:r w:rsidR="004F5E75" w:rsidRPr="00FA1A19">
        <w:t>, third,</w:t>
      </w:r>
      <w:r w:rsidR="003559C1" w:rsidRPr="00FA1A19">
        <w:t xml:space="preserve"> era for the internet after the first era </w:t>
      </w:r>
      <w:r w:rsidR="00673915" w:rsidRPr="00FA1A19">
        <w:t>involving participants largely navigating static web pages</w:t>
      </w:r>
      <w:r w:rsidR="00477A60" w:rsidRPr="00FA1A19">
        <w:t xml:space="preserve">, </w:t>
      </w:r>
      <w:r w:rsidR="004F5E75" w:rsidRPr="00FA1A19">
        <w:t xml:space="preserve">and the </w:t>
      </w:r>
      <w:r w:rsidR="00477A60" w:rsidRPr="00FA1A19">
        <w:t xml:space="preserve">second era </w:t>
      </w:r>
      <w:r w:rsidR="00AA622C" w:rsidRPr="00FA1A19">
        <w:t>of a more interactive internet with user</w:t>
      </w:r>
      <w:r w:rsidR="00F75232">
        <w:noBreakHyphen/>
      </w:r>
      <w:r w:rsidR="00AA622C" w:rsidRPr="00FA1A19">
        <w:t>generated content</w:t>
      </w:r>
      <w:r w:rsidR="001C216D">
        <w:t xml:space="preserve"> (</w:t>
      </w:r>
      <w:r w:rsidR="00AA622C" w:rsidRPr="00FA1A19">
        <w:t>the read/write web</w:t>
      </w:r>
      <w:r w:rsidR="001C216D">
        <w:t>)</w:t>
      </w:r>
      <w:r w:rsidR="00AA622C" w:rsidRPr="00FA1A19">
        <w:t>.</w:t>
      </w:r>
      <w:r w:rsidR="004F0A51" w:rsidRPr="00FA1A19">
        <w:t xml:space="preserve"> </w:t>
      </w:r>
      <w:r w:rsidR="00AA622C" w:rsidRPr="00FA1A19">
        <w:t xml:space="preserve">This third era or </w:t>
      </w:r>
      <w:r w:rsidR="00590D93" w:rsidRPr="00FA1A19">
        <w:t>so</w:t>
      </w:r>
      <w:r w:rsidR="00F75232">
        <w:noBreakHyphen/>
      </w:r>
      <w:r w:rsidR="00590D93" w:rsidRPr="00FA1A19">
        <w:t xml:space="preserve">called </w:t>
      </w:r>
      <w:r w:rsidR="00F75232">
        <w:t>‘</w:t>
      </w:r>
      <w:r w:rsidR="00AA622C" w:rsidRPr="00FA1A19">
        <w:t>Web3</w:t>
      </w:r>
      <w:r w:rsidR="00F75232">
        <w:t>’</w:t>
      </w:r>
      <w:r w:rsidR="00590D93" w:rsidRPr="00FA1A19">
        <w:t xml:space="preserve"> is argued to </w:t>
      </w:r>
      <w:r w:rsidR="00BD109C" w:rsidRPr="00FA1A19">
        <w:t xml:space="preserve">overcome the centralization of </w:t>
      </w:r>
      <w:r w:rsidR="00F75232">
        <w:t>‘</w:t>
      </w:r>
      <w:r w:rsidR="00BD109C" w:rsidRPr="00FA1A19">
        <w:t>Web1</w:t>
      </w:r>
      <w:r w:rsidR="00F75232">
        <w:t>’</w:t>
      </w:r>
      <w:r w:rsidR="00BD109C" w:rsidRPr="00FA1A19">
        <w:t xml:space="preserve"> and </w:t>
      </w:r>
      <w:r w:rsidR="00F75232">
        <w:t>‘</w:t>
      </w:r>
      <w:r w:rsidR="00BD109C" w:rsidRPr="00FA1A19">
        <w:t>Web2</w:t>
      </w:r>
      <w:r w:rsidR="00F75232">
        <w:t>’</w:t>
      </w:r>
      <w:r w:rsidR="00BD109C" w:rsidRPr="00FA1A19">
        <w:t xml:space="preserve"> and </w:t>
      </w:r>
      <w:r w:rsidR="00606006" w:rsidRPr="00FA1A19">
        <w:t>to comprise a</w:t>
      </w:r>
      <w:r w:rsidR="009868C2" w:rsidRPr="00FA1A19">
        <w:t>n</w:t>
      </w:r>
      <w:r w:rsidR="00606006" w:rsidRPr="00FA1A19">
        <w:t xml:space="preserve"> internet </w:t>
      </w:r>
      <w:r w:rsidR="00E84201" w:rsidRPr="00FA1A19">
        <w:t xml:space="preserve">where users </w:t>
      </w:r>
      <w:r w:rsidR="00FF642B" w:rsidRPr="00FA1A19">
        <w:t xml:space="preserve">are no longer subject to centralised control because they </w:t>
      </w:r>
      <w:r w:rsidR="00E84201" w:rsidRPr="00FA1A19">
        <w:t xml:space="preserve">protect their own privacy </w:t>
      </w:r>
      <w:r w:rsidR="00FF642B" w:rsidRPr="00FA1A19">
        <w:t xml:space="preserve">by </w:t>
      </w:r>
      <w:r w:rsidR="00E84201" w:rsidRPr="00FA1A19">
        <w:t>encrypted wallets</w:t>
      </w:r>
      <w:r w:rsidR="00FA1F62" w:rsidRPr="00FA1A19">
        <w:t xml:space="preserve">, </w:t>
      </w:r>
      <w:r w:rsidR="00DC5687">
        <w:t xml:space="preserve">where </w:t>
      </w:r>
      <w:r w:rsidR="00FA1F62" w:rsidRPr="00FA1A19">
        <w:t xml:space="preserve">censorship by central authorities is not possible due to the decentralised nature of the database, and </w:t>
      </w:r>
      <w:r w:rsidR="00DC5687">
        <w:t xml:space="preserve">where </w:t>
      </w:r>
      <w:r w:rsidR="00FA1F62" w:rsidRPr="00FA1A19">
        <w:t>control by central authorities is not possible due to governance occurring by way of governance tokens</w:t>
      </w:r>
      <w:r w:rsidR="00C1336D" w:rsidRPr="00FA1A19">
        <w:t>.</w:t>
      </w:r>
      <w:r w:rsidR="009868C2" w:rsidRPr="00170ADC">
        <w:rPr>
          <w:rStyle w:val="FootnoteReference"/>
        </w:rPr>
        <w:footnoteReference w:id="103"/>
      </w:r>
    </w:p>
    <w:p w14:paraId="14DAB045" w14:textId="17C99F97" w:rsidR="00301B95" w:rsidRPr="00FA1A19" w:rsidRDefault="00301B95" w:rsidP="0069352C">
      <w:pPr>
        <w:pStyle w:val="Heading2"/>
      </w:pPr>
      <w:bookmarkStart w:id="51" w:name="_Toc159513575"/>
      <w:r w:rsidRPr="00FA1A19">
        <w:t>Tokens</w:t>
      </w:r>
      <w:bookmarkEnd w:id="51"/>
    </w:p>
    <w:p w14:paraId="24A8F5AC" w14:textId="6FD193BF" w:rsidR="00301B95" w:rsidRPr="00FA1A19" w:rsidRDefault="00301B95" w:rsidP="00301B95">
      <w:r w:rsidRPr="00FA1A19">
        <w:t>A crypto token</w:t>
      </w:r>
      <w:r w:rsidRPr="00FA1A19" w:rsidDel="00502EDE">
        <w:t xml:space="preserve"> </w:t>
      </w:r>
      <w:r w:rsidR="00502EDE" w:rsidRPr="00FA1A19">
        <w:t>refers to</w:t>
      </w:r>
      <w:r w:rsidRPr="00FA1A19">
        <w:t xml:space="preserve"> a unit of digital information that can be exclusively used or controlled by a person,</w:t>
      </w:r>
      <w:r w:rsidR="00FC6074" w:rsidRPr="00170ADC">
        <w:rPr>
          <w:rStyle w:val="FootnoteReference"/>
        </w:rPr>
        <w:footnoteReference w:id="104"/>
      </w:r>
      <w:r w:rsidRPr="00FA1A19">
        <w:t xml:space="preserve"> despite that person not controlling the host hardware where that token is recorded. The crypto token is recorded on a distributed ledger and the authenticity of the crypto token is established by cryptography.</w:t>
      </w:r>
      <w:r w:rsidRPr="00170ADC">
        <w:rPr>
          <w:rStyle w:val="FootnoteReference"/>
        </w:rPr>
        <w:footnoteReference w:id="105"/>
      </w:r>
      <w:r w:rsidR="004F0A51" w:rsidRPr="00FA1A19">
        <w:t xml:space="preserve"> </w:t>
      </w:r>
      <w:r w:rsidR="0032742F" w:rsidRPr="00FA1A19">
        <w:t>A</w:t>
      </w:r>
      <w:r w:rsidR="0091448E" w:rsidRPr="00FA1A19">
        <w:t xml:space="preserve"> crypto token </w:t>
      </w:r>
      <w:r w:rsidR="0032742F" w:rsidRPr="00FA1A19">
        <w:t>has also been described as</w:t>
      </w:r>
      <w:r w:rsidR="0091448E" w:rsidRPr="00FA1A19">
        <w:t xml:space="preserve"> a </w:t>
      </w:r>
      <w:r w:rsidR="00F75232">
        <w:t>‘</w:t>
      </w:r>
      <w:r w:rsidR="0091448E" w:rsidRPr="00FA1A19">
        <w:t>tradeable digital asset that exists on a distributed ledger (usually a blockchain) that is controlled by a private cryptographic key</w:t>
      </w:r>
      <w:r w:rsidR="00F75232">
        <w:t>’</w:t>
      </w:r>
      <w:r w:rsidR="0091448E" w:rsidRPr="00FA1A19">
        <w:t>.</w:t>
      </w:r>
      <w:r w:rsidR="0091448E" w:rsidRPr="00170ADC">
        <w:rPr>
          <w:rStyle w:val="FootnoteReference"/>
        </w:rPr>
        <w:footnoteReference w:id="106"/>
      </w:r>
    </w:p>
    <w:p w14:paraId="0DBC84D6" w14:textId="3B7EA15E" w:rsidR="00371B50" w:rsidRPr="00FA1A19" w:rsidRDefault="006F3797" w:rsidP="00301B95">
      <w:r w:rsidRPr="00FA1A19">
        <w:t>Broadly</w:t>
      </w:r>
      <w:r w:rsidR="0019351E" w:rsidRPr="00FA1A19">
        <w:t xml:space="preserve"> speaking, it is possible to distinguish two general categories of tokens.</w:t>
      </w:r>
      <w:r w:rsidR="004F0A51" w:rsidRPr="00FA1A19">
        <w:t xml:space="preserve"> </w:t>
      </w:r>
      <w:r w:rsidR="0019351E" w:rsidRPr="00FA1A19">
        <w:t xml:space="preserve">The first category consists of tokens that natively form part of the consensus mechanism of the underlying blockchain, the most prominent of which are </w:t>
      </w:r>
      <w:r w:rsidR="0015123D" w:rsidRPr="00FA1A19">
        <w:t>the cryptocurrencies</w:t>
      </w:r>
      <w:r w:rsidR="0019351E" w:rsidRPr="00FA1A19">
        <w:t xml:space="preserve"> bitcoin and ether.</w:t>
      </w:r>
      <w:r w:rsidR="000563E1" w:rsidRPr="00FA1A19">
        <w:t xml:space="preserve"> Typically, these tokens are the means of payment for transaction fees for their blockchain. The second category consists of tokens that are created as smart contracts on top of smart contract</w:t>
      </w:r>
      <w:r w:rsidR="00F75232">
        <w:noBreakHyphen/>
      </w:r>
      <w:r w:rsidR="000563E1" w:rsidRPr="00FA1A19">
        <w:t>capable blockchains</w:t>
      </w:r>
      <w:r w:rsidR="000563E1" w:rsidRPr="00170ADC">
        <w:rPr>
          <w:rStyle w:val="FootnoteReference"/>
        </w:rPr>
        <w:footnoteReference w:id="107"/>
      </w:r>
      <w:r w:rsidR="000563E1" w:rsidRPr="00FA1A19">
        <w:t xml:space="preserve"> (such as the Ethereum blockchain)</w:t>
      </w:r>
      <w:r w:rsidR="00371B50" w:rsidRPr="00FA1A19">
        <w:t>.</w:t>
      </w:r>
    </w:p>
    <w:p w14:paraId="00E5A094" w14:textId="7193D02B" w:rsidR="00301B95" w:rsidRPr="00FA1A19" w:rsidRDefault="00301B95" w:rsidP="00301B95">
      <w:r w:rsidRPr="00FA1A19">
        <w:t xml:space="preserve">Cryptocurrencies are tokens (or digital tokens) that are described as </w:t>
      </w:r>
      <w:r w:rsidR="00F75232">
        <w:t>‘</w:t>
      </w:r>
      <w:r w:rsidRPr="00FA1A19">
        <w:t>fungible</w:t>
      </w:r>
      <w:r w:rsidR="00F75232">
        <w:t>’</w:t>
      </w:r>
      <w:r w:rsidRPr="00FA1A19">
        <w:t xml:space="preserve"> because they are identical to each other, they hold value</w:t>
      </w:r>
      <w:r w:rsidR="00BC5C9D" w:rsidRPr="00170ADC">
        <w:rPr>
          <w:rStyle w:val="FootnoteReference"/>
        </w:rPr>
        <w:footnoteReference w:id="108"/>
      </w:r>
      <w:r w:rsidRPr="00FA1A19">
        <w:t xml:space="preserve"> and they are divisible.</w:t>
      </w:r>
      <w:r w:rsidR="004F0A51" w:rsidRPr="00FA1A19">
        <w:t xml:space="preserve"> </w:t>
      </w:r>
    </w:p>
    <w:p w14:paraId="446B8679" w14:textId="460C9417" w:rsidR="00203A3E" w:rsidRPr="00FA1A19" w:rsidRDefault="00203A3E" w:rsidP="00342121">
      <w:pPr>
        <w:pStyle w:val="Heading3"/>
      </w:pPr>
      <w:r w:rsidRPr="00FA1A19">
        <w:t>Non</w:t>
      </w:r>
      <w:r w:rsidR="00F75232">
        <w:noBreakHyphen/>
      </w:r>
      <w:r w:rsidRPr="00FA1A19">
        <w:t>fungible tokens (NFTs)</w:t>
      </w:r>
    </w:p>
    <w:p w14:paraId="044E001F" w14:textId="52EE2869" w:rsidR="00301B95" w:rsidRPr="00FA1A19" w:rsidRDefault="00301B95" w:rsidP="00301B95">
      <w:r w:rsidRPr="00FA1A19">
        <w:t>By contrast</w:t>
      </w:r>
      <w:r w:rsidR="00203A3E" w:rsidRPr="00FA1A19">
        <w:t xml:space="preserve"> with fungible tokens</w:t>
      </w:r>
      <w:r w:rsidRPr="00FA1A19">
        <w:t>, NFTs</w:t>
      </w:r>
      <w:r w:rsidR="003B52B3">
        <w:t xml:space="preserve"> </w:t>
      </w:r>
      <w:r w:rsidRPr="00FA1A19">
        <w:t xml:space="preserve">are </w:t>
      </w:r>
      <w:r w:rsidR="00F75232">
        <w:t>‘</w:t>
      </w:r>
      <w:r w:rsidRPr="00FA1A19">
        <w:t>representations of unique data. Each token is mathematically unique and unable to be fractionalised, unlike many fungible crypto assets.</w:t>
      </w:r>
      <w:r w:rsidR="00F75232">
        <w:t>’</w:t>
      </w:r>
      <w:r w:rsidRPr="00170ADC">
        <w:rPr>
          <w:rStyle w:val="FootnoteReference"/>
        </w:rPr>
        <w:footnoteReference w:id="109"/>
      </w:r>
    </w:p>
    <w:p w14:paraId="3F675B23" w14:textId="64EE5D54" w:rsidR="00301B95" w:rsidRPr="00FA1A19" w:rsidRDefault="00301B95" w:rsidP="00991EBC">
      <w:pPr>
        <w:pStyle w:val="Quote"/>
      </w:pPr>
      <w:r w:rsidRPr="00FA1A19">
        <w:t>NFTs is a description of the technology used where something unique or a record of something unique, is maintained on a blockchain or distributed ledger. What an NFT is, depends on the nature of the information that is provided when an NFT is transferred and recorded. For example, NFTs underpin many blockchain use cases, such as in relation to supply chain management to track the movement of a particular good at a particular time, or records of trademarks.</w:t>
      </w:r>
      <w:r w:rsidR="004F0A51" w:rsidRPr="00FA1A19">
        <w:t xml:space="preserve"> </w:t>
      </w:r>
      <w:r w:rsidRPr="00FA1A19">
        <w:t>Other NFTs exist purely in the digital realm, such as collectors items, such as jpeg images, or rights in those images.</w:t>
      </w:r>
      <w:r w:rsidRPr="00170ADC">
        <w:rPr>
          <w:rStyle w:val="FootnoteReference"/>
        </w:rPr>
        <w:footnoteReference w:id="110"/>
      </w:r>
    </w:p>
    <w:p w14:paraId="7B2023B0" w14:textId="2577994E" w:rsidR="00301B95" w:rsidRPr="00FA1A19" w:rsidRDefault="00301B95" w:rsidP="00301B95">
      <w:r w:rsidRPr="00FA1A19">
        <w:t xml:space="preserve">Assets can be </w:t>
      </w:r>
      <w:r w:rsidR="00F75232">
        <w:t>‘</w:t>
      </w:r>
      <w:r w:rsidRPr="00FA1A19">
        <w:t>tokeni</w:t>
      </w:r>
      <w:r w:rsidR="00CB3FDE" w:rsidRPr="00FA1A19">
        <w:t>s</w:t>
      </w:r>
      <w:r w:rsidRPr="00FA1A19">
        <w:t>ed</w:t>
      </w:r>
      <w:r w:rsidR="00F75232">
        <w:t>’</w:t>
      </w:r>
      <w:r w:rsidRPr="00FA1A19">
        <w:t xml:space="preserve"> so that ownership becomes connected with control of </w:t>
      </w:r>
      <w:r w:rsidR="00651285" w:rsidRPr="00FA1A19">
        <w:t>a</w:t>
      </w:r>
      <w:r w:rsidR="002C0E42">
        <w:t>n</w:t>
      </w:r>
      <w:r w:rsidR="00651285" w:rsidRPr="00FA1A19">
        <w:t xml:space="preserve"> NFT</w:t>
      </w:r>
      <w:r w:rsidRPr="00FA1A19">
        <w:t xml:space="preserve"> as recorded on the blockchain.</w:t>
      </w:r>
      <w:r w:rsidR="004F0A51" w:rsidRPr="00FA1A19">
        <w:t xml:space="preserve"> </w:t>
      </w:r>
      <w:r w:rsidRPr="00FA1A19">
        <w:t>Ownership can then be transferred by transfer of the token as recorded on the blockchain.</w:t>
      </w:r>
    </w:p>
    <w:p w14:paraId="1B060CF4" w14:textId="10ED7A05" w:rsidR="00301B95" w:rsidRPr="00FA1A19" w:rsidRDefault="00301B95" w:rsidP="00301B95">
      <w:r w:rsidRPr="00FA1A19">
        <w:t>Some examples of non</w:t>
      </w:r>
      <w:r w:rsidR="00F75232">
        <w:noBreakHyphen/>
      </w:r>
      <w:r w:rsidRPr="00FA1A19">
        <w:t>fungible tokens include:</w:t>
      </w:r>
    </w:p>
    <w:p w14:paraId="522BA36A" w14:textId="6C0FC978" w:rsidR="00301B95" w:rsidRPr="00FA1A19" w:rsidRDefault="00301B95" w:rsidP="008371A3">
      <w:pPr>
        <w:pStyle w:val="Bullet"/>
      </w:pPr>
      <w:r w:rsidRPr="00FA1A19">
        <w:t>NFTs signalling ownership and authenticity of digital works by recording the creation (</w:t>
      </w:r>
      <w:r w:rsidR="00F75232">
        <w:t>‘</w:t>
      </w:r>
      <w:r w:rsidRPr="00FA1A19">
        <w:t>minting</w:t>
      </w:r>
      <w:r w:rsidR="00F75232">
        <w:t>’</w:t>
      </w:r>
      <w:r w:rsidRPr="00FA1A19">
        <w:t xml:space="preserve">) of the NFT </w:t>
      </w:r>
      <w:r w:rsidR="006C2B4F" w:rsidRPr="00FA1A19">
        <w:t>which can be</w:t>
      </w:r>
      <w:r w:rsidRPr="00FA1A19">
        <w:t xml:space="preserve"> subsequent</w:t>
      </w:r>
      <w:r w:rsidR="006C2B4F" w:rsidRPr="00FA1A19">
        <w:t>ly sold</w:t>
      </w:r>
      <w:r w:rsidRPr="00FA1A19">
        <w:t xml:space="preserve"> through blockchain technology.</w:t>
      </w:r>
      <w:r w:rsidR="004F0A51" w:rsidRPr="00FA1A19">
        <w:t xml:space="preserve"> </w:t>
      </w:r>
      <w:r w:rsidRPr="00FA1A19">
        <w:t>Some examples of NFTs on the Ethereum blockchain are:</w:t>
      </w:r>
    </w:p>
    <w:p w14:paraId="6F28EAE1" w14:textId="53AA9030" w:rsidR="00301B95" w:rsidRPr="00FA1A19" w:rsidRDefault="00F75232" w:rsidP="008371A3">
      <w:pPr>
        <w:pStyle w:val="Dash"/>
      </w:pPr>
      <w:r>
        <w:t>‘</w:t>
      </w:r>
      <w:r w:rsidR="00301B95" w:rsidRPr="00FA1A19">
        <w:t>Bored Ape Yacht Club</w:t>
      </w:r>
      <w:r>
        <w:t>’</w:t>
      </w:r>
      <w:r w:rsidR="00301B95" w:rsidRPr="00FA1A19">
        <w:t xml:space="preserve"> images</w:t>
      </w:r>
    </w:p>
    <w:p w14:paraId="0FC79D9F" w14:textId="08A008F4" w:rsidR="00301B95" w:rsidRPr="00FA1A19" w:rsidRDefault="00301B95" w:rsidP="008371A3">
      <w:pPr>
        <w:pStyle w:val="Dash"/>
      </w:pPr>
      <w:r w:rsidRPr="00FA1A19">
        <w:t>a JPG file made by a digital artist known as Beeple comprising a collage of his previous works, which sold for almost $70</w:t>
      </w:r>
      <w:r w:rsidR="00372633">
        <w:t> million</w:t>
      </w:r>
      <w:r w:rsidRPr="00FA1A19">
        <w:t xml:space="preserve"> in 2021.</w:t>
      </w:r>
    </w:p>
    <w:p w14:paraId="6AD70844" w14:textId="33EB1EE9" w:rsidR="00A67824" w:rsidRPr="00FA1A19" w:rsidRDefault="00A67824" w:rsidP="00CA7247">
      <w:pPr>
        <w:pStyle w:val="NormalIndent"/>
      </w:pPr>
      <w:r w:rsidRPr="00FA1A19">
        <w:rPr>
          <w:rFonts w:asciiTheme="minorHAnsi" w:hAnsiTheme="minorHAnsi" w:cstheme="minorHAnsi"/>
          <w:color w:val="333333"/>
        </w:rPr>
        <w:t>The</w:t>
      </w:r>
      <w:r w:rsidRPr="00FA1A19">
        <w:t xml:space="preserve"> </w:t>
      </w:r>
      <w:r w:rsidRPr="00FA1A19">
        <w:rPr>
          <w:rFonts w:asciiTheme="minorHAnsi" w:hAnsiTheme="minorHAnsi" w:cstheme="minorHAnsi"/>
          <w:color w:val="333333"/>
        </w:rPr>
        <w:t>public</w:t>
      </w:r>
      <w:r w:rsidRPr="00FA1A19">
        <w:t xml:space="preserve"> can view the images for free online, but only the owner of the NFT can claim ownership of the digital image. </w:t>
      </w:r>
    </w:p>
    <w:p w14:paraId="77F6952E" w14:textId="2FE52957" w:rsidR="00301B95" w:rsidRPr="00FA1A19" w:rsidRDefault="00301B95" w:rsidP="008371A3">
      <w:pPr>
        <w:pStyle w:val="Bullet"/>
      </w:pPr>
      <w:r w:rsidRPr="00FA1A19">
        <w:t>A</w:t>
      </w:r>
      <w:r w:rsidR="002C0E42">
        <w:t>n</w:t>
      </w:r>
      <w:r w:rsidRPr="00FA1A19">
        <w:t xml:space="preserve"> NFT </w:t>
      </w:r>
      <w:r w:rsidRPr="00FA1A19">
        <w:rPr>
          <w:rFonts w:asciiTheme="minorHAnsi" w:hAnsiTheme="minorHAnsi" w:cstheme="minorBidi"/>
          <w:color w:val="333333"/>
        </w:rPr>
        <w:t>representing</w:t>
      </w:r>
      <w:r w:rsidRPr="00FA1A19">
        <w:t xml:space="preserve"> the first tweet sent on the Twitter platform (on 21 March 2006), which sold for $2.9</w:t>
      </w:r>
      <w:r w:rsidR="00372633">
        <w:t> million</w:t>
      </w:r>
      <w:r w:rsidRPr="00FA1A19">
        <w:t xml:space="preserve"> in 2021.</w:t>
      </w:r>
    </w:p>
    <w:p w14:paraId="49C5FD4C" w14:textId="525D6295" w:rsidR="00301B95" w:rsidRPr="00FA1A19" w:rsidRDefault="00301B95" w:rsidP="008371A3">
      <w:pPr>
        <w:pStyle w:val="Bullet"/>
      </w:pPr>
      <w:r w:rsidRPr="00FA1A19">
        <w:t xml:space="preserve">The Perth Mint Gold Token, a </w:t>
      </w:r>
      <w:r w:rsidR="00F75232">
        <w:t>‘</w:t>
      </w:r>
      <w:r w:rsidRPr="00FA1A19">
        <w:t xml:space="preserve">partnership between Perth Mint and Trovio Capital </w:t>
      </w:r>
      <w:r w:rsidRPr="00FA1A19">
        <w:rPr>
          <w:rFonts w:asciiTheme="minorHAnsi" w:hAnsiTheme="minorHAnsi" w:cstheme="minorBidi"/>
          <w:color w:val="333333"/>
        </w:rPr>
        <w:t>Management</w:t>
      </w:r>
      <w:r w:rsidRPr="00FA1A19">
        <w:t xml:space="preserve"> which digitises physical gold in the form of GoldPass certificates and makes a tokenised form of these certificates available on a public blockchain where investors, traders and institutions can buy and sell them on Digital Asset Exchanges</w:t>
      </w:r>
      <w:r w:rsidR="00F75232">
        <w:t>’</w:t>
      </w:r>
      <w:r w:rsidR="00CE2F0D" w:rsidRPr="00FA1A19">
        <w:t>.</w:t>
      </w:r>
      <w:r w:rsidR="006D235C" w:rsidRPr="00170ADC">
        <w:rPr>
          <w:rStyle w:val="FootnoteReference"/>
        </w:rPr>
        <w:footnoteReference w:id="111"/>
      </w:r>
      <w:r w:rsidR="004F0A51" w:rsidRPr="00FA1A19">
        <w:t xml:space="preserve"> </w:t>
      </w:r>
      <w:r w:rsidR="0003285B" w:rsidRPr="00FA1A19">
        <w:t>The Perth Mint Gold Token was discontinued on</w:t>
      </w:r>
      <w:r w:rsidR="00C22EA5" w:rsidRPr="00FA1A19">
        <w:t xml:space="preserve"> 31 October 2023.</w:t>
      </w:r>
    </w:p>
    <w:p w14:paraId="66A1622C" w14:textId="77777777" w:rsidR="00301B95" w:rsidRPr="00FA1A19" w:rsidRDefault="00301B95" w:rsidP="008371A3">
      <w:pPr>
        <w:pStyle w:val="Bullet"/>
      </w:pPr>
      <w:r w:rsidRPr="00FA1A19">
        <w:t>Admission tickets to a concert.</w:t>
      </w:r>
    </w:p>
    <w:p w14:paraId="584021DA" w14:textId="77777777" w:rsidR="00301B95" w:rsidRPr="00FA1A19" w:rsidRDefault="00301B95" w:rsidP="008371A3">
      <w:pPr>
        <w:pStyle w:val="Bullet"/>
      </w:pPr>
      <w:r w:rsidRPr="00FA1A19">
        <w:t xml:space="preserve">NFTs </w:t>
      </w:r>
      <w:r w:rsidRPr="00FA1A19">
        <w:rPr>
          <w:rFonts w:asciiTheme="minorHAnsi" w:hAnsiTheme="minorHAnsi" w:cstheme="minorHAnsi"/>
          <w:color w:val="333333"/>
        </w:rPr>
        <w:t>representing</w:t>
      </w:r>
      <w:r w:rsidRPr="00FA1A19">
        <w:t xml:space="preserve"> membership or the right to unlock benefits.</w:t>
      </w:r>
    </w:p>
    <w:p w14:paraId="3CCD5C55" w14:textId="74FE3E59" w:rsidR="00203A3E" w:rsidRPr="00FA1A19" w:rsidRDefault="001355D3" w:rsidP="00203A3E">
      <w:pPr>
        <w:spacing w:before="240" w:after="0" w:line="256" w:lineRule="auto"/>
      </w:pPr>
      <w:r w:rsidRPr="00FA1A19">
        <w:t xml:space="preserve">In </w:t>
      </w:r>
      <w:r w:rsidR="00372633">
        <w:t>Chapter </w:t>
      </w:r>
      <w:r w:rsidRPr="00FA1A19">
        <w:t>13 to this Report, the Board discusses NFTs further, and recommends that the Government continue to monitor and review the development and taxation treatment of NFTs.</w:t>
      </w:r>
    </w:p>
    <w:p w14:paraId="263FC8B7" w14:textId="71B29EFC" w:rsidR="00A51508" w:rsidRPr="00FA1A19" w:rsidRDefault="00A51508" w:rsidP="0069352C">
      <w:pPr>
        <w:pStyle w:val="Heading2"/>
      </w:pPr>
      <w:bookmarkStart w:id="52" w:name="_Toc159513576"/>
      <w:r w:rsidRPr="00FA1A19">
        <w:t>Governance</w:t>
      </w:r>
      <w:bookmarkEnd w:id="52"/>
    </w:p>
    <w:p w14:paraId="25AA65A5" w14:textId="4F371E9B" w:rsidR="000E2F8E" w:rsidRPr="00FA1A19" w:rsidRDefault="00E8363B" w:rsidP="00575A81">
      <w:r w:rsidRPr="00FA1A19">
        <w:t xml:space="preserve">A </w:t>
      </w:r>
      <w:r w:rsidR="009C1B80" w:rsidRPr="00FA1A19">
        <w:t xml:space="preserve">DLT </w:t>
      </w:r>
      <w:r w:rsidR="000910CC" w:rsidRPr="00FA1A19">
        <w:t>protocol</w:t>
      </w:r>
      <w:r w:rsidR="008E588A" w:rsidRPr="00FA1A19">
        <w:t xml:space="preserve"> may </w:t>
      </w:r>
      <w:r w:rsidR="002D01B3" w:rsidRPr="00FA1A19">
        <w:t xml:space="preserve">require </w:t>
      </w:r>
      <w:r w:rsidR="0086106B" w:rsidRPr="00FA1A19">
        <w:t xml:space="preserve">changes to ensure the </w:t>
      </w:r>
      <w:r w:rsidR="00F661AD" w:rsidRPr="00FA1A19">
        <w:t xml:space="preserve">longevity and prosperity of the </w:t>
      </w:r>
      <w:r w:rsidR="00200982" w:rsidRPr="00FA1A19">
        <w:t>network</w:t>
      </w:r>
      <w:r w:rsidR="00F661AD" w:rsidRPr="00FA1A19">
        <w:t>.</w:t>
      </w:r>
      <w:r w:rsidR="00DE486F" w:rsidRPr="00170ADC">
        <w:rPr>
          <w:rStyle w:val="FootnoteReference"/>
        </w:rPr>
        <w:footnoteReference w:id="112"/>
      </w:r>
      <w:r w:rsidR="00F661AD" w:rsidRPr="00FA1A19">
        <w:t xml:space="preserve"> </w:t>
      </w:r>
      <w:r w:rsidR="00B24D79" w:rsidRPr="00FA1A19">
        <w:t>G</w:t>
      </w:r>
      <w:r w:rsidR="00A40E0E" w:rsidRPr="00FA1A19">
        <w:t>overnance</w:t>
      </w:r>
      <w:r w:rsidR="0075570C" w:rsidRPr="00FA1A19">
        <w:t xml:space="preserve"> is the </w:t>
      </w:r>
      <w:r w:rsidR="00A40E0E" w:rsidRPr="00FA1A19">
        <w:t>process by which decisions in relation to these changes are made.</w:t>
      </w:r>
      <w:r w:rsidR="004F0A51" w:rsidRPr="00FA1A19">
        <w:t xml:space="preserve"> </w:t>
      </w:r>
      <w:r w:rsidR="001F4392" w:rsidRPr="00FA1A19">
        <w:t>G</w:t>
      </w:r>
      <w:r w:rsidR="00892070" w:rsidRPr="00FA1A19">
        <w:t>overnance</w:t>
      </w:r>
      <w:r w:rsidR="001F4392" w:rsidRPr="00FA1A19">
        <w:t xml:space="preserve"> of </w:t>
      </w:r>
      <w:r w:rsidR="00B24D79" w:rsidRPr="00FA1A19">
        <w:t>a</w:t>
      </w:r>
      <w:r w:rsidR="00261294" w:rsidRPr="00FA1A19">
        <w:t xml:space="preserve"> </w:t>
      </w:r>
      <w:r w:rsidR="001F4392" w:rsidRPr="00FA1A19">
        <w:t xml:space="preserve">blockchain can be categorised into two types: </w:t>
      </w:r>
      <w:r w:rsidR="00F75232">
        <w:t>‘</w:t>
      </w:r>
      <w:r w:rsidR="001F4392" w:rsidRPr="00FA1A19">
        <w:t>off</w:t>
      </w:r>
      <w:r w:rsidR="00F75232">
        <w:noBreakHyphen/>
      </w:r>
      <w:r w:rsidR="00DE31C7" w:rsidRPr="00FA1A19">
        <w:t>chain governance</w:t>
      </w:r>
      <w:r w:rsidR="00F75232">
        <w:t>’</w:t>
      </w:r>
      <w:r w:rsidR="00DE31C7" w:rsidRPr="00FA1A19">
        <w:t xml:space="preserve"> and </w:t>
      </w:r>
      <w:r w:rsidR="00F75232">
        <w:t>‘</w:t>
      </w:r>
      <w:r w:rsidR="00DE31C7" w:rsidRPr="00FA1A19">
        <w:t>on</w:t>
      </w:r>
      <w:r w:rsidR="00F75232">
        <w:noBreakHyphen/>
      </w:r>
      <w:r w:rsidR="00DE31C7" w:rsidRPr="00FA1A19">
        <w:t>chain governance</w:t>
      </w:r>
      <w:r w:rsidR="00F75232">
        <w:t>’</w:t>
      </w:r>
      <w:r w:rsidR="00DE31C7" w:rsidRPr="00FA1A19">
        <w:t>.</w:t>
      </w:r>
      <w:r w:rsidR="00816CFE" w:rsidRPr="00170ADC">
        <w:rPr>
          <w:rStyle w:val="FootnoteReference"/>
        </w:rPr>
        <w:footnoteReference w:id="113"/>
      </w:r>
    </w:p>
    <w:p w14:paraId="6332C6B0" w14:textId="6CF1A63C" w:rsidR="00DE31C7" w:rsidRPr="00FA1A19" w:rsidRDefault="00DE31C7" w:rsidP="00342121">
      <w:pPr>
        <w:pStyle w:val="Heading3"/>
      </w:pPr>
      <w:r w:rsidRPr="00FA1A19">
        <w:t>Off</w:t>
      </w:r>
      <w:r w:rsidR="00F75232">
        <w:noBreakHyphen/>
      </w:r>
      <w:r w:rsidRPr="00FA1A19">
        <w:t>chain governance</w:t>
      </w:r>
    </w:p>
    <w:p w14:paraId="67A10BA4" w14:textId="7F526D29" w:rsidR="00DD1CE6" w:rsidRPr="00FA1A19" w:rsidRDefault="00435D9E" w:rsidP="00DE31C7">
      <w:r w:rsidRPr="00FA1A19">
        <w:t>Off</w:t>
      </w:r>
      <w:r w:rsidR="00F75232">
        <w:noBreakHyphen/>
      </w:r>
      <w:r w:rsidRPr="00FA1A19">
        <w:t xml:space="preserve">chain governance refers to a process by which </w:t>
      </w:r>
      <w:r w:rsidR="00DE4B73" w:rsidRPr="00FA1A19">
        <w:t xml:space="preserve">any changes </w:t>
      </w:r>
      <w:r w:rsidR="000D6CD7" w:rsidRPr="00FA1A19">
        <w:t xml:space="preserve">to the </w:t>
      </w:r>
      <w:r w:rsidR="00895EEC" w:rsidRPr="00FA1A19">
        <w:t>protocol</w:t>
      </w:r>
      <w:r w:rsidR="000D6CD7" w:rsidRPr="00FA1A19">
        <w:t xml:space="preserve"> </w:t>
      </w:r>
      <w:r w:rsidR="00DE4B73" w:rsidRPr="00FA1A19">
        <w:t>happen though an informal process of social discussion</w:t>
      </w:r>
      <w:r w:rsidR="00AC315C" w:rsidRPr="00FA1A19">
        <w:t xml:space="preserve"> </w:t>
      </w:r>
      <w:r w:rsidR="00F13F3F" w:rsidRPr="00FA1A19">
        <w:t>leading to</w:t>
      </w:r>
      <w:r w:rsidR="004A2F59" w:rsidRPr="00FA1A19">
        <w:t xml:space="preserve"> </w:t>
      </w:r>
      <w:r w:rsidR="008D0D59" w:rsidRPr="00FA1A19">
        <w:t xml:space="preserve">consensus </w:t>
      </w:r>
      <w:r w:rsidR="00B406F6" w:rsidRPr="00FA1A19">
        <w:t xml:space="preserve">for the change and with the involvement </w:t>
      </w:r>
      <w:r w:rsidR="00DB6230" w:rsidRPr="00FA1A19">
        <w:t xml:space="preserve">of </w:t>
      </w:r>
      <w:r w:rsidR="00F75232">
        <w:t>‘</w:t>
      </w:r>
      <w:r w:rsidR="00F13F3F" w:rsidRPr="00FA1A19">
        <w:t>Core Developers</w:t>
      </w:r>
      <w:r w:rsidR="00F75232">
        <w:t>’</w:t>
      </w:r>
      <w:r w:rsidR="00396EAF" w:rsidRPr="00FA1A19">
        <w:t xml:space="preserve"> who are</w:t>
      </w:r>
      <w:r w:rsidR="006F050A" w:rsidRPr="00FA1A19">
        <w:t xml:space="preserve"> </w:t>
      </w:r>
      <w:r w:rsidR="00396EAF" w:rsidRPr="00FA1A19">
        <w:t>individuals, often sponsored by organisations</w:t>
      </w:r>
      <w:r w:rsidR="0046694A" w:rsidRPr="00FA1A19">
        <w:t>.</w:t>
      </w:r>
      <w:r w:rsidR="00A76799" w:rsidRPr="00170ADC">
        <w:rPr>
          <w:rStyle w:val="FootnoteReference"/>
        </w:rPr>
        <w:footnoteReference w:id="114"/>
      </w:r>
      <w:r w:rsidR="004F0A51" w:rsidRPr="00FA1A19">
        <w:t xml:space="preserve"> </w:t>
      </w:r>
    </w:p>
    <w:p w14:paraId="2A3EA05E" w14:textId="3FBEBF52" w:rsidR="00456B8D" w:rsidRPr="00FA1A19" w:rsidRDefault="00DD1CE6" w:rsidP="00456B8D">
      <w:r w:rsidRPr="00FA1A19">
        <w:t>The governance of both</w:t>
      </w:r>
      <w:r w:rsidR="00521188" w:rsidRPr="00FA1A19">
        <w:t xml:space="preserve"> </w:t>
      </w:r>
      <w:r w:rsidR="00675EA0" w:rsidRPr="00FA1A19">
        <w:t xml:space="preserve">the </w:t>
      </w:r>
      <w:r w:rsidR="00521188" w:rsidRPr="00FA1A19">
        <w:t xml:space="preserve">Bitcoin </w:t>
      </w:r>
      <w:r w:rsidR="000E66DE" w:rsidRPr="00FA1A19">
        <w:t xml:space="preserve">blockchain </w:t>
      </w:r>
      <w:r w:rsidR="00521188" w:rsidRPr="00FA1A19">
        <w:t xml:space="preserve">and </w:t>
      </w:r>
      <w:r w:rsidR="000E66DE" w:rsidRPr="00FA1A19">
        <w:t xml:space="preserve">the </w:t>
      </w:r>
      <w:r w:rsidR="00521188" w:rsidRPr="00FA1A19">
        <w:t>Ethereum</w:t>
      </w:r>
      <w:r w:rsidR="006D5CAD" w:rsidRPr="00FA1A19">
        <w:t xml:space="preserve"> </w:t>
      </w:r>
      <w:r w:rsidR="000E66DE" w:rsidRPr="00FA1A19">
        <w:t xml:space="preserve">blockchain </w:t>
      </w:r>
      <w:r w:rsidR="006D5CAD" w:rsidRPr="00FA1A19">
        <w:t>is off</w:t>
      </w:r>
      <w:r w:rsidR="00F75232">
        <w:noBreakHyphen/>
      </w:r>
      <w:r w:rsidR="006D5CAD" w:rsidRPr="00FA1A19">
        <w:t>chain.</w:t>
      </w:r>
      <w:r w:rsidR="00C443A0" w:rsidRPr="00170ADC">
        <w:rPr>
          <w:rStyle w:val="FootnoteReference"/>
        </w:rPr>
        <w:footnoteReference w:id="115"/>
      </w:r>
      <w:r w:rsidR="004F0A51" w:rsidRPr="00FA1A19">
        <w:t xml:space="preserve"> </w:t>
      </w:r>
      <w:r w:rsidRPr="00FA1A19">
        <w:t>P</w:t>
      </w:r>
      <w:r w:rsidR="003E76BB" w:rsidRPr="00FA1A19">
        <w:t xml:space="preserve">otential changes </w:t>
      </w:r>
      <w:r w:rsidR="00C700F8" w:rsidRPr="00FA1A19">
        <w:t xml:space="preserve">to the protocol </w:t>
      </w:r>
      <w:r w:rsidR="003E76BB" w:rsidRPr="00FA1A19">
        <w:t>are discussed on various online forums and at conferences.</w:t>
      </w:r>
      <w:r w:rsidR="004F0A51" w:rsidRPr="00FA1A19">
        <w:t xml:space="preserve"> </w:t>
      </w:r>
      <w:r w:rsidR="003D18BF" w:rsidRPr="00FA1A19">
        <w:t>Core Developers</w:t>
      </w:r>
      <w:r w:rsidR="00C74EFF" w:rsidRPr="00FA1A19">
        <w:t xml:space="preserve"> will cons</w:t>
      </w:r>
      <w:r w:rsidR="003D18BF" w:rsidRPr="00FA1A19">
        <w:t xml:space="preserve">ider </w:t>
      </w:r>
      <w:r w:rsidR="00E410E7" w:rsidRPr="00FA1A19">
        <w:t xml:space="preserve">changes to the blockchain protocol </w:t>
      </w:r>
      <w:r w:rsidR="00C74EFF" w:rsidRPr="00FA1A19">
        <w:t>proposed by others</w:t>
      </w:r>
      <w:r w:rsidR="00DA0A89" w:rsidRPr="00FA1A19">
        <w:t>, or develop such changes themselves.</w:t>
      </w:r>
      <w:r w:rsidR="004F0A51" w:rsidRPr="00FA1A19">
        <w:t xml:space="preserve"> </w:t>
      </w:r>
      <w:r w:rsidR="00532E15" w:rsidRPr="00FA1A19">
        <w:t>If</w:t>
      </w:r>
      <w:r w:rsidR="00DF49CF">
        <w:t> </w:t>
      </w:r>
      <w:r w:rsidR="00532E15" w:rsidRPr="00FA1A19">
        <w:t xml:space="preserve">Core Developers </w:t>
      </w:r>
      <w:r w:rsidR="00D11603" w:rsidRPr="00FA1A19">
        <w:t>approve a change</w:t>
      </w:r>
      <w:r w:rsidR="00FF2860" w:rsidRPr="00FA1A19">
        <w:t xml:space="preserve"> </w:t>
      </w:r>
      <w:r w:rsidR="004614E2" w:rsidRPr="00FA1A19">
        <w:t xml:space="preserve">then </w:t>
      </w:r>
      <w:r w:rsidR="00FF2860" w:rsidRPr="00FA1A19">
        <w:t>and consensus</w:t>
      </w:r>
      <w:r w:rsidR="00073E0D" w:rsidRPr="00FA1A19">
        <w:t xml:space="preserve"> across all nodes</w:t>
      </w:r>
      <w:r w:rsidR="006D0E5A" w:rsidRPr="00FA1A19">
        <w:t xml:space="preserve"> (miners)</w:t>
      </w:r>
      <w:r w:rsidR="00FF2860" w:rsidRPr="00FA1A19">
        <w:t xml:space="preserve"> is reached</w:t>
      </w:r>
      <w:r w:rsidR="00D11603" w:rsidRPr="00FA1A19">
        <w:t xml:space="preserve">, </w:t>
      </w:r>
      <w:r w:rsidR="00FA00A2" w:rsidRPr="00FA1A19">
        <w:t xml:space="preserve">the protocol </w:t>
      </w:r>
      <w:r w:rsidR="00194B2D" w:rsidRPr="00FA1A19">
        <w:t>is changed</w:t>
      </w:r>
      <w:r w:rsidR="00FA00A2" w:rsidRPr="00FA1A19">
        <w:t>.</w:t>
      </w:r>
      <w:r w:rsidR="009C1B85" w:rsidRPr="00170ADC">
        <w:rPr>
          <w:rStyle w:val="FootnoteReference"/>
        </w:rPr>
        <w:footnoteReference w:id="116"/>
      </w:r>
      <w:r w:rsidR="004F0A51" w:rsidRPr="00FA1A19">
        <w:t xml:space="preserve"> </w:t>
      </w:r>
      <w:r w:rsidR="00A05FC9" w:rsidRPr="00FA1A19">
        <w:t>The change to the public code database</w:t>
      </w:r>
      <w:r w:rsidR="00A06F06" w:rsidRPr="00FA1A19">
        <w:t xml:space="preserve"> </w:t>
      </w:r>
      <w:r w:rsidR="00B37AC1" w:rsidRPr="00FA1A19">
        <w:t>(i.e.</w:t>
      </w:r>
      <w:r w:rsidR="00A06F06" w:rsidRPr="00FA1A19">
        <w:t xml:space="preserve"> the open</w:t>
      </w:r>
      <w:r w:rsidR="00F75232">
        <w:noBreakHyphen/>
      </w:r>
      <w:r w:rsidR="00A06F06" w:rsidRPr="00FA1A19">
        <w:t>source software)</w:t>
      </w:r>
      <w:r w:rsidR="00A05FC9" w:rsidRPr="00FA1A19">
        <w:t xml:space="preserve"> is implemented by the Core Developers who hold the relevant electronic password for the particular code database, and </w:t>
      </w:r>
      <w:r w:rsidR="00983283" w:rsidRPr="00FA1A19">
        <w:t xml:space="preserve">then </w:t>
      </w:r>
      <w:r w:rsidR="00A05FC9" w:rsidRPr="00FA1A19">
        <w:t>is adopted by the miners.</w:t>
      </w:r>
      <w:r w:rsidR="00A05FC9" w:rsidRPr="00170ADC">
        <w:rPr>
          <w:rStyle w:val="FootnoteReference"/>
        </w:rPr>
        <w:footnoteReference w:id="117"/>
      </w:r>
      <w:r w:rsidR="004F0A51" w:rsidRPr="00FA1A19">
        <w:t xml:space="preserve"> </w:t>
      </w:r>
      <w:r w:rsidR="009500AD" w:rsidRPr="00FA1A19">
        <w:t xml:space="preserve">A lack of consensus </w:t>
      </w:r>
      <w:r w:rsidR="00BA7DBB" w:rsidRPr="00FA1A19">
        <w:t xml:space="preserve">to a change </w:t>
      </w:r>
      <w:r w:rsidR="00B37AC1" w:rsidRPr="00FA1A19">
        <w:t>(i.e.</w:t>
      </w:r>
      <w:r w:rsidR="007707E5" w:rsidRPr="00FA1A19">
        <w:t xml:space="preserve"> not all miners agreeing to </w:t>
      </w:r>
      <w:r w:rsidR="00BB7182" w:rsidRPr="00FA1A19">
        <w:t xml:space="preserve">run the updated software) </w:t>
      </w:r>
      <w:r w:rsidR="00BA7DBB" w:rsidRPr="00FA1A19">
        <w:t xml:space="preserve">can result in a </w:t>
      </w:r>
      <w:r w:rsidR="00F75232">
        <w:t>‘</w:t>
      </w:r>
      <w:r w:rsidR="00BA7DBB" w:rsidRPr="00FA1A19">
        <w:t>hard fork</w:t>
      </w:r>
      <w:r w:rsidR="00F75232">
        <w:t>’</w:t>
      </w:r>
      <w:r w:rsidR="00456B8D" w:rsidRPr="00FA1A19">
        <w:t xml:space="preserve"> or </w:t>
      </w:r>
      <w:r w:rsidR="00F75232">
        <w:t>‘</w:t>
      </w:r>
      <w:r w:rsidR="00456B8D" w:rsidRPr="00FA1A19">
        <w:t>chain split</w:t>
      </w:r>
      <w:r w:rsidR="00F75232">
        <w:t>’</w:t>
      </w:r>
      <w:r w:rsidR="00456B8D" w:rsidRPr="00FA1A19">
        <w:t xml:space="preserve"> whereby </w:t>
      </w:r>
      <w:r w:rsidR="00E540D5" w:rsidRPr="00FA1A19">
        <w:t xml:space="preserve">a change to the protocol creates a </w:t>
      </w:r>
      <w:r w:rsidR="00456B8D" w:rsidRPr="00FA1A19">
        <w:t>new version of the blockchain whilst the old version continues to operate alongside</w:t>
      </w:r>
      <w:r w:rsidR="00E540D5" w:rsidRPr="00FA1A19">
        <w:t xml:space="preserve"> (see further below</w:t>
      </w:r>
      <w:r w:rsidR="00C00CDA" w:rsidRPr="00FA1A19">
        <w:t xml:space="preserve"> in relation to forks</w:t>
      </w:r>
      <w:r w:rsidR="00E540D5" w:rsidRPr="00FA1A19">
        <w:t>)</w:t>
      </w:r>
      <w:r w:rsidR="00456B8D" w:rsidRPr="00FA1A19">
        <w:t>.</w:t>
      </w:r>
    </w:p>
    <w:p w14:paraId="01C60204" w14:textId="03C33BD8" w:rsidR="002E6F05" w:rsidRPr="00FA1A19" w:rsidRDefault="000F558C" w:rsidP="00DF49CF">
      <w:r w:rsidRPr="00FA1A19">
        <w:t xml:space="preserve">The extent to which Core Developers control the </w:t>
      </w:r>
      <w:r w:rsidR="000D6CD7" w:rsidRPr="00FA1A19">
        <w:t>network</w:t>
      </w:r>
      <w:r w:rsidRPr="00FA1A19">
        <w:t xml:space="preserve"> is </w:t>
      </w:r>
      <w:r w:rsidR="004F4522" w:rsidRPr="00FA1A19">
        <w:t>an</w:t>
      </w:r>
      <w:r w:rsidRPr="00FA1A19">
        <w:t xml:space="preserve"> issue in the </w:t>
      </w:r>
      <w:r w:rsidR="00137CBC" w:rsidRPr="00FA1A19">
        <w:t>UK case of</w:t>
      </w:r>
      <w:r w:rsidR="00137CBC" w:rsidRPr="00FA1A19">
        <w:rPr>
          <w:i/>
          <w:iCs/>
        </w:rPr>
        <w:t xml:space="preserve"> </w:t>
      </w:r>
      <w:r w:rsidR="001C32DD" w:rsidRPr="00FA1A19">
        <w:t xml:space="preserve">Tulip Trading </w:t>
      </w:r>
      <w:r w:rsidR="000E1CEC" w:rsidRPr="00FA1A19">
        <w:t>Limited</w:t>
      </w:r>
      <w:r w:rsidRPr="00FA1A19">
        <w:t>.</w:t>
      </w:r>
      <w:r w:rsidR="004F0A51" w:rsidRPr="00FA1A19">
        <w:t xml:space="preserve"> </w:t>
      </w:r>
      <w:r w:rsidRPr="00FA1A19">
        <w:t>In that case,</w:t>
      </w:r>
      <w:r w:rsidR="001C32DD" w:rsidRPr="00FA1A19">
        <w:t xml:space="preserve"> </w:t>
      </w:r>
      <w:r w:rsidR="000E1CEC" w:rsidRPr="00FA1A19">
        <w:t>Tulip Trading Limited</w:t>
      </w:r>
      <w:r w:rsidR="00556FBE" w:rsidRPr="00FA1A19">
        <w:t xml:space="preserve"> (TTL)</w:t>
      </w:r>
      <w:r w:rsidR="000E1CEC" w:rsidRPr="00FA1A19">
        <w:t xml:space="preserve"> </w:t>
      </w:r>
      <w:r w:rsidR="00817C0A" w:rsidRPr="00FA1A19">
        <w:t>claimed that it los</w:t>
      </w:r>
      <w:r w:rsidR="00096FE8" w:rsidRPr="00FA1A19">
        <w:t xml:space="preserve">t control of its </w:t>
      </w:r>
      <w:r w:rsidR="0010648A" w:rsidRPr="00FA1A19">
        <w:t>cryptocurrency (bitcoin)</w:t>
      </w:r>
      <w:r w:rsidR="00096FE8" w:rsidRPr="00FA1A19">
        <w:t xml:space="preserve"> as a result of a hack that </w:t>
      </w:r>
      <w:r w:rsidR="00FA0FD3" w:rsidRPr="00FA1A19">
        <w:t>resulted in the theft of</w:t>
      </w:r>
      <w:r w:rsidR="00096FE8" w:rsidRPr="00FA1A19">
        <w:t xml:space="preserve"> its encrypted private keys</w:t>
      </w:r>
      <w:r w:rsidR="00C04BD4" w:rsidRPr="00FA1A19">
        <w:t xml:space="preserve"> for</w:t>
      </w:r>
      <w:r w:rsidR="00FD2F65" w:rsidRPr="00FA1A19">
        <w:t xml:space="preserve"> four digital asset networks, being the Bitcoin network and/or hard forks thereof.</w:t>
      </w:r>
      <w:r w:rsidR="004F0A51" w:rsidRPr="00FA1A19">
        <w:t xml:space="preserve"> </w:t>
      </w:r>
      <w:r w:rsidR="00715009" w:rsidRPr="00FA1A19">
        <w:t>TTL</w:t>
      </w:r>
      <w:r w:rsidR="00096FE8" w:rsidRPr="00FA1A19">
        <w:t xml:space="preserve"> </w:t>
      </w:r>
      <w:r w:rsidR="00641A00" w:rsidRPr="00FA1A19">
        <w:t>contend</w:t>
      </w:r>
      <w:r w:rsidR="00096FE8" w:rsidRPr="00FA1A19">
        <w:t>ed</w:t>
      </w:r>
      <w:r w:rsidR="00641A00" w:rsidRPr="00FA1A19">
        <w:t xml:space="preserve"> that the Defendants were </w:t>
      </w:r>
      <w:r w:rsidR="00F7014A" w:rsidRPr="00FA1A19">
        <w:t>C</w:t>
      </w:r>
      <w:r w:rsidR="00641A00" w:rsidRPr="00FA1A19">
        <w:t xml:space="preserve">ore </w:t>
      </w:r>
      <w:r w:rsidR="00F7014A" w:rsidRPr="00FA1A19">
        <w:t>D</w:t>
      </w:r>
      <w:r w:rsidR="00641A00" w:rsidRPr="00FA1A19">
        <w:t>evelopers and/or otherwise controlled the blockchain</w:t>
      </w:r>
      <w:r w:rsidR="00686876" w:rsidRPr="00FA1A19">
        <w:t>s</w:t>
      </w:r>
      <w:r w:rsidR="00641A00" w:rsidRPr="00FA1A19">
        <w:t xml:space="preserve"> </w:t>
      </w:r>
      <w:r w:rsidR="00BA70FB" w:rsidRPr="00FA1A19">
        <w:t xml:space="preserve">in respect of </w:t>
      </w:r>
      <w:r w:rsidR="0010648A" w:rsidRPr="00FA1A19">
        <w:t xml:space="preserve">the </w:t>
      </w:r>
      <w:r w:rsidR="00BA70FB" w:rsidRPr="00FA1A19">
        <w:t>four digital asset networks</w:t>
      </w:r>
      <w:r w:rsidR="003A610F" w:rsidRPr="00FA1A19">
        <w:t>, t</w:t>
      </w:r>
      <w:r w:rsidR="001C1D6B" w:rsidRPr="00FA1A19">
        <w:t xml:space="preserve">hat the Defendants </w:t>
      </w:r>
      <w:r w:rsidR="00FA41A1" w:rsidRPr="00FA1A19">
        <w:t xml:space="preserve">therefore </w:t>
      </w:r>
      <w:r w:rsidR="001C1D6B" w:rsidRPr="00FA1A19">
        <w:t xml:space="preserve">owed </w:t>
      </w:r>
      <w:r w:rsidR="00715009" w:rsidRPr="00FA1A19">
        <w:t>TTL</w:t>
      </w:r>
      <w:r w:rsidR="00FA41A1" w:rsidRPr="00FA1A19">
        <w:t xml:space="preserve"> (and other bitcoin holders)</w:t>
      </w:r>
      <w:r w:rsidR="001C1D6B" w:rsidRPr="00FA1A19">
        <w:t xml:space="preserve"> fiduciary and/or tortious duties, </w:t>
      </w:r>
      <w:r w:rsidR="00FA41A1" w:rsidRPr="00FA1A19">
        <w:t xml:space="preserve">and </w:t>
      </w:r>
      <w:r w:rsidR="00715009" w:rsidRPr="00FA1A19">
        <w:t xml:space="preserve">that </w:t>
      </w:r>
      <w:r w:rsidR="00FA41A1" w:rsidRPr="00FA1A19">
        <w:t>accordingly</w:t>
      </w:r>
      <w:r w:rsidR="00715009" w:rsidRPr="00FA1A19">
        <w:t xml:space="preserve"> </w:t>
      </w:r>
      <w:r w:rsidR="004F0BCC" w:rsidRPr="00FA1A19">
        <w:t>t</w:t>
      </w:r>
      <w:r w:rsidR="003A610F" w:rsidRPr="00FA1A19">
        <w:t>he Defendants</w:t>
      </w:r>
      <w:r w:rsidR="00715009" w:rsidRPr="00FA1A19">
        <w:t xml:space="preserve"> </w:t>
      </w:r>
      <w:r w:rsidR="006A7BDF" w:rsidRPr="00FA1A19">
        <w:t>sh</w:t>
      </w:r>
      <w:r w:rsidR="00715009" w:rsidRPr="00FA1A19">
        <w:t xml:space="preserve">ould </w:t>
      </w:r>
      <w:r w:rsidR="00556FBE" w:rsidRPr="00FA1A19">
        <w:t xml:space="preserve">implement a software </w:t>
      </w:r>
      <w:r w:rsidR="00F75232">
        <w:t>‘</w:t>
      </w:r>
      <w:r w:rsidR="00556FBE" w:rsidRPr="00FA1A19">
        <w:t>patch</w:t>
      </w:r>
      <w:r w:rsidR="00F75232">
        <w:t>’</w:t>
      </w:r>
      <w:r w:rsidR="00556FBE" w:rsidRPr="00FA1A19">
        <w:t xml:space="preserve"> enabling </w:t>
      </w:r>
      <w:r w:rsidR="00715009" w:rsidRPr="00FA1A19">
        <w:t>TTL</w:t>
      </w:r>
      <w:r w:rsidR="00556FBE" w:rsidRPr="00FA1A19">
        <w:t xml:space="preserve"> to regain control of </w:t>
      </w:r>
      <w:r w:rsidR="0010648A" w:rsidRPr="00FA1A19">
        <w:t>its claimed b</w:t>
      </w:r>
      <w:r w:rsidR="007773A7" w:rsidRPr="00FA1A19">
        <w:t>itcoin.</w:t>
      </w:r>
      <w:r w:rsidR="004F0A51" w:rsidRPr="00FA1A19">
        <w:t xml:space="preserve"> </w:t>
      </w:r>
      <w:r w:rsidR="0041128A" w:rsidRPr="00FA1A19">
        <w:t xml:space="preserve">The Defendants </w:t>
      </w:r>
      <w:r w:rsidR="00CA4E76" w:rsidRPr="00FA1A19">
        <w:t>challenge</w:t>
      </w:r>
      <w:r w:rsidR="0010648A" w:rsidRPr="00FA1A19">
        <w:t>d</w:t>
      </w:r>
      <w:r w:rsidR="00CA4E76" w:rsidRPr="00FA1A19">
        <w:t xml:space="preserve"> this, contending</w:t>
      </w:r>
      <w:r w:rsidR="0010648A" w:rsidRPr="00FA1A19">
        <w:t xml:space="preserve"> (amongst other things)</w:t>
      </w:r>
      <w:r w:rsidR="00CA4E76" w:rsidRPr="00FA1A19">
        <w:t xml:space="preserve"> that </w:t>
      </w:r>
      <w:r w:rsidR="00707A74" w:rsidRPr="00FA1A19">
        <w:t xml:space="preserve">Core Developers are </w:t>
      </w:r>
      <w:r w:rsidR="00F75232">
        <w:t>‘</w:t>
      </w:r>
      <w:r w:rsidR="00707A74" w:rsidRPr="00FA1A19">
        <w:t xml:space="preserve">part of a very large, and shifting, group of contributors without an organisation or </w:t>
      </w:r>
      <w:r w:rsidR="003B27D7" w:rsidRPr="00FA1A19">
        <w:t>structure</w:t>
      </w:r>
      <w:r w:rsidR="003E4734" w:rsidRPr="00FA1A19">
        <w:t>.</w:t>
      </w:r>
      <w:r w:rsidR="004F0A51" w:rsidRPr="00FA1A19">
        <w:t xml:space="preserve"> </w:t>
      </w:r>
      <w:r w:rsidR="003E4734" w:rsidRPr="00FA1A19">
        <w:t xml:space="preserve">Further, any change that they </w:t>
      </w:r>
      <w:r w:rsidR="009B1128" w:rsidRPr="00FA1A19">
        <w:t>were able to propose to address [the complaint] would be ineffective, because miners would refuse to run it and instead would continue to run earlier versions of the software.</w:t>
      </w:r>
      <w:r w:rsidR="00F75232">
        <w:t>’</w:t>
      </w:r>
      <w:r w:rsidR="009B1128" w:rsidRPr="00170ADC">
        <w:rPr>
          <w:rStyle w:val="FootnoteReference"/>
        </w:rPr>
        <w:footnoteReference w:id="118"/>
      </w:r>
      <w:r w:rsidR="004F0A51" w:rsidRPr="00FA1A19">
        <w:t xml:space="preserve"> </w:t>
      </w:r>
      <w:r w:rsidR="002E6F05" w:rsidRPr="00FA1A19">
        <w:t>On</w:t>
      </w:r>
      <w:r w:rsidR="00836E6C" w:rsidRPr="00FA1A19">
        <w:t xml:space="preserve"> </w:t>
      </w:r>
      <w:r w:rsidR="00F8601E" w:rsidRPr="00FA1A19">
        <w:t>successful</w:t>
      </w:r>
      <w:r w:rsidR="00836E6C" w:rsidRPr="00FA1A19">
        <w:t xml:space="preserve"> appeal from </w:t>
      </w:r>
      <w:r w:rsidR="00551601" w:rsidRPr="00FA1A19">
        <w:t>summary judgment</w:t>
      </w:r>
      <w:r w:rsidR="003148D1" w:rsidRPr="00FA1A19">
        <w:t xml:space="preserve"> against TTL</w:t>
      </w:r>
      <w:r w:rsidR="00551601" w:rsidRPr="00FA1A19">
        <w:t>,</w:t>
      </w:r>
      <w:r w:rsidR="00551601" w:rsidRPr="00170ADC">
        <w:rPr>
          <w:rStyle w:val="FootnoteReference"/>
        </w:rPr>
        <w:footnoteReference w:id="119"/>
      </w:r>
      <w:r w:rsidR="00551601" w:rsidRPr="00FA1A19">
        <w:t xml:space="preserve"> the Court of Appeal of England and Wales</w:t>
      </w:r>
      <w:r w:rsidR="00AC558A" w:rsidRPr="00FA1A19">
        <w:t xml:space="preserve"> (Birss LJ, with whom Lewison and Popplewell LJJ agreed) </w:t>
      </w:r>
      <w:r w:rsidR="00551601" w:rsidRPr="00FA1A19">
        <w:t xml:space="preserve">held that there was a realistic argument to be made that the Defendants owed a </w:t>
      </w:r>
      <w:r w:rsidR="006D62E0" w:rsidRPr="00FA1A19">
        <w:t xml:space="preserve">fiduciary duty to </w:t>
      </w:r>
      <w:r w:rsidR="008B5A0C" w:rsidRPr="00FA1A19">
        <w:t>TTL notwithstanding that for the claimant</w:t>
      </w:r>
      <w:r w:rsidR="00F75232">
        <w:t>’</w:t>
      </w:r>
      <w:r w:rsidR="008B5A0C" w:rsidRPr="00FA1A19">
        <w:t>s case to succeed would involve a significant development of the common law on fiduciary duties.</w:t>
      </w:r>
      <w:r w:rsidR="008B5A0C" w:rsidRPr="00170ADC">
        <w:rPr>
          <w:rStyle w:val="FootnoteReference"/>
        </w:rPr>
        <w:footnoteReference w:id="120"/>
      </w:r>
      <w:r w:rsidR="004F0A51" w:rsidRPr="00FA1A19">
        <w:t xml:space="preserve"> </w:t>
      </w:r>
      <w:r w:rsidR="0010648A" w:rsidRPr="00FA1A19">
        <w:t xml:space="preserve">In the course of </w:t>
      </w:r>
      <w:r w:rsidR="00BC54FA" w:rsidRPr="00FA1A19">
        <w:t>his reasons, Birss LJ</w:t>
      </w:r>
      <w:r w:rsidR="0017592B" w:rsidRPr="00FA1A19">
        <w:t xml:space="preserve"> </w:t>
      </w:r>
      <w:r w:rsidR="0071394D" w:rsidRPr="00FA1A19">
        <w:t xml:space="preserve">referred to </w:t>
      </w:r>
      <w:r w:rsidR="00F318F2" w:rsidRPr="00FA1A19">
        <w:t xml:space="preserve">a debate in </w:t>
      </w:r>
      <w:r w:rsidR="0071394D" w:rsidRPr="00FA1A19">
        <w:t xml:space="preserve">academic literature </w:t>
      </w:r>
      <w:r w:rsidR="005B4F1F" w:rsidRPr="00FA1A19">
        <w:t xml:space="preserve">as to whether </w:t>
      </w:r>
      <w:r w:rsidR="00416CE6" w:rsidRPr="00FA1A19">
        <w:t xml:space="preserve">the governance of blockchain is in reality decentralised, noting </w:t>
      </w:r>
      <w:r w:rsidR="00945199" w:rsidRPr="00FA1A19">
        <w:t xml:space="preserve">that </w:t>
      </w:r>
      <w:r w:rsidR="00A520D2" w:rsidRPr="00FA1A19">
        <w:t>some academic literature had</w:t>
      </w:r>
      <w:r w:rsidR="006D4013" w:rsidRPr="00FA1A19">
        <w:t xml:space="preserve"> </w:t>
      </w:r>
      <w:r w:rsidR="006A7BDF" w:rsidRPr="00FA1A19">
        <w:t xml:space="preserve">described decentralised governance of blockchain as a </w:t>
      </w:r>
      <w:r w:rsidR="00F75232">
        <w:t>‘</w:t>
      </w:r>
      <w:r w:rsidR="006A7BDF" w:rsidRPr="00FA1A19">
        <w:t>myth</w:t>
      </w:r>
      <w:r w:rsidR="00F75232">
        <w:t>’</w:t>
      </w:r>
      <w:r w:rsidR="00130CDB" w:rsidRPr="00FA1A19">
        <w:t>.</w:t>
      </w:r>
      <w:r w:rsidR="00FE5B5F" w:rsidRPr="00170ADC">
        <w:rPr>
          <w:rStyle w:val="FootnoteReference"/>
        </w:rPr>
        <w:footnoteReference w:id="121"/>
      </w:r>
      <w:r w:rsidR="004F0A51" w:rsidRPr="00FA1A19">
        <w:t xml:space="preserve"> </w:t>
      </w:r>
      <w:r w:rsidR="008B7852" w:rsidRPr="00FA1A19">
        <w:t>The</w:t>
      </w:r>
      <w:r w:rsidR="00AE74B1" w:rsidRPr="00FA1A19">
        <w:t xml:space="preserve"> </w:t>
      </w:r>
      <w:r w:rsidR="00E43578" w:rsidRPr="00FA1A19">
        <w:t xml:space="preserve">case </w:t>
      </w:r>
      <w:r w:rsidR="008B7852" w:rsidRPr="00FA1A19">
        <w:t>of TT</w:t>
      </w:r>
      <w:r w:rsidR="00FE5B5F" w:rsidRPr="00FA1A19">
        <w:t xml:space="preserve">L is </w:t>
      </w:r>
      <w:r w:rsidR="00D371E9" w:rsidRPr="00FA1A19">
        <w:t>currently ongoing</w:t>
      </w:r>
      <w:r w:rsidR="00AE74B1" w:rsidRPr="00FA1A19">
        <w:t>.</w:t>
      </w:r>
    </w:p>
    <w:p w14:paraId="4CC70882" w14:textId="52D5DF1A" w:rsidR="00130CDB" w:rsidRPr="00FA1A19" w:rsidRDefault="00130CDB" w:rsidP="00342121">
      <w:pPr>
        <w:pStyle w:val="Heading3"/>
      </w:pPr>
      <w:r w:rsidRPr="00FA1A19">
        <w:t>On</w:t>
      </w:r>
      <w:r w:rsidR="00F75232">
        <w:noBreakHyphen/>
      </w:r>
      <w:r w:rsidRPr="00FA1A19">
        <w:t>chain governance</w:t>
      </w:r>
    </w:p>
    <w:p w14:paraId="6FD13AC5" w14:textId="40FE8F30" w:rsidR="006A7BDF" w:rsidRPr="00FA1A19" w:rsidRDefault="00DE70B2" w:rsidP="00130CDB">
      <w:r w:rsidRPr="00FA1A19">
        <w:t>On</w:t>
      </w:r>
      <w:r w:rsidR="00F75232">
        <w:noBreakHyphen/>
      </w:r>
      <w:r w:rsidRPr="00FA1A19">
        <w:t xml:space="preserve">chain governance </w:t>
      </w:r>
      <w:r w:rsidR="009C4C6F" w:rsidRPr="00FA1A19">
        <w:t xml:space="preserve">occurs when changes are decided by </w:t>
      </w:r>
      <w:r w:rsidR="002D406D" w:rsidRPr="00FA1A19">
        <w:t>a stakeholder vote</w:t>
      </w:r>
      <w:r w:rsidR="006A7BDF" w:rsidRPr="00FA1A19">
        <w:t>, and voting happens on the blockchain.</w:t>
      </w:r>
      <w:r w:rsidR="006A7BDF" w:rsidRPr="00170ADC">
        <w:rPr>
          <w:rStyle w:val="FootnoteReference"/>
        </w:rPr>
        <w:footnoteReference w:id="122"/>
      </w:r>
    </w:p>
    <w:p w14:paraId="5636FE3E" w14:textId="53021F93" w:rsidR="00AE74B1" w:rsidRPr="00FA1A19" w:rsidRDefault="006A7BDF" w:rsidP="00130CDB">
      <w:r w:rsidRPr="00FA1A19">
        <w:t>Stakeholders</w:t>
      </w:r>
      <w:r w:rsidR="00AE74B1" w:rsidRPr="00FA1A19">
        <w:t xml:space="preserve"> who can vote</w:t>
      </w:r>
      <w:r w:rsidRPr="00FA1A19">
        <w:t xml:space="preserve"> will usually be identified by their holding a </w:t>
      </w:r>
      <w:r w:rsidR="00F75232">
        <w:t>‘</w:t>
      </w:r>
      <w:r w:rsidR="002D406D" w:rsidRPr="00FA1A19">
        <w:t>governance token</w:t>
      </w:r>
      <w:r w:rsidR="00F75232">
        <w:t>’</w:t>
      </w:r>
      <w:r w:rsidRPr="00FA1A19">
        <w:t>.</w:t>
      </w:r>
      <w:r w:rsidR="002D406D" w:rsidRPr="00170ADC">
        <w:rPr>
          <w:rStyle w:val="FootnoteReference"/>
        </w:rPr>
        <w:footnoteReference w:id="123"/>
      </w:r>
      <w:r w:rsidR="00871DBA" w:rsidRPr="00FA1A19">
        <w:t xml:space="preserve"> </w:t>
      </w:r>
      <w:r w:rsidR="000468C0" w:rsidRPr="00FA1A19">
        <w:t xml:space="preserve">Governance tokens represent a right to vote on a </w:t>
      </w:r>
      <w:r w:rsidR="000B6ED8">
        <w:t>protocol</w:t>
      </w:r>
      <w:r w:rsidR="000B6ED8" w:rsidRPr="00FA1A19">
        <w:t xml:space="preserve"> </w:t>
      </w:r>
      <w:r w:rsidR="000468C0" w:rsidRPr="00FA1A19">
        <w:t>and participate in its governance.</w:t>
      </w:r>
      <w:r w:rsidR="000468C0" w:rsidRPr="00170ADC">
        <w:rPr>
          <w:rStyle w:val="FootnoteReference"/>
        </w:rPr>
        <w:footnoteReference w:id="124"/>
      </w:r>
      <w:r w:rsidR="00090D36" w:rsidRPr="00FA1A19">
        <w:t xml:space="preserve"> </w:t>
      </w:r>
      <w:r w:rsidR="00266240" w:rsidRPr="00FA1A19">
        <w:t>Governance tokens are transferable.</w:t>
      </w:r>
    </w:p>
    <w:p w14:paraId="12691C1D" w14:textId="1133D555" w:rsidR="006176FC" w:rsidRPr="00FA1A19" w:rsidRDefault="00885C27" w:rsidP="00130CDB">
      <w:r w:rsidRPr="00FA1A19">
        <w:t xml:space="preserve">Other </w:t>
      </w:r>
      <w:r w:rsidR="00E17851" w:rsidRPr="00FA1A19">
        <w:t>on</w:t>
      </w:r>
      <w:r w:rsidR="00F75232">
        <w:noBreakHyphen/>
      </w:r>
      <w:r w:rsidR="00E17851" w:rsidRPr="00FA1A19">
        <w:t>chain governance models are the membership model (where each member of an organi</w:t>
      </w:r>
      <w:r w:rsidR="49A7D688" w:rsidRPr="00FA1A19">
        <w:t>s</w:t>
      </w:r>
      <w:r w:rsidR="00E17851" w:rsidRPr="00FA1A19">
        <w:t xml:space="preserve">ation gets assigned only one vote via a membership token which is not transferrable) and </w:t>
      </w:r>
      <w:r w:rsidR="001D1AA8" w:rsidRPr="00FA1A19">
        <w:t>the reputation model (</w:t>
      </w:r>
      <w:r w:rsidR="00313D3B" w:rsidRPr="00FA1A19">
        <w:t>where one reputation token is akin to a governance token because it represents one vote, but like a membership token is not transferrable).</w:t>
      </w:r>
      <w:r w:rsidR="002D7F15" w:rsidRPr="00170ADC">
        <w:rPr>
          <w:rStyle w:val="FootnoteReference"/>
        </w:rPr>
        <w:footnoteReference w:id="125"/>
      </w:r>
      <w:r w:rsidR="004F0A51" w:rsidRPr="00FA1A19">
        <w:t xml:space="preserve"> </w:t>
      </w:r>
    </w:p>
    <w:p w14:paraId="6509D9EC" w14:textId="1EEB9B97" w:rsidR="003C3401" w:rsidRPr="00FA1A19" w:rsidRDefault="003C3401" w:rsidP="003C3401">
      <w:r w:rsidRPr="00FA1A19">
        <w:t>On</w:t>
      </w:r>
      <w:r w:rsidR="00F75232">
        <w:noBreakHyphen/>
      </w:r>
      <w:r w:rsidRPr="00FA1A19">
        <w:t>chain governance is often the form of governance used by</w:t>
      </w:r>
      <w:r w:rsidRPr="00FA1A19">
        <w:rPr>
          <w:u w:val="single"/>
        </w:rPr>
        <w:t xml:space="preserve"> </w:t>
      </w:r>
      <w:r w:rsidR="00387329" w:rsidRPr="00FA1A19">
        <w:t xml:space="preserve">Decentralised </w:t>
      </w:r>
      <w:r w:rsidRPr="00FA1A19">
        <w:t>Autonomous Organizations (DAOs).</w:t>
      </w:r>
      <w:r w:rsidR="004F0A51" w:rsidRPr="00FA1A19">
        <w:t xml:space="preserve"> </w:t>
      </w:r>
      <w:r w:rsidRPr="00FA1A19">
        <w:t>A DAO is a type of organisational structure involving multiple participants online, that might rely on blockchain system, smart contracts, or other software</w:t>
      </w:r>
      <w:r w:rsidR="00F75232">
        <w:noBreakHyphen/>
      </w:r>
      <w:r w:rsidRPr="00FA1A19">
        <w:t>based systems.</w:t>
      </w:r>
      <w:r w:rsidRPr="00170ADC">
        <w:rPr>
          <w:rStyle w:val="FootnoteReference"/>
        </w:rPr>
        <w:footnoteReference w:id="126"/>
      </w:r>
      <w:r w:rsidR="004F0A51" w:rsidRPr="00FA1A19">
        <w:t xml:space="preserve"> </w:t>
      </w:r>
      <w:r w:rsidRPr="00FA1A19">
        <w:t>Many DeFi (see below) and crypto</w:t>
      </w:r>
      <w:r w:rsidR="00F75232">
        <w:noBreakHyphen/>
      </w:r>
      <w:r w:rsidRPr="00FA1A19">
        <w:t>token market participants, both of which use smart contracts on existing blockchain networks, describe their organisational structures as DAOs.</w:t>
      </w:r>
      <w:r w:rsidRPr="00170ADC">
        <w:rPr>
          <w:rStyle w:val="FootnoteReference"/>
        </w:rPr>
        <w:footnoteReference w:id="127"/>
      </w:r>
    </w:p>
    <w:p w14:paraId="2FA6F1CC" w14:textId="193CF05A" w:rsidR="004011FC" w:rsidRPr="00FA1A19" w:rsidRDefault="004F13A4" w:rsidP="003C3401">
      <w:r w:rsidRPr="00FA1A19">
        <w:t xml:space="preserve">Whilst </w:t>
      </w:r>
      <w:r w:rsidR="004011FC" w:rsidRPr="00FA1A19">
        <w:t xml:space="preserve">DAOs will often utilise governance tokens, </w:t>
      </w:r>
      <w:r w:rsidRPr="00FA1A19">
        <w:t>others may</w:t>
      </w:r>
      <w:r w:rsidR="00435072" w:rsidRPr="00FA1A19" w:rsidDel="004F13A4">
        <w:t xml:space="preserve"> </w:t>
      </w:r>
      <w:r w:rsidR="00435072" w:rsidRPr="00FA1A19">
        <w:t xml:space="preserve">have more </w:t>
      </w:r>
      <w:r w:rsidR="0013263A" w:rsidRPr="00FA1A19">
        <w:t xml:space="preserve">centralised </w:t>
      </w:r>
      <w:r w:rsidR="00435072" w:rsidRPr="00FA1A19">
        <w:t>governance, for example through administrative keys, which provide holders (administrators) with a backdoor to unilaterally amend and update the underlying smart contract infrastructure as they see fit.</w:t>
      </w:r>
      <w:r w:rsidR="00435072" w:rsidRPr="00170ADC">
        <w:rPr>
          <w:rStyle w:val="FootnoteReference"/>
        </w:rPr>
        <w:footnoteReference w:id="128"/>
      </w:r>
    </w:p>
    <w:p w14:paraId="1988E82A" w14:textId="24D21335" w:rsidR="00B730AC" w:rsidRPr="00FA1A19" w:rsidRDefault="00B730AC" w:rsidP="00130CDB">
      <w:r w:rsidRPr="00FA1A19">
        <w:t xml:space="preserve">Holdings of governance tokens may be largely centralised </w:t>
      </w:r>
      <w:r w:rsidR="002D378F" w:rsidRPr="00FA1A19">
        <w:t xml:space="preserve">at the launch of a new platform, </w:t>
      </w:r>
      <w:r w:rsidRPr="00FA1A19">
        <w:t xml:space="preserve">amongst </w:t>
      </w:r>
      <w:r w:rsidR="00FE1DBB" w:rsidRPr="00FA1A19">
        <w:t xml:space="preserve">protocol developers as well as angel investors and venture capital funds </w:t>
      </w:r>
      <w:r w:rsidR="002D378F" w:rsidRPr="00FA1A19">
        <w:t>who have provided capital in order to fund the protocol</w:t>
      </w:r>
      <w:r w:rsidR="00F75232">
        <w:t>’</w:t>
      </w:r>
      <w:r w:rsidR="002D378F" w:rsidRPr="00FA1A19">
        <w:t xml:space="preserve">s development and </w:t>
      </w:r>
      <w:r w:rsidR="00D90353" w:rsidRPr="00FA1A19">
        <w:t xml:space="preserve">the </w:t>
      </w:r>
      <w:r w:rsidR="002D378F" w:rsidRPr="00FA1A19">
        <w:t xml:space="preserve">creation and maintenance of </w:t>
      </w:r>
      <w:r w:rsidR="0059309A" w:rsidRPr="00FA1A19">
        <w:t>user interface apps</w:t>
      </w:r>
      <w:r w:rsidR="002D378F" w:rsidRPr="00FA1A19">
        <w:t>.</w:t>
      </w:r>
      <w:r w:rsidR="004F0A51" w:rsidRPr="00FA1A19">
        <w:t xml:space="preserve"> </w:t>
      </w:r>
      <w:r w:rsidR="00093D46" w:rsidRPr="00FA1A19">
        <w:t>After launch, governance tokens may be used</w:t>
      </w:r>
      <w:r w:rsidR="00332BDD" w:rsidRPr="00FA1A19">
        <w:t xml:space="preserve"> or sold</w:t>
      </w:r>
      <w:r w:rsidR="00093D46" w:rsidRPr="00FA1A19">
        <w:t xml:space="preserve"> to raise additional capital on centrali</w:t>
      </w:r>
      <w:r w:rsidR="005E1014" w:rsidRPr="00FA1A19">
        <w:t>s</w:t>
      </w:r>
      <w:r w:rsidR="00093D46" w:rsidRPr="00FA1A19">
        <w:t>ed crypto</w:t>
      </w:r>
      <w:r w:rsidR="00F75232">
        <w:noBreakHyphen/>
      </w:r>
      <w:r w:rsidR="00093D46" w:rsidRPr="00FA1A19">
        <w:t>asset trading platforms</w:t>
      </w:r>
      <w:r w:rsidR="006B20FB" w:rsidRPr="00FA1A19">
        <w:t>.</w:t>
      </w:r>
      <w:r w:rsidR="00D744DC" w:rsidRPr="00170ADC">
        <w:rPr>
          <w:rStyle w:val="FootnoteReference"/>
        </w:rPr>
        <w:footnoteReference w:id="129"/>
      </w:r>
    </w:p>
    <w:p w14:paraId="3BC00956" w14:textId="286A3D21" w:rsidR="000468C0" w:rsidRPr="00FA1A19" w:rsidRDefault="006A0F95" w:rsidP="00130CDB">
      <w:r w:rsidRPr="00FA1A19">
        <w:t xml:space="preserve">Transferable governance tokens </w:t>
      </w:r>
      <w:r w:rsidR="00AA520A" w:rsidRPr="00FA1A19">
        <w:t>can</w:t>
      </w:r>
      <w:r w:rsidR="00FE5FA0" w:rsidRPr="00FA1A19">
        <w:t xml:space="preserve"> </w:t>
      </w:r>
      <w:r w:rsidR="00266240" w:rsidRPr="00FA1A19">
        <w:t>trade for significant value</w:t>
      </w:r>
      <w:r w:rsidR="00D744DC" w:rsidRPr="00FA1A19">
        <w:t>.</w:t>
      </w:r>
      <w:r w:rsidR="004F0A51" w:rsidRPr="00FA1A19">
        <w:t xml:space="preserve"> </w:t>
      </w:r>
      <w:r w:rsidR="00F75232">
        <w:t>‘</w:t>
      </w:r>
      <w:r w:rsidR="000E6306" w:rsidRPr="00FA1A19">
        <w:t>The factors driving the economic value of governance tokens can vary.</w:t>
      </w:r>
      <w:r w:rsidR="004F0A51" w:rsidRPr="00FA1A19">
        <w:t xml:space="preserve"> </w:t>
      </w:r>
      <w:r w:rsidR="000E6306" w:rsidRPr="00FA1A19">
        <w:t>It could be driven by speculation, real economic right</w:t>
      </w:r>
      <w:r w:rsidR="00BC742B" w:rsidRPr="00FA1A19">
        <w:t>s</w:t>
      </w:r>
      <w:r w:rsidR="000E6306" w:rsidRPr="00FA1A19">
        <w:t xml:space="preserve"> and interests (e</w:t>
      </w:r>
      <w:r w:rsidR="005E1014" w:rsidRPr="00FA1A19">
        <w:t>.</w:t>
      </w:r>
      <w:r w:rsidR="000E6306" w:rsidRPr="00FA1A19">
        <w:t>g</w:t>
      </w:r>
      <w:r w:rsidR="005E1014" w:rsidRPr="00FA1A19">
        <w:t>.</w:t>
      </w:r>
      <w:r w:rsidR="000E6306" w:rsidRPr="00FA1A19">
        <w:t xml:space="preserve"> distributions of fees generated by the protocol), or both.</w:t>
      </w:r>
      <w:r w:rsidR="00F75232">
        <w:t>’</w:t>
      </w:r>
      <w:r w:rsidR="000E6306" w:rsidRPr="00170ADC">
        <w:rPr>
          <w:rStyle w:val="FootnoteReference"/>
        </w:rPr>
        <w:footnoteReference w:id="130"/>
      </w:r>
      <w:r w:rsidR="004F0A51" w:rsidRPr="00FA1A19">
        <w:t xml:space="preserve"> </w:t>
      </w:r>
      <w:r w:rsidR="00BB1061" w:rsidRPr="00FA1A19">
        <w:t xml:space="preserve">Holders of </w:t>
      </w:r>
      <w:r w:rsidR="000557D8" w:rsidRPr="00FA1A19" w:rsidDel="000E6306">
        <w:t>g</w:t>
      </w:r>
      <w:r w:rsidR="003C3401" w:rsidRPr="00FA1A19">
        <w:t xml:space="preserve">overnance tokens </w:t>
      </w:r>
      <w:r w:rsidR="007816A7" w:rsidRPr="00FA1A19">
        <w:t xml:space="preserve">may </w:t>
      </w:r>
      <w:r w:rsidR="003C3401" w:rsidRPr="00FA1A19">
        <w:t>collective</w:t>
      </w:r>
      <w:r w:rsidR="00B730AC" w:rsidRPr="00FA1A19">
        <w:t>ly</w:t>
      </w:r>
      <w:r w:rsidR="003C3401" w:rsidRPr="00FA1A19" w:rsidDel="00BB1061">
        <w:t xml:space="preserve"> </w:t>
      </w:r>
      <w:r w:rsidR="00BB1061" w:rsidRPr="00FA1A19">
        <w:t>vote</w:t>
      </w:r>
      <w:r w:rsidR="003C3401" w:rsidRPr="00FA1A19">
        <w:t xml:space="preserve"> to use the money earned within a DAO to reinvest in new opportunities, to pay dividends to members, or to be allocated in other ways.</w:t>
      </w:r>
      <w:r w:rsidR="003C3401" w:rsidRPr="00170ADC">
        <w:rPr>
          <w:rStyle w:val="FootnoteReference"/>
        </w:rPr>
        <w:footnoteReference w:id="131"/>
      </w:r>
      <w:r w:rsidR="004F0A51" w:rsidRPr="00FA1A19">
        <w:t xml:space="preserve"> </w:t>
      </w:r>
      <w:r w:rsidR="00387A1D" w:rsidRPr="00FA1A19">
        <w:t>Writing in March 2021, Philipp Kothe reported that Uniswap, a Decentralised Exc</w:t>
      </w:r>
      <w:r w:rsidR="00EC2512" w:rsidRPr="00FA1A19">
        <w:t>hange, generates around USD</w:t>
      </w:r>
      <w:r w:rsidR="00463D46">
        <w:t xml:space="preserve"> </w:t>
      </w:r>
      <w:r w:rsidR="00EC2512" w:rsidRPr="00FA1A19">
        <w:t>3.5</w:t>
      </w:r>
      <w:r w:rsidR="00372633">
        <w:t> million</w:t>
      </w:r>
      <w:r w:rsidR="00EC2512" w:rsidRPr="00FA1A19">
        <w:t xml:space="preserve"> in fees for liquidity providers of the protocol every 24 hours</w:t>
      </w:r>
      <w:r w:rsidR="00EE74C8" w:rsidRPr="00FA1A19">
        <w:t>, and that a recent proposal suggest</w:t>
      </w:r>
      <w:r w:rsidR="006503E7" w:rsidRPr="00FA1A19">
        <w:t>ed</w:t>
      </w:r>
      <w:r w:rsidR="00EE74C8" w:rsidRPr="00FA1A19">
        <w:t xml:space="preserve"> taking 0.005% of the</w:t>
      </w:r>
      <w:r w:rsidR="00DF2C20" w:rsidRPr="00FA1A19">
        <w:t xml:space="preserve"> 0.03% fee (or </w:t>
      </w:r>
      <w:r w:rsidR="000B4141" w:rsidRPr="00FA1A19">
        <w:t>16.7%)</w:t>
      </w:r>
      <w:r w:rsidR="00586B8E" w:rsidRPr="00FA1A19">
        <w:t xml:space="preserve"> </w:t>
      </w:r>
      <w:r w:rsidR="00EE74C8" w:rsidRPr="00FA1A19">
        <w:t>to distribute it to the Uniswap DAO to fund further development of the protocol</w:t>
      </w:r>
      <w:r w:rsidR="000557D8" w:rsidRPr="00FA1A19">
        <w:t>.</w:t>
      </w:r>
      <w:r w:rsidR="004F0A51" w:rsidRPr="00FA1A19">
        <w:t xml:space="preserve"> </w:t>
      </w:r>
      <w:r w:rsidR="000557D8" w:rsidRPr="00FA1A19">
        <w:t xml:space="preserve">If accepted, </w:t>
      </w:r>
      <w:r w:rsidR="003116B6" w:rsidRPr="00FA1A19">
        <w:t>he noted that</w:t>
      </w:r>
      <w:r w:rsidR="000557D8" w:rsidRPr="00FA1A19">
        <w:t xml:space="preserve"> this </w:t>
      </w:r>
      <w:r w:rsidR="00586B8E" w:rsidRPr="00FA1A19">
        <w:t>would give holders of Uniswap</w:t>
      </w:r>
      <w:r w:rsidR="00F75232">
        <w:t>’</w:t>
      </w:r>
      <w:r w:rsidR="00586B8E" w:rsidRPr="00FA1A19">
        <w:t xml:space="preserve">s governance token (the UNI) </w:t>
      </w:r>
      <w:r w:rsidR="00E90F02" w:rsidRPr="00FA1A19">
        <w:t>control over around $600,000 a day.</w:t>
      </w:r>
      <w:r w:rsidR="00FE5FA0" w:rsidRPr="00170ADC">
        <w:rPr>
          <w:rStyle w:val="FootnoteReference"/>
        </w:rPr>
        <w:footnoteReference w:id="132"/>
      </w:r>
      <w:r w:rsidR="004F0A51" w:rsidRPr="00FA1A19">
        <w:t xml:space="preserve"> </w:t>
      </w:r>
    </w:p>
    <w:p w14:paraId="01E88AC9" w14:textId="58070341" w:rsidR="00706329" w:rsidRDefault="00706329" w:rsidP="00130CDB">
      <w:r w:rsidRPr="00FA1A19">
        <w:t xml:space="preserve">Once a protocol is deployed, </w:t>
      </w:r>
      <w:r w:rsidR="00216F7B" w:rsidRPr="00FA1A19">
        <w:t xml:space="preserve">its </w:t>
      </w:r>
      <w:r w:rsidR="00F75232">
        <w:t>‘</w:t>
      </w:r>
      <w:r w:rsidR="00216F7B" w:rsidRPr="00FA1A19">
        <w:t>pathway to decentralization</w:t>
      </w:r>
      <w:r w:rsidR="00ED14E8" w:rsidRPr="00FA1A19">
        <w:t xml:space="preserve"> may include a distribution of governance tokens to early adopters (sometimes accomplished</w:t>
      </w:r>
      <w:r w:rsidR="00352B02" w:rsidRPr="00FA1A19">
        <w:t xml:space="preserve"> through </w:t>
      </w:r>
      <w:r w:rsidR="00F75232">
        <w:t>‘</w:t>
      </w:r>
      <w:r w:rsidR="00352B02" w:rsidRPr="00FA1A19">
        <w:t>airdrops</w:t>
      </w:r>
      <w:r w:rsidR="00F75232">
        <w:t>’</w:t>
      </w:r>
      <w:r w:rsidR="00C432FC" w:rsidRPr="00FA1A19">
        <w:t>)</w:t>
      </w:r>
      <w:r w:rsidR="00352B02" w:rsidRPr="00FA1A19">
        <w:t>,</w:t>
      </w:r>
      <w:r w:rsidR="00C432FC" w:rsidRPr="00170ADC">
        <w:rPr>
          <w:rStyle w:val="FootnoteReference"/>
        </w:rPr>
        <w:footnoteReference w:id="133"/>
      </w:r>
      <w:r w:rsidR="00352B02" w:rsidRPr="00FA1A19">
        <w:t xml:space="preserve"> protocol users and liquidity providers, engineers that evolve and improve the code, purchasers of the tokens in the secondary market, and third</w:t>
      </w:r>
      <w:r w:rsidR="00F75232">
        <w:noBreakHyphen/>
      </w:r>
      <w:r w:rsidR="00352B02" w:rsidRPr="00FA1A19">
        <w:t>party service providers (</w:t>
      </w:r>
      <w:r w:rsidR="00B37AC1" w:rsidRPr="00FA1A19">
        <w:t>e.g.</w:t>
      </w:r>
      <w:r w:rsidR="00352B02" w:rsidRPr="00FA1A19">
        <w:t xml:space="preserve"> auditing firms) that are paid in tokens for their services.</w:t>
      </w:r>
      <w:r w:rsidR="00F75232">
        <w:t>’</w:t>
      </w:r>
      <w:r w:rsidR="00352B02" w:rsidRPr="00170ADC">
        <w:rPr>
          <w:rStyle w:val="FootnoteReference"/>
        </w:rPr>
        <w:footnoteReference w:id="134"/>
      </w:r>
      <w:r w:rsidR="00216F7B" w:rsidRPr="00FA1A19">
        <w:t xml:space="preserve"> </w:t>
      </w:r>
    </w:p>
    <w:p w14:paraId="50E78B5A" w14:textId="7B15F935" w:rsidR="00C446EF" w:rsidRPr="00FA1A19" w:rsidRDefault="00B25049" w:rsidP="00130CDB">
      <w:r w:rsidRPr="00FA1A19">
        <w:t>There is some question</w:t>
      </w:r>
      <w:r w:rsidR="00857DC1" w:rsidRPr="00FA1A19">
        <w:t xml:space="preserve"> as to the extent to which governance tokens ensure </w:t>
      </w:r>
      <w:r w:rsidR="003A537A" w:rsidRPr="00FA1A19">
        <w:t xml:space="preserve">decentralised </w:t>
      </w:r>
      <w:r w:rsidR="00857DC1" w:rsidRPr="00FA1A19">
        <w:t xml:space="preserve">governance, as concentrated ownership of governance tokens </w:t>
      </w:r>
      <w:r w:rsidR="00C279E2" w:rsidRPr="00FA1A19">
        <w:t>could result in governance being concentrated</w:t>
      </w:r>
      <w:r w:rsidR="00641903" w:rsidRPr="00FA1A19">
        <w:t>.</w:t>
      </w:r>
      <w:r w:rsidR="004F0A51" w:rsidRPr="00FA1A19">
        <w:t xml:space="preserve"> </w:t>
      </w:r>
      <w:r w:rsidR="00641903" w:rsidRPr="00FA1A19">
        <w:t xml:space="preserve">The </w:t>
      </w:r>
      <w:r w:rsidR="008E309B" w:rsidRPr="00FA1A19">
        <w:t>International Organization of Securities Commissions (IOSCO)</w:t>
      </w:r>
      <w:r w:rsidR="00641903" w:rsidRPr="00FA1A19">
        <w:t xml:space="preserve"> </w:t>
      </w:r>
      <w:r w:rsidR="00093ACC" w:rsidRPr="00FA1A19">
        <w:t xml:space="preserve">reported </w:t>
      </w:r>
      <w:r w:rsidR="009865B8" w:rsidRPr="00FA1A19">
        <w:t xml:space="preserve">in March 2022 </w:t>
      </w:r>
      <w:r w:rsidR="00093ACC" w:rsidRPr="00FA1A19">
        <w:t>that in reality, for typical DeFi protocols</w:t>
      </w:r>
      <w:r w:rsidR="00D271AB" w:rsidRPr="00FA1A19">
        <w:t>, there continue</w:t>
      </w:r>
      <w:r w:rsidR="00641903" w:rsidRPr="00FA1A19">
        <w:t>d</w:t>
      </w:r>
      <w:r w:rsidR="00D271AB" w:rsidRPr="00FA1A19">
        <w:t xml:space="preserve"> to be central actors with concentrated ownership and voting.</w:t>
      </w:r>
      <w:r w:rsidR="00C279E2" w:rsidRPr="00170ADC">
        <w:rPr>
          <w:rStyle w:val="FootnoteReference"/>
        </w:rPr>
        <w:footnoteReference w:id="135"/>
      </w:r>
      <w:r w:rsidR="00641903" w:rsidRPr="00FA1A19">
        <w:t xml:space="preserve"> </w:t>
      </w:r>
    </w:p>
    <w:p w14:paraId="4309260E" w14:textId="33D17644" w:rsidR="00632B75" w:rsidRPr="00FA1A19" w:rsidRDefault="00632B75" w:rsidP="00130CDB">
      <w:r w:rsidRPr="00FA1A19">
        <w:t>As part of its inquiry into the potential simplification of laws that regulate financial services in Australia, in October 2022</w:t>
      </w:r>
      <w:r w:rsidR="000630B2">
        <w:t xml:space="preserve">, </w:t>
      </w:r>
      <w:r w:rsidRPr="00FA1A19">
        <w:t>the A</w:t>
      </w:r>
      <w:r w:rsidR="00904313">
        <w:t>LRC</w:t>
      </w:r>
      <w:r w:rsidRPr="00FA1A19">
        <w:t xml:space="preserve"> released a Background Paper on New Business Models, Technologies and Practices that deals with crypto assets and DAOs.</w:t>
      </w:r>
      <w:r w:rsidRPr="00170ADC">
        <w:rPr>
          <w:rStyle w:val="FootnoteReference"/>
        </w:rPr>
        <w:footnoteReference w:id="136"/>
      </w:r>
    </w:p>
    <w:p w14:paraId="6504001D" w14:textId="316A4A1E" w:rsidR="00F36FCB" w:rsidRPr="00FA1A19" w:rsidRDefault="00493503" w:rsidP="00130CDB">
      <w:r w:rsidRPr="00FA1A19">
        <w:t xml:space="preserve">The UK Law Commission is currently </w:t>
      </w:r>
      <w:r w:rsidR="009938AE" w:rsidRPr="00FA1A19">
        <w:t xml:space="preserve">examining the </w:t>
      </w:r>
      <w:r w:rsidR="00AD0BE5" w:rsidRPr="00FA1A19">
        <w:t>description and legal status of DAOs</w:t>
      </w:r>
      <w:r w:rsidR="004C618D" w:rsidRPr="00FA1A19">
        <w:t xml:space="preserve"> and in </w:t>
      </w:r>
      <w:r w:rsidR="004E78E9" w:rsidRPr="00FA1A19">
        <w:t xml:space="preserve">November 2022 issued a document calling for evidence to the </w:t>
      </w:r>
      <w:r w:rsidR="00001773" w:rsidRPr="00FA1A19">
        <w:t>project.</w:t>
      </w:r>
      <w:r w:rsidR="00AD0BE5" w:rsidRPr="00170ADC">
        <w:rPr>
          <w:rStyle w:val="FootnoteReference"/>
        </w:rPr>
        <w:footnoteReference w:id="137"/>
      </w:r>
      <w:r w:rsidR="004F0A51" w:rsidRPr="00FA1A19">
        <w:t xml:space="preserve"> </w:t>
      </w:r>
    </w:p>
    <w:p w14:paraId="1D500E2F" w14:textId="2E8A9D8E" w:rsidR="008633D7" w:rsidRPr="00FA1A19" w:rsidRDefault="00FC0EB5" w:rsidP="00130CDB">
      <w:r w:rsidRPr="00FA1A19">
        <w:t xml:space="preserve">In </w:t>
      </w:r>
      <w:r w:rsidR="00372633">
        <w:t>Chapter </w:t>
      </w:r>
      <w:r w:rsidRPr="00FA1A19">
        <w:t>13 to this Report, the Board discusses DAOs further, and recommends that the Government</w:t>
      </w:r>
      <w:r w:rsidR="00BB7B5F" w:rsidRPr="00FA1A19">
        <w:t xml:space="preserve"> continue to monitor and review the development and taxation treatment of DAOs.</w:t>
      </w:r>
    </w:p>
    <w:p w14:paraId="5EE72EB8" w14:textId="0703F136" w:rsidR="0076719A" w:rsidRPr="00FA1A19" w:rsidRDefault="0076719A" w:rsidP="0069352C">
      <w:pPr>
        <w:pStyle w:val="Heading2"/>
      </w:pPr>
      <w:bookmarkStart w:id="53" w:name="_Toc159513577"/>
      <w:r w:rsidRPr="00FA1A19">
        <w:t>Forks</w:t>
      </w:r>
      <w:bookmarkEnd w:id="53"/>
    </w:p>
    <w:p w14:paraId="30A43503" w14:textId="0B058FB2" w:rsidR="00E71221" w:rsidRPr="00FA1A19" w:rsidRDefault="00E71221" w:rsidP="0076719A">
      <w:r w:rsidRPr="00FA1A19">
        <w:t xml:space="preserve">There are two types of forks: a </w:t>
      </w:r>
      <w:r w:rsidR="00F75232">
        <w:t>‘</w:t>
      </w:r>
      <w:r w:rsidRPr="00FA1A19">
        <w:t>hard</w:t>
      </w:r>
      <w:r w:rsidR="00F75232">
        <w:t>’</w:t>
      </w:r>
      <w:r w:rsidRPr="00FA1A19">
        <w:t xml:space="preserve"> fork and a </w:t>
      </w:r>
      <w:r w:rsidR="00F75232">
        <w:t>‘</w:t>
      </w:r>
      <w:r w:rsidRPr="00FA1A19">
        <w:t>soft</w:t>
      </w:r>
      <w:r w:rsidR="00F75232">
        <w:t>’</w:t>
      </w:r>
      <w:r w:rsidRPr="00FA1A19">
        <w:t xml:space="preserve"> fork.</w:t>
      </w:r>
    </w:p>
    <w:p w14:paraId="4551037C" w14:textId="16FBEBB5" w:rsidR="00E71221" w:rsidRPr="00FA1A19" w:rsidRDefault="00E71221" w:rsidP="00342121">
      <w:pPr>
        <w:pStyle w:val="Heading3"/>
      </w:pPr>
      <w:r w:rsidRPr="00FA1A19">
        <w:t>Hard Fork</w:t>
      </w:r>
    </w:p>
    <w:p w14:paraId="169D176F" w14:textId="513A201E" w:rsidR="00951F29" w:rsidRPr="00FA1A19" w:rsidRDefault="00951F29" w:rsidP="0076719A">
      <w:r w:rsidRPr="00FA1A19">
        <w:t xml:space="preserve">A </w:t>
      </w:r>
      <w:r w:rsidR="00F75232">
        <w:t>‘</w:t>
      </w:r>
      <w:r w:rsidRPr="00FA1A19">
        <w:t>hard fork</w:t>
      </w:r>
      <w:r w:rsidR="00F75232">
        <w:t>’</w:t>
      </w:r>
      <w:r w:rsidRPr="00FA1A19">
        <w:t xml:space="preserve"> in </w:t>
      </w:r>
      <w:r w:rsidR="002B24AC" w:rsidRPr="00FA1A19">
        <w:t xml:space="preserve">a </w:t>
      </w:r>
      <w:r w:rsidRPr="00FA1A19">
        <w:t xml:space="preserve">blockchain (sometimes referred to as a </w:t>
      </w:r>
      <w:r w:rsidR="00F75232">
        <w:t>‘</w:t>
      </w:r>
      <w:r w:rsidRPr="00FA1A19">
        <w:t>chain split</w:t>
      </w:r>
      <w:r w:rsidR="00F75232">
        <w:t>’</w:t>
      </w:r>
      <w:r w:rsidRPr="00FA1A19">
        <w:t xml:space="preserve">) results </w:t>
      </w:r>
      <w:r w:rsidR="00342B83" w:rsidRPr="00FA1A19">
        <w:t>from</w:t>
      </w:r>
      <w:r w:rsidRPr="00FA1A19">
        <w:t xml:space="preserve"> changes to </w:t>
      </w:r>
      <w:r w:rsidR="000230A8" w:rsidRPr="00FA1A19">
        <w:t>the</w:t>
      </w:r>
      <w:r w:rsidRPr="00FA1A19">
        <w:t xml:space="preserve"> </w:t>
      </w:r>
      <w:r w:rsidR="00426E85" w:rsidRPr="00FA1A19">
        <w:t>blockchain</w:t>
      </w:r>
      <w:r w:rsidRPr="00FA1A19">
        <w:t xml:space="preserve"> </w:t>
      </w:r>
      <w:r w:rsidR="009C2214" w:rsidRPr="00FA1A19">
        <w:t>protocol</w:t>
      </w:r>
      <w:r w:rsidRPr="00FA1A19">
        <w:t xml:space="preserve"> to create a new version of the blockchain</w:t>
      </w:r>
      <w:r w:rsidR="009C2214" w:rsidRPr="00FA1A19">
        <w:t xml:space="preserve"> whilst the old version continues to operate alongside</w:t>
      </w:r>
      <w:r w:rsidRPr="00FA1A19">
        <w:t xml:space="preserve">, thus creating a new token which operates under the rules of the amended protocol while the original token continues to operate under the </w:t>
      </w:r>
      <w:r w:rsidR="004D1CDF" w:rsidRPr="00FA1A19">
        <w:t>original</w:t>
      </w:r>
      <w:r w:rsidRPr="00FA1A19">
        <w:t xml:space="preserve"> </w:t>
      </w:r>
      <w:r w:rsidR="00455254" w:rsidRPr="00FA1A19">
        <w:t>network wh</w:t>
      </w:r>
      <w:r w:rsidR="006F1FCE" w:rsidRPr="00FA1A19">
        <w:t>i</w:t>
      </w:r>
      <w:r w:rsidR="00455254" w:rsidRPr="00FA1A19">
        <w:t xml:space="preserve">ch is governed </w:t>
      </w:r>
      <w:r w:rsidR="006F1FCE" w:rsidRPr="00FA1A19">
        <w:t xml:space="preserve">by the original </w:t>
      </w:r>
      <w:r w:rsidR="00970380" w:rsidRPr="00FA1A19">
        <w:t>protocol</w:t>
      </w:r>
      <w:r w:rsidRPr="00FA1A19">
        <w:t>.</w:t>
      </w:r>
      <w:r w:rsidR="004F0A51" w:rsidRPr="00FA1A19">
        <w:t xml:space="preserve"> </w:t>
      </w:r>
      <w:r w:rsidR="00222875" w:rsidRPr="00FA1A19">
        <w:t>Where there is a hard fork, the users who owned the cryptocurrency will be entitled to the forked cryptocurrency, without doing anything.</w:t>
      </w:r>
      <w:r w:rsidR="00222875" w:rsidRPr="00170ADC">
        <w:rPr>
          <w:rStyle w:val="FootnoteReference"/>
        </w:rPr>
        <w:footnoteReference w:id="138"/>
      </w:r>
      <w:r w:rsidR="009E0A3B" w:rsidRPr="00FA1A19">
        <w:t xml:space="preserve"> </w:t>
      </w:r>
    </w:p>
    <w:p w14:paraId="71BAD66E" w14:textId="140397FE" w:rsidR="00F27643" w:rsidRPr="00FA1A19" w:rsidRDefault="008B31D3" w:rsidP="0076719A">
      <w:r w:rsidRPr="00FA1A19">
        <w:t>A har</w:t>
      </w:r>
      <w:r w:rsidR="0023039B" w:rsidRPr="00FA1A19">
        <w:t>d fork can result</w:t>
      </w:r>
      <w:r w:rsidR="00530F31" w:rsidRPr="00FA1A19">
        <w:t xml:space="preserve"> </w:t>
      </w:r>
      <w:r w:rsidR="008000BD" w:rsidRPr="00FA1A19">
        <w:t>from</w:t>
      </w:r>
      <w:r w:rsidR="008E4936" w:rsidRPr="00FA1A19">
        <w:t xml:space="preserve"> a dispute in the blockchain community as to whether a change to the blockchain should be made</w:t>
      </w:r>
      <w:r w:rsidR="00E323B2" w:rsidRPr="00FA1A19">
        <w:t>.</w:t>
      </w:r>
      <w:r w:rsidR="004F0A51" w:rsidRPr="00FA1A19">
        <w:t xml:space="preserve"> </w:t>
      </w:r>
      <w:r w:rsidR="00A632BD">
        <w:t>Consequently</w:t>
      </w:r>
      <w:r w:rsidR="005115D1" w:rsidRPr="00FA1A19">
        <w:t xml:space="preserve">, some </w:t>
      </w:r>
      <w:r w:rsidR="00DB755C" w:rsidRPr="00FA1A19">
        <w:t xml:space="preserve">nodes </w:t>
      </w:r>
      <w:r w:rsidR="005115D1" w:rsidRPr="00FA1A19">
        <w:t>implement a change but others continue to operate the original blockchain.</w:t>
      </w:r>
      <w:r w:rsidR="00E71221" w:rsidRPr="00FA1A19">
        <w:t xml:space="preserve"> The result of a hard fork is that there are now two blockchains, and the original holders don</w:t>
      </w:r>
      <w:r w:rsidR="00F75232">
        <w:t>’</w:t>
      </w:r>
      <w:r w:rsidR="00E71221" w:rsidRPr="00FA1A19">
        <w:t>t lose any of their existing digital coin</w:t>
      </w:r>
      <w:r w:rsidR="0059329C">
        <w:t>,</w:t>
      </w:r>
      <w:r w:rsidR="00005691">
        <w:t xml:space="preserve"> </w:t>
      </w:r>
      <w:r w:rsidR="00E71221" w:rsidRPr="00FA1A19">
        <w:t>but instead will get a unit on the new blockchain as well.</w:t>
      </w:r>
      <w:r w:rsidR="00E71221" w:rsidRPr="00170ADC">
        <w:rPr>
          <w:rStyle w:val="FootnoteReference"/>
        </w:rPr>
        <w:footnoteReference w:id="139"/>
      </w:r>
    </w:p>
    <w:p w14:paraId="51CFF487" w14:textId="3A79E7B5" w:rsidR="004E7F1F" w:rsidRPr="00FA1A19" w:rsidRDefault="004E7F1F" w:rsidP="00991EBC">
      <w:pPr>
        <w:keepNext/>
      </w:pPr>
      <w:r w:rsidRPr="00FA1A19">
        <w:t>Two examples of hard forks are:</w:t>
      </w:r>
    </w:p>
    <w:p w14:paraId="0D81E8A0" w14:textId="05B2DA03" w:rsidR="0076719A" w:rsidRPr="00FA1A19" w:rsidRDefault="00925721" w:rsidP="00CB1A95">
      <w:pPr>
        <w:pStyle w:val="OutlineNumbered1"/>
        <w:numPr>
          <w:ilvl w:val="0"/>
          <w:numId w:val="39"/>
        </w:numPr>
      </w:pPr>
      <w:r w:rsidRPr="00FA1A19">
        <w:t>T</w:t>
      </w:r>
      <w:r w:rsidR="0076719A" w:rsidRPr="00FA1A19">
        <w:t xml:space="preserve">he August 2017 Bitcoin </w:t>
      </w:r>
      <w:r w:rsidR="002E5F82" w:rsidRPr="00FA1A19">
        <w:t xml:space="preserve">hard </w:t>
      </w:r>
      <w:r w:rsidR="0076719A" w:rsidRPr="00FA1A19">
        <w:t xml:space="preserve">fork which </w:t>
      </w:r>
      <w:r w:rsidR="7388BB1E" w:rsidRPr="00FA1A19">
        <w:t xml:space="preserve">created Bitcoin Cash, </w:t>
      </w:r>
      <w:r w:rsidR="00F12640" w:rsidRPr="00FA1A19">
        <w:t xml:space="preserve">resulted from a dispute as to </w:t>
      </w:r>
      <w:r w:rsidR="003E6004" w:rsidRPr="00FA1A19">
        <w:t>whether the block size in the Bitcoin blockchain should be increased</w:t>
      </w:r>
      <w:r w:rsidR="0076719A" w:rsidRPr="00FA1A19">
        <w:t>.</w:t>
      </w:r>
      <w:r w:rsidR="0076719A" w:rsidRPr="00170ADC">
        <w:rPr>
          <w:rStyle w:val="FootnoteReference"/>
        </w:rPr>
        <w:footnoteReference w:id="140"/>
      </w:r>
      <w:r w:rsidR="004F0A51" w:rsidRPr="00FA1A19">
        <w:t xml:space="preserve"> </w:t>
      </w:r>
      <w:r w:rsidR="00BA76E2" w:rsidRPr="00FA1A19">
        <w:t xml:space="preserve">It has been reported that Bitcoin Cash </w:t>
      </w:r>
      <w:r w:rsidR="00C0682E" w:rsidRPr="00FA1A19">
        <w:t xml:space="preserve">is the most successful fork of the original Bitcoin </w:t>
      </w:r>
      <w:r w:rsidR="00501FAB" w:rsidRPr="00FA1A19">
        <w:t>Platform</w:t>
      </w:r>
      <w:r w:rsidR="0029695F" w:rsidRPr="00FA1A19">
        <w:t xml:space="preserve"> and as of June 2023 was the 28</w:t>
      </w:r>
      <w:r w:rsidR="0029695F" w:rsidRPr="00170ADC">
        <w:rPr>
          <w:rStyle w:val="FootnoteReference"/>
        </w:rPr>
        <w:t>th</w:t>
      </w:r>
      <w:r w:rsidR="0029695F" w:rsidRPr="00FA1A19">
        <w:t xml:space="preserve"> largest digital currency by market capitalization.</w:t>
      </w:r>
      <w:r w:rsidR="0029695F" w:rsidRPr="00170ADC">
        <w:rPr>
          <w:rStyle w:val="FootnoteReference"/>
        </w:rPr>
        <w:footnoteReference w:id="141"/>
      </w:r>
    </w:p>
    <w:p w14:paraId="4BC5FEAB" w14:textId="642A5435" w:rsidR="0076719A" w:rsidRPr="00FA1A19" w:rsidRDefault="004E7F1F" w:rsidP="00CB1A95">
      <w:pPr>
        <w:pStyle w:val="OutlineNumbered1"/>
        <w:numPr>
          <w:ilvl w:val="0"/>
          <w:numId w:val="39"/>
        </w:numPr>
      </w:pPr>
      <w:r w:rsidRPr="00FA1A19">
        <w:t xml:space="preserve">The 2017 hard fork of the Ethereum Blockchain that resulted from a </w:t>
      </w:r>
      <w:r w:rsidR="0076719A" w:rsidRPr="00FA1A19">
        <w:t xml:space="preserve">hack of </w:t>
      </w:r>
      <w:r w:rsidR="00F75232">
        <w:t>‘</w:t>
      </w:r>
      <w:r w:rsidR="0076719A" w:rsidRPr="00FA1A19">
        <w:t>The DAO</w:t>
      </w:r>
      <w:r w:rsidR="00F75232">
        <w:t>’</w:t>
      </w:r>
      <w:r w:rsidR="00F820C2" w:rsidRPr="00FA1A19">
        <w:t>.</w:t>
      </w:r>
      <w:r w:rsidR="004F0A51" w:rsidRPr="00FA1A19">
        <w:t xml:space="preserve"> </w:t>
      </w:r>
      <w:r w:rsidR="00F820C2" w:rsidRPr="00FA1A19">
        <w:t xml:space="preserve">The DAO </w:t>
      </w:r>
      <w:r w:rsidR="0076719A" w:rsidRPr="00FA1A19">
        <w:t>was a program built on the Ethereum Blockchain that used crowd</w:t>
      </w:r>
      <w:r w:rsidR="001E3F86" w:rsidRPr="00FA1A19">
        <w:t xml:space="preserve"> </w:t>
      </w:r>
      <w:r w:rsidR="0076719A" w:rsidRPr="00FA1A19">
        <w:t xml:space="preserve">funding to create an </w:t>
      </w:r>
      <w:r w:rsidR="001E3F86" w:rsidRPr="00FA1A19">
        <w:t>e</w:t>
      </w:r>
      <w:r w:rsidR="0076719A" w:rsidRPr="00FA1A19">
        <w:t>ther investment pool valued at USD 150</w:t>
      </w:r>
      <w:r w:rsidR="00372633">
        <w:t> million</w:t>
      </w:r>
      <w:r w:rsidR="0076719A" w:rsidRPr="00FA1A19">
        <w:t>.</w:t>
      </w:r>
      <w:r w:rsidR="004F0A51" w:rsidRPr="00FA1A19">
        <w:t xml:space="preserve"> </w:t>
      </w:r>
      <w:r w:rsidR="0076719A" w:rsidRPr="00FA1A19">
        <w:t>A flaw in the coding for The DAO resulted in an unknown hacker moving 3.6</w:t>
      </w:r>
      <w:r w:rsidR="00372633">
        <w:t> million</w:t>
      </w:r>
      <w:r w:rsidR="0076719A" w:rsidRPr="00FA1A19">
        <w:t xml:space="preserve"> </w:t>
      </w:r>
      <w:r w:rsidR="001E3F86" w:rsidRPr="00FA1A19">
        <w:t>e</w:t>
      </w:r>
      <w:r w:rsidR="0076719A" w:rsidRPr="00FA1A19">
        <w:t xml:space="preserve">ther (valued </w:t>
      </w:r>
      <w:r w:rsidR="00CF45E0" w:rsidRPr="00FA1A19">
        <w:t xml:space="preserve">at </w:t>
      </w:r>
      <w:r w:rsidR="0076719A" w:rsidRPr="00FA1A19">
        <w:t>around USD 50</w:t>
      </w:r>
      <w:r w:rsidR="00372633">
        <w:t> million</w:t>
      </w:r>
      <w:r w:rsidR="0076719A" w:rsidRPr="00FA1A19">
        <w:t>) into their personal account.</w:t>
      </w:r>
      <w:r w:rsidR="004F0A51" w:rsidRPr="00FA1A19">
        <w:t xml:space="preserve"> </w:t>
      </w:r>
      <w:r w:rsidR="0076719A" w:rsidRPr="00FA1A19">
        <w:t>The</w:t>
      </w:r>
      <w:r w:rsidR="00A24238" w:rsidRPr="00FA1A19">
        <w:t xml:space="preserve"> transferred</w:t>
      </w:r>
      <w:r w:rsidR="0076719A" w:rsidRPr="00FA1A19">
        <w:t xml:space="preserve"> </w:t>
      </w:r>
      <w:r w:rsidR="00CF45E0" w:rsidRPr="00FA1A19">
        <w:t>e</w:t>
      </w:r>
      <w:r w:rsidR="0076719A" w:rsidRPr="00FA1A19">
        <w:t>ther was subject to a 28</w:t>
      </w:r>
      <w:r w:rsidR="00F75232">
        <w:noBreakHyphen/>
      </w:r>
      <w:r w:rsidR="0076719A" w:rsidRPr="00FA1A19">
        <w:t xml:space="preserve">day holding period and before this expired, a </w:t>
      </w:r>
      <w:r w:rsidR="00253D69" w:rsidRPr="00FA1A19">
        <w:t xml:space="preserve">change in the </w:t>
      </w:r>
      <w:r w:rsidR="00A24238" w:rsidRPr="00FA1A19">
        <w:t xml:space="preserve">Ethereum </w:t>
      </w:r>
      <w:r w:rsidR="00C74205" w:rsidRPr="00FA1A19">
        <w:t>protocol</w:t>
      </w:r>
      <w:r w:rsidR="0076719A" w:rsidRPr="00FA1A19">
        <w:t xml:space="preserve"> was implemented to recover the transferred </w:t>
      </w:r>
      <w:r w:rsidR="00CF45E0" w:rsidRPr="00FA1A19">
        <w:t>e</w:t>
      </w:r>
      <w:r w:rsidR="0076719A" w:rsidRPr="00FA1A19">
        <w:t>ther, resulting in the new Ethereum</w:t>
      </w:r>
      <w:r w:rsidR="00A24238" w:rsidRPr="00FA1A19">
        <w:t xml:space="preserve"> network</w:t>
      </w:r>
      <w:r w:rsidR="0076719A" w:rsidRPr="00FA1A19">
        <w:t>.</w:t>
      </w:r>
      <w:r w:rsidR="004F0A51" w:rsidRPr="00FA1A19">
        <w:t xml:space="preserve"> </w:t>
      </w:r>
      <w:r w:rsidR="0076719A" w:rsidRPr="00FA1A19">
        <w:t>However, some in the community continued with the original blockchain, which became Ethereum Classic.</w:t>
      </w:r>
      <w:r w:rsidR="0076719A" w:rsidRPr="00170ADC">
        <w:rPr>
          <w:rStyle w:val="FootnoteReference"/>
        </w:rPr>
        <w:footnoteReference w:id="142"/>
      </w:r>
    </w:p>
    <w:p w14:paraId="7522FF76" w14:textId="7380F40F" w:rsidR="00E71221" w:rsidRPr="00FA1A19" w:rsidRDefault="00E71221" w:rsidP="00342121">
      <w:pPr>
        <w:pStyle w:val="Heading3"/>
      </w:pPr>
      <w:r w:rsidRPr="00FA1A19">
        <w:t>Soft Fork</w:t>
      </w:r>
    </w:p>
    <w:p w14:paraId="05C7B6F9" w14:textId="4E737EC5" w:rsidR="0076719A" w:rsidRPr="00FA1A19" w:rsidRDefault="0076719A" w:rsidP="0076719A">
      <w:r w:rsidRPr="00FA1A19">
        <w:t xml:space="preserve">A </w:t>
      </w:r>
      <w:r w:rsidR="00F75232">
        <w:t>‘</w:t>
      </w:r>
      <w:r w:rsidRPr="00FA1A19">
        <w:t>hard fork</w:t>
      </w:r>
      <w:r w:rsidR="00F75232">
        <w:t>’</w:t>
      </w:r>
      <w:r w:rsidRPr="00FA1A19">
        <w:t xml:space="preserve"> may be contrasted with a </w:t>
      </w:r>
      <w:r w:rsidR="00F75232">
        <w:t>‘</w:t>
      </w:r>
      <w:r w:rsidRPr="00FA1A19">
        <w:t>soft fork</w:t>
      </w:r>
      <w:r w:rsidR="00F75232">
        <w:t>’</w:t>
      </w:r>
      <w:r w:rsidRPr="00FA1A19">
        <w:t>.</w:t>
      </w:r>
      <w:r w:rsidR="004F0A51" w:rsidRPr="00FA1A19">
        <w:t xml:space="preserve"> </w:t>
      </w:r>
      <w:r w:rsidRPr="00FA1A19">
        <w:t>A soft fork also updates the protocol, however it is intended to be adopted by all users on the network</w:t>
      </w:r>
      <w:r w:rsidR="00CF45E0" w:rsidRPr="00FA1A19">
        <w:t>.</w:t>
      </w:r>
      <w:r w:rsidR="004F0A51" w:rsidRPr="00FA1A19">
        <w:t xml:space="preserve"> </w:t>
      </w:r>
      <w:r w:rsidR="00CF45E0" w:rsidRPr="00FA1A19">
        <w:t>A soft fork</w:t>
      </w:r>
      <w:r w:rsidR="00637256" w:rsidRPr="00FA1A19">
        <w:t xml:space="preserve"> </w:t>
      </w:r>
      <w:r w:rsidR="00571294" w:rsidRPr="00FA1A19">
        <w:t>does not reject the pre</w:t>
      </w:r>
      <w:r w:rsidR="00F75232">
        <w:noBreakHyphen/>
      </w:r>
      <w:r w:rsidR="00571294" w:rsidRPr="00FA1A19">
        <w:t xml:space="preserve">existing rule set </w:t>
      </w:r>
      <w:r w:rsidR="001346CD" w:rsidRPr="00FA1A19">
        <w:t xml:space="preserve">but continues to accept </w:t>
      </w:r>
      <w:r w:rsidR="00CA7271" w:rsidRPr="00FA1A19">
        <w:t>transactions created on the old rule set,</w:t>
      </w:r>
      <w:r w:rsidRPr="00FA1A19">
        <w:t xml:space="preserve"> and </w:t>
      </w:r>
      <w:r w:rsidR="00CA7271" w:rsidRPr="00FA1A19">
        <w:t xml:space="preserve">so </w:t>
      </w:r>
      <w:r w:rsidRPr="00FA1A19">
        <w:t>no new coin is expected to be created.</w:t>
      </w:r>
      <w:r w:rsidRPr="00170ADC">
        <w:rPr>
          <w:rStyle w:val="FootnoteReference"/>
        </w:rPr>
        <w:footnoteReference w:id="143"/>
      </w:r>
    </w:p>
    <w:p w14:paraId="2F5F894E" w14:textId="47AC89D1" w:rsidR="00301B95" w:rsidRPr="00FA1A19" w:rsidRDefault="00301B95" w:rsidP="0069352C">
      <w:pPr>
        <w:pStyle w:val="Heading2"/>
      </w:pPr>
      <w:bookmarkStart w:id="54" w:name="_Toc159513578"/>
      <w:r w:rsidRPr="00FA1A19">
        <w:t>Decentralised Finance</w:t>
      </w:r>
      <w:r w:rsidR="007D0016" w:rsidRPr="00FA1A19">
        <w:t xml:space="preserve"> (DeFi)</w:t>
      </w:r>
      <w:bookmarkEnd w:id="54"/>
    </w:p>
    <w:p w14:paraId="7F233865" w14:textId="32AD2DBB" w:rsidR="00301B95" w:rsidRPr="00FA1A19" w:rsidRDefault="00301B95" w:rsidP="00301B95">
      <w:pPr>
        <w:rPr>
          <w:i/>
          <w:iCs/>
        </w:rPr>
      </w:pPr>
      <w:r w:rsidRPr="00FA1A19">
        <w:t>DeFi</w:t>
      </w:r>
      <w:r w:rsidR="001A005E">
        <w:t xml:space="preserve"> </w:t>
      </w:r>
      <w:r w:rsidR="00F75232">
        <w:t>‘</w:t>
      </w:r>
      <w:r w:rsidRPr="00FA1A19">
        <w:t>is a broad term for financial services that build on top of the decentralized foundations of blockchain technology.</w:t>
      </w:r>
      <w:r w:rsidR="00F75232">
        <w:t>’</w:t>
      </w:r>
      <w:r w:rsidRPr="00170ADC">
        <w:rPr>
          <w:rStyle w:val="FootnoteReference"/>
        </w:rPr>
        <w:footnoteReference w:id="144"/>
      </w:r>
      <w:r w:rsidR="004F0A51" w:rsidRPr="00FA1A19">
        <w:rPr>
          <w:i/>
          <w:iCs/>
        </w:rPr>
        <w:t xml:space="preserve"> </w:t>
      </w:r>
    </w:p>
    <w:p w14:paraId="05376A57" w14:textId="5DF1FB3F" w:rsidR="00301B95" w:rsidRPr="00FA1A19" w:rsidRDefault="00301B95" w:rsidP="00301B95">
      <w:r w:rsidRPr="00FA1A19">
        <w:t xml:space="preserve">The goal of DeFi is to </w:t>
      </w:r>
      <w:r w:rsidR="00F75232">
        <w:t>‘</w:t>
      </w:r>
      <w:r w:rsidRPr="00FA1A19">
        <w:t>provide functions analogous to, and potentially beyond, those offered by traditional financial services providers, without reliance on central intermediaries or institutions</w:t>
      </w:r>
      <w:r w:rsidR="00F75232">
        <w:t>’</w:t>
      </w:r>
      <w:r w:rsidRPr="00170ADC">
        <w:rPr>
          <w:rStyle w:val="FootnoteReference"/>
        </w:rPr>
        <w:footnoteReference w:id="145"/>
      </w:r>
      <w:r w:rsidRPr="00FA1A19">
        <w:t xml:space="preserve"> such as banks, brokerages and clearing houses. </w:t>
      </w:r>
    </w:p>
    <w:p w14:paraId="39F73198" w14:textId="08CAB830" w:rsidR="00301B95" w:rsidRPr="00FA1A19" w:rsidRDefault="00301B95" w:rsidP="00301B95">
      <w:r w:rsidRPr="00FA1A19">
        <w:t xml:space="preserve">DeFi has evolved since 2015 when the Ethereum network was launched. The significant feature of the Ethereum network to DeFi </w:t>
      </w:r>
      <w:r w:rsidR="005D60EC" w:rsidRPr="00FA1A19">
        <w:t xml:space="preserve">is </w:t>
      </w:r>
      <w:r w:rsidRPr="00FA1A19">
        <w:t>that it allows blockchain</w:t>
      </w:r>
      <w:r w:rsidR="00F75232">
        <w:noBreakHyphen/>
      </w:r>
      <w:r w:rsidRPr="00FA1A19">
        <w:t>based smart contracts (as noted above)</w:t>
      </w:r>
      <w:r w:rsidR="00A93342" w:rsidRPr="00FA1A19">
        <w:t>,</w:t>
      </w:r>
      <w:r w:rsidRPr="00170ADC">
        <w:rPr>
          <w:rStyle w:val="FootnoteReference"/>
        </w:rPr>
        <w:footnoteReference w:id="146"/>
      </w:r>
      <w:r w:rsidR="00A93342" w:rsidRPr="00FA1A19">
        <w:t xml:space="preserve"> which in turn enable DeFi.</w:t>
      </w:r>
    </w:p>
    <w:p w14:paraId="441CC451" w14:textId="66BC73B5" w:rsidR="00C4435D" w:rsidRPr="00FA1A19" w:rsidRDefault="00C4435D" w:rsidP="00301B95">
      <w:r w:rsidRPr="00FA1A19">
        <w:t xml:space="preserve">The OECD reports that </w:t>
      </w:r>
      <w:r w:rsidR="00EB2AC4" w:rsidRPr="00FA1A19">
        <w:t>DeFi has recorded a 50</w:t>
      </w:r>
      <w:r w:rsidR="00F75232">
        <w:noBreakHyphen/>
      </w:r>
      <w:r w:rsidR="00EB2AC4" w:rsidRPr="00FA1A19">
        <w:t>fold increase over the year to December 2021, with the market capitalisation of stablecoins (see below) issued by the largest issuers exceeding USD 150</w:t>
      </w:r>
      <w:r w:rsidR="00372633">
        <w:t> billion</w:t>
      </w:r>
      <w:r w:rsidR="00EB2AC4" w:rsidRPr="00FA1A19">
        <w:t xml:space="preserve"> at the end of 2021.</w:t>
      </w:r>
      <w:r w:rsidR="00EB2AC4" w:rsidRPr="00170ADC">
        <w:rPr>
          <w:rStyle w:val="FootnoteReference"/>
        </w:rPr>
        <w:footnoteReference w:id="147"/>
      </w:r>
    </w:p>
    <w:p w14:paraId="546C793B" w14:textId="65BA0FDA" w:rsidR="00A84639" w:rsidRPr="00FA1A19" w:rsidRDefault="0017317F" w:rsidP="00342121">
      <w:pPr>
        <w:pStyle w:val="Heading3"/>
      </w:pPr>
      <w:r w:rsidRPr="00FA1A19">
        <w:t>How DeFi works</w:t>
      </w:r>
    </w:p>
    <w:p w14:paraId="3E231645" w14:textId="570A517C" w:rsidR="00B07CA9" w:rsidRPr="00FA1A19" w:rsidRDefault="009359C8" w:rsidP="00301B95">
      <w:r w:rsidRPr="00FA1A19">
        <w:t>DeFi involves a multi</w:t>
      </w:r>
      <w:r w:rsidR="00F75232">
        <w:noBreakHyphen/>
      </w:r>
      <w:r w:rsidRPr="00FA1A19">
        <w:t>l</w:t>
      </w:r>
      <w:r w:rsidR="003B1D19" w:rsidRPr="00FA1A19">
        <w:t>ay</w:t>
      </w:r>
      <w:r w:rsidR="004A4255" w:rsidRPr="00FA1A19">
        <w:t xml:space="preserve">ered technology </w:t>
      </w:r>
      <w:r w:rsidR="00F75232">
        <w:t>‘</w:t>
      </w:r>
      <w:r w:rsidR="004A4255" w:rsidRPr="00FA1A19">
        <w:t>stack</w:t>
      </w:r>
      <w:r w:rsidR="00F75232">
        <w:t>’</w:t>
      </w:r>
      <w:r w:rsidR="00B07CA9" w:rsidRPr="00FA1A19">
        <w:t>:</w:t>
      </w:r>
      <w:r w:rsidR="003A72A8" w:rsidRPr="00170ADC">
        <w:rPr>
          <w:rStyle w:val="FootnoteReference"/>
        </w:rPr>
        <w:footnoteReference w:id="148"/>
      </w:r>
    </w:p>
    <w:p w14:paraId="15A48242" w14:textId="4CB2A730" w:rsidR="00B62500" w:rsidRPr="00FA1A19" w:rsidRDefault="00F1622B" w:rsidP="008371A3">
      <w:pPr>
        <w:pStyle w:val="Bullet"/>
      </w:pPr>
      <w:r>
        <w:t>A</w:t>
      </w:r>
      <w:r w:rsidR="004A4255" w:rsidRPr="00FA1A19">
        <w:t xml:space="preserve">t the base, or </w:t>
      </w:r>
      <w:r w:rsidR="00F75232">
        <w:t>‘</w:t>
      </w:r>
      <w:r w:rsidR="004A4255" w:rsidRPr="00FA1A19">
        <w:t>settlement layer</w:t>
      </w:r>
      <w:r w:rsidR="00F75232">
        <w:t>’</w:t>
      </w:r>
      <w:r w:rsidR="004A4255" w:rsidRPr="00FA1A19">
        <w:t>, is the underlying blockchain</w:t>
      </w:r>
      <w:r w:rsidR="00F072E9" w:rsidRPr="00FA1A19">
        <w:t>.</w:t>
      </w:r>
      <w:r w:rsidR="004F0A51" w:rsidRPr="00FA1A19">
        <w:t xml:space="preserve"> </w:t>
      </w:r>
      <w:r w:rsidR="00F072E9" w:rsidRPr="00FA1A19">
        <w:t>The underlying blockchain</w:t>
      </w:r>
      <w:r w:rsidR="00981D5D" w:rsidRPr="00FA1A19">
        <w:t xml:space="preserve"> must be capable of </w:t>
      </w:r>
      <w:r w:rsidR="000F077C" w:rsidRPr="00FA1A19">
        <w:t>running</w:t>
      </w:r>
      <w:r w:rsidR="00981D5D" w:rsidRPr="00FA1A19">
        <w:t xml:space="preserve"> smart contracts</w:t>
      </w:r>
      <w:r w:rsidR="000F077C" w:rsidRPr="00FA1A19">
        <w:t xml:space="preserve"> (e</w:t>
      </w:r>
      <w:r w:rsidR="002338DC" w:rsidRPr="00FA1A19">
        <w:t>.</w:t>
      </w:r>
      <w:r w:rsidR="000F077C" w:rsidRPr="00FA1A19">
        <w:t>g</w:t>
      </w:r>
      <w:r w:rsidR="002338DC" w:rsidRPr="00FA1A19">
        <w:t>.</w:t>
      </w:r>
      <w:r w:rsidR="000F077C" w:rsidRPr="00FA1A19">
        <w:t xml:space="preserve"> the Ethereum blockchain)</w:t>
      </w:r>
      <w:r w:rsidR="00981D5D" w:rsidRPr="00FA1A19">
        <w:t>.</w:t>
      </w:r>
    </w:p>
    <w:p w14:paraId="52CC3A05" w14:textId="17D3357B" w:rsidR="00B07CA9" w:rsidRPr="00FA1A19" w:rsidRDefault="00F1622B" w:rsidP="008371A3">
      <w:pPr>
        <w:pStyle w:val="Bullet"/>
      </w:pPr>
      <w:r>
        <w:t>N</w:t>
      </w:r>
      <w:r w:rsidR="00624995" w:rsidRPr="00FA1A19">
        <w:t>ext is the</w:t>
      </w:r>
      <w:r w:rsidR="00E33D50" w:rsidRPr="00FA1A19">
        <w:t xml:space="preserve"> </w:t>
      </w:r>
      <w:r w:rsidR="00F75232">
        <w:t>‘</w:t>
      </w:r>
      <w:r w:rsidR="00B62500" w:rsidRPr="00FA1A19">
        <w:t>asset layer</w:t>
      </w:r>
      <w:r w:rsidR="00F75232">
        <w:t>’</w:t>
      </w:r>
      <w:r w:rsidR="00B62500" w:rsidRPr="00FA1A19">
        <w:t xml:space="preserve"> </w:t>
      </w:r>
      <w:r w:rsidR="00624995" w:rsidRPr="00FA1A19">
        <w:t>comprising</w:t>
      </w:r>
      <w:r w:rsidR="00B62500" w:rsidRPr="00FA1A19">
        <w:t xml:space="preserve"> </w:t>
      </w:r>
      <w:r w:rsidR="00F41E30" w:rsidRPr="00FA1A19">
        <w:t xml:space="preserve">the </w:t>
      </w:r>
      <w:r w:rsidR="0085067A" w:rsidRPr="00FA1A19">
        <w:t>crypto</w:t>
      </w:r>
      <w:r w:rsidR="0064746A" w:rsidRPr="00FA1A19">
        <w:t xml:space="preserve"> assets</w:t>
      </w:r>
      <w:r w:rsidR="0085067A" w:rsidRPr="00FA1A19">
        <w:t xml:space="preserve"> (coins and tokens) that participants and smart contracts create and transfer on </w:t>
      </w:r>
      <w:r w:rsidR="00271480" w:rsidRPr="00FA1A19">
        <w:t>the</w:t>
      </w:r>
      <w:r w:rsidR="0085067A" w:rsidRPr="00FA1A19">
        <w:t xml:space="preserve"> blockchain.</w:t>
      </w:r>
      <w:r w:rsidR="004F0A51" w:rsidRPr="00FA1A19">
        <w:t xml:space="preserve"> </w:t>
      </w:r>
      <w:r w:rsidR="002504DE" w:rsidRPr="00FA1A19">
        <w:t>On the Ethereum blockchain, this is</w:t>
      </w:r>
      <w:r w:rsidR="00410C5F" w:rsidRPr="00FA1A19">
        <w:t xml:space="preserve"> simply</w:t>
      </w:r>
      <w:r w:rsidR="002504DE" w:rsidRPr="00FA1A19">
        <w:t xml:space="preserve"> </w:t>
      </w:r>
      <w:r w:rsidR="00410C5F" w:rsidRPr="00FA1A19">
        <w:t>the ether on the blockchain.</w:t>
      </w:r>
    </w:p>
    <w:p w14:paraId="6FDF9811" w14:textId="07951CA0" w:rsidR="00635A2D" w:rsidRPr="00FA1A19" w:rsidRDefault="00F1622B" w:rsidP="008371A3">
      <w:pPr>
        <w:pStyle w:val="Bullet"/>
      </w:pPr>
      <w:r>
        <w:t>F</w:t>
      </w:r>
      <w:r w:rsidR="004D0CA0" w:rsidRPr="00FA1A19">
        <w:t>ollowing is the</w:t>
      </w:r>
      <w:r w:rsidR="00E33D50" w:rsidRPr="00FA1A19">
        <w:t xml:space="preserve"> </w:t>
      </w:r>
      <w:r w:rsidR="00F75232">
        <w:t>‘</w:t>
      </w:r>
      <w:r w:rsidR="00E33D50" w:rsidRPr="00FA1A19">
        <w:t>smart contract lay</w:t>
      </w:r>
      <w:r w:rsidR="00A72F59" w:rsidRPr="00FA1A19">
        <w:t>er</w:t>
      </w:r>
      <w:r w:rsidR="00F75232">
        <w:t>’</w:t>
      </w:r>
      <w:r w:rsidR="002E777B" w:rsidRPr="00FA1A19">
        <w:t xml:space="preserve"> which comprises</w:t>
      </w:r>
      <w:r w:rsidR="004A4255" w:rsidRPr="00FA1A19">
        <w:t xml:space="preserve"> multiple systems of smart contracts (and auxiliary software) that create financial products and services.</w:t>
      </w:r>
      <w:r w:rsidR="004F0A51" w:rsidRPr="00FA1A19">
        <w:t xml:space="preserve"> </w:t>
      </w:r>
      <w:r w:rsidR="003531FD" w:rsidRPr="00FA1A19">
        <w:t xml:space="preserve">These </w:t>
      </w:r>
      <w:r w:rsidR="0017443F" w:rsidRPr="00FA1A19">
        <w:t xml:space="preserve">may include </w:t>
      </w:r>
      <w:r w:rsidR="00B85B62" w:rsidRPr="00FA1A19">
        <w:t>activities that are</w:t>
      </w:r>
      <w:r w:rsidR="001012A9" w:rsidRPr="00FA1A19">
        <w:t xml:space="preserve">, or are </w:t>
      </w:r>
      <w:r w:rsidR="00B85B62" w:rsidRPr="00FA1A19">
        <w:t>akin to</w:t>
      </w:r>
      <w:r w:rsidR="00B15955" w:rsidRPr="00FA1A19">
        <w:t>:</w:t>
      </w:r>
      <w:r w:rsidR="00B85B62" w:rsidRPr="00FA1A19" w:rsidDel="008F7AD8">
        <w:t xml:space="preserve"> </w:t>
      </w:r>
      <w:r w:rsidR="00B85B62" w:rsidRPr="00FA1A19">
        <w:t>lending, borrowing</w:t>
      </w:r>
      <w:r w:rsidR="008F7AD8" w:rsidRPr="00FA1A19">
        <w:t>,</w:t>
      </w:r>
      <w:r w:rsidR="00B85B62" w:rsidRPr="00FA1A19">
        <w:t xml:space="preserve"> </w:t>
      </w:r>
      <w:r w:rsidR="008F7AD8" w:rsidRPr="00FA1A19">
        <w:t xml:space="preserve">trading </w:t>
      </w:r>
      <w:r w:rsidR="00B85B62" w:rsidRPr="00FA1A19">
        <w:t>and asset management activities.</w:t>
      </w:r>
      <w:r w:rsidR="004F0A51" w:rsidRPr="00FA1A19">
        <w:t xml:space="preserve"> </w:t>
      </w:r>
    </w:p>
    <w:p w14:paraId="60690196" w14:textId="71C5B1DE" w:rsidR="00356754" w:rsidRPr="00FA1A19" w:rsidRDefault="00F1622B" w:rsidP="008371A3">
      <w:pPr>
        <w:pStyle w:val="Bullet"/>
      </w:pPr>
      <w:r>
        <w:t>F</w:t>
      </w:r>
      <w:r w:rsidR="004D0CA0" w:rsidRPr="00FA1A19">
        <w:t>inally is the</w:t>
      </w:r>
      <w:r w:rsidR="00635A2D" w:rsidRPr="00FA1A19">
        <w:t xml:space="preserve"> </w:t>
      </w:r>
      <w:r w:rsidR="00F75232">
        <w:t>‘</w:t>
      </w:r>
      <w:r w:rsidR="003E526C" w:rsidRPr="00FA1A19">
        <w:t xml:space="preserve">application </w:t>
      </w:r>
      <w:r w:rsidR="004F4F40" w:rsidRPr="00FA1A19">
        <w:t>layer</w:t>
      </w:r>
      <w:r w:rsidR="00F75232">
        <w:t>’</w:t>
      </w:r>
      <w:r w:rsidR="003E526C" w:rsidRPr="00FA1A19">
        <w:t xml:space="preserve"> which </w:t>
      </w:r>
      <w:r w:rsidR="001666D7" w:rsidRPr="00FA1A19">
        <w:t>comprises</w:t>
      </w:r>
      <w:r w:rsidR="004F4F40" w:rsidRPr="00FA1A19">
        <w:t xml:space="preserve"> end</w:t>
      </w:r>
      <w:r w:rsidR="00F75232">
        <w:noBreakHyphen/>
      </w:r>
      <w:r w:rsidR="004F4F40" w:rsidRPr="00FA1A19">
        <w:t>user applications</w:t>
      </w:r>
      <w:r w:rsidR="001A0510" w:rsidRPr="00FA1A19">
        <w:t xml:space="preserve"> which </w:t>
      </w:r>
      <w:r w:rsidR="00E23714" w:rsidRPr="00FA1A19">
        <w:t>will often aggregat</w:t>
      </w:r>
      <w:r w:rsidR="00527D40" w:rsidRPr="00FA1A19">
        <w:t>e multiple protocols to provide access and interoperability.</w:t>
      </w:r>
      <w:r w:rsidR="004F0A51" w:rsidRPr="00FA1A19">
        <w:t xml:space="preserve"> </w:t>
      </w:r>
      <w:r w:rsidR="001666D7" w:rsidRPr="00FA1A19">
        <w:t xml:space="preserve">These are </w:t>
      </w:r>
      <w:r w:rsidR="0059177A" w:rsidRPr="00FA1A19">
        <w:t xml:space="preserve">currently </w:t>
      </w:r>
      <w:r w:rsidR="001666D7" w:rsidRPr="00FA1A19">
        <w:t>primarily hosted off</w:t>
      </w:r>
      <w:r w:rsidR="00F75232">
        <w:noBreakHyphen/>
      </w:r>
      <w:r w:rsidR="001666D7" w:rsidRPr="00FA1A19">
        <w:t>chain</w:t>
      </w:r>
      <w:r w:rsidR="008B27B0" w:rsidRPr="00FA1A19">
        <w:t xml:space="preserve"> and involve off</w:t>
      </w:r>
      <w:r w:rsidR="00F75232">
        <w:noBreakHyphen/>
      </w:r>
      <w:r w:rsidR="008B27B0" w:rsidRPr="00FA1A19">
        <w:t>chain interfaces such as a website or mobile application</w:t>
      </w:r>
      <w:r w:rsidR="005943F1" w:rsidRPr="00FA1A19">
        <w:t>s</w:t>
      </w:r>
      <w:r w:rsidR="001666D7" w:rsidRPr="00FA1A19">
        <w:t>.</w:t>
      </w:r>
      <w:r w:rsidR="00527D40" w:rsidRPr="00170ADC">
        <w:rPr>
          <w:rStyle w:val="FootnoteReference"/>
        </w:rPr>
        <w:footnoteReference w:id="149"/>
      </w:r>
      <w:r w:rsidR="004F0A51" w:rsidRPr="00FA1A19">
        <w:t xml:space="preserve"> </w:t>
      </w:r>
      <w:r w:rsidR="00AF2360" w:rsidRPr="00FA1A19">
        <w:t xml:space="preserve">This </w:t>
      </w:r>
      <w:r w:rsidR="00F75232">
        <w:t>‘</w:t>
      </w:r>
      <w:r w:rsidR="00AF2360" w:rsidRPr="00FA1A19">
        <w:t>application layer</w:t>
      </w:r>
      <w:r w:rsidR="00F75232">
        <w:t>’</w:t>
      </w:r>
      <w:r w:rsidR="00AF2360" w:rsidRPr="00FA1A19">
        <w:t xml:space="preserve"> involves centrali</w:t>
      </w:r>
      <w:r w:rsidR="006D1809" w:rsidRPr="00FA1A19">
        <w:t>s</w:t>
      </w:r>
      <w:r w:rsidR="00AF2360" w:rsidRPr="00FA1A19">
        <w:t>ed file stora</w:t>
      </w:r>
      <w:r w:rsidR="00085F9E" w:rsidRPr="00FA1A19">
        <w:t>g</w:t>
      </w:r>
      <w:r w:rsidR="00AF2360" w:rsidRPr="00FA1A19">
        <w:t>e and software supported by or hosted on traditional servers or cloud services.</w:t>
      </w:r>
      <w:r w:rsidR="004F0A51" w:rsidRPr="00FA1A19">
        <w:t xml:space="preserve"> </w:t>
      </w:r>
      <w:r w:rsidR="00F072E9" w:rsidRPr="00FA1A19">
        <w:t>The application layer</w:t>
      </w:r>
      <w:r w:rsidR="00085F9E" w:rsidRPr="00FA1A19">
        <w:t xml:space="preserve"> will </w:t>
      </w:r>
      <w:r w:rsidR="00F072E9" w:rsidRPr="00FA1A19">
        <w:t xml:space="preserve">therefore often </w:t>
      </w:r>
      <w:r w:rsidR="00085F9E" w:rsidRPr="00FA1A19">
        <w:t>involve centralised teams, companies and off</w:t>
      </w:r>
      <w:r w:rsidR="00F75232">
        <w:noBreakHyphen/>
      </w:r>
      <w:r w:rsidR="00085F9E" w:rsidRPr="00FA1A19">
        <w:t>chain infrastructures such as web servers</w:t>
      </w:r>
      <w:r w:rsidR="00085F9E" w:rsidRPr="00170ADC">
        <w:rPr>
          <w:rStyle w:val="FootnoteReference"/>
        </w:rPr>
        <w:footnoteReference w:id="150"/>
      </w:r>
      <w:r w:rsidR="007C0DF8" w:rsidRPr="00FA1A19">
        <w:t xml:space="preserve"> (</w:t>
      </w:r>
      <w:r w:rsidR="009A0F01">
        <w:t>i.e.</w:t>
      </w:r>
      <w:r w:rsidR="00C738F4" w:rsidRPr="00FA1A19">
        <w:t xml:space="preserve"> service providers and intermediaries</w:t>
      </w:r>
      <w:r w:rsidR="007C0DF8" w:rsidRPr="00FA1A19">
        <w:t>).</w:t>
      </w:r>
      <w:r w:rsidR="00C92866" w:rsidRPr="00FA1A19">
        <w:t xml:space="preserve"> </w:t>
      </w:r>
    </w:p>
    <w:p w14:paraId="07A1E4BD" w14:textId="3A909F87" w:rsidR="0059177A" w:rsidRPr="00FA1A19" w:rsidRDefault="0059177A" w:rsidP="00B96B01">
      <w:pPr>
        <w:pStyle w:val="Bullet"/>
        <w:numPr>
          <w:ilvl w:val="0"/>
          <w:numId w:val="0"/>
        </w:numPr>
        <w:ind w:left="284"/>
      </w:pPr>
      <w:r w:rsidRPr="00FA1A19">
        <w:t xml:space="preserve">However, it should be recognised that the </w:t>
      </w:r>
      <w:r w:rsidR="00F75232">
        <w:t>‘</w:t>
      </w:r>
      <w:r w:rsidRPr="00FA1A19">
        <w:t>application layer</w:t>
      </w:r>
      <w:r w:rsidR="00F75232">
        <w:t>’</w:t>
      </w:r>
      <w:r w:rsidRPr="00FA1A19">
        <w:t xml:space="preserve"> is not essential to </w:t>
      </w:r>
      <w:r w:rsidR="00EA1615" w:rsidRPr="00FA1A19">
        <w:t xml:space="preserve">engage in DeFi, because </w:t>
      </w:r>
      <w:r w:rsidR="00100AE1" w:rsidRPr="00FA1A19">
        <w:t xml:space="preserve">the </w:t>
      </w:r>
      <w:r w:rsidR="00F75232">
        <w:t>‘</w:t>
      </w:r>
      <w:r w:rsidR="00100AE1" w:rsidRPr="00FA1A19">
        <w:t>application layer</w:t>
      </w:r>
      <w:r w:rsidR="00F75232">
        <w:t>’</w:t>
      </w:r>
      <w:r w:rsidR="00100AE1" w:rsidRPr="00FA1A19">
        <w:t xml:space="preserve"> is not essential to access</w:t>
      </w:r>
      <w:r w:rsidRPr="00FA1A19">
        <w:t xml:space="preserve"> the smart contract layer</w:t>
      </w:r>
      <w:r w:rsidR="009346A3" w:rsidRPr="00FA1A19">
        <w:t>.</w:t>
      </w:r>
      <w:r w:rsidR="004F0A51" w:rsidRPr="00FA1A19">
        <w:t xml:space="preserve"> </w:t>
      </w:r>
      <w:r w:rsidR="00C14EC1" w:rsidRPr="00FA1A19">
        <w:t>Users can directly interact with the smart contract by running their own node.</w:t>
      </w:r>
      <w:r w:rsidR="004F0A51" w:rsidRPr="00FA1A19">
        <w:t xml:space="preserve"> </w:t>
      </w:r>
      <w:r w:rsidR="00C14EC1" w:rsidRPr="00FA1A19">
        <w:t xml:space="preserve">However, the </w:t>
      </w:r>
      <w:r w:rsidR="00F75232">
        <w:t>‘</w:t>
      </w:r>
      <w:r w:rsidR="00C14EC1" w:rsidRPr="00FA1A19">
        <w:t>application layer</w:t>
      </w:r>
      <w:r w:rsidR="00F75232">
        <w:t>’</w:t>
      </w:r>
      <w:r w:rsidR="00C14EC1" w:rsidRPr="00FA1A19">
        <w:t xml:space="preserve"> enables a </w:t>
      </w:r>
      <w:r w:rsidR="00DD1CAC" w:rsidRPr="00FA1A19">
        <w:t>user</w:t>
      </w:r>
      <w:r w:rsidR="00F75232">
        <w:noBreakHyphen/>
      </w:r>
      <w:r w:rsidR="00C14EC1" w:rsidRPr="00FA1A19">
        <w:t xml:space="preserve">friendly </w:t>
      </w:r>
      <w:r w:rsidR="00DD1CAC" w:rsidRPr="00FA1A19">
        <w:t>interface for the original smart contract.</w:t>
      </w:r>
      <w:r w:rsidR="004F0A51" w:rsidRPr="00FA1A19">
        <w:t xml:space="preserve"> </w:t>
      </w:r>
      <w:r w:rsidR="00DD1CAC" w:rsidRPr="00FA1A19">
        <w:t xml:space="preserve">If </w:t>
      </w:r>
      <w:r w:rsidR="002010D0" w:rsidRPr="00FA1A19">
        <w:t xml:space="preserve">an </w:t>
      </w:r>
      <w:r w:rsidR="00F75232">
        <w:t>‘</w:t>
      </w:r>
      <w:r w:rsidR="002010D0" w:rsidRPr="00FA1A19">
        <w:t>application layer</w:t>
      </w:r>
      <w:r w:rsidR="00F75232">
        <w:t>’</w:t>
      </w:r>
      <w:r w:rsidR="002010D0" w:rsidRPr="00FA1A19">
        <w:t xml:space="preserve"> website is taken down, anyone can </w:t>
      </w:r>
      <w:r w:rsidR="008513EA" w:rsidRPr="00FA1A19">
        <w:t xml:space="preserve">create a new website that enables a new </w:t>
      </w:r>
      <w:r w:rsidR="57E85D60" w:rsidRPr="00FA1A19">
        <w:t>user</w:t>
      </w:r>
      <w:r w:rsidR="00F75232">
        <w:noBreakHyphen/>
      </w:r>
      <w:r w:rsidR="57E85D60" w:rsidRPr="00FA1A19">
        <w:t>friendly</w:t>
      </w:r>
      <w:r w:rsidR="008513EA" w:rsidRPr="00FA1A19">
        <w:t xml:space="preserve"> interface for </w:t>
      </w:r>
      <w:r w:rsidR="0074322C" w:rsidRPr="00FA1A19">
        <w:t>t</w:t>
      </w:r>
      <w:r w:rsidR="008513EA" w:rsidRPr="00FA1A19">
        <w:t>he smart contract.</w:t>
      </w:r>
    </w:p>
    <w:p w14:paraId="6A190769" w14:textId="36475DAF" w:rsidR="00DD4D4C" w:rsidRPr="00FA1A19" w:rsidRDefault="00DD4D4C" w:rsidP="00342121">
      <w:pPr>
        <w:pStyle w:val="Heading3"/>
      </w:pPr>
      <w:r w:rsidRPr="00FA1A19">
        <w:t>Key components of DeF</w:t>
      </w:r>
      <w:r w:rsidR="00837AA7" w:rsidRPr="00FA1A19">
        <w:t>i</w:t>
      </w:r>
    </w:p>
    <w:p w14:paraId="4BA64490" w14:textId="7C03A6C1" w:rsidR="00837AA7" w:rsidRPr="00FA1A19" w:rsidRDefault="00837AA7" w:rsidP="0069352C">
      <w:pPr>
        <w:pStyle w:val="Heading4"/>
      </w:pPr>
      <w:r w:rsidRPr="00FA1A19">
        <w:t>Crypto</w:t>
      </w:r>
      <w:r w:rsidR="00B06F39" w:rsidRPr="00FA1A19">
        <w:t xml:space="preserve"> assets</w:t>
      </w:r>
    </w:p>
    <w:p w14:paraId="33E8039E" w14:textId="29DE88D4" w:rsidR="00837AA7" w:rsidRPr="00FA1A19" w:rsidRDefault="00837AA7" w:rsidP="00837AA7">
      <w:r w:rsidRPr="00FA1A19">
        <w:t xml:space="preserve">Central to DeFi are crypto assets that can be created by and/or interact with code or a smart contract and so </w:t>
      </w:r>
      <w:r w:rsidR="005A2595" w:rsidRPr="00FA1A19">
        <w:t xml:space="preserve">can </w:t>
      </w:r>
      <w:r w:rsidRPr="00FA1A19">
        <w:t>be used to achieve functions such as trading, lending, borrowing and other activities.</w:t>
      </w:r>
      <w:r w:rsidRPr="00170ADC">
        <w:rPr>
          <w:rStyle w:val="FootnoteReference"/>
        </w:rPr>
        <w:footnoteReference w:id="151"/>
      </w:r>
    </w:p>
    <w:p w14:paraId="1F4BA507" w14:textId="77777777" w:rsidR="004C6663" w:rsidRPr="00FA1A19" w:rsidRDefault="00543020" w:rsidP="0069352C">
      <w:pPr>
        <w:pStyle w:val="Heading4"/>
      </w:pPr>
      <w:r w:rsidRPr="00FA1A19">
        <w:t>S</w:t>
      </w:r>
      <w:r w:rsidR="00DD21DA" w:rsidRPr="00FA1A19">
        <w:t>tablecoins</w:t>
      </w:r>
    </w:p>
    <w:p w14:paraId="41D7EFBA" w14:textId="0B66622E" w:rsidR="008F2997" w:rsidRPr="00FA1A19" w:rsidRDefault="004C6663" w:rsidP="004C6663">
      <w:r w:rsidRPr="00FA1A19">
        <w:t xml:space="preserve">Stablecoins </w:t>
      </w:r>
      <w:r w:rsidR="00FC7CE9" w:rsidRPr="00FA1A19">
        <w:t xml:space="preserve">are </w:t>
      </w:r>
      <w:r w:rsidR="00D10974" w:rsidRPr="00FA1A19">
        <w:t>crypto assets tha</w:t>
      </w:r>
      <w:r w:rsidR="00FC7CE9" w:rsidRPr="00FA1A19">
        <w:t xml:space="preserve">t </w:t>
      </w:r>
      <w:r w:rsidR="00EF6967" w:rsidRPr="00FA1A19">
        <w:t>are structured to function as a stable value coin</w:t>
      </w:r>
      <w:r w:rsidR="00745C38" w:rsidRPr="00FA1A19">
        <w:t xml:space="preserve">, which means that they </w:t>
      </w:r>
      <w:r w:rsidR="00FC7CE9" w:rsidRPr="00FA1A19">
        <w:t>s</w:t>
      </w:r>
      <w:r w:rsidR="008F2997" w:rsidRPr="00FA1A19">
        <w:t xml:space="preserve">eek to maintain a constant value </w:t>
      </w:r>
      <w:r w:rsidR="00D10974" w:rsidRPr="00FA1A19">
        <w:t>r</w:t>
      </w:r>
      <w:r w:rsidR="008F2997" w:rsidRPr="00FA1A19">
        <w:t>elative to some asset</w:t>
      </w:r>
      <w:r w:rsidR="00BA17F1" w:rsidRPr="00FA1A19">
        <w:t>, m</w:t>
      </w:r>
      <w:r w:rsidR="008F2997" w:rsidRPr="00FA1A19">
        <w:t>ost commonly the US dollar or another major fiat currency</w:t>
      </w:r>
      <w:r w:rsidR="00BA17F1" w:rsidRPr="00FA1A19">
        <w:t xml:space="preserve"> but it could also be another crypto asset</w:t>
      </w:r>
      <w:r w:rsidR="008F2997" w:rsidRPr="00FA1A19">
        <w:t>.</w:t>
      </w:r>
      <w:r w:rsidR="008F2997" w:rsidRPr="00170ADC">
        <w:rPr>
          <w:rStyle w:val="FootnoteReference"/>
        </w:rPr>
        <w:footnoteReference w:id="152"/>
      </w:r>
      <w:r w:rsidR="004F0A51" w:rsidRPr="00FA1A19">
        <w:t xml:space="preserve"> </w:t>
      </w:r>
    </w:p>
    <w:p w14:paraId="209611AE" w14:textId="1A9B9C4C" w:rsidR="00EE1242" w:rsidRPr="00FA1A19" w:rsidRDefault="00B328FD" w:rsidP="00EE1242">
      <w:r w:rsidRPr="00FA1A19">
        <w:t xml:space="preserve">Stablecoins are </w:t>
      </w:r>
      <w:r w:rsidR="00F75232">
        <w:t>‘</w:t>
      </w:r>
      <w:r w:rsidRPr="00FA1A19">
        <w:t>critical to the functioning of DeFi as they are frequently used as one side of, or collateral for, a transaction</w:t>
      </w:r>
      <w:r w:rsidR="00867E57" w:rsidRPr="00FA1A19">
        <w:t>.</w:t>
      </w:r>
      <w:r w:rsidR="00F75232">
        <w:t>’</w:t>
      </w:r>
      <w:r w:rsidR="00867E57" w:rsidRPr="00170ADC">
        <w:rPr>
          <w:rStyle w:val="FootnoteReference"/>
        </w:rPr>
        <w:footnoteReference w:id="153"/>
      </w:r>
      <w:r w:rsidR="004F0A51" w:rsidRPr="00FA1A19">
        <w:t xml:space="preserve"> </w:t>
      </w:r>
      <w:r w:rsidR="00EE1242" w:rsidRPr="00FA1A19">
        <w:t>More specifically and due to their perceived stability, stablecoins have become DeFi</w:t>
      </w:r>
      <w:r w:rsidR="00F75232">
        <w:t>’</w:t>
      </w:r>
      <w:r w:rsidR="00EE1242" w:rsidRPr="00FA1A19">
        <w:t xml:space="preserve">s substitute for fiat currency, acting as the </w:t>
      </w:r>
      <w:r w:rsidR="00F75232">
        <w:t>‘</w:t>
      </w:r>
      <w:r w:rsidR="00EE1242" w:rsidRPr="00FA1A19">
        <w:t>stable</w:t>
      </w:r>
      <w:r w:rsidR="00F75232">
        <w:t>’</w:t>
      </w:r>
      <w:r w:rsidR="00EE1242" w:rsidRPr="00FA1A19">
        <w:t xml:space="preserve"> leg in trading transactions involving more volatile crypto assets or as </w:t>
      </w:r>
      <w:r w:rsidR="00F75232">
        <w:t>‘</w:t>
      </w:r>
      <w:r w:rsidR="00EE1242" w:rsidRPr="00FA1A19">
        <w:t>collateral</w:t>
      </w:r>
      <w:r w:rsidR="00F75232">
        <w:t>’</w:t>
      </w:r>
      <w:r w:rsidR="00EE1242" w:rsidRPr="00FA1A19">
        <w:t xml:space="preserve"> for lending and borrowing.</w:t>
      </w:r>
      <w:r w:rsidR="004F0A51" w:rsidRPr="00FA1A19">
        <w:t xml:space="preserve"> </w:t>
      </w:r>
      <w:r w:rsidR="00EE1242" w:rsidRPr="00FA1A19">
        <w:t>For example, a user can convert USD to a fiat</w:t>
      </w:r>
      <w:r w:rsidR="00F75232">
        <w:noBreakHyphen/>
      </w:r>
      <w:r w:rsidR="00EE1242" w:rsidRPr="00FA1A19">
        <w:t>based stablecoin through a centrali</w:t>
      </w:r>
      <w:r w:rsidR="00327F44" w:rsidRPr="00FA1A19">
        <w:t>s</w:t>
      </w:r>
      <w:r w:rsidR="00EE1242" w:rsidRPr="00FA1A19">
        <w:t>ed crypto asset trading platform and then use the fiat</w:t>
      </w:r>
      <w:r w:rsidR="00F75232">
        <w:noBreakHyphen/>
      </w:r>
      <w:r w:rsidR="00EE1242" w:rsidRPr="00FA1A19">
        <w:t>based stablecoin to participate in DeFi activities.</w:t>
      </w:r>
      <w:r w:rsidR="00EE1242" w:rsidRPr="00170ADC">
        <w:rPr>
          <w:rStyle w:val="FootnoteReference"/>
        </w:rPr>
        <w:footnoteReference w:id="154"/>
      </w:r>
      <w:r w:rsidR="004F0A51" w:rsidRPr="00FA1A19">
        <w:t xml:space="preserve"> </w:t>
      </w:r>
    </w:p>
    <w:p w14:paraId="248CFD37" w14:textId="60A6EC9D" w:rsidR="00293206" w:rsidRPr="00FA1A19" w:rsidRDefault="00293206" w:rsidP="00837AA7">
      <w:r w:rsidRPr="00FA1A19">
        <w:t xml:space="preserve">Stablecoins can be </w:t>
      </w:r>
      <w:r w:rsidR="00080A4C" w:rsidRPr="00FA1A19">
        <w:t>organi</w:t>
      </w:r>
      <w:r w:rsidR="00080A4C">
        <w:t>s</w:t>
      </w:r>
      <w:r w:rsidR="00080A4C" w:rsidRPr="00FA1A19">
        <w:t xml:space="preserve">ed </w:t>
      </w:r>
      <w:r w:rsidRPr="00FA1A19">
        <w:t>into three categories:</w:t>
      </w:r>
      <w:r w:rsidR="00333B12" w:rsidRPr="00170ADC">
        <w:rPr>
          <w:rStyle w:val="FootnoteReference"/>
        </w:rPr>
        <w:footnoteReference w:id="155"/>
      </w:r>
    </w:p>
    <w:p w14:paraId="14148C30" w14:textId="00CEDDB1" w:rsidR="008F2997" w:rsidRPr="00FA1A19" w:rsidRDefault="007152FD" w:rsidP="008371A3">
      <w:pPr>
        <w:pStyle w:val="Bullet"/>
      </w:pPr>
      <w:r w:rsidRPr="00AD28CB">
        <w:rPr>
          <w:rStyle w:val="Strong"/>
        </w:rPr>
        <w:t>C</w:t>
      </w:r>
      <w:r w:rsidR="008F2997" w:rsidRPr="00AD28CB">
        <w:rPr>
          <w:rStyle w:val="Strong"/>
        </w:rPr>
        <w:t>ustodial stablecoins</w:t>
      </w:r>
      <w:r w:rsidR="008F2997" w:rsidRPr="00FA1A19">
        <w:t xml:space="preserve"> which are backed by </w:t>
      </w:r>
      <w:r w:rsidR="000303A6" w:rsidRPr="00FA1A19">
        <w:t xml:space="preserve">centralised </w:t>
      </w:r>
      <w:r w:rsidR="008F2997" w:rsidRPr="00FA1A19">
        <w:t>reserves of fiat currencies (fiat</w:t>
      </w:r>
      <w:r w:rsidR="00F75232">
        <w:noBreakHyphen/>
      </w:r>
      <w:r w:rsidR="008F2997" w:rsidRPr="00FA1A19">
        <w:t>backed stablecoins) or highly liquid physical assets such as gold (commodity</w:t>
      </w:r>
      <w:r w:rsidR="00F75232">
        <w:noBreakHyphen/>
      </w:r>
      <w:r w:rsidR="008F2997" w:rsidRPr="00FA1A19">
        <w:t xml:space="preserve">backed stablecoins). As there is a </w:t>
      </w:r>
      <w:r w:rsidR="00080A4C" w:rsidRPr="00FA1A19">
        <w:t>centrali</w:t>
      </w:r>
      <w:r w:rsidR="00080A4C">
        <w:t>s</w:t>
      </w:r>
      <w:r w:rsidR="00080A4C" w:rsidRPr="00FA1A19">
        <w:t xml:space="preserve">ed </w:t>
      </w:r>
      <w:r w:rsidR="008F2997" w:rsidRPr="00FA1A19">
        <w:t>reserve, custodial stablecoins are not DeFi services themselves</w:t>
      </w:r>
      <w:r w:rsidR="008F2997" w:rsidRPr="00FA1A19" w:rsidDel="00BC1F59">
        <w:t xml:space="preserve"> </w:t>
      </w:r>
      <w:r w:rsidR="00BC1F59" w:rsidRPr="00FA1A19">
        <w:t>a</w:t>
      </w:r>
      <w:r w:rsidR="008F2997" w:rsidRPr="00FA1A19">
        <w:t>lthough they may be used in DeFi.</w:t>
      </w:r>
      <w:r w:rsidR="004F0A51" w:rsidRPr="00FA1A19">
        <w:t xml:space="preserve"> </w:t>
      </w:r>
    </w:p>
    <w:p w14:paraId="15EC8BCF" w14:textId="08E24491" w:rsidR="00333B12" w:rsidRPr="00FA1A19" w:rsidRDefault="007B2FB3" w:rsidP="008371A3">
      <w:pPr>
        <w:pStyle w:val="Bullet"/>
      </w:pPr>
      <w:r w:rsidRPr="00AD28CB">
        <w:rPr>
          <w:rStyle w:val="Strong"/>
        </w:rPr>
        <w:t>Asset</w:t>
      </w:r>
      <w:r w:rsidR="00F75232">
        <w:rPr>
          <w:rStyle w:val="Strong"/>
        </w:rPr>
        <w:noBreakHyphen/>
      </w:r>
      <w:r w:rsidRPr="00AD28CB">
        <w:rPr>
          <w:rStyle w:val="Strong"/>
        </w:rPr>
        <w:t>backed stablecoins</w:t>
      </w:r>
      <w:r w:rsidRPr="00FA1A19">
        <w:rPr>
          <w:i/>
          <w:iCs/>
        </w:rPr>
        <w:t xml:space="preserve"> </w:t>
      </w:r>
      <w:r w:rsidRPr="00FA1A19">
        <w:t>whic</w:t>
      </w:r>
      <w:r w:rsidR="00B97979" w:rsidRPr="00FA1A19">
        <w:t xml:space="preserve">h </w:t>
      </w:r>
      <w:r w:rsidR="002F3AD2" w:rsidRPr="00FA1A19">
        <w:t xml:space="preserve">are </w:t>
      </w:r>
      <w:r w:rsidR="008F2997" w:rsidRPr="00FA1A19">
        <w:t>pegged to and backed by other cryptocurrencies</w:t>
      </w:r>
      <w:r w:rsidR="00BC1F59" w:rsidRPr="00FA1A19">
        <w:t xml:space="preserve"> or other assets</w:t>
      </w:r>
      <w:r w:rsidR="00B97979" w:rsidRPr="00FA1A19">
        <w:t xml:space="preserve"> by the use of smart contracts</w:t>
      </w:r>
      <w:r w:rsidR="007C23B1" w:rsidRPr="00FA1A19">
        <w:t>.</w:t>
      </w:r>
    </w:p>
    <w:p w14:paraId="7352CA34" w14:textId="491906F9" w:rsidR="008F2997" w:rsidRPr="00FA1A19" w:rsidRDefault="00773055" w:rsidP="008371A3">
      <w:pPr>
        <w:pStyle w:val="Bullet"/>
      </w:pPr>
      <w:r w:rsidRPr="00AD28CB">
        <w:rPr>
          <w:rStyle w:val="Strong"/>
        </w:rPr>
        <w:t>Algorithmic stablecoins</w:t>
      </w:r>
      <w:r w:rsidRPr="00FA1A19">
        <w:rPr>
          <w:i/>
          <w:iCs/>
        </w:rPr>
        <w:t xml:space="preserve"> </w:t>
      </w:r>
      <w:r w:rsidRPr="00FA1A19">
        <w:t xml:space="preserve">which </w:t>
      </w:r>
      <w:r w:rsidR="008F2997" w:rsidRPr="00FA1A19">
        <w:t>attempt to maintain relative value through dynamic expansion and contraction of token supply.</w:t>
      </w:r>
    </w:p>
    <w:p w14:paraId="550F656D" w14:textId="2439C13C" w:rsidR="006B436D" w:rsidRPr="00FA1A19" w:rsidRDefault="006B436D" w:rsidP="006B436D">
      <w:r w:rsidRPr="00FA1A19">
        <w:t xml:space="preserve">Stablecoins may be created by processes including </w:t>
      </w:r>
      <w:r w:rsidR="00F75232">
        <w:t>‘</w:t>
      </w:r>
      <w:r w:rsidRPr="00FA1A19">
        <w:t>bridging</w:t>
      </w:r>
      <w:r w:rsidR="00F75232">
        <w:t>’</w:t>
      </w:r>
      <w:r w:rsidRPr="00FA1A19">
        <w:t xml:space="preserve"> and </w:t>
      </w:r>
      <w:r w:rsidR="00F75232">
        <w:t>‘</w:t>
      </w:r>
      <w:r w:rsidRPr="00FA1A19">
        <w:t>wrapping</w:t>
      </w:r>
      <w:r w:rsidR="00F75232">
        <w:t>’</w:t>
      </w:r>
      <w:r w:rsidRPr="00FA1A19">
        <w:t>.</w:t>
      </w:r>
    </w:p>
    <w:p w14:paraId="5D1F4339" w14:textId="3E3C6A86" w:rsidR="00280BC6" w:rsidRPr="00FA1A19" w:rsidRDefault="00DC054B" w:rsidP="0069352C">
      <w:pPr>
        <w:pStyle w:val="Heading4"/>
      </w:pPr>
      <w:r w:rsidRPr="00FA1A19">
        <w:t>Bridging</w:t>
      </w:r>
    </w:p>
    <w:p w14:paraId="22245607" w14:textId="10A2D917" w:rsidR="00367103" w:rsidRPr="00FA1A19" w:rsidRDefault="00367103" w:rsidP="00D6178E">
      <w:r w:rsidRPr="00FA1A19">
        <w:t xml:space="preserve">Bridging was described to the Board as the </w:t>
      </w:r>
      <w:r w:rsidR="00F75232">
        <w:t>‘</w:t>
      </w:r>
      <w:r w:rsidRPr="00FA1A19">
        <w:t>connection of two blockchains through a blockchain bridge or cross</w:t>
      </w:r>
      <w:r w:rsidR="00F75232">
        <w:noBreakHyphen/>
      </w:r>
      <w:r w:rsidRPr="00FA1A19">
        <w:t>chain bridge that allows interoperability between networks that are potentially vastly different (for example Bitcoin and Ethereum) and between a parent blockchain and its child chain (side chain). Bridges allow users to transfer information and assets from one chain to another. This may include the transfer of tokens, data, and smart contract instructions.</w:t>
      </w:r>
      <w:r w:rsidR="00F75232">
        <w:t>’</w:t>
      </w:r>
      <w:r w:rsidRPr="00170ADC">
        <w:rPr>
          <w:rStyle w:val="FootnoteReference"/>
        </w:rPr>
        <w:footnoteReference w:id="156"/>
      </w:r>
      <w:r w:rsidRPr="00FA1A19">
        <w:t xml:space="preserve"> </w:t>
      </w:r>
    </w:p>
    <w:p w14:paraId="282AEECE" w14:textId="17C97663" w:rsidR="00F302F3" w:rsidRPr="00FA1A19" w:rsidRDefault="00F75232" w:rsidP="00D6178E">
      <w:r>
        <w:t>‘</w:t>
      </w:r>
      <w:r w:rsidR="00550597" w:rsidRPr="00FA1A19">
        <w:t>Bridging generally involves locking a coin or token from one blockchain into a smart contract, which then creates a derivative asset on another blockchain.</w:t>
      </w:r>
      <w:r>
        <w:t>’</w:t>
      </w:r>
      <w:r w:rsidR="00550597" w:rsidRPr="00170ADC">
        <w:rPr>
          <w:rStyle w:val="FootnoteReference"/>
        </w:rPr>
        <w:footnoteReference w:id="157"/>
      </w:r>
      <w:r w:rsidR="0098324B" w:rsidRPr="00FA1A19">
        <w:t xml:space="preserve"> </w:t>
      </w:r>
      <w:r w:rsidR="005D1178" w:rsidRPr="00FA1A19">
        <w:t>Bridges are either custodial (also known as centrali</w:t>
      </w:r>
      <w:r w:rsidR="00064A33" w:rsidRPr="00FA1A19">
        <w:t>s</w:t>
      </w:r>
      <w:r w:rsidR="005D1178" w:rsidRPr="00FA1A19">
        <w:t>ed or trusted) or noncustodial (decentrali</w:t>
      </w:r>
      <w:r w:rsidR="00064A33" w:rsidRPr="00FA1A19">
        <w:t>s</w:t>
      </w:r>
      <w:r w:rsidR="005D1178" w:rsidRPr="00FA1A19">
        <w:t>ed or trustless), in which case the</w:t>
      </w:r>
      <w:r w:rsidR="0009797A" w:rsidRPr="00FA1A19">
        <w:t xml:space="preserve"> original assets</w:t>
      </w:r>
      <w:r w:rsidR="005D1178" w:rsidRPr="00FA1A19">
        <w:t xml:space="preserve"> are held </w:t>
      </w:r>
      <w:r w:rsidR="0035400B" w:rsidRPr="00FA1A19">
        <w:t xml:space="preserve">(or </w:t>
      </w:r>
      <w:r>
        <w:t>‘</w:t>
      </w:r>
      <w:r w:rsidR="0035400B" w:rsidRPr="00FA1A19">
        <w:t>locked</w:t>
      </w:r>
      <w:r>
        <w:t>’</w:t>
      </w:r>
      <w:r w:rsidR="0035400B" w:rsidRPr="00FA1A19">
        <w:t xml:space="preserve">) </w:t>
      </w:r>
      <w:r w:rsidR="005D1178" w:rsidRPr="00FA1A19">
        <w:t>by the protocol.</w:t>
      </w:r>
      <w:r w:rsidR="005D1178" w:rsidRPr="00170ADC">
        <w:rPr>
          <w:rStyle w:val="FootnoteReference"/>
        </w:rPr>
        <w:footnoteReference w:id="158"/>
      </w:r>
    </w:p>
    <w:p w14:paraId="4E432066" w14:textId="322367B0" w:rsidR="00EC643B" w:rsidRPr="00FA1A19" w:rsidRDefault="005E7885" w:rsidP="00D6178E">
      <w:r w:rsidRPr="00FA1A19">
        <w:t xml:space="preserve">One type of stablecoin </w:t>
      </w:r>
      <w:r w:rsidR="000776A2" w:rsidRPr="00FA1A19">
        <w:t xml:space="preserve">created </w:t>
      </w:r>
      <w:r w:rsidR="00250FA8" w:rsidRPr="00FA1A19">
        <w:t>by bridging i</w:t>
      </w:r>
      <w:r w:rsidR="000776A2" w:rsidRPr="00FA1A19">
        <w:t xml:space="preserve">s </w:t>
      </w:r>
      <w:r w:rsidR="00F75232">
        <w:t>‘</w:t>
      </w:r>
      <w:r w:rsidR="00EC643B" w:rsidRPr="00FA1A19">
        <w:t>Wrapped Bitcoin</w:t>
      </w:r>
      <w:r w:rsidR="00F75232">
        <w:t>’</w:t>
      </w:r>
      <w:r w:rsidR="00EC643B" w:rsidRPr="00FA1A19">
        <w:t xml:space="preserve">, which is a stablecoin backed by </w:t>
      </w:r>
      <w:r w:rsidR="0052300E">
        <w:t>b</w:t>
      </w:r>
      <w:r w:rsidR="0052300E" w:rsidRPr="00FA1A19">
        <w:t xml:space="preserve">itcoin </w:t>
      </w:r>
      <w:r w:rsidR="00EC643B" w:rsidRPr="00FA1A19">
        <w:t>issued on the Ethereum blockchain, thus enabling holders of bitcoin to access smart contract functionality</w:t>
      </w:r>
      <w:r w:rsidR="00D30CEC" w:rsidRPr="00FA1A19">
        <w:t xml:space="preserve"> on the Ethereum blockchain</w:t>
      </w:r>
      <w:r w:rsidR="00EC643B" w:rsidRPr="00FA1A19">
        <w:t>.</w:t>
      </w:r>
      <w:r w:rsidR="004F0A51" w:rsidRPr="00FA1A19">
        <w:t xml:space="preserve"> </w:t>
      </w:r>
      <w:r w:rsidR="00EC643B" w:rsidRPr="00FA1A19">
        <w:t xml:space="preserve">It is a custodial token with all </w:t>
      </w:r>
      <w:r w:rsidR="005713CC" w:rsidRPr="00FA1A19">
        <w:t>W</w:t>
      </w:r>
      <w:r w:rsidR="00EC643B" w:rsidRPr="00FA1A19">
        <w:t xml:space="preserve">rapped </w:t>
      </w:r>
      <w:r w:rsidR="005713CC" w:rsidRPr="00FA1A19">
        <w:t>B</w:t>
      </w:r>
      <w:r w:rsidR="00EC643B" w:rsidRPr="00FA1A19">
        <w:t>itcoin held in custody by BitGo, which is a company headquartered in California.</w:t>
      </w:r>
      <w:r w:rsidR="00EC643B" w:rsidRPr="00170ADC">
        <w:rPr>
          <w:rStyle w:val="FootnoteReference"/>
        </w:rPr>
        <w:footnoteReference w:id="159"/>
      </w:r>
      <w:r w:rsidR="004F0A51" w:rsidRPr="00FA1A19">
        <w:t xml:space="preserve"> </w:t>
      </w:r>
      <w:r w:rsidR="009F3AA5" w:rsidRPr="00FA1A19">
        <w:t xml:space="preserve">To acquire </w:t>
      </w:r>
      <w:r w:rsidR="006527DA" w:rsidRPr="00FA1A19">
        <w:t xml:space="preserve">Wrapped Bitcoin, </w:t>
      </w:r>
      <w:r w:rsidR="00DA0E0C" w:rsidRPr="00FA1A19">
        <w:t>an owner</w:t>
      </w:r>
      <w:r w:rsidR="006527DA" w:rsidRPr="00FA1A19">
        <w:t xml:space="preserve"> of bitcoin </w:t>
      </w:r>
      <w:r w:rsidR="00E65DC1" w:rsidRPr="00FA1A19">
        <w:t xml:space="preserve">wraps their own bitcoin by finding a Wrapped Bitcoin merchant (such as DeversiFi, Kyber or Ren) which sends the bitcoin to </w:t>
      </w:r>
      <w:r w:rsidR="009739FF" w:rsidRPr="00FA1A19">
        <w:t>the</w:t>
      </w:r>
      <w:r w:rsidR="00E65DC1" w:rsidRPr="00FA1A19">
        <w:t xml:space="preserve"> custodian </w:t>
      </w:r>
      <w:r w:rsidR="0052300E">
        <w:t>(i</w:t>
      </w:r>
      <w:r w:rsidR="00CF2872">
        <w:t>.</w:t>
      </w:r>
      <w:r w:rsidR="0052300E">
        <w:t>e</w:t>
      </w:r>
      <w:r w:rsidR="00CF2872">
        <w:t>.</w:t>
      </w:r>
      <w:r w:rsidR="0052300E">
        <w:t xml:space="preserve"> BitGo) </w:t>
      </w:r>
      <w:r w:rsidR="00E65DC1" w:rsidRPr="00FA1A19">
        <w:t>who mints new Wrapped Bitcoin</w:t>
      </w:r>
      <w:r w:rsidR="002656AA" w:rsidRPr="00FA1A19">
        <w:t xml:space="preserve"> at a 1:1 ratio and stores the deposited bitcoin.</w:t>
      </w:r>
      <w:r w:rsidR="004F0A51" w:rsidRPr="00FA1A19">
        <w:t xml:space="preserve"> </w:t>
      </w:r>
      <w:r w:rsidR="002656AA" w:rsidRPr="00FA1A19">
        <w:t xml:space="preserve">When the </w:t>
      </w:r>
      <w:r w:rsidR="00DA0E0C" w:rsidRPr="00FA1A19">
        <w:t>owner</w:t>
      </w:r>
      <w:r w:rsidR="002656AA" w:rsidRPr="00FA1A19">
        <w:t xml:space="preserve"> wants to redeem their Wrapped Bitcoin for bitcoin, the merchant will send a burn request to the custodian who will then des</w:t>
      </w:r>
      <w:r w:rsidR="00CF57B3" w:rsidRPr="00FA1A19">
        <w:t>t</w:t>
      </w:r>
      <w:r w:rsidR="002656AA" w:rsidRPr="00FA1A19">
        <w:t xml:space="preserve">roy the Wrapped Bitcoin and return the bitcoin back to the </w:t>
      </w:r>
      <w:r w:rsidR="00DA0E0C" w:rsidRPr="00FA1A19">
        <w:t>owner</w:t>
      </w:r>
      <w:r w:rsidR="002656AA" w:rsidRPr="00FA1A19">
        <w:t>.</w:t>
      </w:r>
    </w:p>
    <w:p w14:paraId="0399736D" w14:textId="645C3E3F" w:rsidR="00EC643B" w:rsidRPr="00FA1A19" w:rsidRDefault="00936D96" w:rsidP="0069352C">
      <w:pPr>
        <w:pStyle w:val="Heading4"/>
      </w:pPr>
      <w:r w:rsidRPr="00FA1A19">
        <w:t>Wrapping</w:t>
      </w:r>
    </w:p>
    <w:p w14:paraId="7CB759DE" w14:textId="50A943C7" w:rsidR="00AA0063" w:rsidRPr="00FA1A19" w:rsidRDefault="00567697" w:rsidP="005173BC">
      <w:r w:rsidRPr="00FA1A19">
        <w:t xml:space="preserve">The Board was told </w:t>
      </w:r>
      <w:r w:rsidR="00A20336" w:rsidRPr="00FA1A19">
        <w:t xml:space="preserve">that </w:t>
      </w:r>
      <w:r w:rsidR="00F75232">
        <w:t>‘</w:t>
      </w:r>
      <w:r w:rsidR="00A20336" w:rsidRPr="00FA1A19">
        <w:t xml:space="preserve">A wrapping contract is similar to a bridging contract, however the </w:t>
      </w:r>
      <w:r w:rsidR="00F75232">
        <w:t>‘</w:t>
      </w:r>
      <w:r w:rsidR="00A20336" w:rsidRPr="00FA1A19">
        <w:t>wrapped</w:t>
      </w:r>
      <w:r w:rsidR="00F75232">
        <w:t>’</w:t>
      </w:r>
      <w:r w:rsidR="00A20336" w:rsidRPr="00FA1A19">
        <w:t xml:space="preserve"> token that is created is usually issued on the same blockchain</w:t>
      </w:r>
      <w:r w:rsidR="00F75232">
        <w:t>’</w:t>
      </w:r>
      <w:r w:rsidR="001562E2" w:rsidRPr="00FA1A19">
        <w:t>.</w:t>
      </w:r>
      <w:r w:rsidR="00894207" w:rsidRPr="00170ADC">
        <w:rPr>
          <w:rStyle w:val="FootnoteReference"/>
        </w:rPr>
        <w:footnoteReference w:id="160"/>
      </w:r>
      <w:r w:rsidR="00382826" w:rsidRPr="00FA1A19">
        <w:t xml:space="preserve"> </w:t>
      </w:r>
      <w:r w:rsidRPr="00FA1A19">
        <w:t xml:space="preserve">By contrast, it </w:t>
      </w:r>
      <w:r w:rsidR="00AA0063" w:rsidRPr="00FA1A19">
        <w:t>w</w:t>
      </w:r>
      <w:r w:rsidR="00894207" w:rsidRPr="00FA1A19">
        <w:t xml:space="preserve">as also indicated to the Board that </w:t>
      </w:r>
      <w:r w:rsidR="00F75232">
        <w:t>‘</w:t>
      </w:r>
      <w:r w:rsidR="00894207" w:rsidRPr="00FA1A19">
        <w:t>wrapping/wrapped tokens</w:t>
      </w:r>
      <w:r w:rsidR="00F75232">
        <w:t>’</w:t>
      </w:r>
      <w:r w:rsidR="00454A08" w:rsidRPr="00FA1A19">
        <w:t xml:space="preserve"> involve </w:t>
      </w:r>
      <w:r w:rsidR="00F75232">
        <w:t>‘</w:t>
      </w:r>
      <w:r w:rsidR="00454A08" w:rsidRPr="00FA1A19">
        <w:t>smart contracts on a blockchain that</w:t>
      </w:r>
      <w:r w:rsidR="00A531D7" w:rsidRPr="00FA1A19">
        <w:t xml:space="preserve"> hold the value of a token on a different blockchain network that has been locked to serve as collateral. This enables holders to use such tokens for DeFi activities on a different blockchain.</w:t>
      </w:r>
      <w:r w:rsidR="00F75232">
        <w:t>’</w:t>
      </w:r>
      <w:r w:rsidR="007D56D8" w:rsidRPr="00170ADC">
        <w:rPr>
          <w:rStyle w:val="FootnoteReference"/>
        </w:rPr>
        <w:footnoteReference w:id="161"/>
      </w:r>
      <w:r w:rsidR="00454A08" w:rsidRPr="00FA1A19">
        <w:t xml:space="preserve"> </w:t>
      </w:r>
    </w:p>
    <w:p w14:paraId="48431CED" w14:textId="52741602" w:rsidR="00382826" w:rsidRPr="00FA1A19" w:rsidRDefault="00F617BD" w:rsidP="00C860B3">
      <w:r w:rsidRPr="00FA1A19">
        <w:t>Having regard to the foregoing, the</w:t>
      </w:r>
      <w:r w:rsidR="00E67A6A" w:rsidRPr="00FA1A19">
        <w:t xml:space="preserve"> </w:t>
      </w:r>
      <w:r w:rsidR="00045C5A" w:rsidRPr="00FA1A19">
        <w:t>Board notes that</w:t>
      </w:r>
      <w:r w:rsidR="57BF5155" w:rsidRPr="00FA1A19">
        <w:t>:</w:t>
      </w:r>
    </w:p>
    <w:p w14:paraId="1C9519AE" w14:textId="36054095" w:rsidR="00382826" w:rsidRPr="0040209A" w:rsidRDefault="00045C5A" w:rsidP="008371A3">
      <w:pPr>
        <w:pStyle w:val="Bullet"/>
      </w:pPr>
      <w:r w:rsidRPr="00FA1A19">
        <w:t xml:space="preserve">the </w:t>
      </w:r>
      <w:r w:rsidR="00E67A6A" w:rsidRPr="00FA1A19">
        <w:t xml:space="preserve">term </w:t>
      </w:r>
      <w:r w:rsidR="00F75232">
        <w:t>‘</w:t>
      </w:r>
      <w:r w:rsidR="00E67A6A" w:rsidRPr="00FA1A19">
        <w:t>wrapped</w:t>
      </w:r>
      <w:r w:rsidR="00F75232">
        <w:t>’</w:t>
      </w:r>
      <w:r w:rsidR="00E67A6A" w:rsidRPr="00FA1A19">
        <w:t xml:space="preserve"> is often used to describe bridged crypto assets</w:t>
      </w:r>
      <w:r w:rsidR="000D1EBC" w:rsidRPr="00FA1A19">
        <w:t xml:space="preserve"> as well as </w:t>
      </w:r>
      <w:r w:rsidR="00BF2E87" w:rsidRPr="00FA1A19">
        <w:t xml:space="preserve">wrapped assets on the same blockchain as the original </w:t>
      </w:r>
      <w:r w:rsidR="00BF2E87" w:rsidRPr="0040209A">
        <w:t>assets</w:t>
      </w:r>
      <w:r w:rsidR="008A05A4" w:rsidRPr="0040209A">
        <w:t xml:space="preserve"> </w:t>
      </w:r>
    </w:p>
    <w:p w14:paraId="402194E7" w14:textId="020E590A" w:rsidR="00382826" w:rsidRPr="0040209A" w:rsidRDefault="008C5DAD" w:rsidP="008371A3">
      <w:pPr>
        <w:pStyle w:val="Bullet"/>
      </w:pPr>
      <w:r w:rsidRPr="00FA1A19">
        <w:t xml:space="preserve">the industry has not standardised the terminology in this </w:t>
      </w:r>
      <w:r w:rsidRPr="0040209A">
        <w:t>regar</w:t>
      </w:r>
      <w:r w:rsidR="00D21D23" w:rsidRPr="0040209A">
        <w:t>d</w:t>
      </w:r>
    </w:p>
    <w:p w14:paraId="010A9C16" w14:textId="36FCF609" w:rsidR="00382826" w:rsidRPr="00FA1A19" w:rsidRDefault="007108CF" w:rsidP="008371A3">
      <w:pPr>
        <w:pStyle w:val="Bullet"/>
      </w:pPr>
      <w:r w:rsidRPr="00FA1A19">
        <w:t xml:space="preserve">there were discrepancies </w:t>
      </w:r>
      <w:r w:rsidR="00AE75A1" w:rsidRPr="00FA1A19">
        <w:t xml:space="preserve">in the use of terminology </w:t>
      </w:r>
      <w:r w:rsidRPr="00FA1A19">
        <w:t>amongst submissions</w:t>
      </w:r>
      <w:r w:rsidR="00C00842" w:rsidRPr="00FA1A19">
        <w:t xml:space="preserve"> </w:t>
      </w:r>
      <w:r w:rsidR="00AE75A1" w:rsidRPr="00FA1A19">
        <w:t>to the Board</w:t>
      </w:r>
      <w:r w:rsidR="00045C5A" w:rsidRPr="00FA1A19">
        <w:t>.</w:t>
      </w:r>
      <w:r w:rsidR="00045C5A" w:rsidRPr="00170ADC">
        <w:rPr>
          <w:rStyle w:val="FootnoteReference"/>
        </w:rPr>
        <w:footnoteReference w:id="162"/>
      </w:r>
      <w:r w:rsidR="004F0A51" w:rsidRPr="00FA1A19">
        <w:t xml:space="preserve"> </w:t>
      </w:r>
    </w:p>
    <w:p w14:paraId="79EAD8BD" w14:textId="62073DEF" w:rsidR="00382826" w:rsidRPr="00FA1A19" w:rsidRDefault="00990100" w:rsidP="008371A3">
      <w:r w:rsidRPr="00FA1A19">
        <w:t xml:space="preserve">The Board suggests that </w:t>
      </w:r>
      <w:r w:rsidR="00F30478" w:rsidRPr="00FA1A19">
        <w:t xml:space="preserve">the correct reflection of </w:t>
      </w:r>
      <w:r w:rsidR="00C83445" w:rsidRPr="00FA1A19">
        <w:t xml:space="preserve">general </w:t>
      </w:r>
      <w:r w:rsidR="00F30478" w:rsidRPr="00FA1A19">
        <w:t xml:space="preserve">industry understanding </w:t>
      </w:r>
      <w:r w:rsidR="00713224" w:rsidRPr="00FA1A19">
        <w:t xml:space="preserve">may be </w:t>
      </w:r>
      <w:r w:rsidR="00F30478" w:rsidRPr="00FA1A19">
        <w:t>that wrapped tokens aris</w:t>
      </w:r>
      <w:r w:rsidR="00AE75A1" w:rsidRPr="00FA1A19">
        <w:t>e</w:t>
      </w:r>
      <w:r w:rsidR="00F30478" w:rsidRPr="00FA1A19">
        <w:t xml:space="preserve"> from wrapping tokens on either the same blockchain </w:t>
      </w:r>
      <w:r w:rsidR="00B879C3" w:rsidRPr="00FA1A19">
        <w:t>or different blockchains</w:t>
      </w:r>
      <w:r w:rsidR="00CE0AB4" w:rsidRPr="00FA1A19">
        <w:t xml:space="preserve">, </w:t>
      </w:r>
      <w:r w:rsidRPr="00FA1A19">
        <w:t xml:space="preserve">that wrapping tokens across different blockchains involves bridging, and that bridging may have uses </w:t>
      </w:r>
      <w:r w:rsidR="00C83445" w:rsidRPr="00FA1A19">
        <w:t>apart from</w:t>
      </w:r>
      <w:r w:rsidRPr="00FA1A19">
        <w:t xml:space="preserve"> wrapping</w:t>
      </w:r>
      <w:r w:rsidR="00B879C3" w:rsidRPr="00FA1A19">
        <w:t>.</w:t>
      </w:r>
      <w:r w:rsidR="004F0A51" w:rsidRPr="00FA1A19">
        <w:t xml:space="preserve"> </w:t>
      </w:r>
      <w:r w:rsidR="00F879BB" w:rsidRPr="00FA1A19">
        <w:t>Regardless</w:t>
      </w:r>
      <w:r w:rsidR="00C02C00" w:rsidRPr="00FA1A19">
        <w:t xml:space="preserve"> of the terminology</w:t>
      </w:r>
      <w:r w:rsidR="00F879BB" w:rsidRPr="00FA1A19">
        <w:t>, it would seem that</w:t>
      </w:r>
      <w:r w:rsidR="003F58B0" w:rsidRPr="00FA1A19">
        <w:t xml:space="preserve"> bridging and wrapping </w:t>
      </w:r>
      <w:r w:rsidR="006C23CC" w:rsidRPr="00FA1A19">
        <w:t xml:space="preserve">are similar in that they both involve </w:t>
      </w:r>
      <w:r w:rsidR="00EC179E" w:rsidRPr="00FA1A19">
        <w:t>locking or providing one token in return for another with different functionality</w:t>
      </w:r>
      <w:r w:rsidR="003F58B0" w:rsidRPr="00FA1A19">
        <w:t xml:space="preserve">, although </w:t>
      </w:r>
      <w:r w:rsidR="003D6843" w:rsidRPr="00FA1A19">
        <w:t>there may be different arrangements within each</w:t>
      </w:r>
      <w:r w:rsidR="00A665F2" w:rsidRPr="00FA1A19">
        <w:t>, particular</w:t>
      </w:r>
      <w:r w:rsidR="00FE736A" w:rsidRPr="00FA1A19">
        <w:t>l</w:t>
      </w:r>
      <w:r w:rsidR="00A665F2" w:rsidRPr="00FA1A19">
        <w:t xml:space="preserve">y noting </w:t>
      </w:r>
      <w:r w:rsidR="00FE736A" w:rsidRPr="00FA1A19">
        <w:t xml:space="preserve">the difference between </w:t>
      </w:r>
      <w:r w:rsidR="003D6843" w:rsidRPr="00FA1A19">
        <w:t>custodial and non</w:t>
      </w:r>
      <w:r w:rsidR="00F75232">
        <w:noBreakHyphen/>
      </w:r>
      <w:r w:rsidR="003D6843" w:rsidRPr="00FA1A19">
        <w:t xml:space="preserve">custodial </w:t>
      </w:r>
      <w:r w:rsidR="000E4048" w:rsidRPr="00FA1A19">
        <w:t>arrangements.</w:t>
      </w:r>
      <w:r w:rsidR="003F58B0" w:rsidRPr="00FA1A19">
        <w:t xml:space="preserve"> </w:t>
      </w:r>
    </w:p>
    <w:p w14:paraId="426B6195" w14:textId="419E4F77" w:rsidR="00CA73D3" w:rsidRPr="00FA1A19" w:rsidRDefault="00017586" w:rsidP="00EA2D82">
      <w:r w:rsidRPr="00FA1A19">
        <w:t xml:space="preserve">An </w:t>
      </w:r>
      <w:r w:rsidR="00BD479F" w:rsidRPr="00FA1A19">
        <w:t xml:space="preserve">example </w:t>
      </w:r>
      <w:r w:rsidR="00711F27" w:rsidRPr="00FA1A19">
        <w:t>of a wrapped token</w:t>
      </w:r>
      <w:r w:rsidR="0005681E" w:rsidRPr="00FA1A19">
        <w:t xml:space="preserve"> on the same blockchain</w:t>
      </w:r>
      <w:r w:rsidR="00BD479F" w:rsidRPr="00FA1A19">
        <w:t xml:space="preserve"> is </w:t>
      </w:r>
      <w:r w:rsidR="00F75232">
        <w:t>‘</w:t>
      </w:r>
      <w:r w:rsidR="002E3505" w:rsidRPr="00FA1A19">
        <w:t>Wrapped Ether</w:t>
      </w:r>
      <w:r w:rsidR="00F75232">
        <w:t>’</w:t>
      </w:r>
      <w:r w:rsidR="000F49F6" w:rsidRPr="00FA1A19">
        <w:t>.</w:t>
      </w:r>
      <w:r w:rsidR="004F0A51" w:rsidRPr="00FA1A19">
        <w:t xml:space="preserve"> </w:t>
      </w:r>
      <w:r w:rsidR="000F49F6" w:rsidRPr="00FA1A19">
        <w:t>W</w:t>
      </w:r>
      <w:r w:rsidR="001E5F7E" w:rsidRPr="00FA1A19">
        <w:t xml:space="preserve">hilst ether is the </w:t>
      </w:r>
      <w:r w:rsidR="003B48A5" w:rsidRPr="00FA1A19">
        <w:t>cryptocurrency native to the Ethereum blockchain and the</w:t>
      </w:r>
      <w:r w:rsidR="008224D5" w:rsidRPr="00FA1A19">
        <w:t xml:space="preserve"> Ethereum network enables</w:t>
      </w:r>
      <w:r w:rsidR="003B48A5" w:rsidRPr="00FA1A19">
        <w:t xml:space="preserve"> smart contracts </w:t>
      </w:r>
      <w:r w:rsidR="008224D5" w:rsidRPr="00FA1A19">
        <w:t xml:space="preserve">which are </w:t>
      </w:r>
      <w:r w:rsidR="008B7435" w:rsidRPr="00FA1A19">
        <w:t>foundational to</w:t>
      </w:r>
      <w:r w:rsidR="003B48A5" w:rsidRPr="00FA1A19">
        <w:t xml:space="preserve"> DeFi</w:t>
      </w:r>
      <w:r w:rsidR="008B7435" w:rsidRPr="00FA1A19">
        <w:t>, the native currency to the Ethereum network (i</w:t>
      </w:r>
      <w:r w:rsidR="00413649" w:rsidRPr="00FA1A19">
        <w:t>.</w:t>
      </w:r>
      <w:r w:rsidR="00220A3A" w:rsidRPr="00FA1A19">
        <w:t xml:space="preserve">e. ether) </w:t>
      </w:r>
      <w:r w:rsidR="003B48A5" w:rsidRPr="00FA1A19">
        <w:t>pre</w:t>
      </w:r>
      <w:r w:rsidR="00F75232">
        <w:noBreakHyphen/>
      </w:r>
      <w:r w:rsidR="003B48A5" w:rsidRPr="00FA1A19">
        <w:t xml:space="preserve">dated </w:t>
      </w:r>
      <w:r w:rsidR="00867F09" w:rsidRPr="00FA1A19">
        <w:t>the development of ERC</w:t>
      </w:r>
      <w:r w:rsidR="00F75232">
        <w:noBreakHyphen/>
      </w:r>
      <w:r w:rsidR="00867F09" w:rsidRPr="00FA1A19">
        <w:t xml:space="preserve">20 </w:t>
      </w:r>
      <w:r w:rsidR="006121BD" w:rsidRPr="00FA1A19">
        <w:t>which is the community</w:t>
      </w:r>
      <w:r w:rsidR="00F75232">
        <w:noBreakHyphen/>
      </w:r>
      <w:r w:rsidR="006121BD" w:rsidRPr="00FA1A19">
        <w:t>based standard for tokens that smart contracts are designed to handle</w:t>
      </w:r>
      <w:r w:rsidR="00D67634" w:rsidRPr="00FA1A19">
        <w:t>, and therefore ether is not ERC</w:t>
      </w:r>
      <w:r w:rsidR="00F75232">
        <w:noBreakHyphen/>
      </w:r>
      <w:r w:rsidR="00D67634" w:rsidRPr="00FA1A19">
        <w:t>20 compatible.</w:t>
      </w:r>
      <w:r w:rsidR="004F0A51" w:rsidRPr="00FA1A19">
        <w:t xml:space="preserve"> </w:t>
      </w:r>
      <w:r w:rsidR="00D67634" w:rsidRPr="00FA1A19">
        <w:t xml:space="preserve">Accordingly, </w:t>
      </w:r>
      <w:r w:rsidR="00870577" w:rsidRPr="00FA1A19">
        <w:t xml:space="preserve">a smart contract was written that </w:t>
      </w:r>
      <w:r w:rsidR="00F75232">
        <w:t>‘</w:t>
      </w:r>
      <w:r w:rsidR="00870577" w:rsidRPr="00FA1A19">
        <w:t xml:space="preserve">envelopes ETH </w:t>
      </w:r>
      <w:r w:rsidR="00F9002C" w:rsidRPr="00FA1A19">
        <w:t>[ether]</w:t>
      </w:r>
      <w:r w:rsidR="00870577" w:rsidRPr="00FA1A19">
        <w:t xml:space="preserve"> in an ERC</w:t>
      </w:r>
      <w:r w:rsidR="00F75232">
        <w:noBreakHyphen/>
      </w:r>
      <w:r w:rsidR="00870577" w:rsidRPr="00FA1A19">
        <w:t xml:space="preserve">20 wrapper so that any </w:t>
      </w:r>
      <w:r w:rsidR="00B90B57" w:rsidRPr="00FA1A19">
        <w:t>DApp [decentralised application] with ERC</w:t>
      </w:r>
      <w:r w:rsidR="00F75232">
        <w:noBreakHyphen/>
      </w:r>
      <w:r w:rsidR="00B90B57" w:rsidRPr="00FA1A19">
        <w:t>20 support can effectively support ETH.</w:t>
      </w:r>
      <w:r w:rsidR="00F75232">
        <w:t>’</w:t>
      </w:r>
      <w:r w:rsidR="00361586" w:rsidRPr="00170ADC">
        <w:rPr>
          <w:rStyle w:val="FootnoteReference"/>
        </w:rPr>
        <w:footnoteReference w:id="163"/>
      </w:r>
      <w:r w:rsidR="004F0A51" w:rsidRPr="00FA1A19">
        <w:t xml:space="preserve"> </w:t>
      </w:r>
      <w:r w:rsidR="00D67634" w:rsidRPr="00FA1A19">
        <w:t xml:space="preserve">Wrapped Ether </w:t>
      </w:r>
      <w:r w:rsidR="002E2052" w:rsidRPr="00FA1A19">
        <w:t>is exchanged at a 1:1 ratio with ether and</w:t>
      </w:r>
      <w:r w:rsidR="002E3505" w:rsidRPr="00FA1A19">
        <w:t xml:space="preserve"> </w:t>
      </w:r>
      <w:r w:rsidR="00196C95" w:rsidRPr="00FA1A19">
        <w:t xml:space="preserve">enables holders of </w:t>
      </w:r>
      <w:r w:rsidR="00904469" w:rsidRPr="00FA1A19">
        <w:t>e</w:t>
      </w:r>
      <w:r w:rsidR="00196C95" w:rsidRPr="00FA1A19">
        <w:t xml:space="preserve">ther to </w:t>
      </w:r>
      <w:r w:rsidR="00DA5BF2" w:rsidRPr="00FA1A19">
        <w:t xml:space="preserve">access </w:t>
      </w:r>
      <w:r w:rsidR="008B1CA8" w:rsidRPr="00FA1A19">
        <w:t>ERC</w:t>
      </w:r>
      <w:r w:rsidR="00F75232">
        <w:noBreakHyphen/>
      </w:r>
      <w:r w:rsidR="008B1CA8" w:rsidRPr="00FA1A19">
        <w:t xml:space="preserve">20 </w:t>
      </w:r>
      <w:r w:rsidR="008243FA" w:rsidRPr="00FA1A19">
        <w:t xml:space="preserve">compatible </w:t>
      </w:r>
      <w:r w:rsidR="008B1CA8" w:rsidRPr="00FA1A19">
        <w:t>D</w:t>
      </w:r>
      <w:r w:rsidR="008D3F8F">
        <w:t>A</w:t>
      </w:r>
      <w:r w:rsidR="008B1CA8" w:rsidRPr="00FA1A19">
        <w:t>pps</w:t>
      </w:r>
      <w:r w:rsidR="008243FA" w:rsidRPr="00FA1A19">
        <w:t xml:space="preserve"> without </w:t>
      </w:r>
      <w:r w:rsidR="007A5C16" w:rsidRPr="00FA1A19">
        <w:t xml:space="preserve">having to dispose of their </w:t>
      </w:r>
      <w:r w:rsidR="008920B9" w:rsidRPr="00FA1A19">
        <w:t>e</w:t>
      </w:r>
      <w:r w:rsidR="007A5C16" w:rsidRPr="00FA1A19">
        <w:t>ther.</w:t>
      </w:r>
      <w:r w:rsidR="00742533" w:rsidRPr="00170ADC">
        <w:rPr>
          <w:rStyle w:val="FootnoteReference"/>
        </w:rPr>
        <w:footnoteReference w:id="164"/>
      </w:r>
      <w:r w:rsidR="004F0A51" w:rsidRPr="00FA1A19">
        <w:t xml:space="preserve"> </w:t>
      </w:r>
      <w:r w:rsidR="00F75232">
        <w:t>‘</w:t>
      </w:r>
      <w:r w:rsidR="00A22CC2" w:rsidRPr="00FA1A19">
        <w:t>Unlike [Wrapped Bitcoin], you don</w:t>
      </w:r>
      <w:r w:rsidR="00F75232">
        <w:t>’</w:t>
      </w:r>
      <w:r w:rsidR="00A22CC2" w:rsidRPr="00FA1A19">
        <w:t xml:space="preserve">t actually </w:t>
      </w:r>
      <w:r w:rsidR="00F75232">
        <w:t>‘</w:t>
      </w:r>
      <w:r w:rsidR="00A22CC2" w:rsidRPr="00FA1A19">
        <w:t>wrap</w:t>
      </w:r>
      <w:r w:rsidR="00F75232">
        <w:t>’</w:t>
      </w:r>
      <w:r w:rsidR="00A22CC2" w:rsidRPr="00FA1A19">
        <w:t xml:space="preserve"> [ether] at all.</w:t>
      </w:r>
      <w:r w:rsidR="004F0A51" w:rsidRPr="00FA1A19">
        <w:t xml:space="preserve"> </w:t>
      </w:r>
      <w:r w:rsidR="00A22CC2" w:rsidRPr="00FA1A19">
        <w:t>To acquire it, you simply trade [ether] for [Wrapped Either] through a smart contract, or on a digital wallet like MetaMask.</w:t>
      </w:r>
      <w:r w:rsidR="00F75232">
        <w:t>’</w:t>
      </w:r>
      <w:r w:rsidR="00C31237" w:rsidRPr="00170ADC">
        <w:rPr>
          <w:rStyle w:val="FootnoteReference"/>
        </w:rPr>
        <w:footnoteReference w:id="165"/>
      </w:r>
    </w:p>
    <w:p w14:paraId="5DA08DF8" w14:textId="1068B184" w:rsidR="00837AA7" w:rsidRPr="00FA1A19" w:rsidRDefault="00837AA7" w:rsidP="0069352C">
      <w:pPr>
        <w:pStyle w:val="Heading4"/>
      </w:pPr>
      <w:r w:rsidRPr="00FA1A19">
        <w:t>Exchanges</w:t>
      </w:r>
    </w:p>
    <w:p w14:paraId="74EF4580" w14:textId="0D67E5DA" w:rsidR="009522FB" w:rsidRPr="00FA1A19" w:rsidRDefault="00543020" w:rsidP="00837AA7">
      <w:r w:rsidRPr="00FA1A19">
        <w:t>Exchanges allow users to trade one digital asset for another</w:t>
      </w:r>
      <w:r w:rsidR="00E1351C" w:rsidRPr="00FA1A19">
        <w:t>, or for fiat currency</w:t>
      </w:r>
      <w:r w:rsidRPr="00FA1A19">
        <w:t>.</w:t>
      </w:r>
      <w:r w:rsidR="00E1351C" w:rsidRPr="00170ADC">
        <w:rPr>
          <w:rStyle w:val="FootnoteReference"/>
        </w:rPr>
        <w:footnoteReference w:id="166"/>
      </w:r>
      <w:r w:rsidR="004F0A51" w:rsidRPr="00FA1A19">
        <w:t xml:space="preserve"> </w:t>
      </w:r>
      <w:r w:rsidR="00940F28" w:rsidRPr="00FA1A19">
        <w:t xml:space="preserve">There are two types of exchanges: Decentralised Exchanges and </w:t>
      </w:r>
      <w:r w:rsidR="00F81173" w:rsidRPr="00FA1A19">
        <w:t>Centrali</w:t>
      </w:r>
      <w:r w:rsidR="00F81173">
        <w:t>s</w:t>
      </w:r>
      <w:r w:rsidR="00F81173" w:rsidRPr="00FA1A19">
        <w:t xml:space="preserve">ed </w:t>
      </w:r>
      <w:r w:rsidR="00940F28" w:rsidRPr="00FA1A19">
        <w:t>Exchanges.</w:t>
      </w:r>
    </w:p>
    <w:p w14:paraId="31BA7925" w14:textId="79BD4AB8" w:rsidR="002E214E" w:rsidRPr="00FA1A19" w:rsidRDefault="00F75232" w:rsidP="00837AA7">
      <w:r>
        <w:t>‘</w:t>
      </w:r>
      <w:r w:rsidR="00543020" w:rsidRPr="00FA1A19">
        <w:t>Decentralised Exchanges</w:t>
      </w:r>
      <w:r>
        <w:t>’</w:t>
      </w:r>
      <w:r w:rsidR="00543020" w:rsidRPr="00FA1A19">
        <w:t xml:space="preserve"> (DEX) are DeFi services because they do not take custody of user funds but allow buyers and sellers</w:t>
      </w:r>
      <w:r w:rsidR="00D6268C" w:rsidRPr="00FA1A19">
        <w:t xml:space="preserve"> to</w:t>
      </w:r>
      <w:r w:rsidR="00543020" w:rsidRPr="00FA1A19">
        <w:t xml:space="preserve"> transact in digital tokens using smart contracts on a platform such as Ethereum.</w:t>
      </w:r>
      <w:r w:rsidR="004F0A51" w:rsidRPr="00FA1A19">
        <w:t xml:space="preserve"> </w:t>
      </w:r>
      <w:r w:rsidR="00543020" w:rsidRPr="00FA1A19">
        <w:t>The DEX avoids taking custody of user</w:t>
      </w:r>
      <w:r>
        <w:t>’</w:t>
      </w:r>
      <w:r w:rsidR="00543020" w:rsidRPr="00FA1A19">
        <w:t xml:space="preserve">s digital assets, </w:t>
      </w:r>
      <w:r w:rsidR="00803A6C" w:rsidRPr="00FA1A19">
        <w:t xml:space="preserve">and instead manages trades </w:t>
      </w:r>
      <w:r w:rsidR="00543020" w:rsidRPr="00FA1A19">
        <w:t>through</w:t>
      </w:r>
      <w:r w:rsidR="002421E6">
        <w:t xml:space="preserve"> the following mechanisms</w:t>
      </w:r>
      <w:r w:rsidR="002E214E" w:rsidRPr="00FA1A19">
        <w:t>:</w:t>
      </w:r>
      <w:r w:rsidR="002E214E" w:rsidRPr="00170ADC">
        <w:rPr>
          <w:rStyle w:val="FootnoteReference"/>
        </w:rPr>
        <w:footnoteReference w:id="167"/>
      </w:r>
    </w:p>
    <w:p w14:paraId="342718A2" w14:textId="5F621A9B" w:rsidR="002E214E" w:rsidRPr="00FA1A19" w:rsidRDefault="002421E6" w:rsidP="008371A3">
      <w:pPr>
        <w:pStyle w:val="Bullet"/>
      </w:pPr>
      <w:r>
        <w:t>A</w:t>
      </w:r>
      <w:r w:rsidR="002E214E" w:rsidRPr="00FA1A19">
        <w:t xml:space="preserve">n </w:t>
      </w:r>
      <w:r w:rsidR="00543020" w:rsidRPr="00FA1A19">
        <w:t>order book</w:t>
      </w:r>
      <w:r w:rsidR="002E214E" w:rsidRPr="00FA1A19">
        <w:t xml:space="preserve"> managed by a centrali</w:t>
      </w:r>
      <w:r w:rsidR="00AB2A8A" w:rsidRPr="00FA1A19">
        <w:t>s</w:t>
      </w:r>
      <w:r w:rsidR="002E214E" w:rsidRPr="00FA1A19">
        <w:t xml:space="preserve">ed operator who does not take custody of any assets, but relays the information necessary for the trade to be executed and settled on the blockchain between the </w:t>
      </w:r>
      <w:r w:rsidR="00F75232">
        <w:t>‘</w:t>
      </w:r>
      <w:r w:rsidR="002E214E" w:rsidRPr="00FA1A19">
        <w:t>makers</w:t>
      </w:r>
      <w:r w:rsidR="00F75232">
        <w:t>’</w:t>
      </w:r>
      <w:r w:rsidR="002E214E" w:rsidRPr="00FA1A19">
        <w:t xml:space="preserve"> (who want to buy or sell a particular crypto</w:t>
      </w:r>
      <w:r w:rsidR="0064746A" w:rsidRPr="00FA1A19">
        <w:t xml:space="preserve"> asset</w:t>
      </w:r>
      <w:r w:rsidR="002E214E" w:rsidRPr="00FA1A19">
        <w:t xml:space="preserve"> at a certain price) and the </w:t>
      </w:r>
      <w:r w:rsidR="00F75232">
        <w:t>‘</w:t>
      </w:r>
      <w:r w:rsidR="002E214E" w:rsidRPr="00FA1A19">
        <w:t>takers</w:t>
      </w:r>
      <w:r w:rsidR="00F75232">
        <w:t>’</w:t>
      </w:r>
      <w:r w:rsidR="002E214E" w:rsidRPr="00FA1A19">
        <w:t xml:space="preserve"> (who match the maker</w:t>
      </w:r>
      <w:r w:rsidR="00F75232">
        <w:t>’</w:t>
      </w:r>
      <w:r w:rsidR="002E214E" w:rsidRPr="00FA1A19">
        <w:t>s order).</w:t>
      </w:r>
      <w:r w:rsidR="004F0A51" w:rsidRPr="00FA1A19">
        <w:t xml:space="preserve"> </w:t>
      </w:r>
      <w:r w:rsidR="002E214E" w:rsidRPr="00FA1A19">
        <w:t xml:space="preserve">These are called </w:t>
      </w:r>
      <w:r w:rsidR="00F75232">
        <w:t>‘</w:t>
      </w:r>
      <w:r w:rsidR="002E214E" w:rsidRPr="00FA1A19">
        <w:t>order book exchanges</w:t>
      </w:r>
      <w:r w:rsidR="00F75232">
        <w:t>’</w:t>
      </w:r>
      <w:r w:rsidR="002E214E" w:rsidRPr="00FA1A19">
        <w:t xml:space="preserve"> and the operator collects fees from makers and takers for providing this service</w:t>
      </w:r>
      <w:r w:rsidR="00726BC0">
        <w:t>.</w:t>
      </w:r>
      <w:r w:rsidR="004F0A51" w:rsidRPr="00FA1A19">
        <w:t xml:space="preserve"> </w:t>
      </w:r>
      <w:r w:rsidR="002E214E" w:rsidRPr="00FA1A19">
        <w:t>Takers typically also pay a protocol fee on each trade, a portion of which may go to makers to reward them for providing liquidity.</w:t>
      </w:r>
      <w:r w:rsidR="009927BD" w:rsidRPr="00170ADC">
        <w:rPr>
          <w:rStyle w:val="FootnoteReference"/>
        </w:rPr>
        <w:footnoteReference w:id="168"/>
      </w:r>
    </w:p>
    <w:p w14:paraId="6AF09B74" w14:textId="22D10143" w:rsidR="009927BD" w:rsidRPr="00FA1A19" w:rsidRDefault="002421E6" w:rsidP="008371A3">
      <w:pPr>
        <w:pStyle w:val="Bullet"/>
      </w:pPr>
      <w:r>
        <w:t>A</w:t>
      </w:r>
      <w:r w:rsidR="009927BD" w:rsidRPr="00FA1A19">
        <w:t xml:space="preserve">n </w:t>
      </w:r>
      <w:r w:rsidR="0045382B" w:rsidRPr="00FA1A19">
        <w:t>entirely on</w:t>
      </w:r>
      <w:r w:rsidR="00F75232">
        <w:noBreakHyphen/>
      </w:r>
      <w:r w:rsidR="0045382B" w:rsidRPr="00FA1A19">
        <w:t xml:space="preserve">chain </w:t>
      </w:r>
      <w:r w:rsidR="009927BD" w:rsidRPr="00FA1A19">
        <w:t xml:space="preserve">order book </w:t>
      </w:r>
      <w:r w:rsidR="0045382B" w:rsidRPr="00FA1A19">
        <w:t xml:space="preserve">where the information necessary for the trade </w:t>
      </w:r>
      <w:r w:rsidR="00D61A19" w:rsidRPr="00FA1A19">
        <w:t>to be executed and settled on the blockchain is relayed between the makers and the takers by a smart contract which executes the trad</w:t>
      </w:r>
      <w:r w:rsidR="00D36225" w:rsidRPr="00FA1A19">
        <w:t>e.</w:t>
      </w:r>
      <w:r w:rsidR="004F0A51" w:rsidRPr="00FA1A19">
        <w:t xml:space="preserve"> </w:t>
      </w:r>
      <w:r w:rsidR="00D36225" w:rsidRPr="00FA1A19">
        <w:t xml:space="preserve">Such decentralised order books are becoming </w:t>
      </w:r>
      <w:r w:rsidR="00D61A19" w:rsidRPr="00FA1A19">
        <w:t>more common as the technology improves</w:t>
      </w:r>
      <w:r w:rsidR="00FE2F09" w:rsidRPr="00FA1A19">
        <w:t>, and have</w:t>
      </w:r>
      <w:r w:rsidR="00D61A19" w:rsidRPr="00FA1A19">
        <w:t xml:space="preserve"> the perceived advantage of transparency </w:t>
      </w:r>
      <w:r w:rsidR="00144650" w:rsidRPr="00FA1A19">
        <w:t>as the code for the execution of the smart contract is publicly available.</w:t>
      </w:r>
      <w:r w:rsidR="004F0A51" w:rsidRPr="00FA1A19">
        <w:t xml:space="preserve"> </w:t>
      </w:r>
      <w:r w:rsidR="00D5355F" w:rsidRPr="00FA1A19">
        <w:t xml:space="preserve">These are called </w:t>
      </w:r>
      <w:r w:rsidR="00F75232">
        <w:t>‘</w:t>
      </w:r>
      <w:r w:rsidR="00D5355F" w:rsidRPr="00FA1A19">
        <w:t>decentralised order book exchanges</w:t>
      </w:r>
      <w:r w:rsidR="00F75232">
        <w:t>’</w:t>
      </w:r>
      <w:r w:rsidR="00D5355F" w:rsidRPr="00FA1A19">
        <w:t xml:space="preserve"> and the smart contract collects fees from makers and takers and also, typically, protocol fees.</w:t>
      </w:r>
    </w:p>
    <w:p w14:paraId="48897004" w14:textId="7B4CB9B9" w:rsidR="009522FB" w:rsidRPr="00FA1A19" w:rsidRDefault="00F75232" w:rsidP="008371A3">
      <w:pPr>
        <w:pStyle w:val="Bullet"/>
      </w:pPr>
      <w:r>
        <w:t>‘</w:t>
      </w:r>
      <w:r w:rsidR="002421E6">
        <w:t>A</w:t>
      </w:r>
      <w:r w:rsidR="00FA1FA6" w:rsidRPr="00FA1A19">
        <w:t>utomated market makers</w:t>
      </w:r>
      <w:r>
        <w:t>’</w:t>
      </w:r>
      <w:r w:rsidR="00FA1FA6" w:rsidRPr="00FA1A19">
        <w:t xml:space="preserve"> (A</w:t>
      </w:r>
      <w:r w:rsidR="00BA3B66" w:rsidRPr="00FA1A19">
        <w:t>M</w:t>
      </w:r>
      <w:r w:rsidR="00FA1FA6" w:rsidRPr="00FA1A19">
        <w:t>Ms) which exist entirely on</w:t>
      </w:r>
      <w:r>
        <w:noBreakHyphen/>
      </w:r>
      <w:r w:rsidR="00FA1FA6" w:rsidRPr="00FA1A19">
        <w:t>chain and involve participants depositing two or more crypto</w:t>
      </w:r>
      <w:r w:rsidR="0064746A" w:rsidRPr="00FA1A19">
        <w:t xml:space="preserve"> assets</w:t>
      </w:r>
      <w:r w:rsidR="00FA1FA6" w:rsidRPr="00FA1A19">
        <w:t xml:space="preserve"> into a </w:t>
      </w:r>
      <w:r>
        <w:t>‘</w:t>
      </w:r>
      <w:r w:rsidR="00FA1FA6" w:rsidRPr="00FA1A19">
        <w:t>liquidity pool</w:t>
      </w:r>
      <w:r>
        <w:t>’</w:t>
      </w:r>
      <w:r w:rsidR="00FA1FA6" w:rsidRPr="00FA1A19">
        <w:t xml:space="preserve"> which is then available for trading</w:t>
      </w:r>
      <w:r w:rsidR="007C5742" w:rsidRPr="00FA1A19">
        <w:t>.</w:t>
      </w:r>
      <w:r w:rsidR="004F0A51" w:rsidRPr="00FA1A19">
        <w:t xml:space="preserve"> </w:t>
      </w:r>
      <w:r w:rsidR="00BC4A32" w:rsidRPr="00FA1A19">
        <w:t xml:space="preserve">Participants receive </w:t>
      </w:r>
      <w:r w:rsidR="00833408" w:rsidRPr="00FA1A19">
        <w:t>a crypto</w:t>
      </w:r>
      <w:r w:rsidR="0064746A" w:rsidRPr="00FA1A19">
        <w:t xml:space="preserve"> asset</w:t>
      </w:r>
      <w:r w:rsidR="00833408" w:rsidRPr="00FA1A19">
        <w:t xml:space="preserve"> that represents their pro rata inter</w:t>
      </w:r>
      <w:r w:rsidR="00882AF6" w:rsidRPr="00FA1A19">
        <w:t>e</w:t>
      </w:r>
      <w:r w:rsidR="00833408" w:rsidRPr="00FA1A19">
        <w:t xml:space="preserve">st in the </w:t>
      </w:r>
      <w:r w:rsidR="00882AF6" w:rsidRPr="00FA1A19">
        <w:t>liquidity</w:t>
      </w:r>
      <w:r w:rsidR="00833408" w:rsidRPr="00FA1A19">
        <w:t xml:space="preserve"> pool and is redeemable at any time for their share of the pool, including accrued trading fees.</w:t>
      </w:r>
      <w:r w:rsidR="004F0A51" w:rsidRPr="00FA1A19">
        <w:t xml:space="preserve"> </w:t>
      </w:r>
      <w:r w:rsidR="00DC63CB" w:rsidRPr="00FA1A19">
        <w:t>The activity of depositing crypto</w:t>
      </w:r>
      <w:r w:rsidR="0064746A" w:rsidRPr="00FA1A19">
        <w:t xml:space="preserve"> assets</w:t>
      </w:r>
      <w:r w:rsidR="00DC63CB" w:rsidRPr="00FA1A19">
        <w:t xml:space="preserve"> into a </w:t>
      </w:r>
      <w:r>
        <w:t>‘</w:t>
      </w:r>
      <w:r w:rsidR="00DC63CB" w:rsidRPr="00FA1A19">
        <w:t>liquidity pool</w:t>
      </w:r>
      <w:r>
        <w:t>’</w:t>
      </w:r>
      <w:r w:rsidR="00DC63CB" w:rsidRPr="00FA1A19">
        <w:t xml:space="preserve"> </w:t>
      </w:r>
      <w:r w:rsidR="003E63CE" w:rsidRPr="00FA1A19">
        <w:t xml:space="preserve">in return for rewards (arising from trading fees) </w:t>
      </w:r>
      <w:r w:rsidR="00DC63CB" w:rsidRPr="00FA1A19">
        <w:t xml:space="preserve">is referred to as </w:t>
      </w:r>
      <w:r>
        <w:t>‘</w:t>
      </w:r>
      <w:r w:rsidR="00DC63CB" w:rsidRPr="00FA1A19">
        <w:t>liquidity mining</w:t>
      </w:r>
      <w:r>
        <w:t>’</w:t>
      </w:r>
      <w:r w:rsidR="00DC63CB" w:rsidRPr="00FA1A19">
        <w:t>.</w:t>
      </w:r>
      <w:r w:rsidR="006D0B5E" w:rsidRPr="00170ADC">
        <w:rPr>
          <w:rStyle w:val="FootnoteReference"/>
        </w:rPr>
        <w:footnoteReference w:id="169"/>
      </w:r>
      <w:r w:rsidR="004F0A51" w:rsidRPr="00FA1A19">
        <w:t xml:space="preserve"> </w:t>
      </w:r>
      <w:r w:rsidR="005F41DD" w:rsidRPr="00FA1A19">
        <w:t>A</w:t>
      </w:r>
      <w:r w:rsidR="000C18E8" w:rsidRPr="00FA1A19">
        <w:t>n example of a</w:t>
      </w:r>
      <w:r w:rsidR="006D0B5E" w:rsidRPr="00FA1A19">
        <w:t xml:space="preserve"> decentralised platform that uses </w:t>
      </w:r>
      <w:r w:rsidR="007F2F53" w:rsidRPr="00FA1A19">
        <w:t>AMMs</w:t>
      </w:r>
      <w:r w:rsidR="005F41DD" w:rsidRPr="00FA1A19">
        <w:t xml:space="preserve"> is Uniswap</w:t>
      </w:r>
      <w:r w:rsidR="006D0B5E" w:rsidRPr="00FA1A19">
        <w:t>.</w:t>
      </w:r>
      <w:r w:rsidR="009927BD" w:rsidRPr="00170ADC">
        <w:rPr>
          <w:rStyle w:val="FootnoteReference"/>
        </w:rPr>
        <w:footnoteReference w:id="170"/>
      </w:r>
      <w:r w:rsidR="00C0077E" w:rsidRPr="00FA1A19">
        <w:t xml:space="preserve"> </w:t>
      </w:r>
    </w:p>
    <w:p w14:paraId="2D5184A5" w14:textId="1802BA59" w:rsidR="00543020" w:rsidRPr="00FA1A19" w:rsidRDefault="009522FB" w:rsidP="00837AA7">
      <w:r w:rsidRPr="00FA1A19">
        <w:t xml:space="preserve">DEX </w:t>
      </w:r>
      <w:r w:rsidR="00543020" w:rsidRPr="00FA1A19">
        <w:t>contrast</w:t>
      </w:r>
      <w:r w:rsidR="00F701E6" w:rsidRPr="00FA1A19">
        <w:t>s</w:t>
      </w:r>
      <w:r w:rsidR="00543020" w:rsidRPr="00FA1A19">
        <w:t xml:space="preserve"> with </w:t>
      </w:r>
      <w:r w:rsidR="00F75232">
        <w:t>‘</w:t>
      </w:r>
      <w:r w:rsidR="002C225C" w:rsidRPr="00FA1A19">
        <w:t>centrali</w:t>
      </w:r>
      <w:r w:rsidR="002C225C">
        <w:t>s</w:t>
      </w:r>
      <w:r w:rsidR="002C225C" w:rsidRPr="00FA1A19">
        <w:t xml:space="preserve">ed </w:t>
      </w:r>
      <w:r w:rsidR="00543020" w:rsidRPr="00FA1A19">
        <w:t>exchanges</w:t>
      </w:r>
      <w:r w:rsidR="00F75232">
        <w:t>’</w:t>
      </w:r>
      <w:r w:rsidR="00543020" w:rsidRPr="00FA1A19">
        <w:t xml:space="preserve"> which hold tokens in their custody</w:t>
      </w:r>
      <w:r w:rsidR="00B33E68" w:rsidRPr="00FA1A19">
        <w:t>,</w:t>
      </w:r>
      <w:r w:rsidR="00543020" w:rsidRPr="00170ADC">
        <w:rPr>
          <w:rStyle w:val="FootnoteReference"/>
        </w:rPr>
        <w:footnoteReference w:id="171"/>
      </w:r>
      <w:r w:rsidR="00824933" w:rsidRPr="00FA1A19">
        <w:t xml:space="preserve"> </w:t>
      </w:r>
      <w:r w:rsidR="00B33E68" w:rsidRPr="00FA1A19">
        <w:t>such as Coinbase</w:t>
      </w:r>
      <w:r w:rsidR="001B28BD" w:rsidRPr="00FA1A19">
        <w:t xml:space="preserve"> and Kraken</w:t>
      </w:r>
      <w:r w:rsidR="00B33E68" w:rsidRPr="00FA1A19">
        <w:t>.</w:t>
      </w:r>
      <w:r w:rsidR="00BB2570" w:rsidRPr="00170ADC">
        <w:rPr>
          <w:rStyle w:val="FootnoteReference"/>
        </w:rPr>
        <w:footnoteReference w:id="172"/>
      </w:r>
      <w:r w:rsidR="004F0A51" w:rsidRPr="00FA1A19">
        <w:t xml:space="preserve"> </w:t>
      </w:r>
      <w:r w:rsidR="00824933" w:rsidRPr="00FA1A19">
        <w:t xml:space="preserve">The </w:t>
      </w:r>
      <w:r w:rsidR="00D44290">
        <w:t>NZ</w:t>
      </w:r>
      <w:r w:rsidR="00824933" w:rsidRPr="00FA1A19">
        <w:t xml:space="preserve"> case of </w:t>
      </w:r>
      <w:r w:rsidR="00A53BCE" w:rsidRPr="00813896">
        <w:rPr>
          <w:rStyle w:val="Emphasis"/>
        </w:rPr>
        <w:t>Ruscoe v Cr</w:t>
      </w:r>
      <w:r w:rsidR="00862150" w:rsidRPr="00813896">
        <w:rPr>
          <w:rStyle w:val="Emphasis"/>
        </w:rPr>
        <w:t>y</w:t>
      </w:r>
      <w:r w:rsidR="00A53BCE" w:rsidRPr="00813896">
        <w:rPr>
          <w:rStyle w:val="Emphasis"/>
        </w:rPr>
        <w:t>ptopia Limited (in liquidation)</w:t>
      </w:r>
      <w:r w:rsidRPr="00170ADC">
        <w:rPr>
          <w:rStyle w:val="FootnoteReference"/>
        </w:rPr>
        <w:footnoteReference w:id="173"/>
      </w:r>
      <w:r w:rsidR="00A53BCE" w:rsidRPr="00170ADC">
        <w:rPr>
          <w:rStyle w:val="FootnoteReference"/>
        </w:rPr>
        <w:t xml:space="preserve"> </w:t>
      </w:r>
      <w:r w:rsidR="00A53BCE" w:rsidRPr="00FA1A19">
        <w:t xml:space="preserve">was concerned with the liquidation of a </w:t>
      </w:r>
      <w:r w:rsidR="004352B1" w:rsidRPr="00FA1A19">
        <w:t xml:space="preserve">centralised </w:t>
      </w:r>
      <w:r w:rsidR="00A53BCE" w:rsidRPr="00FA1A19">
        <w:t>cryptocurrency exchange which was placed in liquidation following a hack.</w:t>
      </w:r>
      <w:r w:rsidR="004F0A51" w:rsidRPr="00FA1A19">
        <w:t xml:space="preserve"> </w:t>
      </w:r>
      <w:r w:rsidR="002F62EF" w:rsidRPr="00FA1A19">
        <w:t xml:space="preserve">The liquidators sought assistance from the </w:t>
      </w:r>
      <w:r w:rsidR="00365AD2">
        <w:t>NZ</w:t>
      </w:r>
      <w:r w:rsidR="002F62EF" w:rsidRPr="00FA1A19">
        <w:t xml:space="preserve"> High Court in relation to the distribution of the crypto</w:t>
      </w:r>
      <w:r w:rsidR="0064746A" w:rsidRPr="00FA1A19">
        <w:t xml:space="preserve"> assets</w:t>
      </w:r>
      <w:r w:rsidR="002F62EF" w:rsidRPr="00FA1A19">
        <w:t xml:space="preserve"> held by the </w:t>
      </w:r>
      <w:r w:rsidR="009C4117" w:rsidRPr="00FA1A19">
        <w:t>exchange.</w:t>
      </w:r>
      <w:r w:rsidR="004F0A51" w:rsidRPr="00FA1A19">
        <w:t xml:space="preserve"> </w:t>
      </w:r>
      <w:r w:rsidR="009C4117" w:rsidRPr="00FA1A19">
        <w:t>The NZ High Court held tha</w:t>
      </w:r>
      <w:r w:rsidR="00733119" w:rsidRPr="00FA1A19">
        <w:t>t the crypto</w:t>
      </w:r>
      <w:r w:rsidR="0064746A" w:rsidRPr="00FA1A19">
        <w:t xml:space="preserve"> assets</w:t>
      </w:r>
      <w:r w:rsidR="00733119" w:rsidRPr="00FA1A19">
        <w:t xml:space="preserve"> were property and that</w:t>
      </w:r>
      <w:r w:rsidR="00D77BE3" w:rsidRPr="00FA1A19">
        <w:t>, based on the terms of service of the relevant exchange,</w:t>
      </w:r>
      <w:r w:rsidR="00733119" w:rsidRPr="00FA1A19">
        <w:t xml:space="preserve"> </w:t>
      </w:r>
      <w:r w:rsidR="00805837" w:rsidRPr="00FA1A19">
        <w:t xml:space="preserve">the </w:t>
      </w:r>
      <w:r w:rsidR="005E2FDB" w:rsidRPr="00FA1A19">
        <w:t>exchange</w:t>
      </w:r>
      <w:r w:rsidR="00867697" w:rsidRPr="00FA1A19">
        <w:t xml:space="preserve"> </w:t>
      </w:r>
      <w:r w:rsidR="00992F24" w:rsidRPr="00FA1A19">
        <w:t>held</w:t>
      </w:r>
      <w:r w:rsidR="00805837" w:rsidRPr="00FA1A19">
        <w:t xml:space="preserve"> </w:t>
      </w:r>
      <w:r w:rsidR="009A4B62" w:rsidRPr="00FA1A19">
        <w:t xml:space="preserve">each cryptocurrency </w:t>
      </w:r>
      <w:r w:rsidR="00992F24" w:rsidRPr="00FA1A19">
        <w:t>on bare trust for the accountholders</w:t>
      </w:r>
      <w:r w:rsidR="00017BC6" w:rsidRPr="00FA1A19">
        <w:t xml:space="preserve"> with holdings in tha</w:t>
      </w:r>
      <w:r w:rsidR="004C7033" w:rsidRPr="00FA1A19">
        <w:t>t cryptocurrency</w:t>
      </w:r>
      <w:r w:rsidR="00992F24" w:rsidRPr="00FA1A19">
        <w:t>.</w:t>
      </w:r>
    </w:p>
    <w:p w14:paraId="405EAF02" w14:textId="1D4A96C4" w:rsidR="00434CA9" w:rsidRPr="00FA1A19" w:rsidRDefault="00FD0751" w:rsidP="00837AA7">
      <w:r w:rsidRPr="00FA1A19">
        <w:t xml:space="preserve">As </w:t>
      </w:r>
      <w:r w:rsidR="00607494" w:rsidRPr="00FA1A19">
        <w:t>can</w:t>
      </w:r>
      <w:r w:rsidRPr="00FA1A19">
        <w:t xml:space="preserve"> be seen from the case of </w:t>
      </w:r>
      <w:r w:rsidRPr="00813896">
        <w:rPr>
          <w:rStyle w:val="Emphasis"/>
        </w:rPr>
        <w:t>Ruscoe v Cryptopia</w:t>
      </w:r>
      <w:r w:rsidRPr="00FA1A19">
        <w:t>, the</w:t>
      </w:r>
      <w:r w:rsidR="00ED2552" w:rsidRPr="00FA1A19">
        <w:t xml:space="preserve"> legal rights (and therefore</w:t>
      </w:r>
      <w:r w:rsidR="00D60949" w:rsidRPr="00FA1A19">
        <w:t xml:space="preserve"> tax treatment</w:t>
      </w:r>
      <w:r w:rsidR="00ED2552" w:rsidRPr="00FA1A19">
        <w:t xml:space="preserve">) applying to </w:t>
      </w:r>
      <w:r w:rsidR="00FA695A" w:rsidRPr="00FA1A19">
        <w:t xml:space="preserve">crypto assets bought, sold and held by exchanges </w:t>
      </w:r>
      <w:r w:rsidR="00607494" w:rsidRPr="00FA1A19">
        <w:t>will be affected by the</w:t>
      </w:r>
      <w:r w:rsidRPr="00FA1A19">
        <w:t xml:space="preserve"> terms of the contract</w:t>
      </w:r>
      <w:r w:rsidR="00ED2552" w:rsidRPr="00FA1A19">
        <w:t xml:space="preserve"> between the particular exchange and their customers.</w:t>
      </w:r>
      <w:r w:rsidR="004F0A51" w:rsidRPr="00FA1A19">
        <w:t xml:space="preserve"> </w:t>
      </w:r>
      <w:r w:rsidR="00BD08DF" w:rsidRPr="00FA1A19">
        <w:t xml:space="preserve">The </w:t>
      </w:r>
      <w:r w:rsidR="00271AC8" w:rsidRPr="00FA1A19">
        <w:t>pro</w:t>
      </w:r>
      <w:r w:rsidR="00F75232">
        <w:noBreakHyphen/>
      </w:r>
      <w:r w:rsidR="00271AC8" w:rsidRPr="00FA1A19">
        <w:t xml:space="preserve">forma </w:t>
      </w:r>
      <w:r w:rsidR="00BD08DF" w:rsidRPr="00FA1A19">
        <w:t xml:space="preserve">contracts that </w:t>
      </w:r>
      <w:r w:rsidR="00CE0CA1" w:rsidRPr="00FA1A19">
        <w:t>Australian</w:t>
      </w:r>
      <w:r w:rsidR="0053442B" w:rsidRPr="00FA1A19">
        <w:t xml:space="preserve"> </w:t>
      </w:r>
      <w:r w:rsidR="00670E48" w:rsidRPr="00FA1A19">
        <w:t>digital asset platforms,</w:t>
      </w:r>
      <w:r w:rsidR="0053442B" w:rsidRPr="00FA1A19">
        <w:t xml:space="preserve"> including</w:t>
      </w:r>
      <w:r w:rsidR="00CE0CA1" w:rsidRPr="00FA1A19">
        <w:t xml:space="preserve"> crypto exchanges</w:t>
      </w:r>
      <w:r w:rsidR="00670E48" w:rsidRPr="00FA1A19">
        <w:t>,</w:t>
      </w:r>
      <w:r w:rsidR="00CE0CA1" w:rsidRPr="00FA1A19">
        <w:t xml:space="preserve"> </w:t>
      </w:r>
      <w:r w:rsidR="00BD08DF" w:rsidRPr="00FA1A19">
        <w:t xml:space="preserve">offer to enter into with </w:t>
      </w:r>
      <w:r w:rsidR="00271AC8" w:rsidRPr="00FA1A19">
        <w:t xml:space="preserve">prospective </w:t>
      </w:r>
      <w:r w:rsidR="00BD08DF" w:rsidRPr="00FA1A19">
        <w:t>customers are publicly available on their websites.</w:t>
      </w:r>
      <w:r w:rsidR="004F0A51" w:rsidRPr="00FA1A19">
        <w:t xml:space="preserve"> </w:t>
      </w:r>
      <w:r w:rsidR="00BD08DF" w:rsidRPr="00FA1A19">
        <w:t xml:space="preserve">The Board has undertaken an analysis of </w:t>
      </w:r>
      <w:r w:rsidR="00ED2552" w:rsidRPr="00FA1A19">
        <w:t>these publicly</w:t>
      </w:r>
      <w:r w:rsidR="00F75232">
        <w:noBreakHyphen/>
      </w:r>
      <w:r w:rsidR="00ED2552" w:rsidRPr="00FA1A19">
        <w:t xml:space="preserve">available </w:t>
      </w:r>
      <w:r w:rsidR="00271AC8" w:rsidRPr="00FA1A19">
        <w:t>pro</w:t>
      </w:r>
      <w:r w:rsidR="00F75232">
        <w:noBreakHyphen/>
      </w:r>
      <w:r w:rsidR="00271AC8" w:rsidRPr="00FA1A19">
        <w:t>forma contracts an</w:t>
      </w:r>
      <w:r w:rsidR="008A6814" w:rsidRPr="00FA1A19">
        <w:t xml:space="preserve">d </w:t>
      </w:r>
      <w:r w:rsidR="00607494" w:rsidRPr="00FA1A19">
        <w:t xml:space="preserve">an overview of the general terms of those contracts is contained in </w:t>
      </w:r>
      <w:r w:rsidR="00D60949" w:rsidRPr="008F6BBA">
        <w:rPr>
          <w:b/>
          <w:bCs/>
        </w:rPr>
        <w:t xml:space="preserve">Appendix </w:t>
      </w:r>
      <w:r w:rsidR="00FF40BF" w:rsidRPr="008F6BBA">
        <w:rPr>
          <w:b/>
          <w:bCs/>
        </w:rPr>
        <w:t>B</w:t>
      </w:r>
      <w:r w:rsidR="00D60949" w:rsidRPr="00FA1A19">
        <w:t xml:space="preserve"> to this Report.</w:t>
      </w:r>
      <w:r w:rsidR="00BD08DF" w:rsidRPr="00FA1A19">
        <w:t xml:space="preserve"> </w:t>
      </w:r>
    </w:p>
    <w:p w14:paraId="3247F0DA" w14:textId="6AC42D3F" w:rsidR="00940F28" w:rsidRPr="00FA1A19" w:rsidRDefault="00940F28" w:rsidP="0069352C">
      <w:pPr>
        <w:pStyle w:val="Heading4"/>
      </w:pPr>
      <w:r w:rsidRPr="00FA1A19">
        <w:t>Over</w:t>
      </w:r>
      <w:r w:rsidR="00F75232">
        <w:noBreakHyphen/>
      </w:r>
      <w:r w:rsidRPr="00FA1A19">
        <w:t>The</w:t>
      </w:r>
      <w:r w:rsidR="00F75232">
        <w:noBreakHyphen/>
      </w:r>
      <w:r w:rsidRPr="00FA1A19">
        <w:t>Counter Desks</w:t>
      </w:r>
    </w:p>
    <w:p w14:paraId="60CAC1FE" w14:textId="7BFB2832" w:rsidR="00E87CCF" w:rsidRPr="00FA1A19" w:rsidRDefault="00940F28" w:rsidP="00837AA7">
      <w:r w:rsidRPr="00FA1A19">
        <w:t xml:space="preserve">An alternative to </w:t>
      </w:r>
      <w:r w:rsidR="00AA1746" w:rsidRPr="00FA1A19">
        <w:t xml:space="preserve">trading crypto </w:t>
      </w:r>
      <w:r w:rsidR="008F6BBA">
        <w:t xml:space="preserve">assets </w:t>
      </w:r>
      <w:r w:rsidR="00AA1746" w:rsidRPr="00FA1A19">
        <w:t xml:space="preserve">via an exchange, is </w:t>
      </w:r>
      <w:r w:rsidR="00392276" w:rsidRPr="00FA1A19">
        <w:t xml:space="preserve">trading crypto </w:t>
      </w:r>
      <w:r w:rsidR="008F6BBA">
        <w:t xml:space="preserve">assets </w:t>
      </w:r>
      <w:r w:rsidR="00392276" w:rsidRPr="00FA1A19">
        <w:t xml:space="preserve">via an </w:t>
      </w:r>
      <w:r w:rsidR="00AA1746" w:rsidRPr="00FA1A19">
        <w:t>over</w:t>
      </w:r>
      <w:r w:rsidR="00F75232">
        <w:noBreakHyphen/>
      </w:r>
      <w:r w:rsidR="00AA1746" w:rsidRPr="00FA1A19">
        <w:t>the</w:t>
      </w:r>
      <w:r w:rsidR="00F75232">
        <w:noBreakHyphen/>
      </w:r>
      <w:r w:rsidR="00AA1746" w:rsidRPr="00FA1A19">
        <w:t>counter (OTC) desk.</w:t>
      </w:r>
      <w:r w:rsidR="004F0A51" w:rsidRPr="00FA1A19">
        <w:t xml:space="preserve"> </w:t>
      </w:r>
      <w:r w:rsidR="00C01821" w:rsidRPr="00FA1A19">
        <w:t>OTC trading</w:t>
      </w:r>
      <w:r w:rsidR="00392276" w:rsidRPr="00FA1A19">
        <w:t xml:space="preserve"> refers to</w:t>
      </w:r>
      <w:r w:rsidR="00C01821" w:rsidRPr="00FA1A19">
        <w:t xml:space="preserve"> a private trading market for buying and selling crypto</w:t>
      </w:r>
      <w:r w:rsidR="0041782B" w:rsidRPr="00FA1A19">
        <w:t xml:space="preserve"> which requires</w:t>
      </w:r>
      <w:r w:rsidR="00423BE5" w:rsidRPr="00FA1A19">
        <w:t xml:space="preserve"> the involvement of </w:t>
      </w:r>
      <w:r w:rsidR="0041782B" w:rsidRPr="00FA1A19">
        <w:t>a third</w:t>
      </w:r>
      <w:r w:rsidR="00F75232">
        <w:noBreakHyphen/>
      </w:r>
      <w:r w:rsidR="008728EF" w:rsidRPr="00FA1A19">
        <w:t>party</w:t>
      </w:r>
      <w:r w:rsidR="0041782B" w:rsidRPr="00FA1A19">
        <w:t xml:space="preserve"> inter</w:t>
      </w:r>
      <w:r w:rsidR="0081082A" w:rsidRPr="00FA1A19">
        <w:t xml:space="preserve">mediary </w:t>
      </w:r>
      <w:r w:rsidR="004301A0" w:rsidRPr="00FA1A19">
        <w:t xml:space="preserve">(OTC broker </w:t>
      </w:r>
      <w:r w:rsidR="0081082A" w:rsidRPr="00FA1A19">
        <w:t>or</w:t>
      </w:r>
      <w:r w:rsidR="00423BE5" w:rsidRPr="00FA1A19">
        <w:t xml:space="preserve"> </w:t>
      </w:r>
      <w:r w:rsidR="00F75232">
        <w:t>‘</w:t>
      </w:r>
      <w:r w:rsidR="004301A0" w:rsidRPr="00FA1A19">
        <w:t>desk</w:t>
      </w:r>
      <w:r w:rsidR="00F75232">
        <w:t>’</w:t>
      </w:r>
      <w:r w:rsidR="004301A0" w:rsidRPr="00FA1A19">
        <w:t>)</w:t>
      </w:r>
      <w:r w:rsidR="0081082A" w:rsidRPr="00FA1A19">
        <w:t xml:space="preserve"> who will either be the </w:t>
      </w:r>
      <w:r w:rsidR="00D62846" w:rsidRPr="00FA1A19">
        <w:t>principal with whom the buyer/seller transacts</w:t>
      </w:r>
      <w:r w:rsidR="00526549" w:rsidRPr="00FA1A19">
        <w:t xml:space="preserve"> (Principal Desks)</w:t>
      </w:r>
      <w:r w:rsidR="00D62846" w:rsidRPr="00FA1A19">
        <w:t xml:space="preserve"> or </w:t>
      </w:r>
      <w:r w:rsidR="00B125AF" w:rsidRPr="00FA1A19">
        <w:t xml:space="preserve">will </w:t>
      </w:r>
      <w:r w:rsidR="00D62846" w:rsidRPr="00FA1A19">
        <w:t>act as their agent</w:t>
      </w:r>
      <w:r w:rsidR="005E1BD0" w:rsidRPr="00FA1A19">
        <w:t xml:space="preserve"> in the transaction</w:t>
      </w:r>
      <w:r w:rsidR="00526549" w:rsidRPr="00FA1A19">
        <w:t xml:space="preserve"> (Agency Desks)</w:t>
      </w:r>
      <w:r w:rsidR="005E1BD0" w:rsidRPr="00FA1A19">
        <w:t>.</w:t>
      </w:r>
      <w:r w:rsidR="004F0A51" w:rsidRPr="00FA1A19">
        <w:t xml:space="preserve"> </w:t>
      </w:r>
      <w:r w:rsidR="00526549" w:rsidRPr="00FA1A19">
        <w:t>Crypto OTC trading is relatively opaque since no one beyond the transacting parties is aware of the price and volume of assets being traded.</w:t>
      </w:r>
      <w:r w:rsidR="004F0A51" w:rsidRPr="00FA1A19">
        <w:t xml:space="preserve"> </w:t>
      </w:r>
      <w:r w:rsidR="003E0F87" w:rsidRPr="00FA1A19">
        <w:t xml:space="preserve">OTC </w:t>
      </w:r>
      <w:r w:rsidR="007617EE" w:rsidRPr="00FA1A19">
        <w:t>desks</w:t>
      </w:r>
      <w:r w:rsidR="003E0F87" w:rsidRPr="00FA1A19">
        <w:t xml:space="preserve"> may be used by high</w:t>
      </w:r>
      <w:r w:rsidR="00F75232">
        <w:noBreakHyphen/>
      </w:r>
      <w:r w:rsidR="003E0F87" w:rsidRPr="00FA1A19">
        <w:t xml:space="preserve">volume traders, institutions, private wealth managers and </w:t>
      </w:r>
      <w:r w:rsidR="004613FA" w:rsidRPr="00FA1A19">
        <w:t>hedge funds.</w:t>
      </w:r>
      <w:r w:rsidR="004F0A51" w:rsidRPr="00FA1A19">
        <w:t xml:space="preserve"> </w:t>
      </w:r>
      <w:r w:rsidR="00FE6344" w:rsidRPr="00FA1A19">
        <w:t xml:space="preserve">OTC </w:t>
      </w:r>
      <w:r w:rsidR="007617EE" w:rsidRPr="00FA1A19">
        <w:t>desks</w:t>
      </w:r>
      <w:r w:rsidR="00FE6344" w:rsidRPr="00FA1A19">
        <w:t xml:space="preserve"> enable large investors, such as early adopters, high</w:t>
      </w:r>
      <w:r w:rsidR="00F75232">
        <w:noBreakHyphen/>
      </w:r>
      <w:r w:rsidR="00FE6344" w:rsidRPr="00FA1A19">
        <w:t>net</w:t>
      </w:r>
      <w:r w:rsidR="00F75232">
        <w:noBreakHyphen/>
      </w:r>
      <w:r w:rsidR="00FE6344" w:rsidRPr="00FA1A19">
        <w:t>worth individuals, and institutional investors, to buy and sell large amounts of cryptocurrencies without alerting the market about their intention or transaction.</w:t>
      </w:r>
      <w:r w:rsidR="004613FA" w:rsidRPr="00170ADC">
        <w:rPr>
          <w:rStyle w:val="FootnoteReference"/>
        </w:rPr>
        <w:footnoteReference w:id="174"/>
      </w:r>
      <w:r w:rsidR="004F0A51" w:rsidRPr="00FA1A19">
        <w:t xml:space="preserve"> </w:t>
      </w:r>
    </w:p>
    <w:p w14:paraId="3F38983D" w14:textId="4BC8F2F8" w:rsidR="000E1377" w:rsidRPr="00FA1A19" w:rsidRDefault="000E1377" w:rsidP="0069352C">
      <w:pPr>
        <w:pStyle w:val="Heading4"/>
      </w:pPr>
      <w:r w:rsidRPr="00FA1A19">
        <w:t>Oracles</w:t>
      </w:r>
    </w:p>
    <w:p w14:paraId="620DFF66" w14:textId="15D5282F" w:rsidR="00DD4D4C" w:rsidRPr="00FA1A19" w:rsidRDefault="00833695" w:rsidP="000E1377">
      <w:r w:rsidRPr="00FA1A19">
        <w:t>DeFi protocols may require information that does not exist on the blockchain (e</w:t>
      </w:r>
      <w:r w:rsidR="008728EF" w:rsidRPr="00FA1A19">
        <w:t>.</w:t>
      </w:r>
      <w:r w:rsidRPr="00FA1A19">
        <w:t xml:space="preserve">g. </w:t>
      </w:r>
      <w:r w:rsidR="0064746A" w:rsidRPr="00FA1A19">
        <w:t xml:space="preserve">crypto </w:t>
      </w:r>
      <w:r w:rsidRPr="00FA1A19">
        <w:t>asset</w:t>
      </w:r>
      <w:r w:rsidR="00F75232">
        <w:t>’</w:t>
      </w:r>
      <w:r w:rsidRPr="00FA1A19">
        <w:t xml:space="preserve">s market price on a </w:t>
      </w:r>
      <w:r w:rsidR="008728EF" w:rsidRPr="00FA1A19">
        <w:t xml:space="preserve">centralised </w:t>
      </w:r>
      <w:r w:rsidRPr="00FA1A19">
        <w:t>crypto</w:t>
      </w:r>
      <w:r w:rsidR="0064746A" w:rsidRPr="00FA1A19">
        <w:t xml:space="preserve"> asset</w:t>
      </w:r>
      <w:r w:rsidRPr="00FA1A19">
        <w:t xml:space="preserve"> trading platform, or the occurrence of an event such as the outcome of a sporting competition).</w:t>
      </w:r>
      <w:r w:rsidR="004F0A51" w:rsidRPr="00FA1A19">
        <w:t xml:space="preserve"> </w:t>
      </w:r>
      <w:r w:rsidR="00F75232">
        <w:t>‘</w:t>
      </w:r>
      <w:r w:rsidR="000E1377" w:rsidRPr="00FA1A19">
        <w:t>Oracle</w:t>
      </w:r>
      <w:r w:rsidR="00F75232">
        <w:t>’</w:t>
      </w:r>
      <w:r w:rsidR="000E1377" w:rsidRPr="00FA1A19">
        <w:t xml:space="preserve"> is the name given to </w:t>
      </w:r>
      <w:r w:rsidR="00EF0EB3" w:rsidRPr="00FA1A19">
        <w:t>a</w:t>
      </w:r>
      <w:r w:rsidR="000E1377" w:rsidRPr="00FA1A19">
        <w:t xml:space="preserve"> mechanism that connects a smart contract to off</w:t>
      </w:r>
      <w:r w:rsidR="00F75232">
        <w:noBreakHyphen/>
      </w:r>
      <w:r w:rsidR="000E1377" w:rsidRPr="00FA1A19">
        <w:t>chain data.</w:t>
      </w:r>
      <w:r w:rsidR="006B53C4" w:rsidRPr="00170ADC">
        <w:rPr>
          <w:rStyle w:val="FootnoteReference"/>
        </w:rPr>
        <w:footnoteReference w:id="175"/>
      </w:r>
    </w:p>
    <w:p w14:paraId="752B00ED" w14:textId="3D5F6C3F" w:rsidR="000E1377" w:rsidRPr="00FA1A19" w:rsidRDefault="001F0D11" w:rsidP="0069352C">
      <w:pPr>
        <w:pStyle w:val="Heading4"/>
      </w:pPr>
      <w:r w:rsidRPr="00FA1A19">
        <w:t xml:space="preserve">Digital </w:t>
      </w:r>
      <w:r w:rsidR="003D1E0D" w:rsidRPr="00FA1A19">
        <w:t>Wallets</w:t>
      </w:r>
    </w:p>
    <w:p w14:paraId="26DAAEB8" w14:textId="33B38BC3" w:rsidR="000044E5" w:rsidRPr="00FA1A19" w:rsidRDefault="001F0D11" w:rsidP="000044E5">
      <w:r w:rsidRPr="00FA1A19">
        <w:t>Digital w</w:t>
      </w:r>
      <w:r w:rsidR="006B53C4" w:rsidRPr="00FA1A19">
        <w:t>allets are software interfaces for users to manage assets stored on a blockchain.</w:t>
      </w:r>
      <w:r w:rsidR="004F0A51" w:rsidRPr="00FA1A19">
        <w:t xml:space="preserve"> </w:t>
      </w:r>
      <w:r w:rsidR="000044E5" w:rsidRPr="00FA1A19">
        <w:t>A crypto wallet has a blockchain</w:t>
      </w:r>
      <w:r w:rsidR="00F75232">
        <w:noBreakHyphen/>
      </w:r>
      <w:r w:rsidR="000044E5" w:rsidRPr="00FA1A19">
        <w:t>specific wallet address that allows for the sending and receiving of crypto.</w:t>
      </w:r>
      <w:r w:rsidR="000044E5" w:rsidRPr="00170ADC">
        <w:rPr>
          <w:rStyle w:val="FootnoteReference"/>
        </w:rPr>
        <w:footnoteReference w:id="176"/>
      </w:r>
      <w:r w:rsidR="004F0A51" w:rsidRPr="00FA1A19">
        <w:t xml:space="preserve"> </w:t>
      </w:r>
      <w:r w:rsidR="00DF6544" w:rsidRPr="00FA1A19">
        <w:t xml:space="preserve">A wallet enables </w:t>
      </w:r>
      <w:r w:rsidR="00194042" w:rsidRPr="00FA1A19">
        <w:t>crypt</w:t>
      </w:r>
      <w:r w:rsidR="00DF6544" w:rsidRPr="00FA1A19">
        <w:t>o</w:t>
      </w:r>
      <w:r w:rsidR="00194042" w:rsidRPr="00FA1A19">
        <w:t>currency to be managed through private keys, public keys and public addresses.</w:t>
      </w:r>
      <w:r w:rsidR="00194042" w:rsidRPr="00170ADC">
        <w:rPr>
          <w:rStyle w:val="FootnoteReference"/>
        </w:rPr>
        <w:footnoteReference w:id="177"/>
      </w:r>
      <w:r w:rsidR="004F0A51" w:rsidRPr="00FA1A19">
        <w:t xml:space="preserve"> </w:t>
      </w:r>
    </w:p>
    <w:p w14:paraId="508D2731" w14:textId="0FF53171" w:rsidR="00B64375" w:rsidRPr="00FA1A19" w:rsidRDefault="00B64375" w:rsidP="006B53C4">
      <w:r w:rsidRPr="00FA1A19">
        <w:t>Wallets can be custodial wallets, or non</w:t>
      </w:r>
      <w:r w:rsidR="00F75232">
        <w:noBreakHyphen/>
      </w:r>
      <w:r w:rsidRPr="00FA1A19">
        <w:t>custodial wallets</w:t>
      </w:r>
      <w:r w:rsidR="005303FA" w:rsidRPr="00FA1A19">
        <w:t>.</w:t>
      </w:r>
      <w:r w:rsidR="005303FA" w:rsidRPr="00170ADC">
        <w:rPr>
          <w:rStyle w:val="FootnoteReference"/>
        </w:rPr>
        <w:footnoteReference w:id="178"/>
      </w:r>
    </w:p>
    <w:p w14:paraId="523B26FB" w14:textId="5CF3FD63" w:rsidR="00194042" w:rsidRPr="00FA1A19" w:rsidRDefault="00194042" w:rsidP="008371A3">
      <w:pPr>
        <w:pStyle w:val="Bullet"/>
      </w:pPr>
      <w:r w:rsidRPr="00FA1A19">
        <w:t>With</w:t>
      </w:r>
      <w:r w:rsidR="004679C7" w:rsidRPr="00FA1A19">
        <w:t xml:space="preserve"> a</w:t>
      </w:r>
      <w:r w:rsidRPr="00FA1A19">
        <w:t xml:space="preserve"> </w:t>
      </w:r>
      <w:r w:rsidR="00F75232">
        <w:t>‘</w:t>
      </w:r>
      <w:r w:rsidRPr="00FA1A19">
        <w:t>custodial wallet</w:t>
      </w:r>
      <w:r w:rsidR="00F75232">
        <w:t>’</w:t>
      </w:r>
      <w:r w:rsidRPr="00FA1A19">
        <w:t>, private keys are managed by a service provider.</w:t>
      </w:r>
      <w:r w:rsidR="004F0A51" w:rsidRPr="00FA1A19">
        <w:t xml:space="preserve"> </w:t>
      </w:r>
      <w:r w:rsidR="005B4FE7" w:rsidRPr="00FA1A19">
        <w:t xml:space="preserve">In short, a </w:t>
      </w:r>
      <w:r w:rsidRPr="00FA1A19">
        <w:t>custodial wallet is an internal account maintained by a service provider (i.e. it does not record private keys or sign messages).</w:t>
      </w:r>
      <w:r w:rsidRPr="00170ADC">
        <w:rPr>
          <w:rStyle w:val="FootnoteReference"/>
        </w:rPr>
        <w:footnoteReference w:id="179"/>
      </w:r>
      <w:r w:rsidRPr="00FA1A19">
        <w:t xml:space="preserve"> In the custodial wallet </w:t>
      </w:r>
      <w:r w:rsidR="00F75232">
        <w:t>‘</w:t>
      </w:r>
      <w:r w:rsidRPr="00FA1A19">
        <w:t xml:space="preserve">the keys are kept by the service wallet provider, and under some circumstances (and in some countries) the cryptocurrencies are </w:t>
      </w:r>
      <w:r w:rsidR="00F75232">
        <w:t>‘</w:t>
      </w:r>
      <w:r w:rsidRPr="00FA1A19">
        <w:t>deposited</w:t>
      </w:r>
      <w:r w:rsidR="00F75232">
        <w:t>’’</w:t>
      </w:r>
      <w:r w:rsidRPr="00FA1A19">
        <w:t>.</w:t>
      </w:r>
      <w:r w:rsidRPr="00170ADC">
        <w:rPr>
          <w:rStyle w:val="FootnoteReference"/>
        </w:rPr>
        <w:footnoteReference w:id="180"/>
      </w:r>
      <w:r w:rsidRPr="00FA1A19">
        <w:t xml:space="preserve"> Another term for a custodial wallet is the </w:t>
      </w:r>
      <w:r w:rsidR="00F75232">
        <w:t>‘</w:t>
      </w:r>
      <w:r w:rsidRPr="00FA1A19">
        <w:t>centralised crypto wallet</w:t>
      </w:r>
      <w:r w:rsidR="00F75232">
        <w:t>’</w:t>
      </w:r>
      <w:r w:rsidRPr="00FA1A19">
        <w:t xml:space="preserve"> which is </w:t>
      </w:r>
      <w:r w:rsidR="00F75232">
        <w:t>‘</w:t>
      </w:r>
      <w:r w:rsidRPr="00FA1A19">
        <w:t>provided for an individual or organisation as part of a service offered by a centralised crypto exchange</w:t>
      </w:r>
      <w:r w:rsidR="00F75232">
        <w:t>’</w:t>
      </w:r>
      <w:r w:rsidRPr="00FA1A19">
        <w:t>.</w:t>
      </w:r>
      <w:r w:rsidRPr="00170ADC">
        <w:rPr>
          <w:rStyle w:val="FootnoteReference"/>
        </w:rPr>
        <w:footnoteReference w:id="181"/>
      </w:r>
    </w:p>
    <w:p w14:paraId="693A2E46" w14:textId="706C9ADA" w:rsidR="00194042" w:rsidRPr="00FA1A19" w:rsidRDefault="006B53C4" w:rsidP="008371A3">
      <w:pPr>
        <w:pStyle w:val="Bullet"/>
      </w:pPr>
      <w:r w:rsidRPr="00FA1A19">
        <w:t xml:space="preserve">With a </w:t>
      </w:r>
      <w:r w:rsidR="00F75232">
        <w:t>‘</w:t>
      </w:r>
      <w:r w:rsidRPr="00FA1A19">
        <w:t>non</w:t>
      </w:r>
      <w:r w:rsidR="00F75232">
        <w:noBreakHyphen/>
      </w:r>
      <w:r w:rsidRPr="00FA1A19">
        <w:t>custodial wallet</w:t>
      </w:r>
      <w:r w:rsidR="00F75232">
        <w:t>’</w:t>
      </w:r>
      <w:r w:rsidRPr="00FA1A19">
        <w:t xml:space="preserve">, the user has exclusive control of </w:t>
      </w:r>
      <w:r w:rsidR="00995B1E" w:rsidRPr="00FA1A19">
        <w:t xml:space="preserve">their cryptocurrency </w:t>
      </w:r>
      <w:r w:rsidRPr="00FA1A19">
        <w:t>through their private keys.</w:t>
      </w:r>
      <w:r w:rsidR="004F0A51" w:rsidRPr="00FA1A19">
        <w:t xml:space="preserve"> </w:t>
      </w:r>
      <w:r w:rsidR="003B1F9F" w:rsidRPr="00FA1A19">
        <w:t>In short, a</w:t>
      </w:r>
      <w:r w:rsidR="00194042" w:rsidRPr="00FA1A19">
        <w:t xml:space="preserve"> non</w:t>
      </w:r>
      <w:r w:rsidR="00F75232">
        <w:noBreakHyphen/>
      </w:r>
      <w:r w:rsidR="00194042" w:rsidRPr="00FA1A19">
        <w:t xml:space="preserve">custodial crypto wallet </w:t>
      </w:r>
      <w:r w:rsidR="00F75232">
        <w:t>‘</w:t>
      </w:r>
      <w:r w:rsidR="00194042" w:rsidRPr="00FA1A19">
        <w:t>is a wallet where only the holder possesses and fully controls the private keys. Since there are no intermediaries, the users can trade crypto directly from their wallets.</w:t>
      </w:r>
      <w:r w:rsidR="00F75232">
        <w:t>’</w:t>
      </w:r>
      <w:r w:rsidR="00194042" w:rsidRPr="00170ADC">
        <w:rPr>
          <w:rStyle w:val="FootnoteReference"/>
        </w:rPr>
        <w:footnoteReference w:id="182"/>
      </w:r>
      <w:r w:rsidR="00194042" w:rsidRPr="00FA1A19">
        <w:t xml:space="preserve"> Another term for a non</w:t>
      </w:r>
      <w:r w:rsidR="00F75232">
        <w:noBreakHyphen/>
      </w:r>
      <w:r w:rsidR="00194042" w:rsidRPr="00FA1A19">
        <w:t xml:space="preserve">custodial wallet is the </w:t>
      </w:r>
      <w:r w:rsidR="00F75232">
        <w:t>‘</w:t>
      </w:r>
      <w:r w:rsidR="00194042" w:rsidRPr="00FA1A19">
        <w:t>Decentralised Crypto Wallet</w:t>
      </w:r>
      <w:r w:rsidR="00F75232">
        <w:t>’</w:t>
      </w:r>
      <w:r w:rsidR="00194042" w:rsidRPr="00FA1A19">
        <w:t xml:space="preserve"> which is </w:t>
      </w:r>
      <w:r w:rsidR="00F75232">
        <w:t>‘</w:t>
      </w:r>
      <w:r w:rsidR="00194042" w:rsidRPr="00FA1A19">
        <w:t>a crypto wallet that facilitates the independent custody of an organisation or individual</w:t>
      </w:r>
      <w:r w:rsidR="00F75232">
        <w:t>’</w:t>
      </w:r>
      <w:r w:rsidR="00194042" w:rsidRPr="00FA1A19">
        <w:t xml:space="preserve">s </w:t>
      </w:r>
      <w:r w:rsidR="0064746A" w:rsidRPr="00FA1A19">
        <w:t>cryptocurrency</w:t>
      </w:r>
      <w:r w:rsidR="00194042" w:rsidRPr="00FA1A19">
        <w:t xml:space="preserve"> that are not linked to a centralised exchange.</w:t>
      </w:r>
      <w:r w:rsidR="00F75232">
        <w:t>’</w:t>
      </w:r>
      <w:r w:rsidR="00194042" w:rsidRPr="00170ADC">
        <w:rPr>
          <w:rStyle w:val="FootnoteReference"/>
        </w:rPr>
        <w:footnoteReference w:id="183"/>
      </w:r>
    </w:p>
    <w:p w14:paraId="3F6B44CA" w14:textId="59FE8DEF" w:rsidR="006B53C4" w:rsidRPr="00FA1A19" w:rsidRDefault="00F52E55" w:rsidP="006B53C4">
      <w:r w:rsidRPr="00FA1A19">
        <w:t xml:space="preserve">All </w:t>
      </w:r>
      <w:r w:rsidR="006B53C4" w:rsidRPr="00FA1A19" w:rsidDel="005303FA">
        <w:t xml:space="preserve">custodial </w:t>
      </w:r>
      <w:r w:rsidR="00B43013" w:rsidRPr="00FA1A19">
        <w:t xml:space="preserve">and </w:t>
      </w:r>
      <w:r w:rsidRPr="00FA1A19">
        <w:t>non</w:t>
      </w:r>
      <w:r w:rsidR="00F75232">
        <w:noBreakHyphen/>
      </w:r>
      <w:r w:rsidRPr="00FA1A19">
        <w:t>custodial</w:t>
      </w:r>
      <w:r w:rsidR="00B43013" w:rsidRPr="00FA1A19">
        <w:t xml:space="preserve"> wallets are either </w:t>
      </w:r>
      <w:r w:rsidR="00EB5964" w:rsidRPr="00FA1A19">
        <w:t>cold wallets (offline) or hot wallets</w:t>
      </w:r>
      <w:r w:rsidR="00B43013" w:rsidRPr="00FA1A19">
        <w:t xml:space="preserve"> (</w:t>
      </w:r>
      <w:r w:rsidR="00972E11" w:rsidRPr="00FA1A19">
        <w:t>online).</w:t>
      </w:r>
      <w:r w:rsidR="00E505EB" w:rsidRPr="00170ADC">
        <w:rPr>
          <w:rStyle w:val="FootnoteReference"/>
        </w:rPr>
        <w:footnoteReference w:id="184"/>
      </w:r>
    </w:p>
    <w:p w14:paraId="63AFB919" w14:textId="63135874" w:rsidR="00EB5964" w:rsidRPr="00FA1A19" w:rsidRDefault="00EB5964" w:rsidP="008371A3">
      <w:pPr>
        <w:pStyle w:val="Bullet"/>
      </w:pPr>
      <w:r w:rsidRPr="00FA1A19">
        <w:t xml:space="preserve">A </w:t>
      </w:r>
      <w:r w:rsidR="00F75232">
        <w:t>‘</w:t>
      </w:r>
      <w:r w:rsidRPr="00FA1A19">
        <w:t>cold wallet</w:t>
      </w:r>
      <w:r w:rsidR="00F75232">
        <w:t>’</w:t>
      </w:r>
      <w:r w:rsidRPr="00FA1A19">
        <w:t xml:space="preserve"> is a record of a private key that has not been exposed to an internet</w:t>
      </w:r>
      <w:r w:rsidR="00F75232">
        <w:noBreakHyphen/>
      </w:r>
      <w:r w:rsidRPr="00FA1A19">
        <w:t>connected computer (e.g. a piece of paper).</w:t>
      </w:r>
    </w:p>
    <w:p w14:paraId="125BCE77" w14:textId="4C7A162D" w:rsidR="00F52E55" w:rsidRPr="00FA1A19" w:rsidRDefault="00F52E55" w:rsidP="008371A3">
      <w:pPr>
        <w:pStyle w:val="Bullet"/>
      </w:pPr>
      <w:r w:rsidRPr="00FA1A19">
        <w:t xml:space="preserve">A </w:t>
      </w:r>
      <w:r w:rsidR="00F75232">
        <w:t>‘</w:t>
      </w:r>
      <w:r w:rsidR="00EB5964" w:rsidRPr="00FA1A19">
        <w:t>hot wallet</w:t>
      </w:r>
      <w:r w:rsidR="00F75232">
        <w:t>’</w:t>
      </w:r>
      <w:r w:rsidR="00EB5964" w:rsidRPr="00FA1A19">
        <w:t xml:space="preserve"> is a record of a private key that is (or has been) exposed to an internet</w:t>
      </w:r>
      <w:r w:rsidR="00F75232">
        <w:noBreakHyphen/>
      </w:r>
      <w:r w:rsidR="00EB5964" w:rsidRPr="00FA1A19">
        <w:t>connected computer (e.g. a software application).</w:t>
      </w:r>
      <w:r w:rsidR="00EB5964" w:rsidRPr="00170ADC">
        <w:rPr>
          <w:rStyle w:val="FootnoteReference"/>
        </w:rPr>
        <w:footnoteReference w:id="185"/>
      </w:r>
    </w:p>
    <w:p w14:paraId="39B78CD8" w14:textId="59796BA4" w:rsidR="003D1E0D" w:rsidRPr="00FA1A19" w:rsidRDefault="004E1050" w:rsidP="00342121">
      <w:pPr>
        <w:pStyle w:val="Heading3"/>
      </w:pPr>
      <w:r w:rsidRPr="00FA1A19">
        <w:t>DeFi Activities</w:t>
      </w:r>
    </w:p>
    <w:p w14:paraId="04498237" w14:textId="0BA1A2B0" w:rsidR="00AD3BAB" w:rsidRPr="00FA1A19" w:rsidRDefault="00E54C15" w:rsidP="004E1050">
      <w:r w:rsidRPr="00FA1A19">
        <w:t xml:space="preserve">As indicated above, </w:t>
      </w:r>
      <w:r w:rsidR="000474B2" w:rsidRPr="00FA1A19">
        <w:t xml:space="preserve">DeFi </w:t>
      </w:r>
      <w:r w:rsidR="00186289" w:rsidRPr="00FA1A19">
        <w:t xml:space="preserve">activities </w:t>
      </w:r>
      <w:r w:rsidRPr="00FA1A19">
        <w:t xml:space="preserve">may include activities that are, or are akin to, </w:t>
      </w:r>
      <w:r w:rsidR="003B523D" w:rsidRPr="00FA1A19">
        <w:t xml:space="preserve">lending, borrowing, </w:t>
      </w:r>
      <w:r w:rsidRPr="00FA1A19">
        <w:t xml:space="preserve">trading, and asset management activities. </w:t>
      </w:r>
    </w:p>
    <w:p w14:paraId="350FE9D7" w14:textId="6E894896" w:rsidR="000D61E6" w:rsidRPr="00FA1A19" w:rsidRDefault="000D61E6" w:rsidP="004E1050">
      <w:r w:rsidRPr="00FA1A19">
        <w:t xml:space="preserve">In </w:t>
      </w:r>
      <w:r w:rsidR="0067788A" w:rsidRPr="00FA1A19">
        <w:t xml:space="preserve">June 2021, the </w:t>
      </w:r>
      <w:r w:rsidR="007C3D50" w:rsidRPr="00FA1A19">
        <w:t xml:space="preserve">World Economic Forum in collaboration with the Wharton Blockchain and Digital Asset Project, identified </w:t>
      </w:r>
      <w:r w:rsidR="00C602A2" w:rsidRPr="00FA1A19">
        <w:t xml:space="preserve">the following six </w:t>
      </w:r>
      <w:r w:rsidR="00067B3F" w:rsidRPr="00FA1A19">
        <w:t>major DeFi service categories</w:t>
      </w:r>
      <w:r w:rsidR="0098319C">
        <w:t>:</w:t>
      </w:r>
      <w:r w:rsidR="00DF319F" w:rsidRPr="00FA1A19">
        <w:t xml:space="preserve"> </w:t>
      </w:r>
      <w:r w:rsidR="00067B3F" w:rsidRPr="00FA1A19">
        <w:t>stablecoins; exchanges; credit; derivatives; insurance; and asset management.</w:t>
      </w:r>
      <w:r w:rsidR="00067B3F" w:rsidRPr="00170ADC">
        <w:rPr>
          <w:rStyle w:val="FootnoteReference"/>
        </w:rPr>
        <w:footnoteReference w:id="186"/>
      </w:r>
      <w:r w:rsidR="00067B3F" w:rsidRPr="00FA1A19">
        <w:t xml:space="preserve"> </w:t>
      </w:r>
    </w:p>
    <w:p w14:paraId="7FB69463" w14:textId="22FCF003" w:rsidR="00AA47D0" w:rsidRPr="00FA1A19" w:rsidRDefault="00AA47D0" w:rsidP="004E1050">
      <w:r w:rsidRPr="00FA1A19">
        <w:t xml:space="preserve">In March 2022, the </w:t>
      </w:r>
      <w:r w:rsidR="009C69F9" w:rsidRPr="00FA1A19">
        <w:t>IOSCO</w:t>
      </w:r>
      <w:r w:rsidRPr="00FA1A19">
        <w:t xml:space="preserve"> identified </w:t>
      </w:r>
      <w:r w:rsidR="00934231" w:rsidRPr="00FA1A19">
        <w:t>various</w:t>
      </w:r>
      <w:r w:rsidRPr="00FA1A19">
        <w:t xml:space="preserve"> DeFi </w:t>
      </w:r>
      <w:r w:rsidR="00B20C8F" w:rsidRPr="00FA1A19">
        <w:t>Products and Services</w:t>
      </w:r>
      <w:r w:rsidR="00791B05" w:rsidRPr="00FA1A19">
        <w:t xml:space="preserve"> including</w:t>
      </w:r>
      <w:r w:rsidR="000D61E6" w:rsidRPr="00FA1A19">
        <w:t xml:space="preserve"> Lending and Borrowing; Derivatives/Synthetics; Trading; Insurance or Risk Protection; </w:t>
      </w:r>
      <w:r w:rsidR="00791B05" w:rsidRPr="00FA1A19">
        <w:t xml:space="preserve">and </w:t>
      </w:r>
      <w:r w:rsidR="000D61E6" w:rsidRPr="00FA1A19">
        <w:t>Asset Management and Advisory Activity.</w:t>
      </w:r>
      <w:r w:rsidR="00B06F39" w:rsidRPr="00170ADC">
        <w:rPr>
          <w:rStyle w:val="FootnoteReference"/>
        </w:rPr>
        <w:footnoteReference w:id="187"/>
      </w:r>
      <w:r w:rsidR="004F0A51" w:rsidRPr="00FA1A19">
        <w:t xml:space="preserve"> </w:t>
      </w:r>
      <w:r w:rsidR="006976EE" w:rsidRPr="00FA1A19">
        <w:t xml:space="preserve">In explaining these Products and Services, </w:t>
      </w:r>
      <w:r w:rsidR="00B57FF0" w:rsidRPr="00FA1A19">
        <w:t xml:space="preserve">IOSCO </w:t>
      </w:r>
      <w:r w:rsidR="00FC2CD0" w:rsidRPr="00FA1A19">
        <w:t xml:space="preserve">stated that </w:t>
      </w:r>
      <w:r w:rsidR="00F75232">
        <w:t>‘</w:t>
      </w:r>
      <w:r w:rsidR="005C67B2" w:rsidRPr="00FA1A19">
        <w:t>it is important to recognize</w:t>
      </w:r>
      <w:r w:rsidR="00B57FF0" w:rsidRPr="00FA1A19">
        <w:t xml:space="preserve"> that DeFi does not exist wholly independent of traditional financial markets and entities (referred to as </w:t>
      </w:r>
      <w:r w:rsidR="00F75232">
        <w:t>‘</w:t>
      </w:r>
      <w:r w:rsidR="00E20A21" w:rsidRPr="00FA1A19">
        <w:t>Tradfi</w:t>
      </w:r>
      <w:r w:rsidR="00F75232">
        <w:t>’</w:t>
      </w:r>
      <w:r w:rsidR="00007B65" w:rsidRPr="00FA1A19">
        <w:t xml:space="preserve"> for the purposes of this </w:t>
      </w:r>
      <w:r w:rsidR="00087FF7">
        <w:t>R</w:t>
      </w:r>
      <w:r w:rsidR="00007B65" w:rsidRPr="00FA1A19">
        <w:t xml:space="preserve">eport) </w:t>
      </w:r>
      <w:r w:rsidR="00E20A21" w:rsidRPr="00FA1A19">
        <w:t>and centralized crypto</w:t>
      </w:r>
      <w:r w:rsidR="0064746A" w:rsidRPr="00FA1A19">
        <w:t xml:space="preserve"> asset</w:t>
      </w:r>
      <w:r w:rsidR="00E20A21" w:rsidRPr="00FA1A19">
        <w:t xml:space="preserve"> markets and entities (referred to as </w:t>
      </w:r>
      <w:r w:rsidR="00F75232">
        <w:t>‘</w:t>
      </w:r>
      <w:r w:rsidR="00E20A21" w:rsidRPr="00FA1A19">
        <w:t>CeFi</w:t>
      </w:r>
      <w:r w:rsidR="00F75232">
        <w:t>’</w:t>
      </w:r>
      <w:r w:rsidR="006D4B31" w:rsidRPr="00FA1A19">
        <w:t xml:space="preserve"> for the purposes of this </w:t>
      </w:r>
      <w:r w:rsidR="00087FF7">
        <w:t>R</w:t>
      </w:r>
      <w:r w:rsidR="006D4B31" w:rsidRPr="00FA1A19">
        <w:t>eport)</w:t>
      </w:r>
      <w:r w:rsidR="00E20A21" w:rsidRPr="00FA1A19">
        <w:t xml:space="preserve"> and there are important interlinkages.</w:t>
      </w:r>
      <w:r w:rsidR="00F75232">
        <w:t>’</w:t>
      </w:r>
      <w:r w:rsidR="00E20A21" w:rsidRPr="00170ADC">
        <w:rPr>
          <w:rStyle w:val="FootnoteReference"/>
        </w:rPr>
        <w:footnoteReference w:id="188"/>
      </w:r>
    </w:p>
    <w:p w14:paraId="23F84536" w14:textId="2ABF2E97" w:rsidR="0082591D" w:rsidRPr="00FA1A19" w:rsidRDefault="0082591D" w:rsidP="0069352C">
      <w:pPr>
        <w:pStyle w:val="Heading4"/>
      </w:pPr>
      <w:r w:rsidRPr="00FA1A19">
        <w:t>Lending and Borrowing</w:t>
      </w:r>
    </w:p>
    <w:p w14:paraId="7CDBB0C8" w14:textId="4C7DE108" w:rsidR="004C5544" w:rsidRPr="00FA1A19" w:rsidRDefault="00E6260A" w:rsidP="00837F17">
      <w:r w:rsidRPr="00FA1A19">
        <w:t>Lending protocols allow holders of crypto</w:t>
      </w:r>
      <w:r w:rsidR="0064746A" w:rsidRPr="00FA1A19">
        <w:t xml:space="preserve"> </w:t>
      </w:r>
      <w:r w:rsidRPr="00FA1A19">
        <w:t>assets (often stablecoins) to earn a fixed or variable return on those asse</w:t>
      </w:r>
      <w:r w:rsidR="002A4423">
        <w:t>t</w:t>
      </w:r>
      <w:r w:rsidRPr="00FA1A19">
        <w:t xml:space="preserve">s by depositing them in a </w:t>
      </w:r>
      <w:r w:rsidR="00971462" w:rsidRPr="00FA1A19">
        <w:t xml:space="preserve">smart contract or </w:t>
      </w:r>
      <w:r w:rsidR="00F75232">
        <w:t>‘</w:t>
      </w:r>
      <w:r w:rsidRPr="00FA1A19">
        <w:t>lending pool</w:t>
      </w:r>
      <w:r w:rsidR="00F75232">
        <w:t>’</w:t>
      </w:r>
      <w:r w:rsidR="00F73DBA" w:rsidRPr="00FA1A19">
        <w:t xml:space="preserve"> </w:t>
      </w:r>
      <w:r w:rsidRPr="00FA1A19">
        <w:t>that allows other participants to borrow those assets.</w:t>
      </w:r>
      <w:r w:rsidR="004F0A51" w:rsidRPr="00FA1A19">
        <w:t xml:space="preserve"> </w:t>
      </w:r>
      <w:r w:rsidR="004319B9" w:rsidRPr="00FA1A19">
        <w:t xml:space="preserve">Interest rates </w:t>
      </w:r>
      <w:r w:rsidR="0065570E" w:rsidRPr="00FA1A19">
        <w:t xml:space="preserve">can vary and are set </w:t>
      </w:r>
      <w:r w:rsidR="001E62B4" w:rsidRPr="00FA1A19">
        <w:t>b</w:t>
      </w:r>
      <w:r w:rsidR="0065570E" w:rsidRPr="00FA1A19">
        <w:t>y algorithms</w:t>
      </w:r>
      <w:r w:rsidR="001E62B4" w:rsidRPr="00FA1A19">
        <w:t xml:space="preserve">, </w:t>
      </w:r>
      <w:r w:rsidR="0065570E" w:rsidRPr="00FA1A19">
        <w:t>a protocol project team, or through voting by those holding governance tokens.</w:t>
      </w:r>
      <w:r w:rsidR="004C14E0" w:rsidRPr="00170ADC">
        <w:rPr>
          <w:rStyle w:val="FootnoteReference"/>
        </w:rPr>
        <w:footnoteReference w:id="189"/>
      </w:r>
      <w:r w:rsidR="004F0A51" w:rsidRPr="00FA1A19">
        <w:t xml:space="preserve"> </w:t>
      </w:r>
      <w:r w:rsidR="00142871" w:rsidRPr="00FA1A19">
        <w:t xml:space="preserve">Interest rates will often increase </w:t>
      </w:r>
      <w:r w:rsidR="00A77F52" w:rsidRPr="00FA1A19">
        <w:t xml:space="preserve">as borrowing levels approach and then exceed the optimal </w:t>
      </w:r>
      <w:r w:rsidR="00F75232">
        <w:t>‘</w:t>
      </w:r>
      <w:r w:rsidR="00A77F52" w:rsidRPr="00FA1A19">
        <w:t>utili</w:t>
      </w:r>
      <w:r w:rsidR="0084520B" w:rsidRPr="00FA1A19">
        <w:t>s</w:t>
      </w:r>
      <w:r w:rsidR="00A77F52" w:rsidRPr="00FA1A19">
        <w:t>ation rate</w:t>
      </w:r>
      <w:r w:rsidR="00F75232">
        <w:t>’</w:t>
      </w:r>
      <w:r w:rsidR="00A77F52" w:rsidRPr="00FA1A19">
        <w:t xml:space="preserve"> (being the </w:t>
      </w:r>
      <w:r w:rsidR="00515DE6" w:rsidRPr="00FA1A19">
        <w:t>rate of borrowing compared with assets in the lending pool).</w:t>
      </w:r>
      <w:r w:rsidR="00515DE6" w:rsidRPr="00170ADC">
        <w:rPr>
          <w:rStyle w:val="FootnoteReference"/>
        </w:rPr>
        <w:footnoteReference w:id="190"/>
      </w:r>
      <w:r w:rsidR="004F0A51" w:rsidRPr="00FA1A19">
        <w:t xml:space="preserve"> </w:t>
      </w:r>
    </w:p>
    <w:p w14:paraId="66B4A3BE" w14:textId="20423E1C" w:rsidR="0082591D" w:rsidRPr="00FA1A19" w:rsidRDefault="001155FF" w:rsidP="00837F17">
      <w:pPr>
        <w:rPr>
          <w:i/>
        </w:rPr>
      </w:pPr>
      <w:r w:rsidRPr="00FA1A19">
        <w:t xml:space="preserve">Borrowers will usually </w:t>
      </w:r>
      <w:r w:rsidR="00FC57CB" w:rsidRPr="00FA1A19">
        <w:t>provide collateral</w:t>
      </w:r>
      <w:r w:rsidR="00C24FD9" w:rsidRPr="00FA1A19">
        <w:t xml:space="preserve"> the value and volatility of which will affect the </w:t>
      </w:r>
      <w:r w:rsidR="000C1775" w:rsidRPr="00FA1A19">
        <w:t>amount that can be borrowed.</w:t>
      </w:r>
      <w:r w:rsidR="000C1775" w:rsidRPr="00170ADC">
        <w:rPr>
          <w:rStyle w:val="FootnoteReference"/>
        </w:rPr>
        <w:footnoteReference w:id="191"/>
      </w:r>
      <w:r w:rsidR="004F0A51" w:rsidRPr="00FA1A19">
        <w:t xml:space="preserve"> </w:t>
      </w:r>
      <w:r w:rsidR="00656182" w:rsidRPr="00FA1A19">
        <w:t xml:space="preserve">If </w:t>
      </w:r>
      <w:r w:rsidR="0083617A" w:rsidRPr="00FA1A19">
        <w:t xml:space="preserve">a </w:t>
      </w:r>
      <w:r w:rsidR="00656182" w:rsidRPr="00FA1A19">
        <w:t>loan</w:t>
      </w:r>
      <w:r w:rsidR="00F75232">
        <w:noBreakHyphen/>
      </w:r>
      <w:r w:rsidR="00656182" w:rsidRPr="00FA1A19">
        <w:t>to</w:t>
      </w:r>
      <w:r w:rsidR="00F75232">
        <w:noBreakHyphen/>
      </w:r>
      <w:r w:rsidR="00656182" w:rsidRPr="00FA1A19">
        <w:t>value ratio exceeds a</w:t>
      </w:r>
      <w:r w:rsidR="009E1F35" w:rsidRPr="00FA1A19">
        <w:t xml:space="preserve"> </w:t>
      </w:r>
      <w:r w:rsidR="00F75232">
        <w:t>‘</w:t>
      </w:r>
      <w:r w:rsidR="009E1F35" w:rsidRPr="00FA1A19">
        <w:t>liquidation ratio</w:t>
      </w:r>
      <w:r w:rsidR="00F75232">
        <w:t>’</w:t>
      </w:r>
      <w:r w:rsidR="009E1F35" w:rsidRPr="00FA1A19">
        <w:t>,</w:t>
      </w:r>
      <w:r w:rsidR="008B6C72" w:rsidRPr="00FA1A19">
        <w:t xml:space="preserve"> the borrower must either </w:t>
      </w:r>
      <w:r w:rsidR="00291FC8" w:rsidRPr="00FA1A19">
        <w:t>deposit more collateral or repay the loan in part or in full, or risk liquidation</w:t>
      </w:r>
      <w:r w:rsidR="00F44771" w:rsidRPr="00FA1A19">
        <w:t xml:space="preserve"> which involves </w:t>
      </w:r>
      <w:r w:rsidR="00DA4BFC" w:rsidRPr="00FA1A19">
        <w:t xml:space="preserve">the supplied collateral </w:t>
      </w:r>
      <w:r w:rsidR="00EC34BC" w:rsidRPr="00FA1A19">
        <w:t xml:space="preserve">being sold </w:t>
      </w:r>
      <w:r w:rsidR="00DA4BFC" w:rsidRPr="00FA1A19">
        <w:t>at a discount</w:t>
      </w:r>
      <w:r w:rsidR="00611EFC" w:rsidRPr="00FA1A19">
        <w:t xml:space="preserve"> to cover the loan </w:t>
      </w:r>
      <w:r w:rsidR="006654F3" w:rsidRPr="00FA1A19">
        <w:t>either fully or partially</w:t>
      </w:r>
      <w:r w:rsidR="00D64208" w:rsidRPr="00FA1A19">
        <w:t xml:space="preserve"> (i</w:t>
      </w:r>
      <w:r w:rsidR="006821BB" w:rsidRPr="00FA1A19">
        <w:t>.</w:t>
      </w:r>
      <w:r w:rsidR="00D64208" w:rsidRPr="00FA1A19">
        <w:t>e</w:t>
      </w:r>
      <w:r w:rsidR="00EC34BC" w:rsidRPr="00FA1A19">
        <w:t>.</w:t>
      </w:r>
      <w:r w:rsidR="00611EFC" w:rsidRPr="00FA1A19">
        <w:t xml:space="preserve"> to the extent required until </w:t>
      </w:r>
      <w:r w:rsidR="00711FAA" w:rsidRPr="00FA1A19">
        <w:t>the</w:t>
      </w:r>
      <w:r w:rsidR="008A7D59" w:rsidRPr="00FA1A19">
        <w:t xml:space="preserve"> point </w:t>
      </w:r>
      <w:r w:rsidR="006E2FC3" w:rsidRPr="00FA1A19">
        <w:t xml:space="preserve">is reached </w:t>
      </w:r>
      <w:r w:rsidR="008A7D59" w:rsidRPr="00FA1A19">
        <w:t>where the</w:t>
      </w:r>
      <w:r w:rsidR="00711FAA" w:rsidRPr="00FA1A19">
        <w:t xml:space="preserve"> </w:t>
      </w:r>
      <w:r w:rsidR="00915DE0" w:rsidRPr="00FA1A19">
        <w:t>loan is sufficiently collaterali</w:t>
      </w:r>
      <w:r w:rsidR="006821BB" w:rsidRPr="00FA1A19">
        <w:t>s</w:t>
      </w:r>
      <w:r w:rsidR="00915DE0" w:rsidRPr="00FA1A19">
        <w:t>ed</w:t>
      </w:r>
      <w:r w:rsidR="00711FAA" w:rsidRPr="00FA1A19">
        <w:t xml:space="preserve"> </w:t>
      </w:r>
      <w:r w:rsidR="00D64208" w:rsidRPr="00FA1A19">
        <w:t xml:space="preserve">which occurs when the </w:t>
      </w:r>
      <w:r w:rsidR="00711FAA" w:rsidRPr="00FA1A19">
        <w:t>loan</w:t>
      </w:r>
      <w:r w:rsidR="00F75232">
        <w:noBreakHyphen/>
      </w:r>
      <w:r w:rsidR="00711FAA" w:rsidRPr="00FA1A19">
        <w:t>to</w:t>
      </w:r>
      <w:r w:rsidR="00F75232">
        <w:noBreakHyphen/>
      </w:r>
      <w:r w:rsidR="00711FAA" w:rsidRPr="00FA1A19">
        <w:t>value ratio no longer exceed</w:t>
      </w:r>
      <w:r w:rsidR="00D64208" w:rsidRPr="00FA1A19">
        <w:t>s</w:t>
      </w:r>
      <w:r w:rsidR="00711FAA" w:rsidRPr="00FA1A19">
        <w:t xml:space="preserve"> the </w:t>
      </w:r>
      <w:r w:rsidR="008A7D59" w:rsidRPr="00FA1A19">
        <w:t>liquidation ratio)</w:t>
      </w:r>
      <w:r w:rsidR="00915DE0" w:rsidRPr="00FA1A19">
        <w:t>.</w:t>
      </w:r>
      <w:r w:rsidR="004F0A51" w:rsidRPr="00FA1A19">
        <w:t xml:space="preserve"> </w:t>
      </w:r>
      <w:r w:rsidR="00AC39EC" w:rsidRPr="00FA1A19">
        <w:t>In this typ</w:t>
      </w:r>
      <w:r w:rsidR="001E7841" w:rsidRPr="00FA1A19">
        <w:t>e</w:t>
      </w:r>
      <w:r w:rsidR="006F454B" w:rsidRPr="00FA1A19">
        <w:t xml:space="preserve"> of protocol, </w:t>
      </w:r>
      <w:r w:rsidR="00A3027E" w:rsidRPr="00FA1A19">
        <w:t>a third</w:t>
      </w:r>
      <w:r w:rsidR="003338E4">
        <w:t>-</w:t>
      </w:r>
      <w:r w:rsidR="00A3027E" w:rsidRPr="00FA1A19">
        <w:t>party acquires a portion of the crypto</w:t>
      </w:r>
      <w:r w:rsidR="0064746A" w:rsidRPr="00FA1A19">
        <w:t xml:space="preserve"> assets</w:t>
      </w:r>
      <w:r w:rsidR="00A3027E" w:rsidRPr="00FA1A19">
        <w:t xml:space="preserve"> backing the loan in exchange for the borrowed crypto</w:t>
      </w:r>
      <w:r w:rsidR="0064746A" w:rsidRPr="00FA1A19">
        <w:t xml:space="preserve"> assets</w:t>
      </w:r>
      <w:r w:rsidR="00A3027E" w:rsidRPr="00FA1A19">
        <w:t>.</w:t>
      </w:r>
      <w:r w:rsidR="009E1F35" w:rsidRPr="00170ADC">
        <w:rPr>
          <w:rStyle w:val="FootnoteReference"/>
        </w:rPr>
        <w:footnoteReference w:id="192"/>
      </w:r>
      <w:r w:rsidR="004F0A51" w:rsidRPr="00FA1A19">
        <w:t xml:space="preserve"> </w:t>
      </w:r>
      <w:r w:rsidR="003228C4" w:rsidRPr="00FA1A19">
        <w:t xml:space="preserve">Liquidation may </w:t>
      </w:r>
      <w:r w:rsidR="00976F77" w:rsidRPr="00FA1A19">
        <w:t>also require</w:t>
      </w:r>
      <w:r w:rsidR="003228C4" w:rsidRPr="00FA1A19">
        <w:t xml:space="preserve"> the borrower to pay a liquidation fee</w:t>
      </w:r>
      <w:r w:rsidR="00A61B90" w:rsidRPr="00FA1A19">
        <w:t xml:space="preserve"> </w:t>
      </w:r>
      <w:r w:rsidR="00ED4C68" w:rsidRPr="00FA1A19">
        <w:t xml:space="preserve">which would </w:t>
      </w:r>
      <w:r w:rsidR="00A61B90" w:rsidRPr="00FA1A19">
        <w:t>ordinar</w:t>
      </w:r>
      <w:r w:rsidR="11390B40" w:rsidRPr="00FA1A19">
        <w:t>il</w:t>
      </w:r>
      <w:r w:rsidR="00A61B90" w:rsidRPr="00FA1A19">
        <w:t xml:space="preserve">y </w:t>
      </w:r>
      <w:r w:rsidR="00ED4C68" w:rsidRPr="00FA1A19">
        <w:t xml:space="preserve">be </w:t>
      </w:r>
      <w:r w:rsidR="00EA189C" w:rsidRPr="00FA1A19">
        <w:t xml:space="preserve">a percentage of the </w:t>
      </w:r>
      <w:r w:rsidR="00B81DD2" w:rsidRPr="00FA1A19">
        <w:t>collateral sold</w:t>
      </w:r>
      <w:r w:rsidR="00F2510E" w:rsidRPr="00FA1A19">
        <w:t>.</w:t>
      </w:r>
    </w:p>
    <w:p w14:paraId="0851ACE6" w14:textId="4F25D13C" w:rsidR="003E054C" w:rsidRPr="00FA1A19" w:rsidRDefault="00B90FC7" w:rsidP="00DD4D4C">
      <w:r w:rsidRPr="00FA1A19">
        <w:t xml:space="preserve">Lending protocols may distribute governance tokens in exchange for participation in these arrangements, which may act as an incentive for </w:t>
      </w:r>
      <w:r w:rsidR="00B80121" w:rsidRPr="00FA1A19">
        <w:t>borrowers to re</w:t>
      </w:r>
      <w:r w:rsidR="00F75232">
        <w:noBreakHyphen/>
      </w:r>
      <w:r w:rsidR="00B80121" w:rsidRPr="00FA1A19">
        <w:t>deposit borrowed funds as collateral</w:t>
      </w:r>
      <w:r w:rsidR="00957423" w:rsidRPr="00FA1A19">
        <w:t xml:space="preserve"> for further borrowings</w:t>
      </w:r>
      <w:r w:rsidR="0088317A" w:rsidRPr="00FA1A19">
        <w:t xml:space="preserve"> (a </w:t>
      </w:r>
      <w:r w:rsidR="00F75232">
        <w:t>‘</w:t>
      </w:r>
      <w:r w:rsidR="0088317A" w:rsidRPr="00FA1A19">
        <w:t>borrowing spiral</w:t>
      </w:r>
      <w:r w:rsidR="00F75232">
        <w:t>’</w:t>
      </w:r>
      <w:r w:rsidR="00707DAE" w:rsidRPr="00FA1A19">
        <w:t>)</w:t>
      </w:r>
      <w:r w:rsidR="009732AB" w:rsidRPr="00FA1A19">
        <w:t xml:space="preserve"> in order to obtain more governance tokens</w:t>
      </w:r>
      <w:r w:rsidR="00707DAE" w:rsidRPr="00FA1A19">
        <w:t>.</w:t>
      </w:r>
      <w:r w:rsidR="00707DAE" w:rsidRPr="00170ADC">
        <w:rPr>
          <w:rStyle w:val="FootnoteReference"/>
        </w:rPr>
        <w:footnoteReference w:id="193"/>
      </w:r>
    </w:p>
    <w:p w14:paraId="606F2356" w14:textId="11B42851" w:rsidR="00707DAE" w:rsidRPr="00FA1A19" w:rsidRDefault="00F75232" w:rsidP="00DD4D4C">
      <w:r>
        <w:t>‘</w:t>
      </w:r>
      <w:r w:rsidR="00707DAE" w:rsidRPr="00FA1A19">
        <w:t>Flash loans</w:t>
      </w:r>
      <w:r>
        <w:t>’</w:t>
      </w:r>
      <w:r w:rsidR="00707DAE" w:rsidRPr="00FA1A19">
        <w:t xml:space="preserve"> do not require collateral because </w:t>
      </w:r>
      <w:r w:rsidR="008C3687" w:rsidRPr="00FA1A19">
        <w:t>the crypto</w:t>
      </w:r>
      <w:r w:rsidR="0064746A" w:rsidRPr="00FA1A19">
        <w:t xml:space="preserve"> assets</w:t>
      </w:r>
      <w:r w:rsidR="008C3687" w:rsidRPr="00FA1A19">
        <w:t xml:space="preserve"> are borrowed and repaid</w:t>
      </w:r>
      <w:r w:rsidR="00A43498" w:rsidRPr="00FA1A19">
        <w:t xml:space="preserve"> (with a small fee or interest)</w:t>
      </w:r>
      <w:r w:rsidR="008C3687" w:rsidRPr="00FA1A19">
        <w:t xml:space="preserve"> within the same block of transactions </w:t>
      </w:r>
      <w:r w:rsidR="009732AB" w:rsidRPr="00FA1A19">
        <w:t xml:space="preserve">on the blockchain </w:t>
      </w:r>
      <w:r w:rsidR="008C3687" w:rsidRPr="00FA1A19">
        <w:t>and if the repayment does not occur, the borrowing is automatically cancelled.</w:t>
      </w:r>
      <w:r w:rsidR="004F0A51" w:rsidRPr="00FA1A19">
        <w:t xml:space="preserve"> </w:t>
      </w:r>
      <w:r w:rsidR="00C800B4" w:rsidRPr="00FA1A19">
        <w:t>As there is no risk</w:t>
      </w:r>
      <w:r w:rsidR="009732AB" w:rsidRPr="00FA1A19">
        <w:t xml:space="preserve"> to the lender</w:t>
      </w:r>
      <w:r w:rsidR="00C800B4" w:rsidRPr="00FA1A19">
        <w:t>, the interest rate is low.</w:t>
      </w:r>
      <w:r w:rsidR="00C800B4" w:rsidRPr="00170ADC">
        <w:rPr>
          <w:rStyle w:val="FootnoteReference"/>
        </w:rPr>
        <w:footnoteReference w:id="194"/>
      </w:r>
      <w:r w:rsidR="004F0A51" w:rsidRPr="00FA1A19">
        <w:t xml:space="preserve"> </w:t>
      </w:r>
      <w:r w:rsidR="003A454A" w:rsidRPr="00FA1A19">
        <w:t>Flash loans</w:t>
      </w:r>
      <w:r w:rsidR="002D560E" w:rsidRPr="00FA1A19">
        <w:t xml:space="preserve"> are used for various purposes including </w:t>
      </w:r>
      <w:r w:rsidR="00BE23E9" w:rsidRPr="00FA1A19">
        <w:t xml:space="preserve">arbitrage </w:t>
      </w:r>
      <w:r w:rsidR="002D560E" w:rsidRPr="00FA1A19">
        <w:t>(</w:t>
      </w:r>
      <w:r w:rsidR="00BE23E9" w:rsidRPr="00FA1A19">
        <w:t>i</w:t>
      </w:r>
      <w:r w:rsidR="00CC69FA" w:rsidRPr="00FA1A19">
        <w:t>.</w:t>
      </w:r>
      <w:r w:rsidR="00BE23E9" w:rsidRPr="00FA1A19">
        <w:t>e</w:t>
      </w:r>
      <w:r w:rsidR="00157CAA" w:rsidRPr="00FA1A19">
        <w:t>. </w:t>
      </w:r>
      <w:r w:rsidR="00BE23E9" w:rsidRPr="00FA1A19">
        <w:t>generating profit by trading</w:t>
      </w:r>
      <w:r w:rsidR="002D560E" w:rsidRPr="00FA1A19">
        <w:t xml:space="preserve"> </w:t>
      </w:r>
      <w:r w:rsidR="00BE23E9" w:rsidRPr="00FA1A19">
        <w:t>in an asset that has differ</w:t>
      </w:r>
      <w:r w:rsidR="009732AB" w:rsidRPr="00FA1A19">
        <w:t>ent</w:t>
      </w:r>
      <w:r w:rsidR="00BE23E9" w:rsidRPr="00FA1A19">
        <w:t xml:space="preserve"> exchange rates on different markets</w:t>
      </w:r>
      <w:r w:rsidR="002D560E" w:rsidRPr="00FA1A19">
        <w:t>) and liquidations</w:t>
      </w:r>
      <w:r w:rsidR="00906DEF" w:rsidRPr="00FA1A19">
        <w:t xml:space="preserve">, but they can also be used to exploit vulnerabilities in </w:t>
      </w:r>
      <w:r w:rsidR="00362B06" w:rsidRPr="00FA1A19">
        <w:t>DeFi protocols.</w:t>
      </w:r>
      <w:r w:rsidR="00362B06" w:rsidRPr="00170ADC">
        <w:rPr>
          <w:rStyle w:val="FootnoteReference"/>
        </w:rPr>
        <w:footnoteReference w:id="195"/>
      </w:r>
    </w:p>
    <w:p w14:paraId="5BE8EEFF" w14:textId="52B06E03" w:rsidR="008E1014" w:rsidRPr="00FA1A19" w:rsidRDefault="00ED4825" w:rsidP="0069352C">
      <w:pPr>
        <w:pStyle w:val="Heading4"/>
      </w:pPr>
      <w:r w:rsidRPr="00FA1A19">
        <w:t>Derivatives/Synthetics</w:t>
      </w:r>
    </w:p>
    <w:p w14:paraId="2C728348" w14:textId="00703307" w:rsidR="00C823B2" w:rsidRPr="00FA1A19" w:rsidRDefault="00C823B2" w:rsidP="00ED4825">
      <w:r w:rsidRPr="00FA1A19">
        <w:t>Derivatives are synthetic financial instruments whose value is based on a function of an underlying asset or group of assets.</w:t>
      </w:r>
      <w:r w:rsidR="004F0A51" w:rsidRPr="00FA1A19">
        <w:t xml:space="preserve"> </w:t>
      </w:r>
      <w:r w:rsidRPr="00FA1A19">
        <w:t>Common examples are futures and options, which reference the value of an asset at some time in the future.</w:t>
      </w:r>
      <w:r w:rsidRPr="00170ADC">
        <w:rPr>
          <w:rStyle w:val="FootnoteReference"/>
        </w:rPr>
        <w:footnoteReference w:id="196"/>
      </w:r>
      <w:r w:rsidRPr="00FA1A19">
        <w:t xml:space="preserve"> </w:t>
      </w:r>
    </w:p>
    <w:p w14:paraId="02124732" w14:textId="177001D3" w:rsidR="00860DA9" w:rsidRPr="00FA1A19" w:rsidRDefault="00D44A28" w:rsidP="00ED4825">
      <w:r w:rsidRPr="00FA1A19">
        <w:t xml:space="preserve">DeFi protocols can allow participants </w:t>
      </w:r>
      <w:r w:rsidR="006872CD" w:rsidRPr="00FA1A19">
        <w:t>to create synthetic crypto</w:t>
      </w:r>
      <w:r w:rsidR="0064746A" w:rsidRPr="00FA1A19">
        <w:t xml:space="preserve"> assets</w:t>
      </w:r>
      <w:r w:rsidR="006872CD" w:rsidRPr="00FA1A19">
        <w:t xml:space="preserve"> whose value derives from the value of an underlying reference asset (</w:t>
      </w:r>
      <w:r w:rsidR="00F75232">
        <w:t>‘</w:t>
      </w:r>
      <w:r w:rsidR="006872CD" w:rsidRPr="00FA1A19">
        <w:t>asset</w:t>
      </w:r>
      <w:r w:rsidR="00F75232">
        <w:noBreakHyphen/>
      </w:r>
      <w:r w:rsidR="006872CD" w:rsidRPr="00FA1A19">
        <w:t>based</w:t>
      </w:r>
      <w:r w:rsidR="00F75232">
        <w:t>’</w:t>
      </w:r>
      <w:r w:rsidR="00AD7BA8" w:rsidRPr="00FA1A19">
        <w:t xml:space="preserve"> synthetic crypto</w:t>
      </w:r>
      <w:r w:rsidR="0064746A" w:rsidRPr="00FA1A19">
        <w:t xml:space="preserve"> assets</w:t>
      </w:r>
      <w:r w:rsidR="00AD7BA8" w:rsidRPr="00FA1A19">
        <w:t>)</w:t>
      </w:r>
      <w:r w:rsidR="006872CD" w:rsidRPr="00FA1A19">
        <w:t>, such as stablecoins – see above)</w:t>
      </w:r>
      <w:r w:rsidR="00CC290E" w:rsidRPr="00FA1A19">
        <w:t xml:space="preserve"> or the outcome or occurrence of some event (</w:t>
      </w:r>
      <w:r w:rsidR="00F75232">
        <w:t>‘</w:t>
      </w:r>
      <w:r w:rsidR="00CC290E" w:rsidRPr="00FA1A19">
        <w:t>event</w:t>
      </w:r>
      <w:r w:rsidR="00F75232">
        <w:noBreakHyphen/>
      </w:r>
      <w:r w:rsidR="00CC290E" w:rsidRPr="00FA1A19">
        <w:t>based</w:t>
      </w:r>
      <w:r w:rsidR="00F75232">
        <w:t>’</w:t>
      </w:r>
      <w:r w:rsidR="00AD7BA8" w:rsidRPr="00FA1A19">
        <w:t xml:space="preserve"> synthetic crypto</w:t>
      </w:r>
      <w:r w:rsidR="0064746A" w:rsidRPr="00FA1A19">
        <w:t xml:space="preserve"> assets</w:t>
      </w:r>
      <w:r w:rsidR="00CC290E" w:rsidRPr="00FA1A19">
        <w:t>)</w:t>
      </w:r>
      <w:r w:rsidR="001435AD" w:rsidRPr="00FA1A19">
        <w:t>.</w:t>
      </w:r>
      <w:r w:rsidR="004F0A51" w:rsidRPr="00FA1A19">
        <w:t xml:space="preserve"> </w:t>
      </w:r>
      <w:r w:rsidR="00860DA9" w:rsidRPr="00FA1A19">
        <w:t>For example:</w:t>
      </w:r>
      <w:r w:rsidR="001435AD" w:rsidRPr="00170ADC">
        <w:rPr>
          <w:rStyle w:val="FootnoteReference"/>
        </w:rPr>
        <w:footnoteReference w:id="197"/>
      </w:r>
    </w:p>
    <w:p w14:paraId="02220240" w14:textId="110CDB57" w:rsidR="00860DA9" w:rsidRPr="00FA1A19" w:rsidRDefault="00860DA9" w:rsidP="008371A3">
      <w:pPr>
        <w:pStyle w:val="Bullet"/>
      </w:pPr>
      <w:r w:rsidRPr="00FA1A19">
        <w:t xml:space="preserve">A </w:t>
      </w:r>
      <w:r w:rsidR="0049682B" w:rsidRPr="00FA1A19">
        <w:t>synthetic crypto</w:t>
      </w:r>
      <w:r w:rsidR="0064746A" w:rsidRPr="00FA1A19">
        <w:t xml:space="preserve"> </w:t>
      </w:r>
      <w:r w:rsidR="0049682B" w:rsidRPr="00FA1A19">
        <w:t>asset whose value tracks the price performance of ether relative to bitcoin, such that any increase in the price of ether relative to bitcoin would increase the value of the synthetic crypto</w:t>
      </w:r>
      <w:r w:rsidR="0064746A" w:rsidRPr="00FA1A19">
        <w:t xml:space="preserve"> </w:t>
      </w:r>
      <w:r w:rsidR="0049682B" w:rsidRPr="00FA1A19">
        <w:t>asset.</w:t>
      </w:r>
      <w:r w:rsidR="004F0A51" w:rsidRPr="00FA1A19">
        <w:t xml:space="preserve"> </w:t>
      </w:r>
      <w:r w:rsidR="0049682B" w:rsidRPr="00FA1A19">
        <w:t>The creator of the synthetic crypto</w:t>
      </w:r>
      <w:r w:rsidR="0064746A" w:rsidRPr="00FA1A19">
        <w:t xml:space="preserve"> asset</w:t>
      </w:r>
      <w:r w:rsidR="0049682B" w:rsidRPr="00FA1A19">
        <w:t xml:space="preserve"> </w:t>
      </w:r>
      <w:r w:rsidR="00245EC0" w:rsidRPr="00FA1A19">
        <w:t xml:space="preserve">usually must </w:t>
      </w:r>
      <w:r w:rsidR="007112C6" w:rsidRPr="00FA1A19">
        <w:t xml:space="preserve">deposit collateral </w:t>
      </w:r>
      <w:r w:rsidR="00C54CDD" w:rsidRPr="00FA1A19">
        <w:t xml:space="preserve">in an amount greater than the value of the reference asset, and </w:t>
      </w:r>
      <w:r w:rsidR="005124BE" w:rsidRPr="00FA1A19">
        <w:t xml:space="preserve">often sells </w:t>
      </w:r>
      <w:r w:rsidR="00C54CDD" w:rsidRPr="00FA1A19">
        <w:t>the synthetic crypto</w:t>
      </w:r>
      <w:r w:rsidR="0064746A" w:rsidRPr="00FA1A19">
        <w:t xml:space="preserve"> asset</w:t>
      </w:r>
      <w:r w:rsidR="0054672D" w:rsidRPr="00FA1A19">
        <w:t xml:space="preserve"> to others</w:t>
      </w:r>
      <w:r w:rsidR="00C54CDD" w:rsidRPr="00FA1A19">
        <w:t>.</w:t>
      </w:r>
      <w:r w:rsidR="0049682B" w:rsidRPr="00FA1A19">
        <w:t xml:space="preserve"> </w:t>
      </w:r>
      <w:r w:rsidR="00E1280C" w:rsidRPr="00FA1A19">
        <w:t>The synthetic crypto</w:t>
      </w:r>
      <w:r w:rsidR="0064746A" w:rsidRPr="00FA1A19">
        <w:t xml:space="preserve"> asset</w:t>
      </w:r>
      <w:r w:rsidR="00E1280C" w:rsidRPr="00FA1A19">
        <w:t xml:space="preserve"> is typically redeemable for the collateral that was used to create it.</w:t>
      </w:r>
    </w:p>
    <w:p w14:paraId="4B298DD0" w14:textId="40A84F5A" w:rsidR="00E1280C" w:rsidRPr="00FA1A19" w:rsidRDefault="00E1280C" w:rsidP="008371A3">
      <w:pPr>
        <w:pStyle w:val="Bullet"/>
      </w:pPr>
      <w:r w:rsidRPr="00FA1A19">
        <w:t>Bridged or wrapped tokens, which are types of stablecoins (see above)</w:t>
      </w:r>
      <w:r w:rsidR="001435AD" w:rsidRPr="00FA1A19">
        <w:t>.</w:t>
      </w:r>
    </w:p>
    <w:p w14:paraId="288046CB" w14:textId="485CA314" w:rsidR="00D60BE0" w:rsidRPr="00FA1A19" w:rsidRDefault="00074218" w:rsidP="00ED4825">
      <w:r w:rsidRPr="00FA1A19">
        <w:t xml:space="preserve">There are also derivative DeFi protocols </w:t>
      </w:r>
      <w:r w:rsidR="00E343AF" w:rsidRPr="00FA1A19">
        <w:t xml:space="preserve">that are </w:t>
      </w:r>
      <w:r w:rsidR="00F75232">
        <w:t>‘</w:t>
      </w:r>
      <w:r w:rsidR="00A11827" w:rsidRPr="00FA1A19">
        <w:t xml:space="preserve">economically the same </w:t>
      </w:r>
      <w:r w:rsidR="00415807" w:rsidRPr="00FA1A19">
        <w:t>as or similar to traditional derivatives such as options, swaps, and more complex structured products</w:t>
      </w:r>
      <w:r w:rsidR="00F75232">
        <w:t>’</w:t>
      </w:r>
      <w:r w:rsidR="00415807" w:rsidRPr="00FA1A19">
        <w:t>.</w:t>
      </w:r>
      <w:r w:rsidR="00415807" w:rsidRPr="00170ADC">
        <w:rPr>
          <w:rStyle w:val="FootnoteReference"/>
        </w:rPr>
        <w:footnoteReference w:id="198"/>
      </w:r>
    </w:p>
    <w:p w14:paraId="13B44AFF" w14:textId="0F5ED3B4" w:rsidR="0045656C" w:rsidRPr="00FA1A19" w:rsidRDefault="0045656C" w:rsidP="00ED4825">
      <w:r w:rsidRPr="00FA1A19">
        <w:t>DeFi derivatives are very flexible: they could create a synthetic asset that behaves as a stock, commodity, swap or another digital asset; they could involve a</w:t>
      </w:r>
      <w:r w:rsidR="00F870EE" w:rsidRPr="00FA1A19">
        <w:t>n</w:t>
      </w:r>
      <w:r w:rsidRPr="00FA1A19">
        <w:t xml:space="preserve"> NFT; or they could be tied to the activity of a business or creating a crowdfunding service.</w:t>
      </w:r>
      <w:r w:rsidRPr="00170ADC">
        <w:rPr>
          <w:rStyle w:val="FootnoteReference"/>
        </w:rPr>
        <w:footnoteReference w:id="199"/>
      </w:r>
    </w:p>
    <w:p w14:paraId="3F91D957" w14:textId="771A586E" w:rsidR="00ED4825" w:rsidRPr="00FA1A19" w:rsidRDefault="00ED4825" w:rsidP="0069352C">
      <w:pPr>
        <w:pStyle w:val="Heading4"/>
      </w:pPr>
      <w:r w:rsidRPr="00FA1A19">
        <w:t>Trading</w:t>
      </w:r>
    </w:p>
    <w:p w14:paraId="0D66DAED" w14:textId="09B7A4E5" w:rsidR="00306ADB" w:rsidRPr="00FA1A19" w:rsidRDefault="00F016CB" w:rsidP="00747CFE">
      <w:r w:rsidRPr="00FA1A19">
        <w:t>Trading in crypto assets occurs on Exchanges</w:t>
      </w:r>
      <w:r w:rsidR="00927716" w:rsidRPr="00FA1A19">
        <w:t xml:space="preserve"> or OTC Desks</w:t>
      </w:r>
      <w:r w:rsidRPr="00FA1A19">
        <w:t xml:space="preserve"> (see above).</w:t>
      </w:r>
      <w:r w:rsidR="004F0A51" w:rsidRPr="00FA1A19">
        <w:t xml:space="preserve"> </w:t>
      </w:r>
    </w:p>
    <w:p w14:paraId="49F5051B" w14:textId="5B108343" w:rsidR="00927716" w:rsidRPr="00FA1A19" w:rsidRDefault="001A1BCE" w:rsidP="00747CFE">
      <w:r w:rsidRPr="00FA1A19">
        <w:t xml:space="preserve">Traders may </w:t>
      </w:r>
      <w:r w:rsidR="00EA6390" w:rsidRPr="00FA1A19">
        <w:t>use</w:t>
      </w:r>
      <w:r w:rsidR="004E7325" w:rsidRPr="00FA1A19">
        <w:t xml:space="preserve"> algorithms</w:t>
      </w:r>
      <w:r w:rsidR="00C25666" w:rsidRPr="00170ADC">
        <w:rPr>
          <w:rStyle w:val="FootnoteReference"/>
        </w:rPr>
        <w:footnoteReference w:id="200"/>
      </w:r>
      <w:r w:rsidR="00EA6390" w:rsidRPr="00FA1A19">
        <w:t xml:space="preserve"> which are specialised software that allows for automated, and often high</w:t>
      </w:r>
      <w:r w:rsidR="00F75232">
        <w:noBreakHyphen/>
      </w:r>
      <w:r w:rsidR="00EA6390" w:rsidRPr="00FA1A19">
        <w:t xml:space="preserve">speed, trading – </w:t>
      </w:r>
      <w:r w:rsidR="00F75232">
        <w:t>‘</w:t>
      </w:r>
      <w:r w:rsidR="00EA6390" w:rsidRPr="00FA1A19">
        <w:t>often by sophis</w:t>
      </w:r>
      <w:r w:rsidR="00E43158" w:rsidRPr="00FA1A19">
        <w:t>tic</w:t>
      </w:r>
      <w:r w:rsidR="0082762F" w:rsidRPr="00FA1A19">
        <w:t>at</w:t>
      </w:r>
      <w:r w:rsidR="00EA6390" w:rsidRPr="00FA1A19">
        <w:t>ed, well</w:t>
      </w:r>
      <w:r w:rsidR="00F75232">
        <w:noBreakHyphen/>
      </w:r>
      <w:r w:rsidR="00EA6390" w:rsidRPr="00FA1A19">
        <w:t>capitalized entities</w:t>
      </w:r>
      <w:r w:rsidR="00F75232">
        <w:t>’</w:t>
      </w:r>
      <w:r w:rsidR="00EA6390" w:rsidRPr="00FA1A19">
        <w:t>.</w:t>
      </w:r>
      <w:r w:rsidR="004F0A51" w:rsidRPr="00FA1A19">
        <w:t xml:space="preserve"> </w:t>
      </w:r>
      <w:r w:rsidR="00EC6EBB" w:rsidRPr="00FA1A19">
        <w:t>Algorithms</w:t>
      </w:r>
      <w:r w:rsidR="005D7F4C" w:rsidRPr="00FA1A19">
        <w:t xml:space="preserve"> may be used to </w:t>
      </w:r>
      <w:r w:rsidR="00F75232">
        <w:t>‘</w:t>
      </w:r>
      <w:r w:rsidR="005D7F4C" w:rsidRPr="00FA1A19">
        <w:t>automate trading decisions based on certain pre</w:t>
      </w:r>
      <w:r w:rsidR="00F75232">
        <w:noBreakHyphen/>
      </w:r>
      <w:r w:rsidR="005D7F4C" w:rsidRPr="00FA1A19">
        <w:t>determined triggers.</w:t>
      </w:r>
      <w:r w:rsidR="004F0A51" w:rsidRPr="00FA1A19">
        <w:t xml:space="preserve"> </w:t>
      </w:r>
      <w:r w:rsidR="00EC6EBB" w:rsidRPr="00FA1A19">
        <w:t>Algorithms</w:t>
      </w:r>
      <w:r w:rsidR="00FF0434" w:rsidRPr="00FA1A19">
        <w:t xml:space="preserve"> run various trading strategies or identify arbitrage opportunities.</w:t>
      </w:r>
      <w:r w:rsidR="004F0A51" w:rsidRPr="00FA1A19">
        <w:t xml:space="preserve"> </w:t>
      </w:r>
      <w:r w:rsidR="00523A64" w:rsidRPr="00FA1A19">
        <w:t xml:space="preserve">By exploiting arbitrage opportunities, </w:t>
      </w:r>
      <w:r w:rsidR="00EC6EBB" w:rsidRPr="00FA1A19">
        <w:t xml:space="preserve">Algorithms </w:t>
      </w:r>
      <w:r w:rsidR="005B1E64" w:rsidRPr="00FA1A19">
        <w:t xml:space="preserve">allow protocols to adapt to </w:t>
      </w:r>
      <w:r w:rsidR="00EA5770" w:rsidRPr="00FA1A19">
        <w:t>the market.</w:t>
      </w:r>
      <w:r w:rsidR="004F0A51" w:rsidRPr="00FA1A19">
        <w:t xml:space="preserve"> </w:t>
      </w:r>
    </w:p>
    <w:p w14:paraId="6A88B391" w14:textId="70182CA7" w:rsidR="00747CFE" w:rsidRPr="00FA1A19" w:rsidRDefault="009840B9" w:rsidP="00747CFE">
      <w:r w:rsidRPr="00FA1A19">
        <w:t>A</w:t>
      </w:r>
      <w:r w:rsidR="008F2F20" w:rsidRPr="00FA1A19">
        <w:t>utomated market makers (A</w:t>
      </w:r>
      <w:r w:rsidRPr="00FA1A19">
        <w:t>MMs</w:t>
      </w:r>
      <w:r w:rsidR="008F2F20" w:rsidRPr="00FA1A19">
        <w:t xml:space="preserve"> – see </w:t>
      </w:r>
      <w:r w:rsidR="00F75232">
        <w:t>‘</w:t>
      </w:r>
      <w:r w:rsidR="008F2F20" w:rsidRPr="00FA1A19">
        <w:t>Exchanges</w:t>
      </w:r>
      <w:r w:rsidR="00F75232">
        <w:t>’</w:t>
      </w:r>
      <w:r w:rsidR="008F2F20" w:rsidRPr="00FA1A19">
        <w:t xml:space="preserve"> above)</w:t>
      </w:r>
      <w:r w:rsidRPr="00FA1A19">
        <w:t xml:space="preserve"> rely on </w:t>
      </w:r>
      <w:r w:rsidR="00F75232">
        <w:t>‘</w:t>
      </w:r>
      <w:r w:rsidRPr="00FA1A19">
        <w:t>bot</w:t>
      </w:r>
      <w:r w:rsidR="00F75232">
        <w:t>’</w:t>
      </w:r>
      <w:r w:rsidRPr="00FA1A19">
        <w:t xml:space="preserve"> arbitrage to adjust the </w:t>
      </w:r>
      <w:r w:rsidRPr="00FA1A19" w:rsidDel="00597A3B">
        <w:t>A</w:t>
      </w:r>
      <w:r w:rsidR="00597A3B" w:rsidRPr="00FA1A19">
        <w:t>M</w:t>
      </w:r>
      <w:r w:rsidRPr="00FA1A19">
        <w:t>M pool</w:t>
      </w:r>
      <w:r w:rsidR="00F75232">
        <w:t>’</w:t>
      </w:r>
      <w:r w:rsidRPr="00FA1A19">
        <w:t>s holdings (and so its trading price) if the smart contract deviates from market prices.</w:t>
      </w:r>
      <w:r w:rsidRPr="00170ADC">
        <w:rPr>
          <w:rStyle w:val="FootnoteReference"/>
        </w:rPr>
        <w:footnoteReference w:id="201"/>
      </w:r>
    </w:p>
    <w:p w14:paraId="09E487FA" w14:textId="440FE1C4" w:rsidR="00747CFE" w:rsidRPr="00FA1A19" w:rsidRDefault="00F75232" w:rsidP="00747CFE">
      <w:r>
        <w:t>‘</w:t>
      </w:r>
      <w:r w:rsidR="00183FEA" w:rsidRPr="00FA1A19">
        <w:t>Aggregators</w:t>
      </w:r>
      <w:r>
        <w:t>’</w:t>
      </w:r>
      <w:r w:rsidR="00183FEA" w:rsidRPr="00FA1A19">
        <w:t xml:space="preserve"> are other software</w:t>
      </w:r>
      <w:r>
        <w:noBreakHyphen/>
      </w:r>
      <w:r w:rsidR="00183FEA" w:rsidRPr="00FA1A19">
        <w:t xml:space="preserve">based products </w:t>
      </w:r>
      <w:r w:rsidR="001B42AC" w:rsidRPr="00FA1A19">
        <w:t>that enable various trading activities.</w:t>
      </w:r>
      <w:r w:rsidR="004F0A51" w:rsidRPr="00FA1A19">
        <w:t xml:space="preserve"> </w:t>
      </w:r>
      <w:r w:rsidR="001B42AC" w:rsidRPr="00FA1A19">
        <w:t xml:space="preserve">They </w:t>
      </w:r>
      <w:r w:rsidR="005C546F" w:rsidRPr="00FA1A19">
        <w:t xml:space="preserve">scan across protocols </w:t>
      </w:r>
      <w:r w:rsidR="00A91275" w:rsidRPr="00FA1A19">
        <w:t xml:space="preserve">to identify and implement </w:t>
      </w:r>
      <w:r w:rsidR="000162AF" w:rsidRPr="00FA1A19">
        <w:t>transactions to optimi</w:t>
      </w:r>
      <w:r w:rsidR="004B174B" w:rsidRPr="00FA1A19">
        <w:t>s</w:t>
      </w:r>
      <w:r w:rsidR="000162AF" w:rsidRPr="00FA1A19">
        <w:t>e liquidity or yield</w:t>
      </w:r>
      <w:r>
        <w:noBreakHyphen/>
      </w:r>
      <w:r w:rsidR="000162AF" w:rsidRPr="00FA1A19">
        <w:t>generating opportunities</w:t>
      </w:r>
      <w:r w:rsidR="009558B9" w:rsidRPr="00FA1A19">
        <w:t xml:space="preserve"> for their users</w:t>
      </w:r>
      <w:r w:rsidR="000162AF" w:rsidRPr="00FA1A19">
        <w:t>.</w:t>
      </w:r>
      <w:r w:rsidR="004F0A51" w:rsidRPr="00FA1A19">
        <w:t xml:space="preserve"> </w:t>
      </w:r>
      <w:r w:rsidR="003F0BE5" w:rsidRPr="00FA1A19">
        <w:t xml:space="preserve">DEX aggregators </w:t>
      </w:r>
      <w:r w:rsidR="00BE6F8F" w:rsidRPr="00FA1A19">
        <w:t xml:space="preserve">scan a range of trading protocols for the purpose of finding the best terms for a trade (including the trading price, trading fee and </w:t>
      </w:r>
      <w:r>
        <w:t>‘</w:t>
      </w:r>
      <w:r w:rsidR="00BE6F8F" w:rsidRPr="00FA1A19">
        <w:t>slippage</w:t>
      </w:r>
      <w:r>
        <w:t>’</w:t>
      </w:r>
      <w:r w:rsidR="00BE6F8F" w:rsidRPr="00FA1A19">
        <w:t xml:space="preserve"> – i</w:t>
      </w:r>
      <w:r w:rsidR="002E4D02" w:rsidRPr="00FA1A19">
        <w:t>.</w:t>
      </w:r>
      <w:r w:rsidR="00BE6F8F" w:rsidRPr="00FA1A19">
        <w:t>e</w:t>
      </w:r>
      <w:r w:rsidR="00884071" w:rsidRPr="00FA1A19">
        <w:t>.</w:t>
      </w:r>
      <w:r w:rsidR="00BE6F8F" w:rsidRPr="00FA1A19">
        <w:t xml:space="preserve"> </w:t>
      </w:r>
      <w:r w:rsidR="00A05606" w:rsidRPr="00FA1A19">
        <w:t xml:space="preserve">the </w:t>
      </w:r>
      <w:r w:rsidR="00BE6F8F" w:rsidRPr="00FA1A19">
        <w:t>probability that the deal terms will change over time).</w:t>
      </w:r>
      <w:r w:rsidR="004F0A51" w:rsidRPr="00FA1A19">
        <w:t xml:space="preserve"> </w:t>
      </w:r>
      <w:r w:rsidR="00F62D17" w:rsidRPr="00FA1A19">
        <w:t>Aggregators</w:t>
      </w:r>
      <w:r w:rsidR="00BE6F8F" w:rsidRPr="00FA1A19">
        <w:t xml:space="preserve"> may charge a fee for their service, </w:t>
      </w:r>
      <w:r w:rsidR="000830C4" w:rsidRPr="00FA1A19">
        <w:t>which is</w:t>
      </w:r>
      <w:r w:rsidR="00BE6F8F" w:rsidRPr="00FA1A19">
        <w:t xml:space="preserve"> added to the fees otherwise charged by the </w:t>
      </w:r>
      <w:r w:rsidR="00F62D17" w:rsidRPr="00FA1A19">
        <w:t xml:space="preserve">protocols for the </w:t>
      </w:r>
      <w:r w:rsidR="003C71CC" w:rsidRPr="00FA1A19">
        <w:t>trade</w:t>
      </w:r>
      <w:r w:rsidR="00F62D17" w:rsidRPr="00FA1A19">
        <w:t xml:space="preserve"> that occurs.</w:t>
      </w:r>
      <w:r w:rsidR="001C229E" w:rsidRPr="00170ADC">
        <w:rPr>
          <w:rStyle w:val="FootnoteReference"/>
        </w:rPr>
        <w:footnoteReference w:id="202"/>
      </w:r>
    </w:p>
    <w:p w14:paraId="09041953" w14:textId="7CBC87E2" w:rsidR="00747CFE" w:rsidRPr="00FA1A19" w:rsidRDefault="00747CFE" w:rsidP="0069352C">
      <w:pPr>
        <w:pStyle w:val="Heading4"/>
      </w:pPr>
      <w:r w:rsidRPr="00FA1A19">
        <w:t>Insurance or Risk Protection</w:t>
      </w:r>
    </w:p>
    <w:p w14:paraId="428AB53B" w14:textId="2C6B20C3" w:rsidR="00747CFE" w:rsidRPr="00FA1A19" w:rsidRDefault="00194D41" w:rsidP="00747CFE">
      <w:r w:rsidRPr="00FA1A19">
        <w:t xml:space="preserve">Investors </w:t>
      </w:r>
      <w:r w:rsidR="00741EB8" w:rsidRPr="00FA1A19">
        <w:t xml:space="preserve">may </w:t>
      </w:r>
      <w:r w:rsidR="001F01AC" w:rsidRPr="00FA1A19">
        <w:t>obtain protection against a certain event (e</w:t>
      </w:r>
      <w:r w:rsidR="009A6A2B" w:rsidRPr="00FA1A19">
        <w:t>.</w:t>
      </w:r>
      <w:r w:rsidR="001F01AC" w:rsidRPr="00FA1A19">
        <w:t>g. the hack or failure of a particular DeFi protocol or centrali</w:t>
      </w:r>
      <w:r w:rsidR="009A6A2B" w:rsidRPr="00FA1A19">
        <w:t>s</w:t>
      </w:r>
      <w:r w:rsidR="001F01AC" w:rsidRPr="00FA1A19">
        <w:t xml:space="preserve">ed trading platform or a stablecoin price crash) in exchange for a fee (or premium) which goes to the participants who assume the risk of the event by depositing </w:t>
      </w:r>
      <w:r w:rsidR="00E6558B" w:rsidRPr="00FA1A19">
        <w:t>crypto</w:t>
      </w:r>
      <w:r w:rsidR="0064746A" w:rsidRPr="00FA1A19">
        <w:t xml:space="preserve"> assets</w:t>
      </w:r>
      <w:r w:rsidR="00E6558B" w:rsidRPr="00FA1A19">
        <w:t xml:space="preserve"> in a </w:t>
      </w:r>
      <w:r w:rsidR="00507C2B" w:rsidRPr="00FA1A19">
        <w:t>shared risk pool.</w:t>
      </w:r>
      <w:r w:rsidR="004F0A51" w:rsidRPr="00FA1A19">
        <w:t xml:space="preserve"> </w:t>
      </w:r>
      <w:r w:rsidR="00E45FBF" w:rsidRPr="00FA1A19">
        <w:t xml:space="preserve">Although likened to insurance, </w:t>
      </w:r>
      <w:r w:rsidR="00DA0197" w:rsidRPr="00FA1A19">
        <w:t>the smart contracts that un</w:t>
      </w:r>
      <w:r w:rsidR="00594B9B" w:rsidRPr="00FA1A19">
        <w:t>derly these transactions are essentially shared risk pools that offer and sell event contracts</w:t>
      </w:r>
      <w:r w:rsidR="000B4BC8" w:rsidRPr="00170ADC">
        <w:rPr>
          <w:rStyle w:val="FootnoteReference"/>
        </w:rPr>
        <w:footnoteReference w:id="203"/>
      </w:r>
      <w:r w:rsidR="00594B9B" w:rsidRPr="00FA1A19">
        <w:t xml:space="preserve"> </w:t>
      </w:r>
      <w:r w:rsidR="000B4BC8" w:rsidRPr="00FA1A19">
        <w:t>(see derivatives and synthetics above).</w:t>
      </w:r>
    </w:p>
    <w:p w14:paraId="70E131DA" w14:textId="77777777" w:rsidR="00324AF5" w:rsidRPr="00FA1A19" w:rsidRDefault="00324AF5" w:rsidP="0069352C">
      <w:pPr>
        <w:pStyle w:val="Heading4"/>
      </w:pPr>
      <w:r w:rsidRPr="00FA1A19">
        <w:t>Asset Management and Advisory Activity</w:t>
      </w:r>
    </w:p>
    <w:p w14:paraId="04F86CFC" w14:textId="5A507893" w:rsidR="00034C72" w:rsidRPr="00FA1A19" w:rsidRDefault="000E167B" w:rsidP="00747CFE">
      <w:r w:rsidRPr="00FA1A19">
        <w:t>DeFi asset</w:t>
      </w:r>
      <w:r w:rsidR="00F75232">
        <w:noBreakHyphen/>
      </w:r>
      <w:r w:rsidRPr="00FA1A19">
        <w:t>management and advisory arrangements can take various forms.</w:t>
      </w:r>
      <w:r w:rsidR="00A42753" w:rsidRPr="00170ADC">
        <w:rPr>
          <w:rStyle w:val="FootnoteReference"/>
        </w:rPr>
        <w:footnoteReference w:id="204"/>
      </w:r>
      <w:r w:rsidR="004F0A51" w:rsidRPr="00FA1A19">
        <w:t xml:space="preserve"> </w:t>
      </w:r>
    </w:p>
    <w:p w14:paraId="7B3C7A7D" w14:textId="490D9789" w:rsidR="00CA3654" w:rsidRPr="00FA1A19" w:rsidRDefault="00777AED" w:rsidP="00747CFE">
      <w:r w:rsidRPr="00FA1A19">
        <w:t xml:space="preserve">In some cases, smart contracts can automate investment strategies for </w:t>
      </w:r>
      <w:r w:rsidR="007F76D4" w:rsidRPr="00FA1A19">
        <w:t>investors</w:t>
      </w:r>
      <w:r w:rsidR="00F75232">
        <w:t>’</w:t>
      </w:r>
      <w:r w:rsidR="007F76D4" w:rsidRPr="00FA1A19">
        <w:t xml:space="preserve"> pooled assets</w:t>
      </w:r>
      <w:r w:rsidR="001E6CFA" w:rsidRPr="00FA1A19">
        <w:t xml:space="preserve"> (</w:t>
      </w:r>
      <w:r w:rsidR="0081116B" w:rsidRPr="00FA1A19">
        <w:t>currently these are</w:t>
      </w:r>
      <w:r w:rsidR="001E6CFA" w:rsidRPr="00FA1A19">
        <w:t xml:space="preserve"> </w:t>
      </w:r>
      <w:r w:rsidR="0081116B" w:rsidRPr="00FA1A19">
        <w:t>crypto</w:t>
      </w:r>
      <w:r w:rsidR="0064746A" w:rsidRPr="00FA1A19">
        <w:t xml:space="preserve"> assets</w:t>
      </w:r>
      <w:r w:rsidR="0081116B" w:rsidRPr="00FA1A19">
        <w:t xml:space="preserve"> including crypto</w:t>
      </w:r>
      <w:r w:rsidR="0064746A" w:rsidRPr="00FA1A19">
        <w:t xml:space="preserve"> assets</w:t>
      </w:r>
      <w:r w:rsidR="0081116B" w:rsidRPr="00FA1A19">
        <w:t xml:space="preserve"> that provide derivative/synthetic exposure to real world assets, but tokeni</w:t>
      </w:r>
      <w:r w:rsidR="0019339D" w:rsidRPr="00FA1A19">
        <w:t>s</w:t>
      </w:r>
      <w:r w:rsidR="0081116B" w:rsidRPr="00FA1A19">
        <w:t>ed real</w:t>
      </w:r>
      <w:r w:rsidR="00F75232">
        <w:noBreakHyphen/>
      </w:r>
      <w:r w:rsidR="0081116B" w:rsidRPr="00FA1A19">
        <w:t>world securities and assets could also be included)</w:t>
      </w:r>
      <w:r w:rsidR="007F76D4" w:rsidRPr="00FA1A19">
        <w:t>.</w:t>
      </w:r>
      <w:r w:rsidR="004F0A51" w:rsidRPr="00FA1A19">
        <w:t xml:space="preserve"> </w:t>
      </w:r>
      <w:r w:rsidR="008560B1" w:rsidRPr="00FA1A19">
        <w:t>The DeFi protocols set the parameters such as fees, asset weighting, asset types and number of positions.</w:t>
      </w:r>
      <w:r w:rsidR="004F0A51" w:rsidRPr="00FA1A19">
        <w:t xml:space="preserve"> </w:t>
      </w:r>
      <w:r w:rsidR="00D11A2B" w:rsidRPr="00FA1A19">
        <w:t>The protocols use algorithms to ensure the pool meets the investment objectives and parameters.</w:t>
      </w:r>
      <w:r w:rsidR="004F0A51" w:rsidRPr="00FA1A19">
        <w:t xml:space="preserve"> </w:t>
      </w:r>
      <w:r w:rsidR="002F6771" w:rsidRPr="00FA1A19">
        <w:t xml:space="preserve">Investors can receive a separate token which can be used for governance votes and </w:t>
      </w:r>
      <w:r w:rsidR="008B3AC9" w:rsidRPr="00FA1A19">
        <w:t>that can be used to pay transaction costs or management fees.</w:t>
      </w:r>
      <w:r w:rsidR="004F0A51" w:rsidRPr="00FA1A19">
        <w:t xml:space="preserve"> </w:t>
      </w:r>
      <w:r w:rsidR="00AC021E" w:rsidRPr="00FA1A19">
        <w:t>Other investors can invest in the pool, typically through a website interface</w:t>
      </w:r>
      <w:r w:rsidR="007854BF" w:rsidRPr="00FA1A19">
        <w:t xml:space="preserve"> to the protocol.</w:t>
      </w:r>
      <w:r w:rsidR="004F0A51" w:rsidRPr="00FA1A19">
        <w:t xml:space="preserve"> </w:t>
      </w:r>
      <w:r w:rsidR="00F41EA8" w:rsidRPr="00FA1A19">
        <w:t>In some cases, invested crypto</w:t>
      </w:r>
      <w:r w:rsidR="0064746A" w:rsidRPr="00FA1A19">
        <w:t xml:space="preserve"> </w:t>
      </w:r>
      <w:r w:rsidR="00F41EA8" w:rsidRPr="00FA1A19">
        <w:t>assets remain within the wallet of the investor, negating the need for a third</w:t>
      </w:r>
      <w:r w:rsidR="00F75232">
        <w:noBreakHyphen/>
      </w:r>
      <w:r w:rsidR="00F41EA8" w:rsidRPr="00FA1A19">
        <w:t>party custodian.</w:t>
      </w:r>
    </w:p>
    <w:p w14:paraId="68C31429" w14:textId="2DE2E2AF" w:rsidR="00284CBD" w:rsidRPr="00FA1A19" w:rsidRDefault="00284CBD" w:rsidP="00747CFE">
      <w:r w:rsidRPr="00FA1A19">
        <w:t xml:space="preserve">In </w:t>
      </w:r>
      <w:r w:rsidR="00034C72" w:rsidRPr="00FA1A19">
        <w:t>other</w:t>
      </w:r>
      <w:r w:rsidRPr="00FA1A19">
        <w:t xml:space="preserve"> cases, </w:t>
      </w:r>
      <w:r w:rsidR="00034C72" w:rsidRPr="00FA1A19">
        <w:t>i</w:t>
      </w:r>
      <w:r w:rsidR="00DA5203" w:rsidRPr="00FA1A19">
        <w:t>nvestment decision</w:t>
      </w:r>
      <w:r w:rsidR="00F75232">
        <w:noBreakHyphen/>
      </w:r>
      <w:r w:rsidR="00DA5203" w:rsidRPr="00FA1A19">
        <w:t>maki</w:t>
      </w:r>
      <w:r w:rsidR="00611D0B" w:rsidRPr="00FA1A19">
        <w:t xml:space="preserve">ng for the DeFi asset pool can be put in the hands of an entity that acts as a portfolio manager </w:t>
      </w:r>
      <w:r w:rsidR="00C33BEA" w:rsidRPr="00FA1A19">
        <w:t>and</w:t>
      </w:r>
      <w:r w:rsidR="00611D0B" w:rsidRPr="00FA1A19">
        <w:t xml:space="preserve"> has discretion over investments.</w:t>
      </w:r>
      <w:r w:rsidR="004F0A51" w:rsidRPr="00FA1A19">
        <w:t xml:space="preserve"> </w:t>
      </w:r>
    </w:p>
    <w:p w14:paraId="3A69F114" w14:textId="229A248B" w:rsidR="001E6CFA" w:rsidRPr="00FA1A19" w:rsidRDefault="00FE0A76" w:rsidP="00747CFE">
      <w:r w:rsidRPr="00FA1A19">
        <w:t>Some protocols operate to pool investors</w:t>
      </w:r>
      <w:r w:rsidR="00F75232">
        <w:t>’</w:t>
      </w:r>
      <w:r w:rsidRPr="00FA1A19">
        <w:t xml:space="preserve"> crypto</w:t>
      </w:r>
      <w:r w:rsidR="0064746A" w:rsidRPr="00FA1A19">
        <w:t xml:space="preserve"> assets</w:t>
      </w:r>
      <w:r w:rsidRPr="00FA1A19">
        <w:t xml:space="preserve"> for trading, lending and borrowing purposes, to attain a greater yield</w:t>
      </w:r>
      <w:r w:rsidR="00461D82" w:rsidRPr="00FA1A19">
        <w:t xml:space="preserve"> (</w:t>
      </w:r>
      <w:r w:rsidR="00F75232">
        <w:t>‘</w:t>
      </w:r>
      <w:r w:rsidR="00461D82" w:rsidRPr="00FA1A19">
        <w:t>yield</w:t>
      </w:r>
      <w:r w:rsidR="008307FF" w:rsidRPr="00FA1A19">
        <w:t xml:space="preserve"> </w:t>
      </w:r>
      <w:r w:rsidR="00461D82" w:rsidRPr="00FA1A19">
        <w:t>farming</w:t>
      </w:r>
      <w:r w:rsidR="00F75232">
        <w:t>’</w:t>
      </w:r>
      <w:r w:rsidR="00461D82" w:rsidRPr="00FA1A19">
        <w:t xml:space="preserve"> aggregators or pools).</w:t>
      </w:r>
      <w:r w:rsidR="004F0A51" w:rsidRPr="00FA1A19">
        <w:t xml:space="preserve"> </w:t>
      </w:r>
      <w:r w:rsidR="007365D0" w:rsidRPr="00FA1A19">
        <w:t>Yield</w:t>
      </w:r>
      <w:r w:rsidR="008307FF" w:rsidRPr="00FA1A19">
        <w:t xml:space="preserve"> </w:t>
      </w:r>
      <w:r w:rsidR="007365D0" w:rsidRPr="00FA1A19">
        <w:t>farming aggregators or pools can constantly rebalance in accordance with strategies coded into smart contracts.</w:t>
      </w:r>
      <w:r w:rsidR="004F0A51" w:rsidRPr="00FA1A19">
        <w:t xml:space="preserve"> </w:t>
      </w:r>
      <w:r w:rsidR="007365D0" w:rsidRPr="00FA1A19">
        <w:t>Participants deposit crypto</w:t>
      </w:r>
      <w:r w:rsidR="0064746A" w:rsidRPr="00FA1A19">
        <w:t xml:space="preserve"> assets</w:t>
      </w:r>
      <w:r w:rsidR="007365D0" w:rsidRPr="00FA1A19">
        <w:t xml:space="preserve"> in the associated yield</w:t>
      </w:r>
      <w:r w:rsidR="008307FF" w:rsidRPr="00FA1A19">
        <w:t xml:space="preserve"> </w:t>
      </w:r>
      <w:r w:rsidR="007365D0" w:rsidRPr="00FA1A19">
        <w:t>farming protocol and receive a crypto</w:t>
      </w:r>
      <w:r w:rsidR="0064746A" w:rsidRPr="00FA1A19">
        <w:t xml:space="preserve"> asset</w:t>
      </w:r>
      <w:r w:rsidR="007365D0" w:rsidRPr="00FA1A19">
        <w:t xml:space="preserve"> representing their pro rata share of the asset management pool, which is redeemable at any time.</w:t>
      </w:r>
      <w:r w:rsidR="004F0A51" w:rsidRPr="00FA1A19">
        <w:t xml:space="preserve"> </w:t>
      </w:r>
      <w:r w:rsidR="007365D0" w:rsidRPr="00FA1A19">
        <w:t>Yield</w:t>
      </w:r>
      <w:r w:rsidR="008307FF" w:rsidRPr="00FA1A19">
        <w:t xml:space="preserve"> </w:t>
      </w:r>
      <w:r w:rsidR="007365D0" w:rsidRPr="00FA1A19">
        <w:t>farming aggregators or pools use smart contracts, however the creators or developers of these smart contracts often retain the ability to modify the smart contracts and algorithms.</w:t>
      </w:r>
    </w:p>
    <w:p w14:paraId="74561F2F" w14:textId="0335759B" w:rsidR="000234E5" w:rsidRPr="00FA1A19" w:rsidRDefault="000234E5" w:rsidP="000234E5">
      <w:r w:rsidRPr="00FA1A19">
        <w:t>DeFi asset management</w:t>
      </w:r>
      <w:r w:rsidR="00B04213" w:rsidRPr="00FA1A19">
        <w:t xml:space="preserve"> has been said to promise</w:t>
      </w:r>
      <w:r w:rsidRPr="00FA1A19">
        <w:t xml:space="preserve"> </w:t>
      </w:r>
      <w:r w:rsidR="00F75232">
        <w:t>‘</w:t>
      </w:r>
      <w:r w:rsidRPr="00FA1A19">
        <w:t>greater transparency and efficiency in constructing and executing investment strategies, by incorporating the asset management life cycle into a DApp [decentralised application].</w:t>
      </w:r>
      <w:r w:rsidR="00F75232">
        <w:t>’</w:t>
      </w:r>
      <w:r w:rsidRPr="00170ADC">
        <w:rPr>
          <w:rStyle w:val="FootnoteReference"/>
        </w:rPr>
        <w:footnoteReference w:id="205"/>
      </w:r>
    </w:p>
    <w:p w14:paraId="47ABEE56" w14:textId="7BB2B26E" w:rsidR="00301B95" w:rsidRPr="00FA1A19" w:rsidRDefault="00E9758A" w:rsidP="00342121">
      <w:pPr>
        <w:pStyle w:val="Heading3"/>
      </w:pPr>
      <w:r w:rsidRPr="00FA1A19">
        <w:t>R</w:t>
      </w:r>
      <w:r w:rsidR="00BB12B3" w:rsidRPr="00FA1A19">
        <w:t>eturns</w:t>
      </w:r>
      <w:r w:rsidR="00C07F04" w:rsidRPr="00FA1A19">
        <w:t xml:space="preserve"> available </w:t>
      </w:r>
      <w:r w:rsidRPr="00FA1A19">
        <w:t>from</w:t>
      </w:r>
      <w:r w:rsidR="00C07F04" w:rsidRPr="00FA1A19">
        <w:t xml:space="preserve"> </w:t>
      </w:r>
      <w:r w:rsidR="00C05573" w:rsidRPr="00FA1A19">
        <w:t>holding</w:t>
      </w:r>
      <w:r w:rsidR="00150B6D" w:rsidRPr="00FA1A19">
        <w:t>s of</w:t>
      </w:r>
      <w:r w:rsidR="00C05573" w:rsidRPr="00FA1A19">
        <w:t xml:space="preserve"> </w:t>
      </w:r>
      <w:r w:rsidR="00C07F04" w:rsidRPr="00FA1A19">
        <w:t>crypto asset</w:t>
      </w:r>
      <w:r w:rsidR="00C05573" w:rsidRPr="00FA1A19">
        <w:t>s</w:t>
      </w:r>
      <w:r w:rsidRPr="00FA1A19">
        <w:t xml:space="preserve"> </w:t>
      </w:r>
    </w:p>
    <w:p w14:paraId="03159C84" w14:textId="01D96C4B" w:rsidR="00301B95" w:rsidRPr="00FA1A19" w:rsidRDefault="00612D93" w:rsidP="00301B95">
      <w:r w:rsidRPr="00FA1A19">
        <w:t xml:space="preserve">From the above, it can be seen that </w:t>
      </w:r>
      <w:r w:rsidR="009A42D2" w:rsidRPr="00FA1A19">
        <w:t>holders of crypto assets can exploit those assets in various ways in order to obtain returns.</w:t>
      </w:r>
      <w:r w:rsidR="004F0A51" w:rsidRPr="00FA1A19">
        <w:t xml:space="preserve"> </w:t>
      </w:r>
      <w:r w:rsidR="00712BF5" w:rsidRPr="00FA1A19">
        <w:t>For example</w:t>
      </w:r>
      <w:r w:rsidR="00301B95" w:rsidRPr="00FA1A19">
        <w:t>:</w:t>
      </w:r>
      <w:r w:rsidR="00301B95" w:rsidRPr="00170ADC">
        <w:rPr>
          <w:rStyle w:val="FootnoteReference"/>
        </w:rPr>
        <w:footnoteReference w:id="206"/>
      </w:r>
    </w:p>
    <w:p w14:paraId="6F221D63" w14:textId="313A46CC" w:rsidR="00301B95" w:rsidRPr="00FA1A19" w:rsidRDefault="00D211AA" w:rsidP="008371A3">
      <w:pPr>
        <w:pStyle w:val="Bullet"/>
      </w:pPr>
      <w:r>
        <w:t>I</w:t>
      </w:r>
      <w:r w:rsidRPr="00FA1A19">
        <w:t xml:space="preserve">nvestors </w:t>
      </w:r>
      <w:r w:rsidR="00052FC3" w:rsidRPr="00FA1A19">
        <w:t xml:space="preserve">can </w:t>
      </w:r>
      <w:r w:rsidR="00E41134" w:rsidRPr="00FA1A19">
        <w:t xml:space="preserve">contribute </w:t>
      </w:r>
      <w:r w:rsidR="00112472" w:rsidRPr="00FA1A19">
        <w:t xml:space="preserve">their crypto </w:t>
      </w:r>
      <w:r w:rsidR="00301B95" w:rsidRPr="00FA1A19">
        <w:t xml:space="preserve">assets </w:t>
      </w:r>
      <w:r w:rsidR="00E41134" w:rsidRPr="00FA1A19">
        <w:t>to</w:t>
      </w:r>
      <w:r w:rsidR="00901ED0" w:rsidRPr="00FA1A19">
        <w:t xml:space="preserve"> lending </w:t>
      </w:r>
      <w:r w:rsidR="00301B95" w:rsidRPr="00FA1A19">
        <w:t>pools</w:t>
      </w:r>
      <w:r w:rsidR="00052FC3" w:rsidRPr="00FA1A19">
        <w:t xml:space="preserve"> in return for interest</w:t>
      </w:r>
      <w:r w:rsidR="001F0924" w:rsidRPr="00FA1A19">
        <w:t xml:space="preserve"> (</w:t>
      </w:r>
      <w:r w:rsidR="00B41F83" w:rsidRPr="00FA1A19">
        <w:t xml:space="preserve">which has been referred to as </w:t>
      </w:r>
      <w:r w:rsidR="001F0924" w:rsidRPr="00FA1A19">
        <w:t xml:space="preserve">a type of </w:t>
      </w:r>
      <w:r w:rsidR="00F75232">
        <w:t>‘</w:t>
      </w:r>
      <w:r w:rsidR="001F0924" w:rsidRPr="00FA1A19">
        <w:t>lock</w:t>
      </w:r>
      <w:r w:rsidR="00F75232">
        <w:noBreakHyphen/>
      </w:r>
      <w:r w:rsidR="001F0924" w:rsidRPr="00FA1A19">
        <w:t>up yield</w:t>
      </w:r>
      <w:r w:rsidR="00F75232">
        <w:t>’</w:t>
      </w:r>
      <w:r w:rsidR="001F0924" w:rsidRPr="00FA1A19">
        <w:t>)</w:t>
      </w:r>
      <w:r w:rsidR="004513C7" w:rsidRPr="00FA1A19" w:rsidDel="0068615E">
        <w:t>.</w:t>
      </w:r>
      <w:r w:rsidR="00052FC3" w:rsidRPr="00170ADC">
        <w:rPr>
          <w:rStyle w:val="FootnoteReference"/>
        </w:rPr>
        <w:footnoteReference w:id="207"/>
      </w:r>
      <w:r w:rsidR="004F0A51" w:rsidRPr="00FA1A19">
        <w:t xml:space="preserve"> </w:t>
      </w:r>
      <w:r w:rsidR="00915B4C" w:rsidRPr="00FA1A19">
        <w:t>See</w:t>
      </w:r>
      <w:r w:rsidR="007D2C8D" w:rsidRPr="00FA1A19">
        <w:t xml:space="preserve"> </w:t>
      </w:r>
      <w:r w:rsidR="00F75232">
        <w:t>‘</w:t>
      </w:r>
      <w:r w:rsidR="007D2C8D" w:rsidRPr="00FA1A19">
        <w:t>Lending and Borrowing</w:t>
      </w:r>
      <w:r w:rsidR="00F75232">
        <w:t>’</w:t>
      </w:r>
      <w:r w:rsidR="007D2C8D" w:rsidRPr="00FA1A19">
        <w:t xml:space="preserve"> above</w:t>
      </w:r>
      <w:r w:rsidR="0068615E" w:rsidRPr="00FA1A19">
        <w:t>.</w:t>
      </w:r>
      <w:r w:rsidR="007D2C8D" w:rsidRPr="00FA1A19">
        <w:t xml:space="preserve"> </w:t>
      </w:r>
    </w:p>
    <w:p w14:paraId="6EC82275" w14:textId="23BAC87E" w:rsidR="00625643" w:rsidRPr="00FA1A19" w:rsidRDefault="00F75232" w:rsidP="008B1C97">
      <w:pPr>
        <w:pStyle w:val="Bullet"/>
      </w:pPr>
      <w:r>
        <w:t>‘</w:t>
      </w:r>
      <w:r w:rsidR="00D211AA">
        <w:t>L</w:t>
      </w:r>
      <w:r w:rsidR="00D211AA" w:rsidRPr="00FA1A19">
        <w:t xml:space="preserve">iquidity </w:t>
      </w:r>
      <w:r w:rsidR="00301B95" w:rsidRPr="00FA1A19">
        <w:t>mining</w:t>
      </w:r>
      <w:r>
        <w:t>’</w:t>
      </w:r>
      <w:r w:rsidR="00301B95" w:rsidRPr="00FA1A19">
        <w:rPr>
          <w:i/>
          <w:iCs/>
        </w:rPr>
        <w:t xml:space="preserve"> </w:t>
      </w:r>
      <w:r w:rsidR="00B41F83" w:rsidRPr="00FA1A19">
        <w:t>where</w:t>
      </w:r>
      <w:r w:rsidR="00D37301" w:rsidRPr="00FA1A19">
        <w:t xml:space="preserve"> </w:t>
      </w:r>
      <w:r w:rsidR="00F53DCC" w:rsidRPr="008B1C97">
        <w:t>investors</w:t>
      </w:r>
      <w:r w:rsidR="00F53DCC" w:rsidRPr="00FA1A19">
        <w:t xml:space="preserve"> </w:t>
      </w:r>
      <w:r w:rsidR="00CA2FDF" w:rsidRPr="00FA1A19">
        <w:t xml:space="preserve">deposit </w:t>
      </w:r>
      <w:r w:rsidR="008A4D35" w:rsidRPr="00FA1A19">
        <w:t>crypto</w:t>
      </w:r>
      <w:r w:rsidR="0064746A" w:rsidRPr="00FA1A19">
        <w:t xml:space="preserve"> assets</w:t>
      </w:r>
      <w:r w:rsidR="008A4D35" w:rsidRPr="00FA1A19">
        <w:t xml:space="preserve"> into </w:t>
      </w:r>
      <w:r w:rsidR="000704E2" w:rsidRPr="00FA1A19">
        <w:t>a</w:t>
      </w:r>
      <w:r w:rsidR="00AA435C" w:rsidRPr="00FA1A19">
        <w:t xml:space="preserve"> decentralised </w:t>
      </w:r>
      <w:r w:rsidR="001B78F8" w:rsidRPr="00FA1A19">
        <w:t xml:space="preserve">order book </w:t>
      </w:r>
      <w:r w:rsidR="004F1EBF" w:rsidRPr="00FA1A19">
        <w:t xml:space="preserve">exchange </w:t>
      </w:r>
      <w:r w:rsidR="001B78F8" w:rsidRPr="00FA1A19">
        <w:t>or</w:t>
      </w:r>
      <w:r w:rsidR="000704E2" w:rsidRPr="00FA1A19">
        <w:t xml:space="preserve"> A</w:t>
      </w:r>
      <w:r w:rsidR="00E420B0" w:rsidRPr="00FA1A19">
        <w:t>MM</w:t>
      </w:r>
      <w:r w:rsidR="008B0259" w:rsidRPr="00FA1A19">
        <w:t xml:space="preserve"> </w:t>
      </w:r>
      <w:r w:rsidR="008A4D35" w:rsidRPr="00FA1A19">
        <w:t>liquidity pool</w:t>
      </w:r>
      <w:r w:rsidR="00907F72" w:rsidRPr="00FA1A19">
        <w:t xml:space="preserve"> for the purpose of facilitating</w:t>
      </w:r>
      <w:r w:rsidR="00A6559F" w:rsidRPr="00FA1A19">
        <w:t xml:space="preserve"> trading</w:t>
      </w:r>
      <w:r w:rsidR="00907F72" w:rsidRPr="00FA1A19">
        <w:t>,</w:t>
      </w:r>
      <w:r w:rsidR="0075206C" w:rsidRPr="00FA1A19">
        <w:t xml:space="preserve"> </w:t>
      </w:r>
      <w:r w:rsidR="007868C2" w:rsidRPr="00FA1A19">
        <w:t xml:space="preserve">in return for </w:t>
      </w:r>
      <w:r w:rsidR="00E77847" w:rsidRPr="00FA1A19">
        <w:t>a crypto</w:t>
      </w:r>
      <w:r w:rsidR="0064746A" w:rsidRPr="00FA1A19">
        <w:t xml:space="preserve"> asset</w:t>
      </w:r>
      <w:r w:rsidR="00E77847" w:rsidRPr="00FA1A19">
        <w:t xml:space="preserve"> that represents their pro rata inter</w:t>
      </w:r>
      <w:r w:rsidR="005C6988" w:rsidRPr="00FA1A19">
        <w:t>est in the liquidity pool</w:t>
      </w:r>
      <w:r w:rsidR="00EE3FDD" w:rsidRPr="00FA1A19">
        <w:t>,</w:t>
      </w:r>
      <w:r w:rsidR="005C6988" w:rsidRPr="00FA1A19">
        <w:t xml:space="preserve"> </w:t>
      </w:r>
      <w:r w:rsidR="00810A7C" w:rsidRPr="00FA1A19">
        <w:t xml:space="preserve">and </w:t>
      </w:r>
      <w:r w:rsidR="00B41533" w:rsidRPr="00FA1A19">
        <w:t>which</w:t>
      </w:r>
      <w:r w:rsidR="00C03DDA" w:rsidRPr="00FA1A19">
        <w:t xml:space="preserve"> </w:t>
      </w:r>
      <w:r w:rsidR="00810A7C" w:rsidRPr="00FA1A19">
        <w:t>is redeemable at any time for their share of the pool including accrued trading fees</w:t>
      </w:r>
      <w:r w:rsidR="00712BF5" w:rsidRPr="00FA1A19">
        <w:t>.</w:t>
      </w:r>
      <w:r w:rsidR="004F0A51" w:rsidRPr="00FA1A19">
        <w:t xml:space="preserve"> </w:t>
      </w:r>
      <w:r w:rsidR="00712BF5" w:rsidRPr="00FA1A19">
        <w:t>See</w:t>
      </w:r>
      <w:r w:rsidR="008307FF" w:rsidRPr="00FA1A19">
        <w:t xml:space="preserve"> </w:t>
      </w:r>
      <w:r>
        <w:t>‘</w:t>
      </w:r>
      <w:r w:rsidR="008307FF" w:rsidRPr="00FA1A19">
        <w:t>Exchanges</w:t>
      </w:r>
      <w:r>
        <w:t>’</w:t>
      </w:r>
      <w:r w:rsidR="008307FF" w:rsidRPr="00FA1A19">
        <w:t xml:space="preserve"> above</w:t>
      </w:r>
      <w:r w:rsidR="007868C2" w:rsidRPr="00FA1A19">
        <w:t>.</w:t>
      </w:r>
      <w:r w:rsidR="00625643" w:rsidRPr="00FA1A19">
        <w:t xml:space="preserve"> </w:t>
      </w:r>
    </w:p>
    <w:p w14:paraId="22ACBC8D" w14:textId="53A8B324" w:rsidR="00625643" w:rsidRPr="00DF49CF" w:rsidRDefault="00F75232" w:rsidP="008371A3">
      <w:pPr>
        <w:pStyle w:val="Bullet"/>
        <w:rPr>
          <w:spacing w:val="-1"/>
        </w:rPr>
      </w:pPr>
      <w:r>
        <w:rPr>
          <w:spacing w:val="-1"/>
        </w:rPr>
        <w:t>‘</w:t>
      </w:r>
      <w:r w:rsidR="00D211AA">
        <w:rPr>
          <w:spacing w:val="-1"/>
        </w:rPr>
        <w:t>Y</w:t>
      </w:r>
      <w:r w:rsidR="00D211AA" w:rsidRPr="00DF49CF">
        <w:rPr>
          <w:spacing w:val="-1"/>
        </w:rPr>
        <w:t xml:space="preserve">ield </w:t>
      </w:r>
      <w:r w:rsidR="00915B4C" w:rsidRPr="00DF49CF">
        <w:rPr>
          <w:spacing w:val="-1"/>
        </w:rPr>
        <w:t>farming</w:t>
      </w:r>
      <w:r>
        <w:rPr>
          <w:spacing w:val="-1"/>
        </w:rPr>
        <w:t>’</w:t>
      </w:r>
      <w:r w:rsidR="00153EE0" w:rsidRPr="00DF49CF">
        <w:rPr>
          <w:spacing w:val="-1"/>
        </w:rPr>
        <w:t xml:space="preserve"> which</w:t>
      </w:r>
      <w:r w:rsidR="00915B4C" w:rsidRPr="00DF49CF">
        <w:rPr>
          <w:spacing w:val="-1"/>
        </w:rPr>
        <w:t xml:space="preserve"> optimi</w:t>
      </w:r>
      <w:r w:rsidR="008C083B" w:rsidRPr="00DF49CF">
        <w:rPr>
          <w:spacing w:val="-1"/>
        </w:rPr>
        <w:t>s</w:t>
      </w:r>
      <w:r w:rsidR="00915B4C" w:rsidRPr="00DF49CF">
        <w:rPr>
          <w:spacing w:val="-1"/>
        </w:rPr>
        <w:t xml:space="preserve">es returns from activities </w:t>
      </w:r>
      <w:r w:rsidR="00D903DC" w:rsidRPr="00DF49CF">
        <w:rPr>
          <w:spacing w:val="-1"/>
        </w:rPr>
        <w:t>including</w:t>
      </w:r>
      <w:r w:rsidR="00915B4C" w:rsidRPr="00DF49CF">
        <w:rPr>
          <w:spacing w:val="-1"/>
        </w:rPr>
        <w:t xml:space="preserve"> </w:t>
      </w:r>
      <w:r w:rsidR="001E675C" w:rsidRPr="00DF49CF">
        <w:rPr>
          <w:spacing w:val="-1"/>
        </w:rPr>
        <w:t>lock</w:t>
      </w:r>
      <w:r>
        <w:rPr>
          <w:spacing w:val="-1"/>
        </w:rPr>
        <w:noBreakHyphen/>
      </w:r>
      <w:r w:rsidR="001E675C" w:rsidRPr="00DF49CF">
        <w:rPr>
          <w:spacing w:val="-1"/>
        </w:rPr>
        <w:t xml:space="preserve">up yields and </w:t>
      </w:r>
      <w:r w:rsidR="00915B4C" w:rsidRPr="00DF49CF">
        <w:rPr>
          <w:spacing w:val="-1"/>
        </w:rPr>
        <w:t>liquidity mining by constantly rebalancing the use of crypto assets.</w:t>
      </w:r>
      <w:r w:rsidR="004F0A51" w:rsidRPr="00DF49CF">
        <w:rPr>
          <w:spacing w:val="-1"/>
        </w:rPr>
        <w:t xml:space="preserve"> </w:t>
      </w:r>
      <w:r w:rsidR="00915B4C" w:rsidRPr="00DF49CF">
        <w:rPr>
          <w:spacing w:val="-1"/>
        </w:rPr>
        <w:t>Yield</w:t>
      </w:r>
      <w:r w:rsidR="0049160B" w:rsidRPr="00DF49CF">
        <w:rPr>
          <w:spacing w:val="-1"/>
        </w:rPr>
        <w:t xml:space="preserve"> </w:t>
      </w:r>
      <w:r w:rsidR="00915B4C" w:rsidRPr="00DF49CF">
        <w:rPr>
          <w:spacing w:val="-1"/>
        </w:rPr>
        <w:t xml:space="preserve">farming typically involves changing participation in various DeFi protocols to attain a </w:t>
      </w:r>
      <w:r w:rsidR="004D5ED7" w:rsidRPr="00DF49CF">
        <w:rPr>
          <w:spacing w:val="-1"/>
        </w:rPr>
        <w:t>higher</w:t>
      </w:r>
      <w:r w:rsidR="00915B4C" w:rsidRPr="00DF49CF">
        <w:rPr>
          <w:spacing w:val="-1"/>
        </w:rPr>
        <w:t xml:space="preserve"> yield. </w:t>
      </w:r>
      <w:r>
        <w:rPr>
          <w:spacing w:val="-1"/>
        </w:rPr>
        <w:t>‘</w:t>
      </w:r>
      <w:r w:rsidR="00915B4C" w:rsidRPr="00DF49CF">
        <w:rPr>
          <w:spacing w:val="-1"/>
        </w:rPr>
        <w:t>While participants can engage in yield</w:t>
      </w:r>
      <w:r>
        <w:rPr>
          <w:spacing w:val="-1"/>
        </w:rPr>
        <w:noBreakHyphen/>
      </w:r>
      <w:r w:rsidR="00915B4C" w:rsidRPr="00DF49CF">
        <w:rPr>
          <w:spacing w:val="-1"/>
        </w:rPr>
        <w:t>farming independently, they often use yield</w:t>
      </w:r>
      <w:r>
        <w:rPr>
          <w:spacing w:val="-1"/>
        </w:rPr>
        <w:noBreakHyphen/>
      </w:r>
      <w:r w:rsidR="00915B4C" w:rsidRPr="00DF49CF">
        <w:rPr>
          <w:spacing w:val="-1"/>
        </w:rPr>
        <w:t>farming aggregators or pools as they can earn yields that likely would not otherwise be attainable independently.</w:t>
      </w:r>
      <w:r>
        <w:rPr>
          <w:spacing w:val="-1"/>
        </w:rPr>
        <w:t>’</w:t>
      </w:r>
      <w:r w:rsidR="00915B4C" w:rsidRPr="00170ADC">
        <w:rPr>
          <w:rStyle w:val="FootnoteReference"/>
        </w:rPr>
        <w:footnoteReference w:id="208"/>
      </w:r>
      <w:r w:rsidR="004F0A51" w:rsidRPr="00DF49CF">
        <w:rPr>
          <w:spacing w:val="-1"/>
        </w:rPr>
        <w:t xml:space="preserve"> </w:t>
      </w:r>
      <w:r w:rsidR="00915B4C" w:rsidRPr="00DF49CF">
        <w:rPr>
          <w:spacing w:val="-1"/>
        </w:rPr>
        <w:t xml:space="preserve">See </w:t>
      </w:r>
      <w:r>
        <w:rPr>
          <w:spacing w:val="-1"/>
        </w:rPr>
        <w:t>‘</w:t>
      </w:r>
      <w:r w:rsidR="00915B4C" w:rsidRPr="00DF49CF">
        <w:rPr>
          <w:spacing w:val="-1"/>
        </w:rPr>
        <w:t>Asset Management and Advisory Activity</w:t>
      </w:r>
      <w:r>
        <w:rPr>
          <w:spacing w:val="-1"/>
        </w:rPr>
        <w:t>’</w:t>
      </w:r>
      <w:r w:rsidR="00915B4C" w:rsidRPr="00DF49CF">
        <w:rPr>
          <w:spacing w:val="-1"/>
        </w:rPr>
        <w:t xml:space="preserve"> above.</w:t>
      </w:r>
    </w:p>
    <w:p w14:paraId="2F61A8BA" w14:textId="710CFE1B" w:rsidR="00275320" w:rsidRPr="00FA1A19" w:rsidRDefault="00D211AA" w:rsidP="008371A3">
      <w:pPr>
        <w:pStyle w:val="Bullet"/>
      </w:pPr>
      <w:r>
        <w:t>S</w:t>
      </w:r>
      <w:r w:rsidRPr="00FA1A19">
        <w:t xml:space="preserve">taking </w:t>
      </w:r>
      <w:r w:rsidR="00275320" w:rsidRPr="00FA1A19">
        <w:t>(in the case of a proof</w:t>
      </w:r>
      <w:r w:rsidR="00F75232">
        <w:noBreakHyphen/>
      </w:r>
      <w:r w:rsidR="00275320" w:rsidRPr="00FA1A19">
        <w:t>of</w:t>
      </w:r>
      <w:r w:rsidR="00F75232">
        <w:noBreakHyphen/>
      </w:r>
      <w:r w:rsidR="00275320" w:rsidRPr="00FA1A19">
        <w:t>stake protocol)</w:t>
      </w:r>
      <w:r w:rsidR="00EA650D" w:rsidRPr="00FA1A19">
        <w:t>.</w:t>
      </w:r>
    </w:p>
    <w:p w14:paraId="7D0694D4" w14:textId="721CCF9B" w:rsidR="002453E1" w:rsidRPr="00FA1A19" w:rsidRDefault="00F75232" w:rsidP="008626EC">
      <w:r>
        <w:t>‘</w:t>
      </w:r>
      <w:r w:rsidR="008626EC" w:rsidRPr="00FA1A19">
        <w:t>Airdrops</w:t>
      </w:r>
      <w:r>
        <w:t>’</w:t>
      </w:r>
      <w:r w:rsidR="008626EC" w:rsidRPr="00FA1A19">
        <w:rPr>
          <w:i/>
          <w:iCs/>
        </w:rPr>
        <w:t xml:space="preserve"> </w:t>
      </w:r>
      <w:r w:rsidR="005A6864" w:rsidRPr="00FA1A19">
        <w:t>may</w:t>
      </w:r>
      <w:r w:rsidR="008626EC" w:rsidRPr="00FA1A19">
        <w:t xml:space="preserve"> also </w:t>
      </w:r>
      <w:r w:rsidR="002453E1" w:rsidRPr="00FA1A19">
        <w:t xml:space="preserve">be </w:t>
      </w:r>
      <w:r w:rsidR="00153EE0" w:rsidRPr="00FA1A19">
        <w:t xml:space="preserve">distributed on the basis of holdings of </w:t>
      </w:r>
      <w:r w:rsidR="00E379E5" w:rsidRPr="00FA1A19">
        <w:t>crypto assets</w:t>
      </w:r>
      <w:r w:rsidR="00A2153A" w:rsidRPr="00FA1A19">
        <w:t xml:space="preserve"> </w:t>
      </w:r>
      <w:r w:rsidR="002453E1" w:rsidRPr="00FA1A19">
        <w:t xml:space="preserve">(see </w:t>
      </w:r>
      <w:r>
        <w:t>‘</w:t>
      </w:r>
      <w:r w:rsidR="002453E1" w:rsidRPr="00FA1A19">
        <w:t>Airdrops</w:t>
      </w:r>
      <w:r>
        <w:t>’</w:t>
      </w:r>
      <w:r w:rsidR="002453E1" w:rsidRPr="00FA1A19">
        <w:t xml:space="preserve"> below).</w:t>
      </w:r>
    </w:p>
    <w:p w14:paraId="1F69B4E2" w14:textId="2113DB91" w:rsidR="002453E1" w:rsidRPr="00FA1A19" w:rsidRDefault="00A000CF" w:rsidP="0069352C">
      <w:pPr>
        <w:pStyle w:val="Heading2"/>
      </w:pPr>
      <w:bookmarkStart w:id="55" w:name="_Toc159513579"/>
      <w:r w:rsidRPr="00FA1A19">
        <w:t>Other Crypto Transactions</w:t>
      </w:r>
      <w:bookmarkEnd w:id="55"/>
    </w:p>
    <w:p w14:paraId="1C5A0F83" w14:textId="49FDDEFF" w:rsidR="00A000CF" w:rsidRPr="00FA1A19" w:rsidRDefault="00A000CF" w:rsidP="00342121">
      <w:pPr>
        <w:pStyle w:val="Heading3"/>
      </w:pPr>
      <w:r w:rsidRPr="00FA1A19">
        <w:t>Airdrops</w:t>
      </w:r>
    </w:p>
    <w:p w14:paraId="23A0367D" w14:textId="3F24AC55" w:rsidR="00A2153A" w:rsidRPr="00FA1A19" w:rsidRDefault="00EC44F0" w:rsidP="008626EC">
      <w:r w:rsidRPr="00FA1A19">
        <w:t xml:space="preserve">An airdrop is </w:t>
      </w:r>
      <w:r w:rsidR="00F75232">
        <w:t>‘</w:t>
      </w:r>
      <w:r w:rsidRPr="00FA1A19">
        <w:t xml:space="preserve">a distribution of a cryptocoin or token </w:t>
      </w:r>
      <w:r w:rsidR="00A2153A" w:rsidRPr="00FA1A19">
        <w:t xml:space="preserve">in </w:t>
      </w:r>
      <w:r w:rsidRPr="00FA1A19">
        <w:t>a manner that requires no or very little effort from the recipient and involves no exchange of tangible consideration in the form of fiat or other cryptocurrencies.</w:t>
      </w:r>
      <w:r w:rsidR="00F75232">
        <w:t>’</w:t>
      </w:r>
      <w:r w:rsidRPr="00170ADC">
        <w:rPr>
          <w:rStyle w:val="FootnoteReference"/>
        </w:rPr>
        <w:footnoteReference w:id="209"/>
      </w:r>
      <w:r w:rsidR="004F0A51" w:rsidRPr="00FA1A19">
        <w:t xml:space="preserve"> </w:t>
      </w:r>
    </w:p>
    <w:p w14:paraId="6258B458" w14:textId="5BB23E30" w:rsidR="001064CF" w:rsidRDefault="00615044" w:rsidP="008626EC">
      <w:r w:rsidRPr="00FA1A19">
        <w:t xml:space="preserve">There are broadly two general categories of tokens that are distributed in an </w:t>
      </w:r>
      <w:r w:rsidR="00A74FBF">
        <w:t>a</w:t>
      </w:r>
      <w:r w:rsidRPr="00FA1A19">
        <w:t xml:space="preserve">irdrop: </w:t>
      </w:r>
    </w:p>
    <w:p w14:paraId="3051BDC6" w14:textId="2A418E12" w:rsidR="00166F17" w:rsidRDefault="00622BA7" w:rsidP="00166F17">
      <w:pPr>
        <w:pStyle w:val="OutlineNumbered1"/>
        <w:numPr>
          <w:ilvl w:val="0"/>
          <w:numId w:val="40"/>
        </w:numPr>
      </w:pPr>
      <w:r>
        <w:t>C</w:t>
      </w:r>
      <w:r w:rsidR="004C2319" w:rsidRPr="00FA1A19">
        <w:t>ryptocurrency tokens that natively form part of the consensus mechanism of the underling blockchain</w:t>
      </w:r>
      <w:r w:rsidR="005138A3" w:rsidRPr="00FA1A19">
        <w:t>, which are also referred to as the cryptocurrency that is native to a particular blockchain</w:t>
      </w:r>
      <w:r w:rsidR="004C2319" w:rsidRPr="00FA1A19">
        <w:t xml:space="preserve"> (</w:t>
      </w:r>
      <w:r w:rsidR="00556885" w:rsidRPr="00FA1A19">
        <w:t>such as</w:t>
      </w:r>
      <w:r w:rsidR="004C2319" w:rsidRPr="00FA1A19">
        <w:t xml:space="preserve"> bitcoin </w:t>
      </w:r>
      <w:r w:rsidR="005138A3" w:rsidRPr="00FA1A19">
        <w:t xml:space="preserve">for the Bitcoin blockchain </w:t>
      </w:r>
      <w:r w:rsidR="004C2319" w:rsidRPr="00FA1A19">
        <w:t>and ether</w:t>
      </w:r>
      <w:r w:rsidR="005138A3" w:rsidRPr="00FA1A19">
        <w:t xml:space="preserve"> for the Ethereum blockchain</w:t>
      </w:r>
      <w:r w:rsidR="004C2319" w:rsidRPr="00FA1A19">
        <w:t>)</w:t>
      </w:r>
      <w:r w:rsidR="00636D15">
        <w:t>.</w:t>
      </w:r>
    </w:p>
    <w:p w14:paraId="62FB3C4B" w14:textId="568476B2" w:rsidR="00615044" w:rsidRPr="00FA1A19" w:rsidRDefault="00622BA7" w:rsidP="00166F17">
      <w:pPr>
        <w:pStyle w:val="OutlineNumbered1"/>
        <w:numPr>
          <w:ilvl w:val="0"/>
          <w:numId w:val="40"/>
        </w:numPr>
      </w:pPr>
      <w:r>
        <w:t>T</w:t>
      </w:r>
      <w:r w:rsidR="006A1D73" w:rsidRPr="00FA1A19">
        <w:t>okens that are created as smart contracts on to</w:t>
      </w:r>
      <w:r w:rsidR="00F441A5" w:rsidRPr="00FA1A19">
        <w:t>p of smart</w:t>
      </w:r>
      <w:r w:rsidR="005138A3" w:rsidRPr="00FA1A19">
        <w:t xml:space="preserve"> </w:t>
      </w:r>
      <w:r w:rsidR="00F441A5" w:rsidRPr="00FA1A19">
        <w:t>contract</w:t>
      </w:r>
      <w:r w:rsidR="00F75232">
        <w:noBreakHyphen/>
      </w:r>
      <w:r w:rsidR="00F441A5" w:rsidRPr="00FA1A19">
        <w:t>capable blockchains.</w:t>
      </w:r>
      <w:r w:rsidR="004E2ADF" w:rsidRPr="00170ADC">
        <w:rPr>
          <w:rStyle w:val="FootnoteReference"/>
        </w:rPr>
        <w:footnoteReference w:id="210"/>
      </w:r>
    </w:p>
    <w:p w14:paraId="05CB93D6" w14:textId="02A9D44C" w:rsidR="00796BD4" w:rsidRPr="00FA1A19" w:rsidRDefault="00796BD4" w:rsidP="008626EC">
      <w:r w:rsidRPr="00FA1A19">
        <w:t>Allen, Berg and Lane</w:t>
      </w:r>
      <w:r w:rsidR="008243C1" w:rsidRPr="00FA1A19">
        <w:t xml:space="preserve"> </w:t>
      </w:r>
      <w:r w:rsidR="00B05284" w:rsidRPr="00FA1A19">
        <w:t>have analysed</w:t>
      </w:r>
      <w:r w:rsidR="00CA2553" w:rsidRPr="00FA1A19">
        <w:t xml:space="preserve"> a di</w:t>
      </w:r>
      <w:r w:rsidR="00B05284" w:rsidRPr="00FA1A19">
        <w:t>verse selection of high</w:t>
      </w:r>
      <w:r w:rsidR="00F75232">
        <w:noBreakHyphen/>
      </w:r>
      <w:r w:rsidR="00B05284" w:rsidRPr="00FA1A19">
        <w:t>profile airdrops as case studies and from these have</w:t>
      </w:r>
      <w:r w:rsidRPr="00FA1A19">
        <w:t xml:space="preserve"> identif</w:t>
      </w:r>
      <w:r w:rsidR="00E379E5" w:rsidRPr="00FA1A19">
        <w:t>ied</w:t>
      </w:r>
      <w:r w:rsidRPr="00FA1A19">
        <w:t xml:space="preserve"> two dominant rationales for airdrops: marketing and decentralisation.</w:t>
      </w:r>
      <w:r w:rsidRPr="00170ADC">
        <w:rPr>
          <w:rStyle w:val="FootnoteReference"/>
        </w:rPr>
        <w:footnoteReference w:id="211"/>
      </w:r>
      <w:r w:rsidR="004F0A51" w:rsidRPr="00FA1A19">
        <w:t xml:space="preserve"> </w:t>
      </w:r>
      <w:r w:rsidR="007E2338" w:rsidRPr="00FA1A19">
        <w:t xml:space="preserve">They identify that </w:t>
      </w:r>
      <w:r w:rsidR="008749CD" w:rsidRPr="00FA1A19">
        <w:t>airdrops have</w:t>
      </w:r>
      <w:r w:rsidR="007E2338" w:rsidRPr="00FA1A19">
        <w:t xml:space="preserve"> </w:t>
      </w:r>
      <w:r w:rsidR="005D6E4B" w:rsidRPr="00FA1A19">
        <w:t xml:space="preserve">some parallels with some common business practices and strategies in sharing economy businesses </w:t>
      </w:r>
      <w:r w:rsidR="008749CD" w:rsidRPr="00FA1A19">
        <w:t>that</w:t>
      </w:r>
      <w:r w:rsidR="00273513" w:rsidRPr="00FA1A19">
        <w:t xml:space="preserve"> match buyers and sellers and rely on network effects for their value, </w:t>
      </w:r>
      <w:r w:rsidR="008C7AC6" w:rsidRPr="00FA1A19">
        <w:t>s</w:t>
      </w:r>
      <w:r w:rsidR="008749CD" w:rsidRPr="00FA1A19">
        <w:t>uch as the ride</w:t>
      </w:r>
      <w:r w:rsidR="00F75232">
        <w:noBreakHyphen/>
      </w:r>
      <w:r w:rsidR="008749CD" w:rsidRPr="00FA1A19">
        <w:t>sharing service Uber</w:t>
      </w:r>
      <w:r w:rsidR="00273513" w:rsidRPr="00FA1A19">
        <w:t>.</w:t>
      </w:r>
      <w:r w:rsidR="004F0A51" w:rsidRPr="00FA1A19">
        <w:t xml:space="preserve"> </w:t>
      </w:r>
      <w:r w:rsidR="00273513" w:rsidRPr="00FA1A19">
        <w:t>In this context, they observe that Uber spent USD 2</w:t>
      </w:r>
      <w:r w:rsidR="00372633">
        <w:t> billion</w:t>
      </w:r>
      <w:r w:rsidR="00273513" w:rsidRPr="00FA1A19">
        <w:t xml:space="preserve"> on incentives in 2015 alone.</w:t>
      </w:r>
      <w:r w:rsidR="00273513" w:rsidRPr="00170ADC">
        <w:rPr>
          <w:rStyle w:val="FootnoteReference"/>
        </w:rPr>
        <w:footnoteReference w:id="212"/>
      </w:r>
      <w:r w:rsidR="004F0A51" w:rsidRPr="00FA1A19">
        <w:t xml:space="preserve"> </w:t>
      </w:r>
      <w:r w:rsidR="008733CE" w:rsidRPr="00FA1A19">
        <w:t xml:space="preserve">In short, </w:t>
      </w:r>
      <w:r w:rsidR="0050433E">
        <w:t>a</w:t>
      </w:r>
      <w:r w:rsidR="0050433E" w:rsidRPr="00FA1A19">
        <w:t xml:space="preserve">irdrops </w:t>
      </w:r>
      <w:r w:rsidR="008733CE" w:rsidRPr="00FA1A19">
        <w:t>can incentivise engagement in the protocol.</w:t>
      </w:r>
      <w:r w:rsidR="004F0A51" w:rsidRPr="00FA1A19">
        <w:t xml:space="preserve"> </w:t>
      </w:r>
      <w:r w:rsidR="008733CE" w:rsidRPr="00FA1A19">
        <w:t xml:space="preserve">Airdrops can, for example, </w:t>
      </w:r>
      <w:r w:rsidR="008C7AC6" w:rsidRPr="00FA1A19">
        <w:t xml:space="preserve">be used to </w:t>
      </w:r>
      <w:r w:rsidR="00803875" w:rsidRPr="00FA1A19">
        <w:t xml:space="preserve">overcome the </w:t>
      </w:r>
      <w:r w:rsidR="00F75232">
        <w:t>‘</w:t>
      </w:r>
      <w:r w:rsidR="00803875" w:rsidRPr="00FA1A19">
        <w:t>cold start problem</w:t>
      </w:r>
      <w:r w:rsidR="00F75232">
        <w:t>’</w:t>
      </w:r>
      <w:r w:rsidR="008C7AC6" w:rsidRPr="00FA1A19">
        <w:t xml:space="preserve"> of a new </w:t>
      </w:r>
      <w:r w:rsidR="0050433E">
        <w:t>p</w:t>
      </w:r>
      <w:r w:rsidR="0050433E" w:rsidRPr="00FA1A19">
        <w:t>roject</w:t>
      </w:r>
      <w:r w:rsidR="00803875" w:rsidRPr="00FA1A19">
        <w:t>.</w:t>
      </w:r>
      <w:r w:rsidR="004F0A51" w:rsidRPr="00FA1A19">
        <w:t xml:space="preserve"> </w:t>
      </w:r>
      <w:r w:rsidR="00D41391" w:rsidRPr="00FA1A19">
        <w:t>Allen, Berg and Lane</w:t>
      </w:r>
      <w:r w:rsidR="00A70B1B" w:rsidRPr="00FA1A19">
        <w:t xml:space="preserve"> </w:t>
      </w:r>
      <w:r w:rsidR="008C7AC6" w:rsidRPr="00FA1A19">
        <w:t>also observe</w:t>
      </w:r>
      <w:r w:rsidR="00645DC4" w:rsidRPr="00FA1A19">
        <w:t xml:space="preserve"> that </w:t>
      </w:r>
      <w:r w:rsidR="00A70B1B" w:rsidRPr="00FA1A19">
        <w:t xml:space="preserve">an airdrop is </w:t>
      </w:r>
      <w:r w:rsidR="00645DC4" w:rsidRPr="00FA1A19">
        <w:t xml:space="preserve">a common </w:t>
      </w:r>
      <w:r w:rsidR="00B14C4B" w:rsidRPr="00FA1A19">
        <w:t>method used</w:t>
      </w:r>
      <w:r w:rsidR="00645DC4" w:rsidRPr="00FA1A19">
        <w:t xml:space="preserve"> to </w:t>
      </w:r>
      <w:r w:rsidR="00B14C4B" w:rsidRPr="00FA1A19">
        <w:t>allocate</w:t>
      </w:r>
      <w:r w:rsidR="00645DC4" w:rsidRPr="00FA1A19">
        <w:t xml:space="preserve"> </w:t>
      </w:r>
      <w:r w:rsidR="003A65E8" w:rsidRPr="00FA1A19">
        <w:t>governance tokens</w:t>
      </w:r>
      <w:r w:rsidR="00C63460" w:rsidRPr="00170ADC">
        <w:rPr>
          <w:rStyle w:val="FootnoteReference"/>
        </w:rPr>
        <w:footnoteReference w:id="213"/>
      </w:r>
      <w:r w:rsidR="005311A9" w:rsidRPr="00FA1A19">
        <w:t xml:space="preserve"> </w:t>
      </w:r>
      <w:r w:rsidR="00C63460" w:rsidRPr="00FA1A19">
        <w:t>which</w:t>
      </w:r>
      <w:r w:rsidR="003C3691" w:rsidRPr="00FA1A19">
        <w:t>,</w:t>
      </w:r>
      <w:r w:rsidR="00C63460" w:rsidRPr="00FA1A19">
        <w:t xml:space="preserve"> as </w:t>
      </w:r>
      <w:r w:rsidR="00F03EDC" w:rsidRPr="00FA1A19">
        <w:t>indicated</w:t>
      </w:r>
      <w:r w:rsidR="00C63460" w:rsidRPr="00FA1A19">
        <w:t xml:space="preserve"> above, </w:t>
      </w:r>
      <w:r w:rsidR="003C3691" w:rsidRPr="00FA1A19">
        <w:t>can be</w:t>
      </w:r>
      <w:r w:rsidR="00643599" w:rsidRPr="00FA1A19">
        <w:t xml:space="preserve"> undertaken as a </w:t>
      </w:r>
      <w:r w:rsidR="00F75232">
        <w:t>‘</w:t>
      </w:r>
      <w:r w:rsidR="00643599" w:rsidRPr="00FA1A19">
        <w:t>pathway to decentralisation</w:t>
      </w:r>
      <w:r w:rsidR="00F75232">
        <w:t>’</w:t>
      </w:r>
      <w:r w:rsidR="00643599" w:rsidRPr="00FA1A19">
        <w:t>.</w:t>
      </w:r>
      <w:r w:rsidR="00643599" w:rsidRPr="00170ADC">
        <w:rPr>
          <w:rStyle w:val="FootnoteReference"/>
        </w:rPr>
        <w:footnoteReference w:id="214"/>
      </w:r>
    </w:p>
    <w:p w14:paraId="7797B135" w14:textId="64CF46DB" w:rsidR="009E4E76" w:rsidRPr="00FA1A19" w:rsidRDefault="003E428D" w:rsidP="008626EC">
      <w:r w:rsidRPr="00FA1A19">
        <w:t>Some types of airdrops include:</w:t>
      </w:r>
      <w:r w:rsidR="00B136BC" w:rsidRPr="00170ADC">
        <w:rPr>
          <w:rStyle w:val="FootnoteReference"/>
        </w:rPr>
        <w:footnoteReference w:id="215"/>
      </w:r>
    </w:p>
    <w:p w14:paraId="77E63AF8" w14:textId="7C8FA38E" w:rsidR="00643599" w:rsidRPr="00FA1A19" w:rsidRDefault="003E428D" w:rsidP="008371A3">
      <w:pPr>
        <w:pStyle w:val="Bullet"/>
      </w:pPr>
      <w:r w:rsidRPr="00FA1A19">
        <w:t xml:space="preserve">Standard Airdrop, where participants interested in receiving an airdrop simply </w:t>
      </w:r>
      <w:r w:rsidR="00D83079" w:rsidRPr="00FA1A19">
        <w:t>create an account and offer</w:t>
      </w:r>
      <w:r w:rsidRPr="00FA1A19">
        <w:t xml:space="preserve"> their </w:t>
      </w:r>
      <w:r w:rsidR="00D83079" w:rsidRPr="00FA1A19">
        <w:t>wallet address.</w:t>
      </w:r>
    </w:p>
    <w:p w14:paraId="429DF78F" w14:textId="5D2957B7" w:rsidR="00D83079" w:rsidRPr="00FA1A19" w:rsidRDefault="00D83079" w:rsidP="008371A3">
      <w:pPr>
        <w:pStyle w:val="Bullet"/>
      </w:pPr>
      <w:r w:rsidRPr="00FA1A19">
        <w:t xml:space="preserve">Bounty Airdrop, where </w:t>
      </w:r>
      <w:r w:rsidR="001C0DF7" w:rsidRPr="00FA1A19">
        <w:t>users receive the airdrop for performing certain simpl</w:t>
      </w:r>
      <w:r w:rsidR="00155410" w:rsidRPr="00FA1A19">
        <w:t>e</w:t>
      </w:r>
      <w:r w:rsidR="001C0DF7" w:rsidRPr="00FA1A19">
        <w:t xml:space="preserve"> tasks such as </w:t>
      </w:r>
      <w:r w:rsidR="00432182" w:rsidRPr="00FA1A19">
        <w:t>posting on social media, tagging the company, retweeting a recent tweet about the project</w:t>
      </w:r>
      <w:r w:rsidR="00155410" w:rsidRPr="00FA1A19">
        <w:t>, signing up for a newsletter or following social media channels</w:t>
      </w:r>
      <w:r w:rsidR="00432182" w:rsidRPr="00FA1A19">
        <w:t>.</w:t>
      </w:r>
    </w:p>
    <w:p w14:paraId="0CF92B19" w14:textId="1361A488" w:rsidR="00155410" w:rsidRPr="00FA1A19" w:rsidRDefault="004273A6" w:rsidP="008371A3">
      <w:pPr>
        <w:pStyle w:val="Bullet"/>
      </w:pPr>
      <w:r w:rsidRPr="00FA1A19">
        <w:t>Holder Airdrop</w:t>
      </w:r>
      <w:r w:rsidR="0004541E">
        <w:t>,</w:t>
      </w:r>
      <w:r w:rsidRPr="00FA1A19">
        <w:t xml:space="preserve"> </w:t>
      </w:r>
      <w:r w:rsidR="00813683" w:rsidRPr="00FA1A19">
        <w:t>which occurs automatically based on who is holding existing tokens and how many tokens they hold</w:t>
      </w:r>
      <w:r w:rsidR="00014548" w:rsidRPr="00FA1A19">
        <w:t xml:space="preserve"> – the tokens are simply dropped into their wallet</w:t>
      </w:r>
      <w:r w:rsidR="0092394A" w:rsidRPr="00FA1A19">
        <w:t>.</w:t>
      </w:r>
      <w:r w:rsidR="004F0A51" w:rsidRPr="00FA1A19">
        <w:t xml:space="preserve"> </w:t>
      </w:r>
      <w:r w:rsidR="00BF7228" w:rsidRPr="00FA1A19">
        <w:t>This is possible because wallets and blockchain information are part of a publicly distributed ledger which gives full transparency into the wallets and distribution of tokens.</w:t>
      </w:r>
      <w:r w:rsidR="004F0A51" w:rsidRPr="00FA1A19">
        <w:t xml:space="preserve"> </w:t>
      </w:r>
      <w:r w:rsidR="00014548" w:rsidRPr="00FA1A19">
        <w:t>Notably, r</w:t>
      </w:r>
      <w:r w:rsidR="00BF7228" w:rsidRPr="00FA1A19">
        <w:t>ecipients of holder airdrops may not have wanted an airdrop.</w:t>
      </w:r>
    </w:p>
    <w:p w14:paraId="252AA745" w14:textId="5A15F35E" w:rsidR="00014548" w:rsidRPr="00FA1A19" w:rsidRDefault="00014548" w:rsidP="008371A3">
      <w:pPr>
        <w:pStyle w:val="Bullet"/>
      </w:pPr>
      <w:r w:rsidRPr="00FA1A19">
        <w:t>Exclusive Airdrop</w:t>
      </w:r>
      <w:r w:rsidR="00F06213">
        <w:t>,</w:t>
      </w:r>
      <w:r w:rsidRPr="00FA1A19">
        <w:t xml:space="preserve"> which occurs when specific people are individually selected for the airdrop</w:t>
      </w:r>
      <w:r w:rsidR="00DD6580" w:rsidRPr="00FA1A19">
        <w:t xml:space="preserve">, </w:t>
      </w:r>
      <w:r w:rsidR="00003286" w:rsidRPr="00FA1A19">
        <w:t xml:space="preserve">not on the basis of the number of tokens they hold but on other bases such as </w:t>
      </w:r>
      <w:r w:rsidR="00BC6240" w:rsidRPr="00FA1A19">
        <w:t xml:space="preserve">being an early participant in, or supporter of, a </w:t>
      </w:r>
      <w:r w:rsidR="00F93EBF" w:rsidRPr="00FA1A19">
        <w:t>crypto</w:t>
      </w:r>
      <w:r w:rsidR="00BC6240" w:rsidRPr="00FA1A19">
        <w:t xml:space="preserve"> or blockchain project.</w:t>
      </w:r>
      <w:r w:rsidR="004F0A51" w:rsidRPr="00FA1A19">
        <w:t xml:space="preserve"> </w:t>
      </w:r>
      <w:r w:rsidR="00BC6240" w:rsidRPr="00FA1A19">
        <w:t xml:space="preserve">These might be </w:t>
      </w:r>
      <w:r w:rsidR="006C3F10" w:rsidRPr="00FA1A19">
        <w:t>based on</w:t>
      </w:r>
      <w:r w:rsidR="00BC6240" w:rsidRPr="00FA1A19">
        <w:t xml:space="preserve"> </w:t>
      </w:r>
      <w:r w:rsidR="00B136BC" w:rsidRPr="00FA1A19">
        <w:t xml:space="preserve">time spent on a project or number of posts in a forum, </w:t>
      </w:r>
      <w:r w:rsidR="006C3F10" w:rsidRPr="00FA1A19">
        <w:t>or rewards for</w:t>
      </w:r>
      <w:r w:rsidR="00B136BC" w:rsidRPr="00FA1A19">
        <w:t xml:space="preserve"> those closest to the project </w:t>
      </w:r>
      <w:r w:rsidR="00DD6580" w:rsidRPr="00FA1A19">
        <w:t xml:space="preserve">such as first users who have had a strong connection with the project </w:t>
      </w:r>
      <w:r w:rsidR="00D40E46" w:rsidRPr="00FA1A19">
        <w:t>since its early days.</w:t>
      </w:r>
      <w:r w:rsidR="004F0A51" w:rsidRPr="00FA1A19">
        <w:t xml:space="preserve"> </w:t>
      </w:r>
    </w:p>
    <w:p w14:paraId="425A6C62" w14:textId="58D11355" w:rsidR="00301B95" w:rsidRPr="00FA1A19" w:rsidRDefault="00A000CF" w:rsidP="00342121">
      <w:pPr>
        <w:pStyle w:val="Heading3"/>
      </w:pPr>
      <w:r w:rsidRPr="00FA1A19">
        <w:t>Initial Coin Offering</w:t>
      </w:r>
      <w:r w:rsidR="00AE1A3B" w:rsidRPr="00FA1A19">
        <w:t>s</w:t>
      </w:r>
    </w:p>
    <w:p w14:paraId="740187C4" w14:textId="704FE88E" w:rsidR="0061053A" w:rsidRPr="00FA1A19" w:rsidRDefault="00800C5F" w:rsidP="00F147C8">
      <w:r w:rsidRPr="00FA1A19">
        <w:t xml:space="preserve">Initial Coin Offerings (ICOs) </w:t>
      </w:r>
      <w:r w:rsidR="0098374E" w:rsidRPr="00FA1A19">
        <w:t>(also known as Initial Token Offerings or ITOs</w:t>
      </w:r>
      <w:r w:rsidR="00BE22E8" w:rsidRPr="00FA1A19">
        <w:t>) involve</w:t>
      </w:r>
      <w:r w:rsidR="0098374E" w:rsidRPr="00FA1A19">
        <w:t xml:space="preserve"> </w:t>
      </w:r>
      <w:r w:rsidR="00BE22E8" w:rsidRPr="00FA1A19">
        <w:t>the issuance of a new token, often in exchange for one of the major virtual currencies (such as bitcoin) or, in some cases, fiat currency</w:t>
      </w:r>
      <w:r w:rsidR="00AC3B48" w:rsidRPr="00FA1A19">
        <w:t>.</w:t>
      </w:r>
      <w:r w:rsidR="004F0A51" w:rsidRPr="00FA1A19">
        <w:t xml:space="preserve"> </w:t>
      </w:r>
      <w:r w:rsidR="00AC3B48" w:rsidRPr="00FA1A19">
        <w:t xml:space="preserve">The tokens </w:t>
      </w:r>
      <w:r w:rsidR="004B6E2B" w:rsidRPr="00FA1A19">
        <w:t>may be new cryptocurrencies</w:t>
      </w:r>
      <w:r w:rsidR="00EA1018" w:rsidRPr="00FA1A19">
        <w:t xml:space="preserve"> native to a new blockchain</w:t>
      </w:r>
      <w:r w:rsidR="004B6E2B" w:rsidRPr="00FA1A19">
        <w:t>, or</w:t>
      </w:r>
      <w:r w:rsidR="00AC3B48" w:rsidRPr="00FA1A19">
        <w:t xml:space="preserve"> project</w:t>
      </w:r>
      <w:r w:rsidR="00F75232">
        <w:noBreakHyphen/>
      </w:r>
      <w:r w:rsidR="00AC3B48" w:rsidRPr="00FA1A19">
        <w:t xml:space="preserve">specific tokens </w:t>
      </w:r>
      <w:r w:rsidR="002E652A" w:rsidRPr="00FA1A19">
        <w:t xml:space="preserve">which </w:t>
      </w:r>
      <w:r w:rsidR="00F75232">
        <w:t>‘</w:t>
      </w:r>
      <w:r w:rsidR="00197630" w:rsidRPr="00FA1A19">
        <w:t>would be marketed as offering some form of utility within the project, granting ICO investors early</w:t>
      </w:r>
      <w:r w:rsidR="00F75232">
        <w:noBreakHyphen/>
      </w:r>
      <w:r w:rsidR="00197630" w:rsidRPr="00FA1A19">
        <w:t xml:space="preserve">access to the </w:t>
      </w:r>
      <w:r w:rsidR="00E92D2B" w:rsidRPr="00FA1A19">
        <w:t>protocols</w:t>
      </w:r>
      <w:r w:rsidR="00197630" w:rsidRPr="00FA1A19">
        <w:t xml:space="preserve"> upon launch</w:t>
      </w:r>
      <w:r w:rsidR="00E92D2B" w:rsidRPr="00FA1A19">
        <w:t>.</w:t>
      </w:r>
      <w:r w:rsidR="00F75232">
        <w:t>’</w:t>
      </w:r>
      <w:r w:rsidR="004F0A51" w:rsidRPr="00FA1A19">
        <w:t xml:space="preserve"> </w:t>
      </w:r>
      <w:r w:rsidR="00A52A7F" w:rsidRPr="00FA1A19">
        <w:t xml:space="preserve">ICOs have been described as </w:t>
      </w:r>
      <w:r w:rsidR="00F75232">
        <w:t>‘</w:t>
      </w:r>
      <w:r w:rsidR="00A52A7F" w:rsidRPr="00FA1A19">
        <w:t>crypto</w:t>
      </w:r>
      <w:r w:rsidR="00F75232">
        <w:noBreakHyphen/>
      </w:r>
      <w:r w:rsidR="00A52A7F" w:rsidRPr="00FA1A19">
        <w:t>focused crowdfunding on a global scale</w:t>
      </w:r>
      <w:r w:rsidR="00F75232">
        <w:t>’</w:t>
      </w:r>
      <w:r w:rsidR="00A52A7F" w:rsidRPr="00FA1A19">
        <w:t>.</w:t>
      </w:r>
      <w:r w:rsidR="009633A7" w:rsidRPr="00170ADC">
        <w:rPr>
          <w:rStyle w:val="FootnoteReference"/>
        </w:rPr>
        <w:footnoteReference w:id="216"/>
      </w:r>
      <w:r w:rsidR="004F0A51" w:rsidRPr="00FA1A19">
        <w:t xml:space="preserve"> </w:t>
      </w:r>
    </w:p>
    <w:p w14:paraId="168BF1E6" w14:textId="45C2E440" w:rsidR="003D159F" w:rsidRPr="00FA1A19" w:rsidRDefault="00106715" w:rsidP="00F147C8">
      <w:r w:rsidRPr="00FA1A19">
        <w:t xml:space="preserve">An example of an ICO </w:t>
      </w:r>
      <w:r w:rsidR="0061053A" w:rsidRPr="00FA1A19">
        <w:t xml:space="preserve">involving a cryptocurrency </w:t>
      </w:r>
      <w:r w:rsidRPr="00FA1A19">
        <w:t>is t</w:t>
      </w:r>
      <w:r w:rsidR="007E672A" w:rsidRPr="00FA1A19">
        <w:t xml:space="preserve">he Ethereum </w:t>
      </w:r>
      <w:r w:rsidR="00571B8F" w:rsidRPr="00FA1A19">
        <w:t>ICO</w:t>
      </w:r>
      <w:r w:rsidR="007E672A" w:rsidRPr="00FA1A19">
        <w:t xml:space="preserve"> </w:t>
      </w:r>
      <w:r w:rsidR="0061053A" w:rsidRPr="00FA1A19">
        <w:t>which raised</w:t>
      </w:r>
      <w:r w:rsidR="007E672A" w:rsidRPr="00FA1A19">
        <w:t xml:space="preserve"> initial funding </w:t>
      </w:r>
      <w:r w:rsidRPr="00FA1A19">
        <w:t>from</w:t>
      </w:r>
      <w:r w:rsidR="007E672A" w:rsidRPr="00FA1A19">
        <w:t xml:space="preserve"> a July 2014 ICO, exchanging the first 60</w:t>
      </w:r>
      <w:r w:rsidR="00372633">
        <w:t> million</w:t>
      </w:r>
      <w:r w:rsidR="007E672A" w:rsidRPr="00FA1A19">
        <w:t xml:space="preserve"> ether for USD 18.3</w:t>
      </w:r>
      <w:r w:rsidR="00372633">
        <w:t> million</w:t>
      </w:r>
      <w:r w:rsidR="007E672A" w:rsidRPr="00FA1A19">
        <w:t xml:space="preserve"> of </w:t>
      </w:r>
      <w:r w:rsidR="00E85440">
        <w:t>b</w:t>
      </w:r>
      <w:r w:rsidR="007E672A" w:rsidRPr="00FA1A19">
        <w:t>itcoin.</w:t>
      </w:r>
      <w:r w:rsidR="00DF7C62" w:rsidRPr="00170ADC">
        <w:rPr>
          <w:rStyle w:val="FootnoteReference"/>
        </w:rPr>
        <w:footnoteReference w:id="217"/>
      </w:r>
      <w:r w:rsidR="005B03FA">
        <w:t xml:space="preserve"> </w:t>
      </w:r>
      <w:r w:rsidR="00CA680D" w:rsidRPr="00FA1A19">
        <w:t xml:space="preserve">Notwithstanding </w:t>
      </w:r>
      <w:r w:rsidR="00D93A42" w:rsidRPr="00FA1A19">
        <w:t xml:space="preserve">that this example of an ICO involving cryptocurrency, the OECD has reported that </w:t>
      </w:r>
      <w:r w:rsidR="00DC2A6C" w:rsidRPr="00FA1A19">
        <w:t>th</w:t>
      </w:r>
      <w:r w:rsidR="000A1748" w:rsidRPr="00FA1A19">
        <w:t xml:space="preserve">e majority of ICOs </w:t>
      </w:r>
      <w:r w:rsidR="00DC2A6C" w:rsidRPr="00FA1A19">
        <w:t xml:space="preserve">up to 2020 </w:t>
      </w:r>
      <w:r w:rsidR="000A1748" w:rsidRPr="00FA1A19">
        <w:t>involved the issuance of utility tokens</w:t>
      </w:r>
      <w:r w:rsidR="001B4A87" w:rsidRPr="00FA1A19">
        <w:t xml:space="preserve"> (such as governance tokens)</w:t>
      </w:r>
      <w:r w:rsidR="000A1748" w:rsidRPr="00FA1A19">
        <w:t>, rather than security tokens or virtual currencies.</w:t>
      </w:r>
      <w:r w:rsidR="000A1748" w:rsidRPr="00170ADC">
        <w:rPr>
          <w:rStyle w:val="FootnoteReference"/>
        </w:rPr>
        <w:footnoteReference w:id="218"/>
      </w:r>
      <w:r w:rsidR="004F0A51" w:rsidRPr="00FA1A19">
        <w:t xml:space="preserve"> </w:t>
      </w:r>
    </w:p>
    <w:p w14:paraId="41E51503" w14:textId="28B767F5" w:rsidR="00F147C8" w:rsidRPr="00FA1A19" w:rsidRDefault="00E02523" w:rsidP="00F147C8">
      <w:r w:rsidRPr="00FA1A19">
        <w:t>There was a boom in ICOs in 2017</w:t>
      </w:r>
      <w:r w:rsidR="00DF7C62" w:rsidRPr="00FA1A19">
        <w:t>, which</w:t>
      </w:r>
      <w:r w:rsidR="00CD3DB7" w:rsidRPr="00FA1A19">
        <w:t xml:space="preserve"> </w:t>
      </w:r>
      <w:r w:rsidR="00921FF2" w:rsidRPr="00FA1A19">
        <w:t>raised USD 550</w:t>
      </w:r>
      <w:r w:rsidR="00372633">
        <w:t> million</w:t>
      </w:r>
      <w:r w:rsidR="00921FF2" w:rsidRPr="00FA1A19">
        <w:t xml:space="preserve"> </w:t>
      </w:r>
      <w:r w:rsidR="00D87C98" w:rsidRPr="00FA1A19">
        <w:t>and USD 300</w:t>
      </w:r>
      <w:r w:rsidR="00372633">
        <w:t> million</w:t>
      </w:r>
      <w:r w:rsidR="00D87C98" w:rsidRPr="00FA1A19">
        <w:t xml:space="preserve"> in</w:t>
      </w:r>
      <w:r w:rsidR="00921FF2" w:rsidRPr="00FA1A19">
        <w:t xml:space="preserve"> </w:t>
      </w:r>
      <w:r w:rsidR="00CD3DB7" w:rsidRPr="00FA1A19">
        <w:t xml:space="preserve">June </w:t>
      </w:r>
      <w:r w:rsidR="00921FF2" w:rsidRPr="00FA1A19">
        <w:t>and July 2017</w:t>
      </w:r>
      <w:r w:rsidR="00DF7C62" w:rsidRPr="00FA1A19">
        <w:t xml:space="preserve"> respectively (</w:t>
      </w:r>
      <w:r w:rsidR="00921FF2" w:rsidRPr="00FA1A19">
        <w:t>compared with traditional venture capital raising</w:t>
      </w:r>
      <w:r w:rsidR="00D87C98" w:rsidRPr="00FA1A19">
        <w:t xml:space="preserve"> of USD 200</w:t>
      </w:r>
      <w:r w:rsidR="00372633">
        <w:t> million</w:t>
      </w:r>
      <w:r w:rsidR="00D87C98" w:rsidRPr="00FA1A19">
        <w:t xml:space="preserve"> in July 2017</w:t>
      </w:r>
      <w:r w:rsidR="00DF7C62" w:rsidRPr="00FA1A19">
        <w:t>)</w:t>
      </w:r>
      <w:r w:rsidR="00921FF2" w:rsidRPr="00FA1A19">
        <w:t>.</w:t>
      </w:r>
      <w:r w:rsidR="004F0A51" w:rsidRPr="00FA1A19">
        <w:t xml:space="preserve"> </w:t>
      </w:r>
      <w:r w:rsidR="00F011BD" w:rsidRPr="00FA1A19">
        <w:t>Crypto research firm TokenData reported cumulative ICO funding between January 2017 and July 2018 at USD</w:t>
      </w:r>
      <w:r w:rsidR="00C66BE4">
        <w:t> </w:t>
      </w:r>
      <w:r w:rsidR="00F011BD" w:rsidRPr="00FA1A19">
        <w:t>17.8</w:t>
      </w:r>
      <w:r w:rsidR="00372633">
        <w:t> billion</w:t>
      </w:r>
      <w:r w:rsidR="00F011BD" w:rsidRPr="00FA1A19">
        <w:t>.</w:t>
      </w:r>
      <w:r w:rsidR="004F0A51" w:rsidRPr="00FA1A19">
        <w:t xml:space="preserve"> </w:t>
      </w:r>
      <w:r w:rsidR="00A93279" w:rsidRPr="00FA1A19">
        <w:t>Th</w:t>
      </w:r>
      <w:r w:rsidR="00756D42" w:rsidRPr="00FA1A19">
        <w:t xml:space="preserve">is ICO boom </w:t>
      </w:r>
      <w:r w:rsidR="00A93279" w:rsidRPr="00FA1A19">
        <w:t xml:space="preserve">ultimately collapsed </w:t>
      </w:r>
      <w:r w:rsidR="00E462B1" w:rsidRPr="00FA1A19">
        <w:t>for a number of reasons including</w:t>
      </w:r>
      <w:r w:rsidR="00A93279" w:rsidRPr="00FA1A19">
        <w:t xml:space="preserve"> many fraudulent projects</w:t>
      </w:r>
      <w:r w:rsidR="00ED2364" w:rsidRPr="00FA1A19">
        <w:t xml:space="preserve">, </w:t>
      </w:r>
      <w:r w:rsidR="00A740ED" w:rsidRPr="00FA1A19">
        <w:t>a</w:t>
      </w:r>
      <w:r w:rsidR="00C336F9" w:rsidRPr="00FA1A19">
        <w:t xml:space="preserve"> </w:t>
      </w:r>
      <w:r w:rsidR="00A93279" w:rsidRPr="00FA1A19">
        <w:t>general</w:t>
      </w:r>
      <w:r w:rsidR="00C336F9" w:rsidRPr="00FA1A19">
        <w:t xml:space="preserve"> decline in </w:t>
      </w:r>
      <w:r w:rsidR="00B03DD8" w:rsidRPr="00FA1A19">
        <w:t>crypto investment</w:t>
      </w:r>
      <w:r w:rsidR="008D4D27" w:rsidRPr="00FA1A19">
        <w:t>,</w:t>
      </w:r>
      <w:r w:rsidR="00B03DD8" w:rsidRPr="00FA1A19">
        <w:t xml:space="preserve"> and </w:t>
      </w:r>
      <w:r w:rsidR="00E462B1" w:rsidRPr="00FA1A19">
        <w:t xml:space="preserve">the </w:t>
      </w:r>
      <w:r w:rsidR="00B54970">
        <w:t>US</w:t>
      </w:r>
      <w:r w:rsidR="00E462B1" w:rsidRPr="00FA1A19">
        <w:t xml:space="preserve"> Securities and Exchange Commission and other national agencies in regulating ICOs</w:t>
      </w:r>
      <w:r w:rsidR="00BD554D" w:rsidRPr="00FA1A19">
        <w:t>.</w:t>
      </w:r>
      <w:r w:rsidR="00F011BD" w:rsidRPr="00170ADC">
        <w:rPr>
          <w:rStyle w:val="FootnoteReference"/>
        </w:rPr>
        <w:footnoteReference w:id="219"/>
      </w:r>
      <w:r w:rsidR="0046255A" w:rsidRPr="00FA1A19">
        <w:t xml:space="preserve"> </w:t>
      </w:r>
    </w:p>
    <w:p w14:paraId="48411A2F" w14:textId="068635AE" w:rsidR="002D1889" w:rsidRPr="00FA1A19" w:rsidRDefault="002D1889" w:rsidP="00342121">
      <w:pPr>
        <w:pStyle w:val="Heading3"/>
      </w:pPr>
      <w:r w:rsidRPr="00FA1A19">
        <w:t xml:space="preserve">Gaming Finance </w:t>
      </w:r>
      <w:r w:rsidR="00392022" w:rsidRPr="00FA1A19">
        <w:t>(</w:t>
      </w:r>
      <w:r w:rsidRPr="00FA1A19">
        <w:t>GameFi</w:t>
      </w:r>
      <w:r w:rsidR="00392022" w:rsidRPr="00FA1A19">
        <w:t>)</w:t>
      </w:r>
    </w:p>
    <w:p w14:paraId="65A9FBD1" w14:textId="77777777" w:rsidR="000A5C76" w:rsidRPr="00FA1A19" w:rsidRDefault="00392022" w:rsidP="00392022">
      <w:r w:rsidRPr="00FA1A19">
        <w:t xml:space="preserve">Gaming Finance (GameFi) is a </w:t>
      </w:r>
      <w:r w:rsidR="000A5C76" w:rsidRPr="00FA1A19">
        <w:t>relatively new concept which:</w:t>
      </w:r>
    </w:p>
    <w:p w14:paraId="22ECD653" w14:textId="393D80AE" w:rsidR="00A00C26" w:rsidRPr="00FA1A19" w:rsidRDefault="00830787" w:rsidP="00991EBC">
      <w:pPr>
        <w:pStyle w:val="Quote"/>
      </w:pPr>
      <w:r w:rsidRPr="00FA1A19">
        <w:t>combines the elements of gaming and decentralized finance.</w:t>
      </w:r>
      <w:r w:rsidR="004F0A51" w:rsidRPr="00FA1A19">
        <w:t xml:space="preserve"> </w:t>
      </w:r>
      <w:r w:rsidRPr="00FA1A19">
        <w:t>It represents a new category of decentralised applications (dApps) that aims to merge the gaming and blockchain worlds.</w:t>
      </w:r>
    </w:p>
    <w:p w14:paraId="48492E7A" w14:textId="4CB8785A" w:rsidR="00392022" w:rsidRPr="00FA1A19" w:rsidRDefault="00830787" w:rsidP="00991EBC">
      <w:pPr>
        <w:pStyle w:val="Quote"/>
      </w:pPr>
      <w:r w:rsidRPr="00FA1A19">
        <w:t>It does so by creating a gaming ecosystem that utilizes blockchain technology, digital assets and decentralized finance to enhance player experience and monetization opportunities.</w:t>
      </w:r>
    </w:p>
    <w:p w14:paraId="207F6CC5" w14:textId="0260160E" w:rsidR="00A00C26" w:rsidRPr="00FA1A19" w:rsidRDefault="007F051E" w:rsidP="00991EBC">
      <w:pPr>
        <w:pStyle w:val="Quote"/>
      </w:pPr>
      <w:r w:rsidRPr="00FA1A19">
        <w:t>The core idea behind GameFi is to provide players with ways to earn token rewards and assets for gaming achievements and skills.</w:t>
      </w:r>
      <w:r w:rsidR="004F0A51" w:rsidRPr="00FA1A19">
        <w:t xml:space="preserve"> </w:t>
      </w:r>
      <w:r w:rsidRPr="00FA1A19">
        <w:t>GameFi has been the catalyst behind a new subset of gaming experiences commonly referred to as play</w:t>
      </w:r>
      <w:r w:rsidR="00F75232">
        <w:noBreakHyphen/>
      </w:r>
      <w:r w:rsidRPr="00FA1A19">
        <w:t>to</w:t>
      </w:r>
      <w:r w:rsidR="00F75232">
        <w:noBreakHyphen/>
      </w:r>
      <w:r w:rsidRPr="00FA1A19">
        <w:t>earn [P2E] games.</w:t>
      </w:r>
      <w:r w:rsidRPr="00170ADC">
        <w:rPr>
          <w:rStyle w:val="FootnoteReference"/>
        </w:rPr>
        <w:footnoteReference w:id="220"/>
      </w:r>
    </w:p>
    <w:p w14:paraId="72F2A5E4" w14:textId="22B621E7" w:rsidR="002D1889" w:rsidRPr="00FA1A19" w:rsidRDefault="002F7F42" w:rsidP="00393CD7">
      <w:pPr>
        <w:keepNext/>
      </w:pPr>
      <w:r w:rsidRPr="00FA1A19">
        <w:t>GameFi has been explained as working in the following fashion:</w:t>
      </w:r>
    </w:p>
    <w:p w14:paraId="3E4E7E5D" w14:textId="6F081C50" w:rsidR="002F7F42" w:rsidRPr="00FA1A19" w:rsidRDefault="002F7F42" w:rsidP="00991EBC">
      <w:pPr>
        <w:pStyle w:val="Quote"/>
      </w:pPr>
      <w:r w:rsidRPr="00FA1A19">
        <w:t>A gamer buys an NFT to use the platform, plays the game and wins gaming tokens.</w:t>
      </w:r>
      <w:r w:rsidR="004F0A51" w:rsidRPr="00FA1A19">
        <w:t xml:space="preserve"> </w:t>
      </w:r>
      <w:r w:rsidRPr="00FA1A19">
        <w:t>These gaming tokens can be converted into Bitcoin, Ethereum, fiat currency or stablecoins.</w:t>
      </w:r>
      <w:r w:rsidR="004F0A51" w:rsidRPr="00FA1A19">
        <w:t xml:space="preserve"> </w:t>
      </w:r>
      <w:r w:rsidRPr="00FA1A19">
        <w:t>NFTs used to play the games can be upgraded as the players get better at the game.</w:t>
      </w:r>
      <w:r w:rsidR="004F0A51" w:rsidRPr="00FA1A19">
        <w:t xml:space="preserve"> </w:t>
      </w:r>
      <w:r w:rsidRPr="00FA1A19">
        <w:t>These NFTs can be sold on NFT marketplaces for a higher price as they are now upgraded.</w:t>
      </w:r>
      <w:r w:rsidRPr="00170ADC">
        <w:rPr>
          <w:rStyle w:val="FootnoteReference"/>
        </w:rPr>
        <w:footnoteReference w:id="221"/>
      </w:r>
    </w:p>
    <w:p w14:paraId="6C2FDA35" w14:textId="377AB315" w:rsidR="00C85038" w:rsidRPr="00FA1A19" w:rsidRDefault="00C85038" w:rsidP="00C85038">
      <w:r w:rsidRPr="00FA1A19">
        <w:t xml:space="preserve">GameFi NFTs can be used as surety for DeFi lending protocols </w:t>
      </w:r>
      <w:r w:rsidR="008A7252" w:rsidRPr="00FA1A19">
        <w:t xml:space="preserve">and </w:t>
      </w:r>
      <w:r w:rsidRPr="00FA1A19">
        <w:t>are permissible for staking, liquidity mining and yield farming.</w:t>
      </w:r>
      <w:r w:rsidRPr="00170ADC">
        <w:rPr>
          <w:rStyle w:val="FootnoteReference"/>
        </w:rPr>
        <w:footnoteReference w:id="222"/>
      </w:r>
    </w:p>
    <w:p w14:paraId="1F0F12A8" w14:textId="6AB2EEB6" w:rsidR="00C77DE6" w:rsidRPr="00FA1A19" w:rsidRDefault="00C77DE6" w:rsidP="0069352C">
      <w:pPr>
        <w:pStyle w:val="Heading4"/>
      </w:pPr>
      <w:r w:rsidRPr="00FA1A19">
        <w:t>The Metaverse</w:t>
      </w:r>
    </w:p>
    <w:p w14:paraId="73CA860B" w14:textId="0BFF2A94" w:rsidR="00DD761D" w:rsidRPr="00FA1A19" w:rsidRDefault="005919E7" w:rsidP="00DD761D">
      <w:pPr>
        <w:autoSpaceDE w:val="0"/>
        <w:autoSpaceDN w:val="0"/>
        <w:adjustRightInd w:val="0"/>
        <w:rPr>
          <w:rFonts w:asciiTheme="minorHAnsi" w:hAnsiTheme="minorHAnsi" w:cstheme="minorHAnsi"/>
        </w:rPr>
      </w:pPr>
      <w:r w:rsidRPr="00FA1A19">
        <w:t>G</w:t>
      </w:r>
      <w:r w:rsidR="00FF27A5" w:rsidRPr="00FA1A19">
        <w:t xml:space="preserve">aming takes place </w:t>
      </w:r>
      <w:r w:rsidR="002B1C72" w:rsidRPr="00FA1A19">
        <w:t>in what is sometimes referred to as</w:t>
      </w:r>
      <w:r w:rsidR="00FF27A5" w:rsidRPr="00FA1A19">
        <w:t xml:space="preserve"> the </w:t>
      </w:r>
      <w:r w:rsidR="00F75232">
        <w:t>‘</w:t>
      </w:r>
      <w:r w:rsidR="00FF27A5" w:rsidRPr="00FA1A19">
        <w:t>Metaverse</w:t>
      </w:r>
      <w:r w:rsidR="00F75232">
        <w:t>’</w:t>
      </w:r>
      <w:r w:rsidR="00FF27A5" w:rsidRPr="00FA1A19">
        <w:t>.</w:t>
      </w:r>
      <w:r w:rsidR="004F0A51" w:rsidRPr="00FA1A19">
        <w:t xml:space="preserve"> </w:t>
      </w:r>
      <w:r w:rsidR="00A8194E" w:rsidRPr="00FA1A19">
        <w:t xml:space="preserve">Whilst there is no universally accepted definition of the </w:t>
      </w:r>
      <w:r w:rsidR="00F75232">
        <w:t>‘</w:t>
      </w:r>
      <w:r w:rsidR="00A8194E" w:rsidRPr="00FA1A19">
        <w:t>Metaverse</w:t>
      </w:r>
      <w:r w:rsidR="00F75232">
        <w:t>’</w:t>
      </w:r>
      <w:r w:rsidR="00A8194E" w:rsidRPr="00FA1A19">
        <w:t xml:space="preserve">, it </w:t>
      </w:r>
      <w:r w:rsidR="008B79E5" w:rsidRPr="00FA1A19">
        <w:t xml:space="preserve">has been described as </w:t>
      </w:r>
      <w:r w:rsidR="00F75232">
        <w:t>‘</w:t>
      </w:r>
      <w:r w:rsidR="008B79E5" w:rsidRPr="00FA1A19">
        <w:t>a</w:t>
      </w:r>
      <w:r w:rsidR="00945F48" w:rsidRPr="00FA1A19">
        <w:t xml:space="preserve"> </w:t>
      </w:r>
      <w:r w:rsidR="008B79E5" w:rsidRPr="00FA1A19">
        <w:t>place parallel to the physical world, where you spend you</w:t>
      </w:r>
      <w:r w:rsidR="005B77A7" w:rsidRPr="00FA1A19">
        <w:t xml:space="preserve">r </w:t>
      </w:r>
      <w:r w:rsidR="008B79E5" w:rsidRPr="00FA1A19">
        <w:t>digital life</w:t>
      </w:r>
      <w:r w:rsidR="00945F48" w:rsidRPr="00FA1A19">
        <w:t>.</w:t>
      </w:r>
      <w:r w:rsidR="004F0A51" w:rsidRPr="00FA1A19">
        <w:t xml:space="preserve"> </w:t>
      </w:r>
      <w:r w:rsidR="00945F48" w:rsidRPr="00FA1A19">
        <w:t xml:space="preserve">A place where </w:t>
      </w:r>
      <w:r w:rsidR="005B77A7" w:rsidRPr="00FA1A19">
        <w:t>you and other</w:t>
      </w:r>
      <w:r w:rsidR="00945F48" w:rsidRPr="00FA1A19">
        <w:t xml:space="preserve"> people have an avatar, and you interact with them through their avatars.</w:t>
      </w:r>
      <w:r w:rsidR="00F75232">
        <w:t>’</w:t>
      </w:r>
      <w:r w:rsidR="005B77A7" w:rsidRPr="00170ADC">
        <w:rPr>
          <w:rStyle w:val="FootnoteReference"/>
        </w:rPr>
        <w:footnoteReference w:id="223"/>
      </w:r>
      <w:r w:rsidR="004F0A51" w:rsidRPr="00FA1A19">
        <w:t xml:space="preserve"> </w:t>
      </w:r>
      <w:r w:rsidR="00DD761D" w:rsidRPr="00FA1A19">
        <w:rPr>
          <w:rFonts w:asciiTheme="minorHAnsi" w:hAnsiTheme="minorHAnsi" w:cstheme="minorHAnsi"/>
        </w:rPr>
        <w:t>Essayist Matthew Ball is regularly cited in relation to the operation of the Metaverse and he provides the following description:</w:t>
      </w:r>
    </w:p>
    <w:p w14:paraId="3B85436A" w14:textId="589F51D0" w:rsidR="00DD761D" w:rsidRPr="00FA1A19" w:rsidRDefault="00DD761D" w:rsidP="00991EBC">
      <w:pPr>
        <w:pStyle w:val="Quote"/>
      </w:pPr>
      <w:r w:rsidRPr="00FA1A19">
        <w:t>The Metaverse is a massively scaled and interoperable network of real</w:t>
      </w:r>
      <w:r w:rsidR="00F75232">
        <w:noBreakHyphen/>
      </w:r>
      <w:r w:rsidRPr="00FA1A19">
        <w:t>time rendered 3D virtual worlds and environments which can be experienced synchronously and persistently by an effectively unlimited number of users with an individual sense of presence, and with continuity of data, such as identity, history, entitlements, objects, communications, and payments.</w:t>
      </w:r>
      <w:r w:rsidRPr="00170ADC">
        <w:rPr>
          <w:rStyle w:val="FootnoteReference"/>
        </w:rPr>
        <w:footnoteReference w:id="224"/>
      </w:r>
    </w:p>
    <w:p w14:paraId="0278173F" w14:textId="77777777" w:rsidR="00DD761D" w:rsidRPr="00FA1A19" w:rsidRDefault="00DD761D" w:rsidP="00DD761D">
      <w:pPr>
        <w:autoSpaceDE w:val="0"/>
        <w:autoSpaceDN w:val="0"/>
        <w:adjustRightInd w:val="0"/>
        <w:spacing w:after="0"/>
        <w:rPr>
          <w:rFonts w:asciiTheme="minorHAnsi" w:hAnsiTheme="minorHAnsi" w:cstheme="minorHAnsi"/>
        </w:rPr>
      </w:pPr>
      <w:r w:rsidRPr="00FA1A19">
        <w:rPr>
          <w:rFonts w:asciiTheme="minorHAnsi" w:hAnsiTheme="minorHAnsi" w:cstheme="minorHAnsi"/>
        </w:rPr>
        <w:t xml:space="preserve">In relation to the Metaverse, Koinly wrote: </w:t>
      </w:r>
    </w:p>
    <w:p w14:paraId="54208847" w14:textId="77777777" w:rsidR="00DD761D" w:rsidRPr="00FA1A19" w:rsidRDefault="00DD761D" w:rsidP="00991EBC">
      <w:pPr>
        <w:pStyle w:val="Quote"/>
      </w:pPr>
      <w:r w:rsidRPr="00FA1A19">
        <w:t>… Web 3 and Metaverse technologies are in their infancy, with no clear picture to retail investors as to how individuals, corporations and governments will operate within these ecosystems.</w:t>
      </w:r>
    </w:p>
    <w:p w14:paraId="7F18F511" w14:textId="77777777" w:rsidR="00DD761D" w:rsidRPr="00FA1A19" w:rsidRDefault="00DD761D" w:rsidP="00991EBC">
      <w:pPr>
        <w:pStyle w:val="Quote"/>
        <w:rPr>
          <w:rFonts w:asciiTheme="minorHAnsi" w:hAnsiTheme="minorHAnsi" w:cstheme="minorHAnsi"/>
        </w:rPr>
      </w:pPr>
      <w:r w:rsidRPr="00FA1A19">
        <w:t>What is clear, however, is that such technologies are already being tested, used and developed, with capital flows to the crypto asset sector set to increase</w:t>
      </w:r>
      <w:r w:rsidRPr="00FA1A19">
        <w:rPr>
          <w:rFonts w:asciiTheme="minorHAnsi" w:hAnsiTheme="minorHAnsi" w:cstheme="minorBidi"/>
        </w:rPr>
        <w:t>.</w:t>
      </w:r>
      <w:r w:rsidRPr="00170ADC">
        <w:rPr>
          <w:rStyle w:val="FootnoteReference"/>
        </w:rPr>
        <w:footnoteReference w:id="225"/>
      </w:r>
    </w:p>
    <w:p w14:paraId="58E82F43" w14:textId="5794C802" w:rsidR="00DD761D" w:rsidRPr="00FA1A19" w:rsidRDefault="00446EFC" w:rsidP="00C85038">
      <w:r w:rsidRPr="00FA1A19">
        <w:t>M</w:t>
      </w:r>
      <w:r w:rsidR="003B7C9A" w:rsidRPr="00FA1A19">
        <w:t>cKi</w:t>
      </w:r>
      <w:r w:rsidRPr="00FA1A19">
        <w:t xml:space="preserve">nsey &amp; Company describes the </w:t>
      </w:r>
      <w:r w:rsidR="001D320F" w:rsidRPr="00FA1A19">
        <w:t xml:space="preserve">metaverse as </w:t>
      </w:r>
      <w:r w:rsidR="00F75232">
        <w:t>‘</w:t>
      </w:r>
      <w:r w:rsidR="001D320F" w:rsidRPr="00FA1A19">
        <w:t xml:space="preserve">the emerging </w:t>
      </w:r>
      <w:r w:rsidR="00182CD5" w:rsidRPr="00FA1A19">
        <w:t>3</w:t>
      </w:r>
      <w:r w:rsidR="00F75232">
        <w:noBreakHyphen/>
      </w:r>
      <w:r w:rsidR="00182CD5" w:rsidRPr="00FA1A19">
        <w:t>D enabled digital space that uses virtual reality, augmented reality, and other advanced internet and semiconductor technology to allow people to have lif</w:t>
      </w:r>
      <w:r w:rsidR="00BC7B6C" w:rsidRPr="00FA1A19">
        <w:t>e</w:t>
      </w:r>
      <w:r w:rsidR="00182CD5" w:rsidRPr="00FA1A19">
        <w:t>like personal and business experiences online</w:t>
      </w:r>
      <w:r w:rsidR="00F75232">
        <w:t>’</w:t>
      </w:r>
      <w:r w:rsidR="00BC7B6C" w:rsidRPr="00FA1A19">
        <w:t xml:space="preserve"> and in </w:t>
      </w:r>
      <w:r w:rsidR="007742F5" w:rsidRPr="00FA1A19">
        <w:t xml:space="preserve">2022 estimated that </w:t>
      </w:r>
      <w:r w:rsidR="00F75232">
        <w:t>‘</w:t>
      </w:r>
      <w:r w:rsidR="007742F5" w:rsidRPr="00FA1A19">
        <w:t>the metaverse has the potential to generate up to $5 trillion in value by 2030</w:t>
      </w:r>
      <w:r w:rsidR="00F75232">
        <w:t>’</w:t>
      </w:r>
      <w:r w:rsidR="00182CD5" w:rsidRPr="00FA1A19">
        <w:t>.</w:t>
      </w:r>
      <w:r w:rsidR="00182CD5" w:rsidRPr="00170ADC">
        <w:rPr>
          <w:rStyle w:val="FootnoteReference"/>
        </w:rPr>
        <w:footnoteReference w:id="226"/>
      </w:r>
      <w:r w:rsidR="004F0A51" w:rsidRPr="00FA1A19">
        <w:t xml:space="preserve"> </w:t>
      </w:r>
    </w:p>
    <w:p w14:paraId="355CE61D" w14:textId="4BDCDDD5" w:rsidR="005A4C03" w:rsidRPr="00FA1A19" w:rsidRDefault="00C77DE6" w:rsidP="00C85038">
      <w:r w:rsidRPr="00FA1A19">
        <w:t xml:space="preserve">Forbes reports that Tim Sweeney (CEO of videogame company Epic Games) has stated </w:t>
      </w:r>
      <w:r w:rsidR="00F75232">
        <w:t>‘</w:t>
      </w:r>
      <w:r w:rsidRPr="00FA1A19">
        <w:t>over the coming decades, the metaverse has the potential to become a multitrillion</w:t>
      </w:r>
      <w:r w:rsidR="00F75232">
        <w:noBreakHyphen/>
      </w:r>
      <w:r w:rsidRPr="00FA1A19">
        <w:t>dollar part of the world economy</w:t>
      </w:r>
      <w:r w:rsidR="00F75232">
        <w:t>’</w:t>
      </w:r>
      <w:r w:rsidRPr="00FA1A19">
        <w:t>.</w:t>
      </w:r>
      <w:r w:rsidR="00DD761D" w:rsidRPr="00170ADC">
        <w:rPr>
          <w:rStyle w:val="FootnoteReference"/>
        </w:rPr>
        <w:footnoteReference w:id="227"/>
      </w:r>
    </w:p>
    <w:p w14:paraId="76681F3B" w14:textId="07E8AEA6" w:rsidR="000D7AA7" w:rsidRPr="00FA1A19" w:rsidRDefault="000D7AA7" w:rsidP="000D7AA7">
      <w:r w:rsidRPr="00FA1A19">
        <w:t xml:space="preserve">In </w:t>
      </w:r>
      <w:r w:rsidR="00372633">
        <w:t>Chapter </w:t>
      </w:r>
      <w:r w:rsidRPr="00FA1A19">
        <w:t xml:space="preserve">13 to this Report, the Board discusses GameFi </w:t>
      </w:r>
      <w:r w:rsidR="0083561D" w:rsidRPr="00FA1A19">
        <w:t xml:space="preserve">and the </w:t>
      </w:r>
      <w:r w:rsidR="00FB1BFB">
        <w:t>M</w:t>
      </w:r>
      <w:r w:rsidR="00FB1BFB" w:rsidRPr="00FA1A19">
        <w:t xml:space="preserve">etaverse </w:t>
      </w:r>
      <w:r w:rsidRPr="00FA1A19">
        <w:t xml:space="preserve">further, and recommends that the Government continue to monitor and review the development and taxation treatment of </w:t>
      </w:r>
      <w:r w:rsidR="00467DE5" w:rsidRPr="00FA1A19">
        <w:t>GameFi</w:t>
      </w:r>
      <w:r w:rsidR="00E362AC" w:rsidRPr="00FA1A19">
        <w:t xml:space="preserve"> and the</w:t>
      </w:r>
      <w:r w:rsidR="001355D3" w:rsidRPr="00FA1A19">
        <w:t xml:space="preserve"> </w:t>
      </w:r>
      <w:r w:rsidR="00FB1BFB">
        <w:t>M</w:t>
      </w:r>
      <w:r w:rsidR="00FB1BFB" w:rsidRPr="00FA1A19">
        <w:t>etaverse</w:t>
      </w:r>
      <w:r w:rsidRPr="00FA1A19">
        <w:t>.</w:t>
      </w:r>
    </w:p>
    <w:p w14:paraId="21FCB6D5" w14:textId="77777777" w:rsidR="00301B95" w:rsidRPr="00FA1A19" w:rsidRDefault="00301B95" w:rsidP="0069352C">
      <w:pPr>
        <w:pStyle w:val="Heading2"/>
      </w:pPr>
      <w:bookmarkStart w:id="56" w:name="_Toc159513580"/>
      <w:r w:rsidRPr="00FA1A19">
        <w:t>Regulating digital asset platforms</w:t>
      </w:r>
      <w:bookmarkEnd w:id="56"/>
    </w:p>
    <w:p w14:paraId="3D4F362F" w14:textId="593AAB28" w:rsidR="00110103" w:rsidRPr="00FA1A19" w:rsidRDefault="00301B95" w:rsidP="00301B95">
      <w:r w:rsidRPr="00FA1A19">
        <w:t>Notwithstanding that the original purpose of DLT was to enable peer</w:t>
      </w:r>
      <w:r w:rsidR="00F75232">
        <w:noBreakHyphen/>
      </w:r>
      <w:r w:rsidRPr="00FA1A19">
        <w:t>to</w:t>
      </w:r>
      <w:r w:rsidR="00F75232">
        <w:noBreakHyphen/>
      </w:r>
      <w:r w:rsidRPr="00FA1A19">
        <w:t xml:space="preserve">peer transactions, </w:t>
      </w:r>
      <w:r w:rsidR="0026478C" w:rsidRPr="00FA1A19">
        <w:t xml:space="preserve">as can be seen from the foregoing discussion </w:t>
      </w:r>
      <w:r w:rsidRPr="00FA1A19">
        <w:t>there has been significant grow</w:t>
      </w:r>
      <w:r w:rsidR="7D581C97" w:rsidRPr="00FA1A19">
        <w:t>th</w:t>
      </w:r>
      <w:r w:rsidRPr="00FA1A19">
        <w:t xml:space="preserve"> in intermediaries in the digital asset ecosystem</w:t>
      </w:r>
      <w:r w:rsidR="00382EF4" w:rsidRPr="00FA1A19">
        <w:t xml:space="preserve">, particularly </w:t>
      </w:r>
      <w:r w:rsidR="00146228" w:rsidRPr="00FA1A19">
        <w:t xml:space="preserve">with the development and growth </w:t>
      </w:r>
      <w:r w:rsidR="00254A49" w:rsidRPr="00FA1A19">
        <w:t>of</w:t>
      </w:r>
      <w:r w:rsidR="00146228" w:rsidRPr="00FA1A19">
        <w:t xml:space="preserve"> DeFi</w:t>
      </w:r>
      <w:r w:rsidRPr="00FA1A19">
        <w:t>.</w:t>
      </w:r>
      <w:r w:rsidR="004F0A51" w:rsidRPr="00FA1A19">
        <w:t xml:space="preserve"> </w:t>
      </w:r>
    </w:p>
    <w:p w14:paraId="6AAE0B9B" w14:textId="0635A765" w:rsidR="00460233" w:rsidRPr="00FA1A19" w:rsidRDefault="00110103" w:rsidP="00301B95">
      <w:r w:rsidRPr="00FA1A19">
        <w:t xml:space="preserve">The </w:t>
      </w:r>
      <w:r w:rsidR="008228D4">
        <w:t>Australian</w:t>
      </w:r>
      <w:r w:rsidR="008228D4" w:rsidRPr="00FA1A19">
        <w:t xml:space="preserve"> </w:t>
      </w:r>
      <w:r w:rsidRPr="00FA1A19">
        <w:t xml:space="preserve">Government has said that </w:t>
      </w:r>
      <w:r w:rsidR="00F75232">
        <w:t>‘</w:t>
      </w:r>
      <w:r w:rsidRPr="00FA1A19">
        <w:t>Intermediaries in the digital asset ecosystem are almost universally structured as digital asset platforms.</w:t>
      </w:r>
      <w:r w:rsidR="004F0A51" w:rsidRPr="00FA1A19">
        <w:t xml:space="preserve"> </w:t>
      </w:r>
      <w:r w:rsidR="00301B95" w:rsidRPr="00FA1A19">
        <w:t>This includes all the dominant players in the digital assets market, both in the volume of transactions they process and the size of the customer base they serve. It</w:t>
      </w:r>
      <w:r w:rsidR="00393CD7">
        <w:t> </w:t>
      </w:r>
      <w:r w:rsidR="00301B95" w:rsidRPr="00FA1A19">
        <w:t xml:space="preserve">also appears to include most </w:t>
      </w:r>
      <w:r w:rsidR="00F75232">
        <w:t>‘</w:t>
      </w:r>
      <w:r w:rsidR="00301B95" w:rsidRPr="00FA1A19">
        <w:t>brokers</w:t>
      </w:r>
      <w:r w:rsidR="00F75232">
        <w:t>’</w:t>
      </w:r>
      <w:r w:rsidR="00301B95" w:rsidRPr="00FA1A19">
        <w:t xml:space="preserve"> and even intermediaries holding non</w:t>
      </w:r>
      <w:r w:rsidR="00F75232">
        <w:noBreakHyphen/>
      </w:r>
      <w:r w:rsidR="00301B95" w:rsidRPr="00FA1A19">
        <w:t xml:space="preserve">digital assets as part of an </w:t>
      </w:r>
      <w:r w:rsidR="00F75232">
        <w:t>‘</w:t>
      </w:r>
      <w:r w:rsidR="00301B95" w:rsidRPr="00FA1A19">
        <w:t>asset</w:t>
      </w:r>
      <w:r w:rsidR="00F75232">
        <w:noBreakHyphen/>
      </w:r>
      <w:r w:rsidR="00301B95" w:rsidRPr="00FA1A19">
        <w:t>backed token</w:t>
      </w:r>
      <w:r w:rsidR="00F75232">
        <w:t>’</w:t>
      </w:r>
      <w:r w:rsidR="00301B95" w:rsidRPr="00FA1A19">
        <w:t xml:space="preserve"> arrangement.</w:t>
      </w:r>
      <w:r w:rsidR="00F75232">
        <w:t>’</w:t>
      </w:r>
      <w:r w:rsidR="00301B95" w:rsidRPr="00170ADC">
        <w:rPr>
          <w:rStyle w:val="FootnoteReference"/>
        </w:rPr>
        <w:footnoteReference w:id="228"/>
      </w:r>
      <w:r w:rsidR="004F0A51" w:rsidRPr="00FA1A19">
        <w:t xml:space="preserve"> </w:t>
      </w:r>
    </w:p>
    <w:p w14:paraId="76FECAF0" w14:textId="76613C8D" w:rsidR="00301B95" w:rsidRPr="00FA1A19" w:rsidRDefault="00301B95" w:rsidP="00301B95">
      <w:r w:rsidRPr="00FA1A19">
        <w:t>The</w:t>
      </w:r>
      <w:r w:rsidR="00460233" w:rsidRPr="00FA1A19">
        <w:t xml:space="preserve"> </w:t>
      </w:r>
      <w:r w:rsidR="008228D4">
        <w:t>Australian</w:t>
      </w:r>
      <w:r w:rsidR="008228D4" w:rsidRPr="00FA1A19">
        <w:t xml:space="preserve"> </w:t>
      </w:r>
      <w:r w:rsidRPr="00FA1A19">
        <w:t xml:space="preserve">Government has recognised that recent failures of digital asset platforms have led to considerable consumer losses and has said that the failures of digital asset platforms </w:t>
      </w:r>
      <w:r w:rsidR="00F75232">
        <w:t>‘</w:t>
      </w:r>
      <w:r w:rsidRPr="00FA1A19">
        <w:t>are symptomatic of unregulated asset holding intermediaries</w:t>
      </w:r>
      <w:r w:rsidR="00F75232">
        <w:t>’</w:t>
      </w:r>
      <w:r w:rsidRPr="00FA1A19">
        <w:t>.</w:t>
      </w:r>
      <w:r w:rsidRPr="00170ADC">
        <w:rPr>
          <w:rStyle w:val="FootnoteReference"/>
        </w:rPr>
        <w:footnoteReference w:id="229"/>
      </w:r>
    </w:p>
    <w:p w14:paraId="27BC56EB" w14:textId="1F41FD05" w:rsidR="00301B95" w:rsidRPr="00FA1A19" w:rsidRDefault="00301B95" w:rsidP="00301B95">
      <w:r w:rsidRPr="00FA1A19">
        <w:t xml:space="preserve">Accordingly, the </w:t>
      </w:r>
      <w:r w:rsidR="008228D4">
        <w:t>Australian</w:t>
      </w:r>
      <w:r w:rsidR="008228D4" w:rsidRPr="00FA1A19">
        <w:t xml:space="preserve"> </w:t>
      </w:r>
      <w:r w:rsidRPr="00FA1A19">
        <w:t xml:space="preserve">Government has indicated that it </w:t>
      </w:r>
      <w:r w:rsidR="00F75232">
        <w:t>‘</w:t>
      </w:r>
      <w:r w:rsidRPr="00FA1A19">
        <w:t>intends to introduce a regulatory framework aimed at addressing the significant risks and potential harms associated with digital asset platforms [which] proposes to regulate digital asset platforms within the existing Australian financial services laws.</w:t>
      </w:r>
      <w:r w:rsidR="00F75232">
        <w:t>’</w:t>
      </w:r>
      <w:r w:rsidRPr="00170ADC">
        <w:rPr>
          <w:rStyle w:val="FootnoteReference"/>
        </w:rPr>
        <w:footnoteReference w:id="230"/>
      </w:r>
    </w:p>
    <w:p w14:paraId="088CE199" w14:textId="77777777" w:rsidR="008951D4" w:rsidRPr="00FA1A19" w:rsidRDefault="008951D4" w:rsidP="008371A3">
      <w:pPr>
        <w:pStyle w:val="SingleParagraph"/>
      </w:pPr>
    </w:p>
    <w:tbl>
      <w:tblPr>
        <w:tblStyle w:val="GridTable4-Accent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84" w:type="dxa"/>
          <w:bottom w:w="113" w:type="dxa"/>
          <w:right w:w="284" w:type="dxa"/>
        </w:tblCellMar>
        <w:tblLook w:val="01E0" w:firstRow="1" w:lastRow="1" w:firstColumn="1" w:lastColumn="1" w:noHBand="0" w:noVBand="0"/>
      </w:tblPr>
      <w:tblGrid>
        <w:gridCol w:w="9641"/>
      </w:tblGrid>
      <w:tr w:rsidR="0048074D" w:rsidRPr="00FA1A19" w14:paraId="5594FF67"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E797BF3" w14:textId="2CAF5861" w:rsidR="0048074D" w:rsidRPr="00FA1A19" w:rsidRDefault="00372633" w:rsidP="003316D7">
            <w:pPr>
              <w:pStyle w:val="BoxHeading1"/>
            </w:pPr>
            <w:r>
              <w:t>Observation </w:t>
            </w:r>
            <w:r w:rsidR="0048074D" w:rsidRPr="00FA1A19">
              <w:t>3.</w:t>
            </w:r>
            <w:r w:rsidR="005E0272">
              <w:t>2</w:t>
            </w:r>
          </w:p>
        </w:tc>
      </w:tr>
      <w:tr w:rsidR="0048074D" w:rsidRPr="00FA1A19" w14:paraId="1DC26B80" w14:textId="77777777" w:rsidTr="00EB09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F6F2ED" w:themeFill="accent3" w:themeFillTint="33"/>
          </w:tcPr>
          <w:p w14:paraId="706BABEB" w14:textId="710E230B" w:rsidR="0048074D" w:rsidRPr="00FA1A19" w:rsidRDefault="0048074D" w:rsidP="00170ADC">
            <w:pPr>
              <w:pStyle w:val="BoxText"/>
              <w:rPr>
                <w:bCs w:val="0"/>
              </w:rPr>
            </w:pPr>
            <w:r w:rsidRPr="00FA1A19">
              <w:t>The Board observes that the crypto ecosystem is complex and evolving quickly due to technological change and financial innovation</w:t>
            </w:r>
            <w:r w:rsidR="00530C72" w:rsidRPr="00FA1A19">
              <w:t xml:space="preserve">, with </w:t>
            </w:r>
            <w:r w:rsidR="00B25451" w:rsidRPr="00FA1A19">
              <w:t xml:space="preserve">the growth of </w:t>
            </w:r>
            <w:r w:rsidR="00D67694" w:rsidRPr="00FA1A19">
              <w:t>DeFi</w:t>
            </w:r>
            <w:r w:rsidR="005556DC">
              <w:t xml:space="preserve"> </w:t>
            </w:r>
            <w:r w:rsidR="007346E0" w:rsidRPr="00FA1A19">
              <w:t>acting as a peer</w:t>
            </w:r>
            <w:r w:rsidR="00F75232">
              <w:noBreakHyphen/>
            </w:r>
            <w:r w:rsidR="007346E0" w:rsidRPr="00FA1A19">
              <w:t>to</w:t>
            </w:r>
            <w:r w:rsidR="00F75232">
              <w:noBreakHyphen/>
            </w:r>
            <w:r w:rsidR="007346E0" w:rsidRPr="00FA1A19">
              <w:t>peer alternative to traditional finance</w:t>
            </w:r>
            <w:r w:rsidR="00352A35" w:rsidRPr="00FA1A19">
              <w:t xml:space="preserve"> adding further complexity and</w:t>
            </w:r>
            <w:r w:rsidR="00B25451" w:rsidRPr="00FA1A19">
              <w:t xml:space="preserve"> ongoing</w:t>
            </w:r>
            <w:r w:rsidR="00352A35" w:rsidRPr="00FA1A19">
              <w:t xml:space="preserve"> innovation.</w:t>
            </w:r>
            <w:r w:rsidR="008A66C4" w:rsidRPr="00FA1A19">
              <w:t xml:space="preserve"> C</w:t>
            </w:r>
            <w:r w:rsidRPr="00FA1A19">
              <w:t xml:space="preserve">onsideration of taxation issues </w:t>
            </w:r>
            <w:r w:rsidR="00660395" w:rsidRPr="00FA1A19">
              <w:t>relating to</w:t>
            </w:r>
            <w:r w:rsidRPr="00FA1A19">
              <w:t xml:space="preserve"> the crypto ecosystem </w:t>
            </w:r>
            <w:r w:rsidR="008A66C4" w:rsidRPr="00FA1A19">
              <w:t xml:space="preserve">should </w:t>
            </w:r>
            <w:r w:rsidR="00B1704A" w:rsidRPr="00FA1A19">
              <w:t>be ongoing</w:t>
            </w:r>
            <w:r w:rsidR="008A66C4" w:rsidRPr="00FA1A19">
              <w:t xml:space="preserve"> as </w:t>
            </w:r>
            <w:r w:rsidR="00B1704A" w:rsidRPr="00FA1A19">
              <w:t xml:space="preserve">the crypto ecosystem, and </w:t>
            </w:r>
            <w:r w:rsidRPr="00FA1A19">
              <w:t xml:space="preserve">global taxation responses to it, </w:t>
            </w:r>
            <w:r w:rsidR="00B1704A" w:rsidRPr="00FA1A19">
              <w:t>continue to develop</w:t>
            </w:r>
            <w:r w:rsidRPr="00FA1A19">
              <w:t>.</w:t>
            </w:r>
          </w:p>
          <w:p w14:paraId="5017025C" w14:textId="69194429" w:rsidR="004806D3" w:rsidRPr="00FA1A19" w:rsidRDefault="004806D3" w:rsidP="00170ADC">
            <w:pPr>
              <w:pStyle w:val="BoxText"/>
            </w:pPr>
            <w:r w:rsidRPr="00FA1A19">
              <w:t>In the meantime, Australian taxpayers require clarity and certainty in relation to the application of the current tax laws</w:t>
            </w:r>
            <w:r w:rsidR="00A1126E" w:rsidRPr="00FA1A19">
              <w:t xml:space="preserve"> so that they can ensure that their tax disclosures will be acceptable to the ATO.</w:t>
            </w:r>
          </w:p>
        </w:tc>
      </w:tr>
    </w:tbl>
    <w:p w14:paraId="3260D7CD" w14:textId="77777777" w:rsidR="008371A3" w:rsidRPr="00393CD7" w:rsidRDefault="008371A3" w:rsidP="00393CD7">
      <w:pPr>
        <w:pStyle w:val="SingleParagraph"/>
        <w:sectPr w:rsidR="008371A3" w:rsidRPr="00393CD7" w:rsidSect="00320772">
          <w:pgSz w:w="11909" w:h="16834" w:code="9"/>
          <w:pgMar w:top="1985" w:right="1134" w:bottom="1985" w:left="1134" w:header="1134" w:footer="1134" w:gutter="0"/>
          <w:cols w:space="708"/>
          <w:docGrid w:linePitch="360"/>
        </w:sectPr>
      </w:pPr>
    </w:p>
    <w:p w14:paraId="4C3EC52E" w14:textId="5BFAAD21" w:rsidR="0083679D" w:rsidRPr="00FA1A19" w:rsidRDefault="00372633" w:rsidP="0069352C">
      <w:pPr>
        <w:pStyle w:val="Heading1"/>
      </w:pPr>
      <w:bookmarkStart w:id="57" w:name="_Toc159513581"/>
      <w:r>
        <w:t>Chapter </w:t>
      </w:r>
      <w:r w:rsidR="0083679D" w:rsidRPr="00FA1A19">
        <w:t xml:space="preserve">4: Classification </w:t>
      </w:r>
      <w:r w:rsidR="00707727" w:rsidRPr="00FA1A19">
        <w:t xml:space="preserve">and Nature </w:t>
      </w:r>
      <w:r w:rsidR="0083679D" w:rsidRPr="00FA1A19">
        <w:t>of Digital Assets</w:t>
      </w:r>
      <w:bookmarkEnd w:id="57"/>
    </w:p>
    <w:p w14:paraId="05E6417C" w14:textId="77777777" w:rsidR="00456F4F" w:rsidRPr="00FA1A19" w:rsidRDefault="00456F4F" w:rsidP="0069352C">
      <w:pPr>
        <w:pStyle w:val="Heading2"/>
        <w:rPr>
          <w:rStyle w:val="Emphasis"/>
        </w:rPr>
      </w:pPr>
      <w:bookmarkStart w:id="58" w:name="_Toc159513582"/>
      <w:r w:rsidRPr="00FA1A19">
        <w:rPr>
          <w:rStyle w:val="Emphasis"/>
        </w:rPr>
        <w:t>Key Points</w:t>
      </w:r>
      <w:bookmarkEnd w:id="58"/>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1F4D" w:themeFill="accent2"/>
        <w:tblCellMar>
          <w:top w:w="284" w:type="dxa"/>
          <w:left w:w="454" w:type="dxa"/>
          <w:bottom w:w="397" w:type="dxa"/>
          <w:right w:w="454" w:type="dxa"/>
        </w:tblCellMar>
        <w:tblLook w:val="04A0" w:firstRow="1" w:lastRow="0" w:firstColumn="1" w:lastColumn="0" w:noHBand="0" w:noVBand="1"/>
      </w:tblPr>
      <w:tblGrid>
        <w:gridCol w:w="9641"/>
      </w:tblGrid>
      <w:tr w:rsidR="00500E5C" w:rsidRPr="008371A3" w14:paraId="78D54DE3" w14:textId="77777777" w:rsidTr="00EB09BD">
        <w:tc>
          <w:tcPr>
            <w:tcW w:w="5000" w:type="pct"/>
            <w:shd w:val="clear" w:color="auto" w:fill="701F4D" w:themeFill="accent2"/>
          </w:tcPr>
          <w:p w14:paraId="1E6743C9" w14:textId="459FB654" w:rsidR="00380801" w:rsidRPr="008371A3" w:rsidRDefault="00380801" w:rsidP="000E72DD">
            <w:pPr>
              <w:pStyle w:val="BoxBulletWhite"/>
            </w:pPr>
            <w:r w:rsidRPr="008371A3">
              <w:t>Different crypto assets may be classified by the features, rights and obligations inherent to them.</w:t>
            </w:r>
          </w:p>
          <w:p w14:paraId="7AA04331" w14:textId="3ED424F6" w:rsidR="00380801" w:rsidRPr="008371A3" w:rsidRDefault="00380801" w:rsidP="000E72DD">
            <w:pPr>
              <w:pStyle w:val="BoxBulletWhite"/>
            </w:pPr>
            <w:r w:rsidRPr="008371A3">
              <w:t xml:space="preserve">One basis of classification is whether the crypto assets are linked to conventional </w:t>
            </w:r>
            <w:r w:rsidR="00F75232">
              <w:t>‘</w:t>
            </w:r>
            <w:r w:rsidRPr="008371A3">
              <w:t>off</w:t>
            </w:r>
            <w:r w:rsidR="00F75232">
              <w:noBreakHyphen/>
            </w:r>
            <w:r w:rsidRPr="008371A3">
              <w:t>chain</w:t>
            </w:r>
            <w:r w:rsidR="00F75232">
              <w:t>’</w:t>
            </w:r>
            <w:r w:rsidRPr="008371A3">
              <w:t xml:space="preserve"> assets (such as contractual rights to attend a concert) or have value in and of themselves, without any link to conventional assets (the </w:t>
            </w:r>
            <w:r w:rsidR="00F75232">
              <w:t>‘</w:t>
            </w:r>
            <w:r w:rsidRPr="008371A3">
              <w:t>native</w:t>
            </w:r>
            <w:r w:rsidR="00F75232">
              <w:t>’</w:t>
            </w:r>
            <w:r w:rsidRPr="008371A3">
              <w:t xml:space="preserve"> or </w:t>
            </w:r>
            <w:r w:rsidR="00F75232">
              <w:t>‘</w:t>
            </w:r>
            <w:r w:rsidRPr="008371A3">
              <w:t>on</w:t>
            </w:r>
            <w:r w:rsidR="00F75232">
              <w:noBreakHyphen/>
            </w:r>
            <w:r w:rsidRPr="008371A3">
              <w:t>chain</w:t>
            </w:r>
            <w:r w:rsidR="00F75232">
              <w:t>’</w:t>
            </w:r>
            <w:r w:rsidRPr="008371A3">
              <w:t xml:space="preserve"> assets, such as cryptocurrencies). </w:t>
            </w:r>
          </w:p>
          <w:p w14:paraId="33C6DD95" w14:textId="77777777" w:rsidR="00657BAC" w:rsidRPr="008371A3" w:rsidRDefault="00657BAC" w:rsidP="000E72DD">
            <w:pPr>
              <w:pStyle w:val="BoxBulletWhite"/>
              <w:rPr>
                <w:rFonts w:eastAsiaTheme="minorHAnsi"/>
              </w:rPr>
            </w:pPr>
            <w:r w:rsidRPr="008371A3">
              <w:rPr>
                <w:rFonts w:eastAsiaTheme="minorHAnsi"/>
              </w:rPr>
              <w:t xml:space="preserve">A crucial issue for the taxation of digital assets is whether digital assets are property. </w:t>
            </w:r>
          </w:p>
          <w:p w14:paraId="790258C6" w14:textId="77777777" w:rsidR="00500E5C" w:rsidRPr="00FE1D63" w:rsidRDefault="00657BAC" w:rsidP="000E72DD">
            <w:pPr>
              <w:pStyle w:val="BoxBulletWhite"/>
            </w:pPr>
            <w:r w:rsidRPr="008371A3">
              <w:rPr>
                <w:rFonts w:eastAsiaTheme="minorHAnsi"/>
              </w:rPr>
              <w:t>Legislation passed in 2023 provided certainty to taxpayers in relation cryptocurrencies not being treated as foreign currency for tax purposes.</w:t>
            </w:r>
          </w:p>
          <w:p w14:paraId="335C5929" w14:textId="74D90BD8" w:rsidR="00BC19B0" w:rsidRPr="008371A3" w:rsidRDefault="00BC19B0" w:rsidP="000E72DD">
            <w:pPr>
              <w:pStyle w:val="BoxBulletWhite"/>
            </w:pPr>
            <w:r>
              <w:t>A number of potential environmental, criminal and financial risks and concerns have been raised in relation to the cr</w:t>
            </w:r>
            <w:r w:rsidR="00256A38">
              <w:t>y</w:t>
            </w:r>
            <w:r>
              <w:t>pto</w:t>
            </w:r>
            <w:r w:rsidR="00256A38">
              <w:t xml:space="preserve"> </w:t>
            </w:r>
            <w:r>
              <w:t xml:space="preserve">ecosystem and these may be relevant to any </w:t>
            </w:r>
            <w:r w:rsidR="002F4811">
              <w:t>g</w:t>
            </w:r>
            <w:r>
              <w:t>overnmental policy considerations.</w:t>
            </w:r>
          </w:p>
        </w:tc>
      </w:tr>
    </w:tbl>
    <w:p w14:paraId="207BC097" w14:textId="5B937928" w:rsidR="00657BAC" w:rsidRPr="00FA1A19" w:rsidRDefault="00657BAC" w:rsidP="0069352C">
      <w:pPr>
        <w:pStyle w:val="Heading2"/>
      </w:pPr>
      <w:bookmarkStart w:id="59" w:name="_Toc159513583"/>
      <w:r w:rsidRPr="00FA1A19">
        <w:t>Introduction</w:t>
      </w:r>
      <w:bookmarkEnd w:id="59"/>
    </w:p>
    <w:p w14:paraId="2B34E9BD" w14:textId="78C580EA" w:rsidR="00F20ACB" w:rsidRPr="00FA1A19" w:rsidRDefault="002F27D1" w:rsidP="00F20ACB">
      <w:r w:rsidRPr="00FA1A19">
        <w:t xml:space="preserve">In this </w:t>
      </w:r>
      <w:r w:rsidR="002C78F7" w:rsidRPr="00FA1A19">
        <w:t>c</w:t>
      </w:r>
      <w:r w:rsidRPr="00FA1A19">
        <w:t xml:space="preserve">hapter the Board has </w:t>
      </w:r>
      <w:r w:rsidR="00B2635D" w:rsidRPr="00FA1A19">
        <w:t>considered the various classifications that may apply to crypto assets</w:t>
      </w:r>
      <w:r w:rsidR="00496234" w:rsidRPr="00FA1A19">
        <w:t>.</w:t>
      </w:r>
      <w:r w:rsidR="00B2635D" w:rsidRPr="00FA1A19">
        <w:t xml:space="preserve"> </w:t>
      </w:r>
      <w:r w:rsidR="002E2893" w:rsidRPr="00FA1A19">
        <w:t>The</w:t>
      </w:r>
      <w:r w:rsidR="007B3012" w:rsidRPr="00FA1A19">
        <w:t xml:space="preserve"> first part of this</w:t>
      </w:r>
      <w:r w:rsidR="002E2893" w:rsidRPr="00FA1A19">
        <w:t xml:space="preserve"> </w:t>
      </w:r>
      <w:r w:rsidR="002C78F7" w:rsidRPr="00FA1A19">
        <w:t>c</w:t>
      </w:r>
      <w:r w:rsidR="002E2893" w:rsidRPr="00FA1A19">
        <w:t>hapter sets out</w:t>
      </w:r>
      <w:r w:rsidR="0026492D" w:rsidRPr="00FA1A19">
        <w:t xml:space="preserve"> the relevant regulatory </w:t>
      </w:r>
      <w:r w:rsidR="00905F45" w:rsidRPr="00FA1A19">
        <w:t>classifications</w:t>
      </w:r>
      <w:r w:rsidR="006200E5" w:rsidRPr="00FA1A19">
        <w:t xml:space="preserve">, </w:t>
      </w:r>
      <w:r w:rsidR="0035743C" w:rsidRPr="00FA1A19">
        <w:t>with reference to</w:t>
      </w:r>
      <w:r w:rsidR="007B3012" w:rsidRPr="00FA1A19">
        <w:t>:</w:t>
      </w:r>
    </w:p>
    <w:p w14:paraId="583D6E0E" w14:textId="001B3D36" w:rsidR="007B3012" w:rsidRPr="00FA1A19" w:rsidRDefault="00A51D60" w:rsidP="008371A3">
      <w:pPr>
        <w:pStyle w:val="Bullet"/>
      </w:pPr>
      <w:r>
        <w:t>p</w:t>
      </w:r>
      <w:r w:rsidR="007B3012" w:rsidRPr="00FA1A19">
        <w:t>ayment, utility and security classifications</w:t>
      </w:r>
    </w:p>
    <w:p w14:paraId="764503C7" w14:textId="340A9180" w:rsidR="007B3012" w:rsidRPr="00FA1A19" w:rsidRDefault="00A51D60" w:rsidP="008371A3">
      <w:pPr>
        <w:pStyle w:val="Bullet"/>
      </w:pPr>
      <w:r>
        <w:t>f</w:t>
      </w:r>
      <w:r w:rsidR="007B3012" w:rsidRPr="00FA1A19">
        <w:t xml:space="preserve">inancial, debt or equity </w:t>
      </w:r>
      <w:r w:rsidR="001A213E" w:rsidRPr="00FA1A19">
        <w:t>classification</w:t>
      </w:r>
    </w:p>
    <w:p w14:paraId="5221CA5A" w14:textId="1CE31A92" w:rsidR="001A213E" w:rsidRPr="00FA1A19" w:rsidRDefault="00A51D60" w:rsidP="008371A3">
      <w:pPr>
        <w:pStyle w:val="Bullet"/>
      </w:pPr>
      <w:r>
        <w:t>c</w:t>
      </w:r>
      <w:r w:rsidR="001A213E" w:rsidRPr="00FA1A19">
        <w:t>lassifications on the basis of a link to conventional assets.</w:t>
      </w:r>
    </w:p>
    <w:p w14:paraId="455A9C34" w14:textId="2BF4079E" w:rsidR="001A213E" w:rsidRPr="00FA1A19" w:rsidRDefault="001A213E" w:rsidP="001A213E">
      <w:r w:rsidRPr="00FA1A19">
        <w:t xml:space="preserve">In the second part of the </w:t>
      </w:r>
      <w:r w:rsidR="002C78F7" w:rsidRPr="00FA1A19">
        <w:t>c</w:t>
      </w:r>
      <w:r w:rsidRPr="00FA1A19">
        <w:t>hapter, the Board has considered classifications with specific relevance for tax purpose</w:t>
      </w:r>
      <w:r w:rsidR="2607F647" w:rsidRPr="00FA1A19">
        <w:t>s</w:t>
      </w:r>
      <w:r w:rsidRPr="00FA1A19">
        <w:t xml:space="preserve">, including whether a crypto asset may be appropriately classified as property, and the </w:t>
      </w:r>
      <w:r w:rsidR="00F72FB3" w:rsidRPr="00FA1A19">
        <w:t>G</w:t>
      </w:r>
      <w:r w:rsidR="009B6CD8" w:rsidRPr="00FA1A19">
        <w:t>overnment</w:t>
      </w:r>
      <w:r w:rsidR="00F75232">
        <w:t>’</w:t>
      </w:r>
      <w:r w:rsidR="009B6CD8" w:rsidRPr="00FA1A19">
        <w:t xml:space="preserve">s recent legislative amendment to ensure that cryptocurrencies such as bitcoin are not treated as foreign currency for </w:t>
      </w:r>
      <w:r w:rsidR="73F98B3F" w:rsidRPr="00FA1A19">
        <w:t xml:space="preserve">Australian </w:t>
      </w:r>
      <w:r w:rsidR="009B6CD8" w:rsidRPr="00FA1A19">
        <w:t xml:space="preserve">tax purposes. </w:t>
      </w:r>
    </w:p>
    <w:p w14:paraId="03DB023E" w14:textId="1B229148" w:rsidR="008F56FE" w:rsidRPr="00FA1A19" w:rsidRDefault="008F56FE" w:rsidP="0069352C">
      <w:pPr>
        <w:pStyle w:val="Heading2"/>
      </w:pPr>
      <w:bookmarkStart w:id="60" w:name="_Toc159513584"/>
      <w:r w:rsidRPr="00FA1A19">
        <w:t xml:space="preserve">Classifying </w:t>
      </w:r>
      <w:r w:rsidR="00D47309">
        <w:t>crypto</w:t>
      </w:r>
      <w:r w:rsidR="00D47309" w:rsidRPr="00FA1A19">
        <w:t xml:space="preserve"> </w:t>
      </w:r>
      <w:r w:rsidRPr="00FA1A19">
        <w:t>assets</w:t>
      </w:r>
      <w:bookmarkEnd w:id="60"/>
      <w:r w:rsidRPr="00FA1A19">
        <w:t xml:space="preserve"> </w:t>
      </w:r>
    </w:p>
    <w:p w14:paraId="03F1C62A" w14:textId="78A204A2" w:rsidR="008F56FE" w:rsidRPr="00FA1A19" w:rsidRDefault="008F56FE" w:rsidP="008F56FE">
      <w:r w:rsidRPr="00FA1A19">
        <w:t xml:space="preserve">There have been a number of attempts to classify </w:t>
      </w:r>
      <w:r w:rsidR="00D47309">
        <w:t>crypto</w:t>
      </w:r>
      <w:r w:rsidR="00D47309" w:rsidRPr="00FA1A19">
        <w:t xml:space="preserve"> </w:t>
      </w:r>
      <w:r w:rsidRPr="00FA1A19">
        <w:t xml:space="preserve">assets in different ways, particularly for the purposes of regulation – both in considering whether current regulatory regimes may apply to </w:t>
      </w:r>
      <w:r w:rsidR="00D47309">
        <w:t>crypto</w:t>
      </w:r>
      <w:r w:rsidR="00D47309" w:rsidRPr="00FA1A19">
        <w:t xml:space="preserve"> </w:t>
      </w:r>
      <w:r w:rsidRPr="00FA1A19">
        <w:t xml:space="preserve">assets, and in considering whether new regulations should be introduced that would apply specifically to </w:t>
      </w:r>
      <w:r w:rsidR="00D47309">
        <w:t>crypto</w:t>
      </w:r>
      <w:r w:rsidR="00D47309" w:rsidRPr="00FA1A19">
        <w:t xml:space="preserve"> </w:t>
      </w:r>
      <w:r w:rsidRPr="00FA1A19">
        <w:t>assets.</w:t>
      </w:r>
    </w:p>
    <w:p w14:paraId="6D4BF13A" w14:textId="77777777" w:rsidR="008F56FE" w:rsidRPr="00FA1A19" w:rsidRDefault="008F56FE" w:rsidP="00342121">
      <w:pPr>
        <w:pStyle w:val="Heading3"/>
      </w:pPr>
      <w:r w:rsidRPr="00FA1A19">
        <w:t>Classification into Payment, Utility and Security Tokens</w:t>
      </w:r>
    </w:p>
    <w:p w14:paraId="15723236" w14:textId="50F02198" w:rsidR="008F56FE" w:rsidRPr="00FA1A19" w:rsidRDefault="008F56FE" w:rsidP="008F56FE">
      <w:pPr>
        <w:rPr>
          <w:rFonts w:cstheme="minorHAnsi"/>
        </w:rPr>
      </w:pPr>
      <w:r w:rsidRPr="00FA1A19">
        <w:rPr>
          <w:rFonts w:cstheme="minorHAnsi"/>
        </w:rPr>
        <w:t xml:space="preserve">The Swiss Financial Market Supervisory Authority (FINMA), in a now widely accepted classification, divided digital tokens into payment, utility and security tokens, taking the view that </w:t>
      </w:r>
      <w:r w:rsidR="00F75232">
        <w:rPr>
          <w:rFonts w:cstheme="minorHAnsi"/>
        </w:rPr>
        <w:t>‘</w:t>
      </w:r>
      <w:r w:rsidRPr="00FA1A19">
        <w:rPr>
          <w:rFonts w:cstheme="minorHAnsi"/>
        </w:rPr>
        <w:t xml:space="preserve">digital tokens </w:t>
      </w:r>
      <w:r w:rsidR="00082643" w:rsidRPr="00FA1A19">
        <w:rPr>
          <w:rFonts w:cstheme="minorHAnsi"/>
        </w:rPr>
        <w:t>were to</w:t>
      </w:r>
      <w:r w:rsidRPr="00FA1A19">
        <w:rPr>
          <w:rFonts w:cstheme="minorHAnsi"/>
        </w:rPr>
        <w:t xml:space="preserve"> be assessed </w:t>
      </w:r>
      <w:r w:rsidR="00B16F31" w:rsidRPr="00FA1A19">
        <w:rPr>
          <w:rFonts w:cstheme="minorHAnsi"/>
        </w:rPr>
        <w:t>based on</w:t>
      </w:r>
      <w:r w:rsidRPr="00FA1A19">
        <w:rPr>
          <w:rFonts w:cstheme="minorHAnsi"/>
        </w:rPr>
        <w:t xml:space="preserve"> of their objective economic substance and subjected to existing legal regulations accordingly.</w:t>
      </w:r>
      <w:r w:rsidR="00F75232">
        <w:rPr>
          <w:rFonts w:cstheme="minorHAnsi"/>
        </w:rPr>
        <w:t>’</w:t>
      </w:r>
      <w:r w:rsidRPr="00170ADC">
        <w:rPr>
          <w:rStyle w:val="FootnoteReference"/>
        </w:rPr>
        <w:footnoteReference w:id="231"/>
      </w:r>
    </w:p>
    <w:p w14:paraId="58FD0A12" w14:textId="33684D59" w:rsidR="008F56FE" w:rsidRPr="00FA1A19" w:rsidRDefault="008F56FE" w:rsidP="008F56FE">
      <w:r w:rsidRPr="00FA1A19">
        <w:t xml:space="preserve">Similarly, the </w:t>
      </w:r>
      <w:r w:rsidR="00BF078B">
        <w:t>UK</w:t>
      </w:r>
      <w:r w:rsidRPr="00FA1A19">
        <w:t xml:space="preserve"> Cryptoassets Taskforce considered there to be three broad types of crypto assets: exchange tokens (i</w:t>
      </w:r>
      <w:r w:rsidR="008D1E1E" w:rsidRPr="00FA1A19">
        <w:t>.</w:t>
      </w:r>
      <w:r w:rsidRPr="00FA1A19">
        <w:t xml:space="preserve">e. cryptocurrencies); security tokens (which provide rights such as ownership, repayment of a specific sum of money, or entitlement to a share in future profits); </w:t>
      </w:r>
      <w:r w:rsidR="004314E6">
        <w:t>and</w:t>
      </w:r>
      <w:r w:rsidRPr="00FA1A19">
        <w:t xml:space="preserve"> utility tokens (which can be redeemed for access to a specific product or service).</w:t>
      </w:r>
      <w:r w:rsidRPr="00170ADC">
        <w:rPr>
          <w:rStyle w:val="FootnoteReference"/>
        </w:rPr>
        <w:footnoteReference w:id="232"/>
      </w:r>
    </w:p>
    <w:p w14:paraId="7E78472D" w14:textId="3FD13D9B" w:rsidR="008F56FE" w:rsidRPr="00FA1A19" w:rsidRDefault="008F56FE" w:rsidP="008F56FE">
      <w:r w:rsidRPr="00FA1A19">
        <w:t>The OECD set out this three</w:t>
      </w:r>
      <w:r w:rsidR="00F75232">
        <w:noBreakHyphen/>
      </w:r>
      <w:r w:rsidRPr="00FA1A19">
        <w:t>way division in the following table:</w:t>
      </w:r>
      <w:r w:rsidRPr="00170ADC">
        <w:rPr>
          <w:rStyle w:val="FootnoteReference"/>
        </w:rPr>
        <w:footnoteReference w:id="233"/>
      </w:r>
      <w:r w:rsidRPr="00FA1A19">
        <w:t xml:space="preserve"> </w:t>
      </w:r>
    </w:p>
    <w:tbl>
      <w:tblPr>
        <w:tblStyle w:val="ListTable3-Accent1"/>
        <w:tblW w:w="5000" w:type="pct"/>
        <w:tblLook w:val="0220" w:firstRow="1" w:lastRow="0" w:firstColumn="0" w:lastColumn="0" w:noHBand="1" w:noVBand="0"/>
      </w:tblPr>
      <w:tblGrid>
        <w:gridCol w:w="2832"/>
        <w:gridCol w:w="2833"/>
        <w:gridCol w:w="3966"/>
      </w:tblGrid>
      <w:tr w:rsidR="00B952E6" w:rsidRPr="00FA1A19" w14:paraId="7F68E948" w14:textId="77777777" w:rsidTr="00393C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70" w:type="pct"/>
          </w:tcPr>
          <w:p w14:paraId="633BCE11" w14:textId="559D9234" w:rsidR="00B952E6" w:rsidRPr="00FA1A19" w:rsidRDefault="00B952E6" w:rsidP="008371A3">
            <w:pPr>
              <w:pStyle w:val="TableColumnHeadingLeft"/>
            </w:pPr>
            <w:r w:rsidRPr="00FA1A19">
              <w:rPr>
                <w:rFonts w:eastAsia="Calibri"/>
                <w:lang w:eastAsia="en-US"/>
              </w:rPr>
              <w:t>Payment tokens (virtual currencies)</w:t>
            </w:r>
          </w:p>
        </w:tc>
        <w:tc>
          <w:tcPr>
            <w:tcW w:w="1471" w:type="pct"/>
          </w:tcPr>
          <w:p w14:paraId="085D477C" w14:textId="18FEA777" w:rsidR="00B952E6" w:rsidRPr="00FA1A19" w:rsidRDefault="00B952E6" w:rsidP="008371A3">
            <w:pPr>
              <w:pStyle w:val="TableColumnHeadingLeft"/>
              <w:cnfStyle w:val="100000000000" w:firstRow="1" w:lastRow="0" w:firstColumn="0" w:lastColumn="0" w:oddVBand="0" w:evenVBand="0" w:oddHBand="0" w:evenHBand="0" w:firstRowFirstColumn="0" w:firstRowLastColumn="0" w:lastRowFirstColumn="0" w:lastRowLastColumn="0"/>
            </w:pPr>
            <w:r w:rsidRPr="00FA1A19">
              <w:rPr>
                <w:rFonts w:eastAsia="Calibri"/>
                <w:lang w:eastAsia="en-US"/>
              </w:rPr>
              <w:t>Security (or Asset and Financial) tokens</w:t>
            </w:r>
          </w:p>
        </w:tc>
        <w:tc>
          <w:tcPr>
            <w:cnfStyle w:val="000010000000" w:firstRow="0" w:lastRow="0" w:firstColumn="0" w:lastColumn="0" w:oddVBand="1" w:evenVBand="0" w:oddHBand="0" w:evenHBand="0" w:firstRowFirstColumn="0" w:firstRowLastColumn="0" w:lastRowFirstColumn="0" w:lastRowLastColumn="0"/>
            <w:tcW w:w="2059" w:type="pct"/>
          </w:tcPr>
          <w:p w14:paraId="7D8C0356" w14:textId="7C6B3A26" w:rsidR="00B952E6" w:rsidRPr="00FA1A19" w:rsidRDefault="00B952E6" w:rsidP="008371A3">
            <w:pPr>
              <w:pStyle w:val="TableColumnHeadingLeft"/>
            </w:pPr>
            <w:r w:rsidRPr="00FA1A19">
              <w:rPr>
                <w:rFonts w:eastAsia="Calibri"/>
                <w:lang w:eastAsia="en-US"/>
              </w:rPr>
              <w:t>Utility (or Consumer) Tokens</w:t>
            </w:r>
          </w:p>
        </w:tc>
      </w:tr>
      <w:tr w:rsidR="005E49EA" w:rsidRPr="00FA1A19" w14:paraId="200DE670" w14:textId="77777777" w:rsidTr="00393CD7">
        <w:tc>
          <w:tcPr>
            <w:cnfStyle w:val="000010000000" w:firstRow="0" w:lastRow="0" w:firstColumn="0" w:lastColumn="0" w:oddVBand="1" w:evenVBand="0" w:oddHBand="0" w:evenHBand="0" w:firstRowFirstColumn="0" w:firstRowLastColumn="0" w:lastRowFirstColumn="0" w:lastRowLastColumn="0"/>
            <w:tcW w:w="1470" w:type="pct"/>
          </w:tcPr>
          <w:p w14:paraId="7E74C69C" w14:textId="77777777" w:rsidR="005E49EA" w:rsidRPr="00FA1A19" w:rsidRDefault="005E49EA" w:rsidP="008371A3">
            <w:pPr>
              <w:pStyle w:val="TableTextLeft"/>
              <w:rPr>
                <w:rFonts w:eastAsia="Calibri"/>
                <w:b/>
                <w:bCs/>
                <w:lang w:eastAsia="en-US"/>
              </w:rPr>
            </w:pPr>
            <w:r w:rsidRPr="00FA1A19">
              <w:rPr>
                <w:rFonts w:eastAsia="Calibri"/>
                <w:lang w:eastAsia="en-US"/>
              </w:rPr>
              <w:t xml:space="preserve">Intended to operate most similarly to traditional, fiat currencies. </w:t>
            </w:r>
          </w:p>
          <w:p w14:paraId="60F449DA" w14:textId="77777777" w:rsidR="005E49EA" w:rsidRPr="004314E6" w:rsidRDefault="005E49EA" w:rsidP="008371A3">
            <w:pPr>
              <w:pStyle w:val="TableTextLeft"/>
              <w:rPr>
                <w:rStyle w:val="Strong"/>
                <w:rFonts w:eastAsia="Calibri"/>
                <w:b w:val="0"/>
                <w:bCs w:val="0"/>
              </w:rPr>
            </w:pPr>
            <w:r w:rsidRPr="004314E6">
              <w:rPr>
                <w:rStyle w:val="Strong"/>
                <w:rFonts w:eastAsia="Calibri"/>
                <w:b w:val="0"/>
                <w:bCs w:val="0"/>
              </w:rPr>
              <w:t xml:space="preserve">Payment tokens are usable as a means of exchange for goods or services, and possibly also as a store of value and unit of measurement. </w:t>
            </w:r>
          </w:p>
          <w:p w14:paraId="16C221B7" w14:textId="77777777" w:rsidR="005E49EA" w:rsidRPr="00FA1A19" w:rsidRDefault="005E49EA" w:rsidP="008371A3">
            <w:pPr>
              <w:pStyle w:val="TableTextLeft"/>
              <w:rPr>
                <w:rFonts w:eastAsia="Calibri"/>
                <w:b/>
                <w:bCs/>
                <w:lang w:eastAsia="en-US"/>
              </w:rPr>
            </w:pPr>
            <w:r w:rsidRPr="00FA1A19">
              <w:rPr>
                <w:rFonts w:eastAsia="Calibri"/>
                <w:lang w:eastAsia="en-US"/>
              </w:rPr>
              <w:t xml:space="preserve">Often referred to as virtual or cryptocurrencies. </w:t>
            </w:r>
          </w:p>
          <w:p w14:paraId="76CA76D9" w14:textId="30942413" w:rsidR="005E49EA" w:rsidRPr="00FA1A19" w:rsidRDefault="005E49EA" w:rsidP="008371A3">
            <w:pPr>
              <w:pStyle w:val="TableTextLeft"/>
            </w:pPr>
            <w:r w:rsidRPr="00FA1A19">
              <w:rPr>
                <w:rFonts w:eastAsia="Calibri"/>
                <w:lang w:eastAsia="en-US"/>
              </w:rPr>
              <w:t>Examples include bitcoin, litecoin, ether.</w:t>
            </w:r>
          </w:p>
        </w:tc>
        <w:tc>
          <w:tcPr>
            <w:tcW w:w="1471" w:type="pct"/>
          </w:tcPr>
          <w:p w14:paraId="75ADC497" w14:textId="77777777" w:rsidR="005E49EA" w:rsidRPr="00FA1A19" w:rsidRDefault="005E49EA" w:rsidP="008371A3">
            <w:pPr>
              <w:pStyle w:val="TableTextLeft"/>
              <w:cnfStyle w:val="000000000000" w:firstRow="0" w:lastRow="0" w:firstColumn="0" w:lastColumn="0" w:oddVBand="0" w:evenVBand="0" w:oddHBand="0" w:evenHBand="0" w:firstRowFirstColumn="0" w:firstRowLastColumn="0" w:lastRowFirstColumn="0" w:lastRowLastColumn="0"/>
              <w:rPr>
                <w:rFonts w:eastAsia="Calibri"/>
                <w:lang w:eastAsia="en-US"/>
              </w:rPr>
            </w:pPr>
            <w:r w:rsidRPr="00FA1A19">
              <w:rPr>
                <w:rFonts w:eastAsia="Calibri"/>
                <w:lang w:eastAsia="en-US"/>
              </w:rPr>
              <w:t xml:space="preserve">Designed as tradeable assets that are held for investment purposes and classified as a security (or equivalent) under applicable laws. </w:t>
            </w:r>
          </w:p>
          <w:p w14:paraId="503E613C" w14:textId="265BD7FB" w:rsidR="005E49EA" w:rsidRPr="00FA1A19" w:rsidRDefault="005E49EA" w:rsidP="008371A3">
            <w:pPr>
              <w:pStyle w:val="TableTextLeft"/>
              <w:cnfStyle w:val="000000000000" w:firstRow="0" w:lastRow="0" w:firstColumn="0" w:lastColumn="0" w:oddVBand="0" w:evenVBand="0" w:oddHBand="0" w:evenHBand="0" w:firstRowFirstColumn="0" w:firstRowLastColumn="0" w:lastRowFirstColumn="0" w:lastRowLastColumn="0"/>
            </w:pPr>
            <w:r w:rsidRPr="00FA1A19">
              <w:rPr>
                <w:rFonts w:eastAsia="Calibri"/>
                <w:lang w:eastAsia="en-US"/>
              </w:rPr>
              <w:t>Examples include Spice, tZero</w:t>
            </w:r>
            <w:r w:rsidRPr="00170ADC">
              <w:rPr>
                <w:rStyle w:val="FootnoteReference"/>
                <w:rFonts w:eastAsia="Calibri"/>
              </w:rPr>
              <w:footnoteReference w:id="234"/>
            </w:r>
            <w:r w:rsidRPr="00FA1A19">
              <w:rPr>
                <w:rFonts w:eastAsia="Calibri"/>
                <w:lang w:eastAsia="en-US"/>
              </w:rPr>
              <w:t xml:space="preserve"> and BCAP.</w:t>
            </w:r>
          </w:p>
        </w:tc>
        <w:tc>
          <w:tcPr>
            <w:cnfStyle w:val="000010000000" w:firstRow="0" w:lastRow="0" w:firstColumn="0" w:lastColumn="0" w:oddVBand="1" w:evenVBand="0" w:oddHBand="0" w:evenHBand="0" w:firstRowFirstColumn="0" w:firstRowLastColumn="0" w:lastRowFirstColumn="0" w:lastRowLastColumn="0"/>
            <w:tcW w:w="2059" w:type="pct"/>
          </w:tcPr>
          <w:p w14:paraId="4E2BCA21" w14:textId="436C2B0B" w:rsidR="005E49EA" w:rsidRPr="00FA1A19" w:rsidRDefault="00E861A7" w:rsidP="008371A3">
            <w:pPr>
              <w:pStyle w:val="TableTextLeft"/>
              <w:rPr>
                <w:rFonts w:eastAsia="Calibri"/>
                <w:lang w:eastAsia="en-US"/>
              </w:rPr>
            </w:pPr>
            <w:r>
              <w:rPr>
                <w:rFonts w:eastAsia="Calibri"/>
                <w:lang w:eastAsia="en-US"/>
              </w:rPr>
              <w:t>P</w:t>
            </w:r>
            <w:r w:rsidR="005E49EA" w:rsidRPr="00FA1A19">
              <w:rPr>
                <w:rFonts w:eastAsia="Calibri"/>
                <w:lang w:eastAsia="en-US"/>
              </w:rPr>
              <w:t xml:space="preserve">rimary use is to facilitate the exchange of or access to specific goods or services. </w:t>
            </w:r>
          </w:p>
          <w:p w14:paraId="00F62896" w14:textId="685E24A9" w:rsidR="005E49EA" w:rsidRPr="00FA1A19" w:rsidRDefault="005E49EA" w:rsidP="008371A3">
            <w:pPr>
              <w:pStyle w:val="TableTextLeft"/>
              <w:rPr>
                <w:rFonts w:eastAsia="Calibri"/>
                <w:lang w:eastAsia="en-US"/>
              </w:rPr>
            </w:pPr>
            <w:r w:rsidRPr="00FA1A19">
              <w:rPr>
                <w:rFonts w:eastAsia="Calibri"/>
                <w:lang w:eastAsia="en-US"/>
              </w:rPr>
              <w:t>They may for instance, act as a licence to allow the holder access to a particular service, as pre</w:t>
            </w:r>
            <w:r w:rsidR="00F75232">
              <w:rPr>
                <w:rFonts w:eastAsia="Calibri"/>
                <w:lang w:eastAsia="en-US"/>
              </w:rPr>
              <w:noBreakHyphen/>
            </w:r>
            <w:r w:rsidRPr="00FA1A19">
              <w:rPr>
                <w:rFonts w:eastAsia="Calibri"/>
                <w:lang w:eastAsia="en-US"/>
              </w:rPr>
              <w:t xml:space="preserve">payment or voucher for a good or service (even where that good or service is not yet available). </w:t>
            </w:r>
          </w:p>
          <w:p w14:paraId="04252520" w14:textId="5F4C54FF" w:rsidR="005E49EA" w:rsidRPr="00FA1A19" w:rsidRDefault="005E49EA" w:rsidP="008371A3">
            <w:pPr>
              <w:pStyle w:val="TableTextLeft"/>
            </w:pPr>
            <w:r w:rsidRPr="00FA1A19">
              <w:rPr>
                <w:rFonts w:eastAsia="Calibri"/>
                <w:lang w:eastAsia="en-US"/>
              </w:rPr>
              <w:t>Examples include: Storj – a token that provides access to a peer</w:t>
            </w:r>
            <w:r w:rsidR="00F75232">
              <w:rPr>
                <w:rFonts w:eastAsia="Calibri"/>
                <w:lang w:eastAsia="en-US"/>
              </w:rPr>
              <w:noBreakHyphen/>
            </w:r>
            <w:r w:rsidRPr="00FA1A19">
              <w:rPr>
                <w:rFonts w:eastAsia="Calibri"/>
                <w:lang w:eastAsia="en-US"/>
              </w:rPr>
              <w:t>to</w:t>
            </w:r>
            <w:r w:rsidR="00F75232">
              <w:rPr>
                <w:rFonts w:eastAsia="Calibri"/>
                <w:lang w:eastAsia="en-US"/>
              </w:rPr>
              <w:noBreakHyphen/>
            </w:r>
            <w:r w:rsidRPr="00FA1A19">
              <w:rPr>
                <w:rFonts w:eastAsia="Calibri"/>
                <w:lang w:eastAsia="en-US"/>
              </w:rPr>
              <w:t>peer network cloud storage service or the Basic Attention Token used by the Brave search</w:t>
            </w:r>
            <w:r w:rsidR="00F75232">
              <w:rPr>
                <w:rFonts w:eastAsia="Calibri"/>
                <w:lang w:eastAsia="en-US"/>
              </w:rPr>
              <w:noBreakHyphen/>
            </w:r>
            <w:r w:rsidRPr="00FA1A19">
              <w:rPr>
                <w:rFonts w:eastAsia="Calibri"/>
                <w:lang w:eastAsia="en-US"/>
              </w:rPr>
              <w:t>engine to reward users for their search data.</w:t>
            </w:r>
          </w:p>
        </w:tc>
      </w:tr>
    </w:tbl>
    <w:p w14:paraId="6AAB37AA" w14:textId="77777777" w:rsidR="00393CD7" w:rsidRDefault="00393CD7" w:rsidP="00393CD7">
      <w:pPr>
        <w:pStyle w:val="SingleParagraph"/>
      </w:pPr>
    </w:p>
    <w:p w14:paraId="674F861A" w14:textId="178F2C82" w:rsidR="008F56FE" w:rsidRPr="00FA1A19" w:rsidRDefault="00CE31E1" w:rsidP="0069352C">
      <w:pPr>
        <w:pStyle w:val="Heading4"/>
      </w:pPr>
      <w:r w:rsidRPr="00FA1A19">
        <w:t>C</w:t>
      </w:r>
      <w:r w:rsidR="008F56FE" w:rsidRPr="00FA1A19">
        <w:t>ommon categories and types of crypto assets</w:t>
      </w:r>
    </w:p>
    <w:p w14:paraId="63383BFA" w14:textId="4D0E9C39" w:rsidR="004917AC" w:rsidRDefault="008F56FE" w:rsidP="008F56FE">
      <w:pPr>
        <w:spacing w:after="160" w:line="259" w:lineRule="auto"/>
        <w:rPr>
          <w:rFonts w:asciiTheme="minorHAnsi" w:hAnsiTheme="minorHAnsi" w:cstheme="minorBidi"/>
        </w:rPr>
      </w:pPr>
      <w:r w:rsidRPr="00FA1A19">
        <w:rPr>
          <w:rFonts w:asciiTheme="minorHAnsi" w:hAnsiTheme="minorHAnsi" w:cstheme="minorBidi"/>
        </w:rPr>
        <w:t>The OECD considered this three</w:t>
      </w:r>
      <w:r w:rsidR="00F75232">
        <w:rPr>
          <w:rFonts w:asciiTheme="minorHAnsi" w:hAnsiTheme="minorHAnsi" w:cstheme="minorBidi"/>
        </w:rPr>
        <w:noBreakHyphen/>
      </w:r>
      <w:r w:rsidRPr="00FA1A19">
        <w:rPr>
          <w:rFonts w:asciiTheme="minorHAnsi" w:hAnsiTheme="minorHAnsi" w:cstheme="minorBidi"/>
        </w:rPr>
        <w:t>way division as a good first step in supporting the formulation of regulatory responses to crypto assets, but also considered that its broad nature raises several issues</w:t>
      </w:r>
      <w:r w:rsidR="001D6F23" w:rsidRPr="00FA1A19">
        <w:rPr>
          <w:rFonts w:asciiTheme="minorHAnsi" w:hAnsiTheme="minorHAnsi" w:cstheme="minorBidi"/>
        </w:rPr>
        <w:t xml:space="preserve"> including</w:t>
      </w:r>
      <w:r w:rsidR="00D14D9D">
        <w:rPr>
          <w:rFonts w:asciiTheme="minorHAnsi" w:hAnsiTheme="minorHAnsi" w:cstheme="minorBidi"/>
        </w:rPr>
        <w:t>:</w:t>
      </w:r>
      <w:r w:rsidRPr="00FA1A19">
        <w:rPr>
          <w:rFonts w:asciiTheme="minorHAnsi" w:hAnsiTheme="minorHAnsi" w:cstheme="minorBidi"/>
        </w:rPr>
        <w:t xml:space="preserve"> </w:t>
      </w:r>
    </w:p>
    <w:p w14:paraId="1B829B90" w14:textId="32C79743" w:rsidR="004917AC" w:rsidRDefault="008F56FE" w:rsidP="004917AC">
      <w:pPr>
        <w:pStyle w:val="Bullet"/>
        <w:rPr>
          <w:rFonts w:asciiTheme="minorHAnsi" w:hAnsiTheme="minorHAnsi" w:cstheme="minorBidi"/>
        </w:rPr>
      </w:pPr>
      <w:r w:rsidRPr="00FA1A19">
        <w:rPr>
          <w:rFonts w:asciiTheme="minorHAnsi" w:hAnsiTheme="minorHAnsi" w:cstheme="minorBidi"/>
        </w:rPr>
        <w:t xml:space="preserve">that there </w:t>
      </w:r>
      <w:r w:rsidRPr="004917AC">
        <w:t>could</w:t>
      </w:r>
      <w:r w:rsidRPr="00FA1A19">
        <w:rPr>
          <w:rFonts w:asciiTheme="minorHAnsi" w:hAnsiTheme="minorHAnsi" w:cstheme="minorBidi"/>
        </w:rPr>
        <w:t xml:space="preserve"> be different interpretations of the categories across jurisdictions which may result in a different tax implications</w:t>
      </w:r>
    </w:p>
    <w:p w14:paraId="5F4BB2AF" w14:textId="69B31866" w:rsidR="004917AC" w:rsidRDefault="008F56FE" w:rsidP="004917AC">
      <w:pPr>
        <w:pStyle w:val="Bullet"/>
        <w:rPr>
          <w:rFonts w:asciiTheme="minorHAnsi" w:hAnsiTheme="minorHAnsi" w:cstheme="minorBidi"/>
        </w:rPr>
      </w:pPr>
      <w:r w:rsidRPr="00FA1A19">
        <w:rPr>
          <w:rFonts w:asciiTheme="minorHAnsi" w:hAnsiTheme="minorHAnsi" w:cstheme="minorBidi"/>
        </w:rPr>
        <w:t xml:space="preserve">the categories potentially do not cover all crypto assets </w:t>
      </w:r>
    </w:p>
    <w:p w14:paraId="0D021AB7" w14:textId="77777777" w:rsidR="004917AC" w:rsidRDefault="008F56FE" w:rsidP="004917AC">
      <w:pPr>
        <w:pStyle w:val="Bullet"/>
        <w:rPr>
          <w:rFonts w:asciiTheme="minorHAnsi" w:hAnsiTheme="minorHAnsi" w:cstheme="minorBidi"/>
        </w:rPr>
      </w:pPr>
      <w:r w:rsidRPr="00FA1A19">
        <w:rPr>
          <w:rFonts w:asciiTheme="minorHAnsi" w:hAnsiTheme="minorHAnsi" w:cstheme="minorBidi"/>
        </w:rPr>
        <w:t>some crypto assets can be classified under multiple categories.</w:t>
      </w:r>
      <w:r w:rsidR="004F0A51" w:rsidRPr="00FA1A19">
        <w:rPr>
          <w:rFonts w:asciiTheme="minorHAnsi" w:hAnsiTheme="minorHAnsi" w:cstheme="minorBidi"/>
        </w:rPr>
        <w:t xml:space="preserve"> </w:t>
      </w:r>
    </w:p>
    <w:p w14:paraId="7F7140E2" w14:textId="7DBA3A7B" w:rsidR="008F56FE" w:rsidRPr="00FA1A19" w:rsidRDefault="008F56FE" w:rsidP="006F0112">
      <w:r w:rsidRPr="00FA1A19">
        <w:t xml:space="preserve">Additionally, </w:t>
      </w:r>
      <w:r w:rsidR="004917AC">
        <w:t xml:space="preserve">the OECD noted that </w:t>
      </w:r>
      <w:r w:rsidRPr="00FA1A19">
        <w:t>some crypto</w:t>
      </w:r>
      <w:r w:rsidR="00746F03" w:rsidRPr="00FA1A19">
        <w:t xml:space="preserve"> </w:t>
      </w:r>
      <w:r w:rsidRPr="00FA1A19">
        <w:t xml:space="preserve">assets might resemble </w:t>
      </w:r>
      <w:r w:rsidR="00F75232">
        <w:t>‘</w:t>
      </w:r>
      <w:r w:rsidRPr="00FA1A19">
        <w:t>conventional</w:t>
      </w:r>
      <w:r w:rsidR="00F75232">
        <w:t>’</w:t>
      </w:r>
      <w:r w:rsidRPr="00FA1A19">
        <w:t xml:space="preserve"> assets like securities, but others (like cryptocurrencies) may not.</w:t>
      </w:r>
      <w:r w:rsidRPr="00170ADC">
        <w:rPr>
          <w:rStyle w:val="FootnoteReference"/>
        </w:rPr>
        <w:footnoteReference w:id="235"/>
      </w:r>
    </w:p>
    <w:p w14:paraId="36D321FA" w14:textId="63CFE0B6" w:rsidR="008F56FE" w:rsidRPr="00FA1A19" w:rsidRDefault="008F56FE" w:rsidP="00342121">
      <w:pPr>
        <w:pStyle w:val="Heading3"/>
      </w:pPr>
      <w:r w:rsidRPr="00FA1A19">
        <w:t xml:space="preserve">Classification into Financial, Debt </w:t>
      </w:r>
      <w:r w:rsidR="00B61376" w:rsidRPr="00FA1A19">
        <w:t xml:space="preserve">and </w:t>
      </w:r>
      <w:r w:rsidRPr="00FA1A19">
        <w:t>Equity Instruments</w:t>
      </w:r>
    </w:p>
    <w:p w14:paraId="5CCB41AB" w14:textId="77777777" w:rsidR="008F56FE" w:rsidRPr="00FA1A19" w:rsidRDefault="008F56FE" w:rsidP="008F56FE">
      <w:r w:rsidRPr="00FA1A19">
        <w:t>Different crypto assets can have features that are common with financial, debt and/or equity instruments.</w:t>
      </w:r>
    </w:p>
    <w:p w14:paraId="7CA332C1" w14:textId="77777777" w:rsidR="008F56FE" w:rsidRPr="00FA1A19" w:rsidRDefault="008F56FE" w:rsidP="0069352C">
      <w:pPr>
        <w:pStyle w:val="Heading4"/>
      </w:pPr>
      <w:r w:rsidRPr="00FA1A19">
        <w:t>Financial Instruments</w:t>
      </w:r>
    </w:p>
    <w:p w14:paraId="1BDF1D10" w14:textId="1F05BB31" w:rsidR="008F56FE" w:rsidRPr="00FA1A19" w:rsidRDefault="008F56FE" w:rsidP="00035989">
      <w:r w:rsidRPr="00FA1A19">
        <w:t>Parsons</w:t>
      </w:r>
      <w:r w:rsidRPr="00170ADC">
        <w:rPr>
          <w:rStyle w:val="FootnoteReference"/>
        </w:rPr>
        <w:footnoteReference w:id="236"/>
      </w:r>
      <w:r w:rsidRPr="00FA1A19">
        <w:t xml:space="preserve"> argues that </w:t>
      </w:r>
      <w:r w:rsidR="00F75232">
        <w:t>‘</w:t>
      </w:r>
      <w:r w:rsidRPr="00FA1A19">
        <w:t>characteristics such as trading on exchanges and price volatility may suggest the classification of the sale of crypto</w:t>
      </w:r>
      <w:r w:rsidR="00F75232">
        <w:noBreakHyphen/>
      </w:r>
      <w:r w:rsidRPr="00FA1A19">
        <w:t>asset tokens by originators is the issuance of a financial instrument</w:t>
      </w:r>
      <w:r w:rsidR="00F75232">
        <w:t>’</w:t>
      </w:r>
      <w:r w:rsidRPr="00FA1A19">
        <w:t>.</w:t>
      </w:r>
      <w:r w:rsidRPr="00170ADC">
        <w:rPr>
          <w:rStyle w:val="FootnoteReference"/>
        </w:rPr>
        <w:footnoteReference w:id="237"/>
      </w:r>
      <w:r w:rsidRPr="00FA1A19">
        <w:t xml:space="preserve"> </w:t>
      </w:r>
      <w:r w:rsidR="00C66BE4">
        <w:br/>
      </w:r>
      <w:r w:rsidRPr="00FA1A19">
        <w:t xml:space="preserve">He </w:t>
      </w:r>
      <w:r w:rsidR="00F75232">
        <w:t>‘</w:t>
      </w:r>
      <w:r w:rsidRPr="00FA1A19">
        <w:t xml:space="preserve">noted that countries such as Canada, South Africa and Switzerland (in respect of </w:t>
      </w:r>
      <w:r w:rsidR="00F75232">
        <w:t>‘</w:t>
      </w:r>
      <w:r w:rsidRPr="00FA1A19">
        <w:t>equity tokens</w:t>
      </w:r>
      <w:r w:rsidR="00F75232">
        <w:t>’</w:t>
      </w:r>
      <w:r w:rsidRPr="00FA1A19">
        <w:t>) consider or designate crypto</w:t>
      </w:r>
      <w:r w:rsidR="0064746A" w:rsidRPr="00FA1A19">
        <w:t xml:space="preserve"> asset</w:t>
      </w:r>
      <w:r w:rsidRPr="00FA1A19">
        <w:t xml:space="preserve"> tokens to be financial instruments, while others such as Austria, Denmark and France explicitly or implicitly reject such classification</w:t>
      </w:r>
      <w:r w:rsidR="00F75232">
        <w:t>’</w:t>
      </w:r>
      <w:r w:rsidRPr="00FA1A19">
        <w:t>.</w:t>
      </w:r>
      <w:r w:rsidRPr="00170ADC">
        <w:rPr>
          <w:rStyle w:val="FootnoteReference"/>
        </w:rPr>
        <w:footnoteReference w:id="238"/>
      </w:r>
    </w:p>
    <w:p w14:paraId="596AA788" w14:textId="2C93C70A" w:rsidR="008F56FE" w:rsidRPr="00FA1A19" w:rsidRDefault="008F56FE" w:rsidP="008F56FE">
      <w:r w:rsidRPr="00FA1A19">
        <w:t xml:space="preserve">Parsons </w:t>
      </w:r>
      <w:r w:rsidR="00F75232">
        <w:t>‘</w:t>
      </w:r>
      <w:r w:rsidRPr="00FA1A19">
        <w:t>emphasises that financial instruments create a financial asset for one party, which may be cash, an equity instrument, or a contractual right to receive cash or a financial asset or liability, or a contract which may be settled in the holder</w:t>
      </w:r>
      <w:r w:rsidR="00F75232">
        <w:t>’</w:t>
      </w:r>
      <w:r w:rsidRPr="00FA1A19">
        <w:t>s own equity instruments under certain conditions.</w:t>
      </w:r>
      <w:r w:rsidR="00F75232">
        <w:t>’</w:t>
      </w:r>
      <w:r w:rsidRPr="00170ADC">
        <w:rPr>
          <w:rStyle w:val="FootnoteReference"/>
        </w:rPr>
        <w:footnoteReference w:id="239"/>
      </w:r>
    </w:p>
    <w:p w14:paraId="6BA9F980" w14:textId="77777777" w:rsidR="008F56FE" w:rsidRPr="00FA1A19" w:rsidRDefault="008F56FE" w:rsidP="0069352C">
      <w:pPr>
        <w:pStyle w:val="Heading4"/>
      </w:pPr>
      <w:r w:rsidRPr="00FA1A19">
        <w:t>Debt instruments</w:t>
      </w:r>
    </w:p>
    <w:p w14:paraId="72D58F52" w14:textId="3EEDB805" w:rsidR="008F56FE" w:rsidRPr="00FA1A19" w:rsidRDefault="008F56FE" w:rsidP="008F56FE">
      <w:r w:rsidRPr="00FA1A19">
        <w:t xml:space="preserve">In relation to classifying crypto assets as a debt instrument, Parsons states that it </w:t>
      </w:r>
      <w:r w:rsidR="00F75232">
        <w:t>‘</w:t>
      </w:r>
      <w:r w:rsidRPr="00FA1A19">
        <w:t>has already been considered in the context of stablecoins, where it was concluded that the definitive criteria would include the holder</w:t>
      </w:r>
      <w:r w:rsidR="00F75232">
        <w:t>’</w:t>
      </w:r>
      <w:r w:rsidRPr="00FA1A19">
        <w:t>s contractual right to redemption</w:t>
      </w:r>
      <w:r w:rsidR="00F75232">
        <w:t>’</w:t>
      </w:r>
      <w:r w:rsidRPr="00FA1A19">
        <w:t>.</w:t>
      </w:r>
      <w:r w:rsidRPr="00170ADC">
        <w:rPr>
          <w:rStyle w:val="FootnoteReference"/>
        </w:rPr>
        <w:footnoteReference w:id="240"/>
      </w:r>
    </w:p>
    <w:p w14:paraId="05E82551" w14:textId="77777777" w:rsidR="008F56FE" w:rsidRPr="00FA1A19" w:rsidRDefault="008F56FE" w:rsidP="0069352C">
      <w:pPr>
        <w:pStyle w:val="Heading4"/>
      </w:pPr>
      <w:r w:rsidRPr="00FA1A19">
        <w:t>Equity instruments</w:t>
      </w:r>
    </w:p>
    <w:p w14:paraId="35EC56E3" w14:textId="57403BB7" w:rsidR="008F56FE" w:rsidRPr="00FA1A19" w:rsidRDefault="008F56FE" w:rsidP="008F56FE">
      <w:r w:rsidRPr="00FA1A19">
        <w:t xml:space="preserve">Parson identified that equity instruments represent </w:t>
      </w:r>
      <w:r w:rsidR="00F75232">
        <w:t>‘</w:t>
      </w:r>
      <w:r w:rsidRPr="00FA1A19">
        <w:t>an ownership interest in an entity (typically a company), with an accompanying right to participate in profits and in the residual assets of the entity on liquidation.</w:t>
      </w:r>
      <w:r w:rsidR="00F75232">
        <w:t>’</w:t>
      </w:r>
      <w:r w:rsidRPr="00170ADC">
        <w:rPr>
          <w:rStyle w:val="FootnoteReference"/>
        </w:rPr>
        <w:footnoteReference w:id="241"/>
      </w:r>
      <w:r w:rsidRPr="00FA1A19">
        <w:t xml:space="preserve"> He argues that </w:t>
      </w:r>
      <w:r w:rsidR="00F75232">
        <w:t>‘</w:t>
      </w:r>
      <w:r w:rsidRPr="00FA1A19">
        <w:t>while crypto</w:t>
      </w:r>
      <w:r w:rsidR="00F75232">
        <w:noBreakHyphen/>
      </w:r>
      <w:r w:rsidRPr="00FA1A19">
        <w:t>asset tokens may not currently be legally recognized as shares, whether classification for the purposes of taxation as the issuing of an equity instrument would achieve horizontal equity merits further consideration</w:t>
      </w:r>
      <w:r w:rsidR="00F75232">
        <w:t>’</w:t>
      </w:r>
      <w:r w:rsidRPr="00FA1A19">
        <w:t xml:space="preserve"> but that </w:t>
      </w:r>
      <w:r w:rsidR="00F75232">
        <w:t>‘</w:t>
      </w:r>
      <w:r w:rsidRPr="00FA1A19">
        <w:t>such classification would result in there being no income tax consequences for the originator, since the issuance of shares is a fund</w:t>
      </w:r>
      <w:r w:rsidR="00F75232">
        <w:noBreakHyphen/>
      </w:r>
      <w:r w:rsidRPr="00FA1A19">
        <w:t>raising rather than an economic activity</w:t>
      </w:r>
      <w:r w:rsidR="00F75232">
        <w:t>’</w:t>
      </w:r>
      <w:r w:rsidRPr="00FA1A19">
        <w:t>.</w:t>
      </w:r>
      <w:r w:rsidRPr="00170ADC">
        <w:rPr>
          <w:rStyle w:val="FootnoteReference"/>
        </w:rPr>
        <w:footnoteReference w:id="242"/>
      </w:r>
    </w:p>
    <w:p w14:paraId="46CE20B9" w14:textId="77777777" w:rsidR="008F56FE" w:rsidRPr="00FA1A19" w:rsidRDefault="008F56FE" w:rsidP="00342121">
      <w:pPr>
        <w:pStyle w:val="Heading3"/>
      </w:pPr>
      <w:r w:rsidRPr="00FA1A19">
        <w:t>Classification on basis of link to conventional assets</w:t>
      </w:r>
    </w:p>
    <w:p w14:paraId="175DC69E" w14:textId="2907F1C1" w:rsidR="009A775F" w:rsidRPr="00FA1A19" w:rsidRDefault="008F56FE" w:rsidP="008F56FE">
      <w:r w:rsidRPr="00FA1A19">
        <w:t xml:space="preserve">As the analysis in </w:t>
      </w:r>
      <w:r w:rsidR="00372633">
        <w:t>Chapter </w:t>
      </w:r>
      <w:r w:rsidRPr="00FA1A19">
        <w:t>3 shows, some crypto assets are intended to represent or are linked to conventional assets external to the system, such as money or debt obligations, or a contractual right of some kind – such as a right to attend a performance, the token for which would be a</w:t>
      </w:r>
      <w:r w:rsidR="00237E9E">
        <w:t>n</w:t>
      </w:r>
      <w:r w:rsidRPr="00FA1A19">
        <w:t xml:space="preserve"> NFT.</w:t>
      </w:r>
      <w:r w:rsidR="004F0A51" w:rsidRPr="00FA1A19">
        <w:t xml:space="preserve"> </w:t>
      </w:r>
      <w:r w:rsidRPr="00FA1A19">
        <w:t xml:space="preserve">These are sometimes referred to as </w:t>
      </w:r>
      <w:r w:rsidR="00F75232">
        <w:t>‘</w:t>
      </w:r>
      <w:r w:rsidRPr="00FA1A19">
        <w:t>tethered, exogenous or off</w:t>
      </w:r>
      <w:r w:rsidR="00F75232">
        <w:noBreakHyphen/>
      </w:r>
      <w:r w:rsidRPr="00FA1A19">
        <w:t>chain</w:t>
      </w:r>
      <w:r w:rsidR="00F75232">
        <w:t>’</w:t>
      </w:r>
      <w:r w:rsidR="00A20994" w:rsidRPr="00FA1A19">
        <w:t>.</w:t>
      </w:r>
      <w:r w:rsidR="004F0A51" w:rsidRPr="00FA1A19">
        <w:t xml:space="preserve"> </w:t>
      </w:r>
      <w:r w:rsidRPr="00FA1A19">
        <w:t>Such an external asset would be property.</w:t>
      </w:r>
      <w:r w:rsidR="004F0A51" w:rsidRPr="00FA1A19">
        <w:t xml:space="preserve"> </w:t>
      </w:r>
      <w:r w:rsidRPr="00FA1A19">
        <w:t xml:space="preserve">Other crypto assets (such as cryptocurrency or tokens derived from cryptocurrency under DeFi) have value in and of themselves, without any link to conventional assets external to the system (the </w:t>
      </w:r>
      <w:r w:rsidRPr="00813896">
        <w:rPr>
          <w:rStyle w:val="Emphasis"/>
        </w:rPr>
        <w:t>native</w:t>
      </w:r>
      <w:r w:rsidRPr="00FA1A19">
        <w:t xml:space="preserve"> or </w:t>
      </w:r>
      <w:r w:rsidRPr="00813896">
        <w:rPr>
          <w:rStyle w:val="Emphasis"/>
        </w:rPr>
        <w:t>on</w:t>
      </w:r>
      <w:r w:rsidR="00F75232">
        <w:rPr>
          <w:rStyle w:val="Emphasis"/>
        </w:rPr>
        <w:noBreakHyphen/>
      </w:r>
      <w:r w:rsidRPr="00813896">
        <w:rPr>
          <w:rStyle w:val="Emphasis"/>
        </w:rPr>
        <w:t xml:space="preserve">chain </w:t>
      </w:r>
      <w:r w:rsidRPr="00FA1A19">
        <w:t>asset).</w:t>
      </w:r>
      <w:r w:rsidRPr="00170ADC">
        <w:rPr>
          <w:rStyle w:val="FootnoteReference"/>
        </w:rPr>
        <w:footnoteReference w:id="243"/>
      </w:r>
      <w:r w:rsidR="004F0A51" w:rsidRPr="00FA1A19">
        <w:t xml:space="preserve"> </w:t>
      </w:r>
      <w:r w:rsidRPr="00FA1A19">
        <w:t>These are two distinct types of crypto</w:t>
      </w:r>
      <w:r w:rsidR="001E4C3C" w:rsidRPr="00FA1A19">
        <w:t xml:space="preserve"> </w:t>
      </w:r>
      <w:r w:rsidRPr="00FA1A19">
        <w:t>assets.</w:t>
      </w:r>
      <w:r w:rsidR="004F0A51" w:rsidRPr="00FA1A19">
        <w:t xml:space="preserve"> </w:t>
      </w:r>
      <w:r w:rsidRPr="00FA1A19">
        <w:t>Whilst legal (and therefore taxation) issues arise in relation to both types of crypto</w:t>
      </w:r>
      <w:r w:rsidR="001E4C3C" w:rsidRPr="00FA1A19">
        <w:t xml:space="preserve"> </w:t>
      </w:r>
      <w:r w:rsidRPr="00FA1A19">
        <w:t>assets, these legal issues can be particularly significant in the case of the latter type of crypto</w:t>
      </w:r>
      <w:r w:rsidR="001E4C3C" w:rsidRPr="00FA1A19">
        <w:t xml:space="preserve"> </w:t>
      </w:r>
      <w:r w:rsidRPr="00FA1A19">
        <w:t>assets: for example, are they property?</w:t>
      </w:r>
    </w:p>
    <w:p w14:paraId="2EDC2CE4" w14:textId="698E68F7" w:rsidR="009A775F" w:rsidRPr="00FA1A19" w:rsidRDefault="009A775F" w:rsidP="0069352C">
      <w:pPr>
        <w:pStyle w:val="Heading2"/>
      </w:pPr>
      <w:bookmarkStart w:id="61" w:name="_Toc159513585"/>
      <w:r w:rsidRPr="00FA1A19">
        <w:t>Crypto assets as property</w:t>
      </w:r>
      <w:bookmarkEnd w:id="61"/>
    </w:p>
    <w:p w14:paraId="4FB2F9FF" w14:textId="77777777" w:rsidR="009A775F" w:rsidRPr="00FA1A19" w:rsidRDefault="009A775F" w:rsidP="00342121">
      <w:pPr>
        <w:pStyle w:val="Heading3"/>
      </w:pPr>
      <w:r w:rsidRPr="00FA1A19">
        <w:t>Introduction</w:t>
      </w:r>
    </w:p>
    <w:p w14:paraId="202D9D4E" w14:textId="0BDCD952" w:rsidR="009A775F" w:rsidRPr="00FA1A19" w:rsidRDefault="000F607C" w:rsidP="009A775F">
      <w:r w:rsidRPr="00FA1A19">
        <w:t>Whether or not crypto assets are</w:t>
      </w:r>
      <w:r w:rsidR="00FE0FEE" w:rsidRPr="00FA1A19" w:rsidDel="000F607C">
        <w:t xml:space="preserve"> </w:t>
      </w:r>
      <w:r w:rsidR="00FE0FEE" w:rsidRPr="00FA1A19">
        <w:t xml:space="preserve">property is </w:t>
      </w:r>
      <w:r w:rsidR="00167AAC" w:rsidRPr="00FA1A19" w:rsidDel="007B2937">
        <w:t xml:space="preserve">of </w:t>
      </w:r>
      <w:r w:rsidR="00167AAC" w:rsidRPr="00FA1A19" w:rsidDel="00AA2FC0">
        <w:t>significant</w:t>
      </w:r>
      <w:r w:rsidR="00172E9B" w:rsidRPr="00FA1A19">
        <w:t xml:space="preserve"> relevance</w:t>
      </w:r>
      <w:r w:rsidR="00AA2FC0" w:rsidRPr="00FA1A19">
        <w:t xml:space="preserve"> to</w:t>
      </w:r>
      <w:r w:rsidR="00167AAC" w:rsidRPr="00FA1A19" w:rsidDel="00AA2FC0">
        <w:t xml:space="preserve"> </w:t>
      </w:r>
      <w:r w:rsidR="00372C56" w:rsidRPr="00FA1A19">
        <w:t xml:space="preserve">many areas of law, </w:t>
      </w:r>
      <w:r w:rsidR="00172E9B" w:rsidRPr="00FA1A19">
        <w:t xml:space="preserve">including the determination of </w:t>
      </w:r>
      <w:r w:rsidR="009A775F" w:rsidRPr="00FA1A19">
        <w:t>how the tax law may apply</w:t>
      </w:r>
      <w:r w:rsidR="00736D59" w:rsidRPr="00FA1A19">
        <w:t xml:space="preserve"> to them</w:t>
      </w:r>
      <w:r w:rsidR="009A775F" w:rsidRPr="00FA1A19">
        <w:t>.</w:t>
      </w:r>
      <w:r w:rsidR="004F0A51" w:rsidRPr="00FA1A19">
        <w:t xml:space="preserve"> </w:t>
      </w:r>
      <w:r w:rsidR="00A57E02" w:rsidRPr="00FA1A19">
        <w:t xml:space="preserve">In </w:t>
      </w:r>
      <w:r w:rsidR="00372633">
        <w:t>Chapter </w:t>
      </w:r>
      <w:r w:rsidR="00A57E02" w:rsidRPr="00FA1A19">
        <w:t xml:space="preserve">7, the Board has </w:t>
      </w:r>
      <w:r w:rsidR="00576F59" w:rsidRPr="00FA1A19">
        <w:t xml:space="preserve">indicated </w:t>
      </w:r>
      <w:r w:rsidR="00A57E02" w:rsidRPr="00FA1A19">
        <w:t xml:space="preserve">the relevance of property throughout </w:t>
      </w:r>
      <w:r w:rsidR="00BA00BF" w:rsidRPr="00FA1A19">
        <w:t xml:space="preserve">income tax law, particularly in relation to capital gains tax, </w:t>
      </w:r>
      <w:r w:rsidR="005179D7" w:rsidRPr="00FA1A19">
        <w:t>deductible gifts</w:t>
      </w:r>
      <w:r w:rsidR="00BA00BF" w:rsidRPr="00FA1A19">
        <w:t xml:space="preserve">, fringe benefits tax and </w:t>
      </w:r>
      <w:r w:rsidR="005179D7" w:rsidRPr="00FA1A19">
        <w:t>superannua</w:t>
      </w:r>
      <w:r w:rsidR="009074AB" w:rsidRPr="00FA1A19">
        <w:t>t</w:t>
      </w:r>
      <w:r w:rsidR="005179D7" w:rsidRPr="00FA1A19">
        <w:t xml:space="preserve">ion. </w:t>
      </w:r>
    </w:p>
    <w:p w14:paraId="63A10B54" w14:textId="78514A96" w:rsidR="00150C72" w:rsidRPr="00FA1A19" w:rsidRDefault="00150C72" w:rsidP="009A775F">
      <w:r w:rsidRPr="00FA1A19">
        <w:t xml:space="preserve">The following analysis </w:t>
      </w:r>
      <w:r w:rsidR="00BB56BE" w:rsidRPr="00FA1A19">
        <w:t>provides a high</w:t>
      </w:r>
      <w:r w:rsidR="00F75232">
        <w:noBreakHyphen/>
      </w:r>
      <w:r w:rsidR="00BB56BE" w:rsidRPr="00FA1A19">
        <w:t xml:space="preserve">level consideration of whether crypto assets are appropriately classified as property with reference to </w:t>
      </w:r>
      <w:r w:rsidR="0075421B" w:rsidRPr="00FA1A19">
        <w:t>the Ainsworth Test</w:t>
      </w:r>
      <w:r w:rsidR="002E5795" w:rsidRPr="00FA1A19">
        <w:t xml:space="preserve"> and Australian and international </w:t>
      </w:r>
      <w:r w:rsidR="00FA63C7" w:rsidRPr="00FA1A19">
        <w:t>positions taken.</w:t>
      </w:r>
      <w:r w:rsidR="00BB56BE" w:rsidRPr="00FA1A19">
        <w:t xml:space="preserve"> </w:t>
      </w:r>
    </w:p>
    <w:p w14:paraId="020448F7" w14:textId="77FC4BF1" w:rsidR="00E009D0" w:rsidRPr="00FA1A19" w:rsidRDefault="00E009D0" w:rsidP="00E009D0">
      <w:r w:rsidRPr="00FA1A19">
        <w:t>For the reasons set out in the following analysis, in this Report the Board takes the view that crypto assets are property</w:t>
      </w:r>
      <w:r w:rsidR="00DD7E85">
        <w:t xml:space="preserve">. </w:t>
      </w:r>
      <w:r w:rsidR="00394667" w:rsidRPr="00FA1A19">
        <w:t xml:space="preserve">If crypto assets are not property, then appropriate taxation of crypto </w:t>
      </w:r>
      <w:r w:rsidR="001816B2">
        <w:t xml:space="preserve">asset </w:t>
      </w:r>
      <w:r w:rsidR="00394667" w:rsidRPr="00FA1A19">
        <w:t>transactions may require legislative amendment.</w:t>
      </w:r>
    </w:p>
    <w:p w14:paraId="10F881DF" w14:textId="77777777" w:rsidR="009A775F" w:rsidRPr="00FA1A19" w:rsidRDefault="009A775F" w:rsidP="00342121">
      <w:pPr>
        <w:pStyle w:val="Heading3"/>
      </w:pPr>
      <w:r w:rsidRPr="00FA1A19">
        <w:t>The Ainsworth Test</w:t>
      </w:r>
    </w:p>
    <w:p w14:paraId="289AF4E5" w14:textId="0CC8F126" w:rsidR="009A775F" w:rsidRPr="00FA1A19" w:rsidRDefault="009A775F" w:rsidP="009A775F">
      <w:r w:rsidRPr="00FA1A19">
        <w:t xml:space="preserve">The common test that is applied for determining if something is property was established in </w:t>
      </w:r>
      <w:r w:rsidRPr="00813896">
        <w:rPr>
          <w:rStyle w:val="Emphasis"/>
        </w:rPr>
        <w:t xml:space="preserve">National Provincial Bank Ltd v. Ainsworth </w:t>
      </w:r>
      <w:r w:rsidRPr="00FA1A19">
        <w:rPr>
          <w:rFonts w:asciiTheme="minorHAnsi" w:hAnsiTheme="minorHAnsi" w:cstheme="minorHAnsi"/>
        </w:rPr>
        <w:t xml:space="preserve">[1965] AC 1175, </w:t>
      </w:r>
      <w:r w:rsidRPr="00FA1A19">
        <w:t xml:space="preserve">described as the </w:t>
      </w:r>
      <w:r w:rsidR="00F75232">
        <w:t>‘</w:t>
      </w:r>
      <w:r w:rsidRPr="00FA1A19">
        <w:t>Ainsworth Test</w:t>
      </w:r>
      <w:r w:rsidR="00F75232">
        <w:t>’</w:t>
      </w:r>
      <w:r w:rsidRPr="00FA1A19">
        <w:t xml:space="preserve">. In this case, Lord Wilberforce said that before a right or an interest can be admitted into the category of property, or of a right affecting property, it must be </w:t>
      </w:r>
      <w:r w:rsidR="00F75232">
        <w:t>‘</w:t>
      </w:r>
      <w:r w:rsidRPr="00FA1A19">
        <w:t>definable, identifiable by third parties, capable in its nature of assumption by third parties, and have some degree of permanence or stability</w:t>
      </w:r>
      <w:r w:rsidR="00F75232">
        <w:t>’</w:t>
      </w:r>
      <w:r w:rsidRPr="00FA1A19">
        <w:t>.</w:t>
      </w:r>
      <w:r w:rsidRPr="00170ADC">
        <w:rPr>
          <w:rStyle w:val="FootnoteReference"/>
        </w:rPr>
        <w:footnoteReference w:id="244"/>
      </w:r>
      <w:r w:rsidRPr="00FA1A19">
        <w:t xml:space="preserve"> Assignability is not necessarily required in all circumstances.</w:t>
      </w:r>
      <w:r w:rsidRPr="00170ADC">
        <w:rPr>
          <w:rStyle w:val="FootnoteReference"/>
        </w:rPr>
        <w:footnoteReference w:id="245"/>
      </w:r>
      <w:r w:rsidRPr="00FA1A19">
        <w:t xml:space="preserve"> </w:t>
      </w:r>
    </w:p>
    <w:p w14:paraId="5BB1C776" w14:textId="44B5330B" w:rsidR="009A775F" w:rsidRPr="00FA1A19" w:rsidRDefault="00394667" w:rsidP="00342121">
      <w:pPr>
        <w:pStyle w:val="Heading3"/>
      </w:pPr>
      <w:r w:rsidRPr="00FA1A19">
        <w:t xml:space="preserve">ATO </w:t>
      </w:r>
      <w:r w:rsidR="009A775F" w:rsidRPr="00FA1A19">
        <w:t>position</w:t>
      </w:r>
    </w:p>
    <w:p w14:paraId="4E3DE4A4" w14:textId="17E6D900" w:rsidR="009A775F" w:rsidRPr="00FA1A19" w:rsidRDefault="009A775F" w:rsidP="009A775F">
      <w:r w:rsidRPr="00FA1A19">
        <w:t xml:space="preserve">In Australia, the Commissioner has provided a view in relation to the classification of crypto assets as property in Taxation Determination </w:t>
      </w:r>
      <w:hyperlink r:id="rId44" w:history="1">
        <w:r w:rsidRPr="00FA1A19">
          <w:rPr>
            <w:rStyle w:val="Hyperlink"/>
          </w:rPr>
          <w:t>TD 2014/26</w:t>
        </w:r>
      </w:hyperlink>
      <w:r w:rsidRPr="00FA1A19">
        <w:t xml:space="preserve"> </w:t>
      </w:r>
      <w:r w:rsidRPr="00813896">
        <w:rPr>
          <w:rStyle w:val="Emphasis"/>
        </w:rPr>
        <w:t xml:space="preserve">Income tax: is bitcoin a </w:t>
      </w:r>
      <w:r w:rsidR="00F75232">
        <w:rPr>
          <w:rStyle w:val="Emphasis"/>
        </w:rPr>
        <w:t>‘</w:t>
      </w:r>
      <w:r w:rsidRPr="00813896">
        <w:rPr>
          <w:rStyle w:val="Emphasis"/>
        </w:rPr>
        <w:t>CGT asset</w:t>
      </w:r>
      <w:r w:rsidR="00F75232">
        <w:rPr>
          <w:rStyle w:val="Emphasis"/>
        </w:rPr>
        <w:t>’</w:t>
      </w:r>
      <w:r w:rsidRPr="00813896">
        <w:rPr>
          <w:rStyle w:val="Emphasis"/>
        </w:rPr>
        <w:t xml:space="preserve"> for the purposes of subsection 108</w:t>
      </w:r>
      <w:r w:rsidR="00F75232">
        <w:rPr>
          <w:rStyle w:val="Emphasis"/>
        </w:rPr>
        <w:noBreakHyphen/>
      </w:r>
      <w:r w:rsidRPr="00813896">
        <w:rPr>
          <w:rStyle w:val="Emphasis"/>
        </w:rPr>
        <w:t>5(1) of the Income Tax Assessment Act 1997?</w:t>
      </w:r>
      <w:r w:rsidRPr="00FA1A19">
        <w:t xml:space="preserve"> (TD 2014/26). While this determination specifically relates to bitcoin, the ATO has relied upon this determination in published edited private binding rulings (PBRs) relating to other crypto assets, stating that it applies by extension to other cryptocurrencies. In one published edited PBR, the ATO has extended the application to non</w:t>
      </w:r>
      <w:r w:rsidR="00F75232">
        <w:noBreakHyphen/>
      </w:r>
      <w:r w:rsidRPr="00FA1A19">
        <w:t>fungible tokens on the basis that non fungible tokens have the same characteristics as bitcoin.</w:t>
      </w:r>
      <w:r w:rsidRPr="00170ADC">
        <w:rPr>
          <w:rStyle w:val="FootnoteReference"/>
        </w:rPr>
        <w:footnoteReference w:id="246"/>
      </w:r>
      <w:r w:rsidRPr="00FA1A19">
        <w:t xml:space="preserve"> </w:t>
      </w:r>
    </w:p>
    <w:p w14:paraId="37793B33" w14:textId="655B4CC4" w:rsidR="009A775F" w:rsidRPr="00FA1A19" w:rsidRDefault="009A775F" w:rsidP="009A775F">
      <w:r w:rsidRPr="00FA1A19">
        <w:t>The ATO</w:t>
      </w:r>
      <w:r w:rsidR="00F75232">
        <w:t>’</w:t>
      </w:r>
      <w:r w:rsidRPr="00FA1A19">
        <w:t xml:space="preserve">s conclusion that bitcoin is property is based upon the consideration that </w:t>
      </w:r>
      <w:r w:rsidR="00A25C90" w:rsidRPr="00FA1A19">
        <w:t xml:space="preserve">bitcoin </w:t>
      </w:r>
      <w:r w:rsidRPr="00FA1A19">
        <w:t>holding rights are rights of control over one or more bitcoin in the holder</w:t>
      </w:r>
      <w:r w:rsidR="00F75232">
        <w:t>’</w:t>
      </w:r>
      <w:r w:rsidRPr="00FA1A19">
        <w:t xml:space="preserve">s </w:t>
      </w:r>
      <w:r w:rsidR="00A25C90" w:rsidRPr="00FA1A19">
        <w:t xml:space="preserve">bitcoin </w:t>
      </w:r>
      <w:r w:rsidRPr="00FA1A19">
        <w:t xml:space="preserve">wallet. The ATO notes that these rights do not amount to a chose in action, but that other factors support a conclusion that </w:t>
      </w:r>
      <w:r w:rsidR="00C22D8E" w:rsidRPr="00FA1A19">
        <w:t xml:space="preserve">bitcoin </w:t>
      </w:r>
      <w:r w:rsidRPr="00FA1A19">
        <w:t>holding rights are proprietary in nature.</w:t>
      </w:r>
      <w:r w:rsidR="004F0A51" w:rsidRPr="00FA1A19">
        <w:t xml:space="preserve"> </w:t>
      </w:r>
      <w:r w:rsidRPr="00FA1A19">
        <w:t>The ATO has considered the application of the Ainsworth Test and concludes that bitcoin holding rights are definable, identifiable by third parties, capable of assumption by third parties and sufficiently stable.</w:t>
      </w:r>
      <w:r w:rsidRPr="00170ADC">
        <w:rPr>
          <w:rStyle w:val="FootnoteReference"/>
        </w:rPr>
        <w:footnoteReference w:id="247"/>
      </w:r>
    </w:p>
    <w:p w14:paraId="40E0E247" w14:textId="77777777" w:rsidR="009A775F" w:rsidRPr="00FA1A19" w:rsidRDefault="009A775F" w:rsidP="00342121">
      <w:pPr>
        <w:pStyle w:val="Heading3"/>
      </w:pPr>
      <w:r w:rsidRPr="00FA1A19">
        <w:t>Common law</w:t>
      </w:r>
    </w:p>
    <w:p w14:paraId="719C8321" w14:textId="6E7673CD" w:rsidR="00D679AE" w:rsidRPr="00FA1A19" w:rsidRDefault="009A775F" w:rsidP="009A775F">
      <w:r w:rsidRPr="00FA1A19">
        <w:t xml:space="preserve">The Board has been unable to identify any Australian case that </w:t>
      </w:r>
      <w:r w:rsidR="00FE1796" w:rsidRPr="00FA1A19">
        <w:t>specifically</w:t>
      </w:r>
      <w:r w:rsidRPr="00FA1A19">
        <w:t xml:space="preserve"> </w:t>
      </w:r>
      <w:r w:rsidR="00442F91" w:rsidRPr="00FA1A19">
        <w:t>considers</w:t>
      </w:r>
      <w:r w:rsidRPr="00FA1A19">
        <w:t xml:space="preserve"> the question of whether crypto assets are property</w:t>
      </w:r>
      <w:r w:rsidR="00D679AE" w:rsidRPr="00FA1A19">
        <w:t>,</w:t>
      </w:r>
      <w:r w:rsidRPr="00FA1A19" w:rsidDel="00D679AE">
        <w:t xml:space="preserve"> </w:t>
      </w:r>
      <w:r w:rsidR="00D679AE" w:rsidRPr="00FA1A19">
        <w:t xml:space="preserve">although there was no dispute and the court did not question that bitcoin was property in </w:t>
      </w:r>
      <w:r w:rsidR="00D679AE" w:rsidRPr="00813896">
        <w:rPr>
          <w:rStyle w:val="Emphasis"/>
        </w:rPr>
        <w:t xml:space="preserve">Commissioner of the Australian Federal Police v Bigatton </w:t>
      </w:r>
      <w:r w:rsidR="00D679AE" w:rsidRPr="00FA1A19">
        <w:t xml:space="preserve">[2020] NSWSC 245 at [60] (Cavanagh J) and </w:t>
      </w:r>
      <w:r w:rsidR="00D679AE" w:rsidRPr="00813896">
        <w:rPr>
          <w:rStyle w:val="Emphasis"/>
        </w:rPr>
        <w:t xml:space="preserve">Chen v Blockchain Global Ltd and ors </w:t>
      </w:r>
      <w:r w:rsidR="00D679AE" w:rsidRPr="00FA1A19">
        <w:t>[2022] VSC 92 (Attiwill J).</w:t>
      </w:r>
      <w:r w:rsidR="004F0A51" w:rsidRPr="00FA1A19">
        <w:t xml:space="preserve"> </w:t>
      </w:r>
      <w:r w:rsidR="00D679AE" w:rsidRPr="00FA1A19">
        <w:t xml:space="preserve">Further, in </w:t>
      </w:r>
      <w:r w:rsidR="00D679AE" w:rsidRPr="00813896">
        <w:rPr>
          <w:rStyle w:val="Emphasis"/>
        </w:rPr>
        <w:t xml:space="preserve">Seribu Pty Ltd v Commissioner of Taxation </w:t>
      </w:r>
      <w:r w:rsidR="00D679AE" w:rsidRPr="00FA1A19">
        <w:t>[2020] AATA 1840 (16 June 2020), the Administrative Appeals Tribunal (Deputy President McCabe) accepted the Commissioner</w:t>
      </w:r>
      <w:r w:rsidR="00F75232">
        <w:t>’</w:t>
      </w:r>
      <w:r w:rsidR="00D679AE" w:rsidRPr="00FA1A19">
        <w:t xml:space="preserve">s submissions that if bitcoin is held on capital account it is subject to capital gains tax (which in turn requires that it be a </w:t>
      </w:r>
      <w:r w:rsidR="00F75232">
        <w:t>‘</w:t>
      </w:r>
      <w:r w:rsidR="00F51E95" w:rsidRPr="00FA1A19">
        <w:t xml:space="preserve">CGT </w:t>
      </w:r>
      <w:r w:rsidR="00D679AE" w:rsidRPr="00FA1A19">
        <w:t>asset</w:t>
      </w:r>
      <w:r w:rsidR="00F75232">
        <w:t>’</w:t>
      </w:r>
      <w:r w:rsidR="00D679AE" w:rsidRPr="00FA1A19">
        <w:t xml:space="preserve"> as defined in the legislation</w:t>
      </w:r>
      <w:r w:rsidR="00F51E95" w:rsidRPr="00FA1A19">
        <w:t xml:space="preserve">, being </w:t>
      </w:r>
      <w:r w:rsidR="00F75232">
        <w:t>‘</w:t>
      </w:r>
      <w:r w:rsidR="00A76864" w:rsidRPr="00FA1A19">
        <w:t>any kind of property</w:t>
      </w:r>
      <w:r w:rsidR="00F75232">
        <w:t>’</w:t>
      </w:r>
      <w:r w:rsidR="00A76864" w:rsidRPr="00FA1A19">
        <w:t xml:space="preserve"> or </w:t>
      </w:r>
      <w:r w:rsidR="00F75232">
        <w:t>‘</w:t>
      </w:r>
      <w:r w:rsidR="00A76864" w:rsidRPr="00FA1A19">
        <w:t>a legal or equitable right that is not property</w:t>
      </w:r>
      <w:r w:rsidR="00F75232">
        <w:t>’</w:t>
      </w:r>
      <w:r w:rsidR="00A76864" w:rsidRPr="00FA1A19">
        <w:t xml:space="preserve"> </w:t>
      </w:r>
      <w:r w:rsidR="00D679AE" w:rsidRPr="00FA1A19">
        <w:t xml:space="preserve">– see </w:t>
      </w:r>
      <w:r w:rsidR="00372633">
        <w:t>Chapter </w:t>
      </w:r>
      <w:r w:rsidR="00461EA9" w:rsidRPr="00FA1A19">
        <w:t>7</w:t>
      </w:r>
      <w:r w:rsidR="00D679AE" w:rsidRPr="00FA1A19">
        <w:t>).</w:t>
      </w:r>
    </w:p>
    <w:p w14:paraId="0E5593F7" w14:textId="79E3B3D6" w:rsidR="009A775F" w:rsidRPr="00FA1A19" w:rsidRDefault="00D679AE" w:rsidP="009A775F">
      <w:r w:rsidRPr="00FA1A19">
        <w:t xml:space="preserve">Although there is limited Australian case law on this point, </w:t>
      </w:r>
      <w:r w:rsidR="003D2FB3">
        <w:t>there</w:t>
      </w:r>
      <w:r w:rsidR="003D2FB3" w:rsidRPr="00FA1A19">
        <w:t xml:space="preserve"> </w:t>
      </w:r>
      <w:r w:rsidRPr="00FA1A19">
        <w:t>has been</w:t>
      </w:r>
      <w:r w:rsidR="009A775F" w:rsidRPr="00FA1A19">
        <w:t xml:space="preserve"> judicial consideration in </w:t>
      </w:r>
      <w:r w:rsidR="00436927">
        <w:t xml:space="preserve">a number of overseas </w:t>
      </w:r>
      <w:r w:rsidR="009A775F" w:rsidRPr="00FA1A19">
        <w:t>common law jurisdiction</w:t>
      </w:r>
      <w:r w:rsidRPr="00FA1A19">
        <w:t>s</w:t>
      </w:r>
      <w:r w:rsidR="009426F0" w:rsidRPr="00FA1A19">
        <w:t>, which have concluded that crypto assets are property</w:t>
      </w:r>
      <w:r w:rsidR="009A775F" w:rsidRPr="00FA1A19">
        <w:t>.</w:t>
      </w:r>
      <w:r w:rsidR="000D0DF1" w:rsidRPr="000D0DF1">
        <w:t xml:space="preserve"> </w:t>
      </w:r>
      <w:r w:rsidR="000D0DF1">
        <w:t>Two</w:t>
      </w:r>
      <w:r w:rsidR="00393CD7">
        <w:t> </w:t>
      </w:r>
      <w:r w:rsidR="000D0DF1">
        <w:t>examples are outlined below.</w:t>
      </w:r>
    </w:p>
    <w:p w14:paraId="041A19DD" w14:textId="65FBECCC" w:rsidR="009A775F" w:rsidRPr="00FA1A19" w:rsidRDefault="0032060D" w:rsidP="009A775F">
      <w:r w:rsidRPr="00FA1A19">
        <w:t>I</w:t>
      </w:r>
      <w:r w:rsidR="009A775F" w:rsidRPr="00FA1A19">
        <w:t xml:space="preserve">n a 2019 Singaporean case of </w:t>
      </w:r>
      <w:r w:rsidR="009A775F" w:rsidRPr="00813896">
        <w:rPr>
          <w:rStyle w:val="Emphasis"/>
        </w:rPr>
        <w:t xml:space="preserve">B2C2 Ltd v Quoine Pte Ltd </w:t>
      </w:r>
      <w:r w:rsidR="009A775F" w:rsidRPr="00FA1A19">
        <w:t>[2019] 4 SLR 17</w:t>
      </w:r>
      <w:r w:rsidR="009B4ED0" w:rsidRPr="00FA1A19">
        <w:t xml:space="preserve">, </w:t>
      </w:r>
      <w:r w:rsidR="009A775F" w:rsidRPr="00FA1A19">
        <w:t>the parties agreed that cryptocurrency, while not property in the traditional sense, did fall within the general definition of property, with Thorley IJ agreeing and concluding that while cryptocurrencies are not considered legal tender in the sense of being a regulated currency issued by a government, they do have the fundamental characteristic of intangible property as being an identifiable thing of value.</w:t>
      </w:r>
      <w:r w:rsidR="009A775F" w:rsidRPr="00170ADC">
        <w:rPr>
          <w:rStyle w:val="FootnoteReference"/>
        </w:rPr>
        <w:footnoteReference w:id="248"/>
      </w:r>
      <w:r w:rsidR="004F0A51" w:rsidRPr="00FA1A19">
        <w:t xml:space="preserve"> </w:t>
      </w:r>
      <w:r w:rsidR="009B4ED0" w:rsidRPr="00FA1A19">
        <w:t>In reaching t</w:t>
      </w:r>
      <w:r w:rsidR="00F6345D" w:rsidRPr="00FA1A19">
        <w:t>h</w:t>
      </w:r>
      <w:r w:rsidR="009B4ED0" w:rsidRPr="00FA1A19">
        <w:t xml:space="preserve">is conclusion, </w:t>
      </w:r>
      <w:r w:rsidR="00F6345D" w:rsidRPr="00FA1A19">
        <w:t>His Honour applied</w:t>
      </w:r>
      <w:r w:rsidR="009B4ED0" w:rsidRPr="00FA1A19">
        <w:t xml:space="preserve"> the </w:t>
      </w:r>
      <w:r w:rsidR="00F6345D" w:rsidRPr="00FA1A19">
        <w:t>Ainsworth Test.</w:t>
      </w:r>
    </w:p>
    <w:p w14:paraId="785EF06C" w14:textId="272C9755" w:rsidR="009A775F" w:rsidRPr="00FA1A19" w:rsidRDefault="009A775F" w:rsidP="009A775F">
      <w:r w:rsidRPr="00FA1A19">
        <w:t xml:space="preserve">A more recent statement in relation to the nature of cryptocurrency as property was in the High Court of </w:t>
      </w:r>
      <w:r w:rsidR="00B0774E">
        <w:t>NZ</w:t>
      </w:r>
      <w:r w:rsidR="00F75232">
        <w:t>’</w:t>
      </w:r>
      <w:r w:rsidR="00B0774E">
        <w:t>s</w:t>
      </w:r>
      <w:r w:rsidRPr="00FA1A19">
        <w:t xml:space="preserve"> 2020 decision in </w:t>
      </w:r>
      <w:r w:rsidRPr="00813896">
        <w:rPr>
          <w:rStyle w:val="Emphasis"/>
        </w:rPr>
        <w:t xml:space="preserve">Ruscoe and Moore v Cryptopia Limited (in Liquidation) </w:t>
      </w:r>
      <w:r w:rsidRPr="00FA1A19">
        <w:t>(Ruscoe and Moore).</w:t>
      </w:r>
      <w:r w:rsidRPr="00170ADC">
        <w:rPr>
          <w:rStyle w:val="FootnoteReference"/>
        </w:rPr>
        <w:footnoteReference w:id="249"/>
      </w:r>
      <w:r w:rsidRPr="00FA1A19">
        <w:t xml:space="preserve"> This case dealt with a significant </w:t>
      </w:r>
      <w:r w:rsidR="00B0774E">
        <w:t>NZ</w:t>
      </w:r>
      <w:r w:rsidRPr="00FA1A19">
        <w:t xml:space="preserve"> based cryptocurrency exchange (Cryptopia), which went into liquidation in 2019 following a hack. The liquidators applied for directions as to whether the cryptocurrencies held were assets of the company, and as to whether these were held on trust for account holders, impacting the ultimate creditor distribution from the liquidation.</w:t>
      </w:r>
    </w:p>
    <w:p w14:paraId="6D3A67D4" w14:textId="0136E331" w:rsidR="009A775F" w:rsidRPr="00FA1A19" w:rsidRDefault="009A775F" w:rsidP="009A775F">
      <w:r w:rsidRPr="00FA1A19">
        <w:t xml:space="preserve">In considering the question of whether the cryptocurrency was property in </w:t>
      </w:r>
      <w:r w:rsidRPr="00813896">
        <w:rPr>
          <w:rStyle w:val="Emphasis"/>
        </w:rPr>
        <w:t>Ruscoe and Moore</w:t>
      </w:r>
      <w:r w:rsidRPr="00FA1A19">
        <w:t xml:space="preserve">, Justice Gendall concluded that cryptocurrency satisfies the Ainsworth </w:t>
      </w:r>
      <w:r w:rsidR="09F3A0EF" w:rsidRPr="00FA1A19">
        <w:t>T</w:t>
      </w:r>
      <w:r w:rsidRPr="00FA1A19">
        <w:t>est:</w:t>
      </w:r>
    </w:p>
    <w:p w14:paraId="74AE0EF2" w14:textId="4FC9A5D4" w:rsidR="009A775F" w:rsidRPr="00FA1A19" w:rsidRDefault="009A775F" w:rsidP="00991EBC">
      <w:pPr>
        <w:pStyle w:val="Quote"/>
      </w:pPr>
      <w:r w:rsidRPr="00FA1A19">
        <w:t>They are a type of intangible property as a result of the combination of three interdependent features. They obtain their definition as a result of the public key recording the unit of currency. The control and stability necessary to ownership and for creating a market in the coins are provided by the other two features</w:t>
      </w:r>
      <w:r w:rsidR="00DD7E85">
        <w:t xml:space="preserve"> – </w:t>
      </w:r>
      <w:r w:rsidRPr="00FA1A19">
        <w:t>the private key attached to the corresponding public key and the generation of a fresh private key upon the transfer of the relevant coin.</w:t>
      </w:r>
      <w:r w:rsidRPr="00170ADC">
        <w:rPr>
          <w:rStyle w:val="FootnoteReference"/>
        </w:rPr>
        <w:footnoteReference w:id="250"/>
      </w:r>
    </w:p>
    <w:p w14:paraId="54805F83" w14:textId="6DA4798F" w:rsidR="009A775F" w:rsidRPr="00FA1A19" w:rsidRDefault="009A775F" w:rsidP="009A775F">
      <w:r w:rsidRPr="00FA1A19">
        <w:t>Justice Gendall also considered whether the cryptocurrency could be considered as a chose in action or chose in possession,</w:t>
      </w:r>
      <w:r w:rsidRPr="00170ADC">
        <w:rPr>
          <w:rStyle w:val="FootnoteReference"/>
        </w:rPr>
        <w:footnoteReference w:id="251"/>
      </w:r>
      <w:r w:rsidRPr="00FA1A19">
        <w:t xml:space="preserve"> stating that the debate should not be </w:t>
      </w:r>
      <w:r w:rsidR="00F75232">
        <w:rPr>
          <w:i/>
          <w:iCs/>
        </w:rPr>
        <w:t>‘</w:t>
      </w:r>
      <w:r w:rsidRPr="00FA1A19">
        <w:t xml:space="preserve">about the limits of what can be recognised as </w:t>
      </w:r>
      <w:r w:rsidR="00F75232">
        <w:t>‘</w:t>
      </w:r>
      <w:r w:rsidRPr="00FA1A19">
        <w:t>property</w:t>
      </w:r>
      <w:r w:rsidR="00F75232">
        <w:t>’</w:t>
      </w:r>
      <w:r w:rsidRPr="00FA1A19">
        <w:t xml:space="preserve"> but simply about the number of categories of </w:t>
      </w:r>
      <w:r w:rsidR="00F75232">
        <w:t>‘</w:t>
      </w:r>
      <w:r w:rsidRPr="00FA1A19">
        <w:t>property</w:t>
      </w:r>
      <w:r w:rsidR="00F75232">
        <w:t>’</w:t>
      </w:r>
      <w:r w:rsidRPr="00FA1A19">
        <w:t xml:space="preserve"> one needs</w:t>
      </w:r>
      <w:r w:rsidR="00F75232">
        <w:t>’</w:t>
      </w:r>
      <w:r w:rsidRPr="00170ADC">
        <w:rPr>
          <w:rStyle w:val="FootnoteReference"/>
        </w:rPr>
        <w:footnoteReference w:id="252"/>
      </w:r>
      <w:r w:rsidRPr="00FA1A19">
        <w:t>.</w:t>
      </w:r>
    </w:p>
    <w:p w14:paraId="5BDCF955" w14:textId="061C45DD" w:rsidR="009A775F" w:rsidRPr="00FA1A19" w:rsidRDefault="009C2AAA" w:rsidP="009A775F">
      <w:r w:rsidRPr="00813896">
        <w:rPr>
          <w:rStyle w:val="Emphasis"/>
        </w:rPr>
        <w:t>Ruscoe and Moore</w:t>
      </w:r>
      <w:r w:rsidR="009A775F" w:rsidRPr="00FA1A19">
        <w:t xml:space="preserve"> also considered the idea that cryptocurrency is information and that information is not property. Justice Gendall observed that cryptocurrencies are more than mere information noting:</w:t>
      </w:r>
    </w:p>
    <w:p w14:paraId="47561C6D" w14:textId="77777777" w:rsidR="009A775F" w:rsidRPr="00FA1A19" w:rsidRDefault="009A775F" w:rsidP="00471171">
      <w:pPr>
        <w:pStyle w:val="Bullet"/>
      </w:pPr>
      <w:r w:rsidRPr="00FA1A19">
        <w:t>The system of private keys analogous to a bank account personal identification number meant that cryptocurrency could be traded.</w:t>
      </w:r>
    </w:p>
    <w:p w14:paraId="4D8D66AD" w14:textId="77777777" w:rsidR="009A775F" w:rsidRPr="00FA1A19" w:rsidRDefault="009A775F" w:rsidP="00471171">
      <w:pPr>
        <w:pStyle w:val="Bullet"/>
      </w:pPr>
      <w:r w:rsidRPr="00FA1A19">
        <w:t>Contracts could be treated as property, not due to the words or the promise but because equity recognised a unique relationship between the parties and provided a system for transfer of contractual rights.</w:t>
      </w:r>
    </w:p>
    <w:p w14:paraId="44A8D5F6" w14:textId="287CF986" w:rsidR="009A775F" w:rsidRPr="00FA1A19" w:rsidRDefault="009A775F" w:rsidP="00471171">
      <w:pPr>
        <w:pStyle w:val="Bullet"/>
      </w:pPr>
      <w:r w:rsidRPr="00FA1A19">
        <w:t xml:space="preserve">The view that information was not property because it was </w:t>
      </w:r>
      <w:r w:rsidR="00F75232">
        <w:t>‘</w:t>
      </w:r>
      <w:r w:rsidRPr="00FA1A19">
        <w:t>open to all who have eyes to read and ears to hear</w:t>
      </w:r>
      <w:r w:rsidR="00F75232">
        <w:t>’</w:t>
      </w:r>
      <w:r w:rsidRPr="00170ADC">
        <w:rPr>
          <w:rStyle w:val="FootnoteReference"/>
        </w:rPr>
        <w:footnoteReference w:id="253"/>
      </w:r>
      <w:r w:rsidRPr="00FA1A19">
        <w:t>, did not apply to cryptocurrency, which could not be infinitely duplicated due to the combination of unique public keys and the inability to transfer without access to the corresponding private key.</w:t>
      </w:r>
      <w:r w:rsidRPr="00170ADC">
        <w:rPr>
          <w:rStyle w:val="FootnoteReference"/>
        </w:rPr>
        <w:footnoteReference w:id="254"/>
      </w:r>
    </w:p>
    <w:p w14:paraId="1C25136A" w14:textId="77777777" w:rsidR="009A775F" w:rsidRPr="00FA1A19" w:rsidRDefault="009A775F" w:rsidP="00342121">
      <w:pPr>
        <w:pStyle w:val="Heading3"/>
      </w:pPr>
      <w:r w:rsidRPr="00FA1A19">
        <w:t xml:space="preserve">UK Law Commission </w:t>
      </w:r>
    </w:p>
    <w:p w14:paraId="55668334" w14:textId="77777777" w:rsidR="009A775F" w:rsidRPr="00FA1A19" w:rsidRDefault="009A775F" w:rsidP="009A775F">
      <w:r w:rsidRPr="00FA1A19">
        <w:t>In July 2022, the Law Commission of England and Wales (Law Commission) published proposals for consultation to reform the law relating to digital assets, publishing a report in June 2023.</w:t>
      </w:r>
      <w:r w:rsidRPr="00170ADC">
        <w:rPr>
          <w:rStyle w:val="FootnoteReference"/>
        </w:rPr>
        <w:footnoteReference w:id="255"/>
      </w:r>
      <w:r w:rsidRPr="00FA1A19">
        <w:t xml:space="preserve"> </w:t>
      </w:r>
    </w:p>
    <w:p w14:paraId="58C4367C" w14:textId="77777777" w:rsidR="009A775F" w:rsidRPr="00FA1A19" w:rsidRDefault="009A775F" w:rsidP="009A775F">
      <w:r w:rsidRPr="00FA1A19">
        <w:t>The Law Commission consulted in relation to the potential inability for digital assets to be categorised properly in either of the traditionally recognised property categories of things in possession or things in action.</w:t>
      </w:r>
    </w:p>
    <w:p w14:paraId="7A6B0FA8" w14:textId="77777777" w:rsidR="009A775F" w:rsidRPr="00FA1A19" w:rsidRDefault="009A775F" w:rsidP="009A775F">
      <w:r w:rsidRPr="00FA1A19">
        <w:t>The Law Commission considered that some data objects, such as crypto tokens, might represent, record, or be linked to other things (including legal rights) which are external to that particular crypto token and/or crypto token system. They focussed on the crypto token as an object of property rights in itself, rather than anything to which it may be (purportedly) linked.</w:t>
      </w:r>
    </w:p>
    <w:p w14:paraId="78448D59" w14:textId="4B843E41" w:rsidR="009A775F" w:rsidRPr="00FA1A19" w:rsidRDefault="009A775F" w:rsidP="009A775F">
      <w:r w:rsidRPr="00FA1A19">
        <w:t>The Law Commission</w:t>
      </w:r>
      <w:r w:rsidR="00F75232">
        <w:t>’</w:t>
      </w:r>
      <w:r w:rsidRPr="00FA1A19">
        <w:t xml:space="preserve">s final report concluded that the common law of England and Wales was that </w:t>
      </w:r>
      <w:r w:rsidR="007B3603" w:rsidRPr="00FA1A19">
        <w:t>crypto assets are capable of attracting personal property rights, and that this is clearly the position at common law.</w:t>
      </w:r>
      <w:r w:rsidR="007B3603" w:rsidRPr="00170ADC">
        <w:rPr>
          <w:rStyle w:val="FootnoteReference"/>
        </w:rPr>
        <w:footnoteReference w:id="256"/>
      </w:r>
      <w:r w:rsidR="004F0A51" w:rsidRPr="00FA1A19">
        <w:t xml:space="preserve"> </w:t>
      </w:r>
      <w:r w:rsidR="007B3603" w:rsidRPr="00FA1A19">
        <w:t xml:space="preserve">More particularly, the Law Commission said that </w:t>
      </w:r>
      <w:r w:rsidR="004B4A7A" w:rsidRPr="00FA1A19">
        <w:t>some digital assets are neither things in possession nor things in action, but that nonetheless the</w:t>
      </w:r>
      <w:r w:rsidR="00602FFB" w:rsidRPr="00FA1A19">
        <w:t>y could be capable of being things to which personal property rights can relate.</w:t>
      </w:r>
      <w:r w:rsidR="007B3603" w:rsidRPr="00170ADC">
        <w:rPr>
          <w:rStyle w:val="FootnoteReference"/>
        </w:rPr>
        <w:footnoteReference w:id="257"/>
      </w:r>
      <w:r w:rsidR="004F0A51" w:rsidRPr="00FA1A19">
        <w:t xml:space="preserve"> </w:t>
      </w:r>
      <w:r w:rsidR="00602FFB" w:rsidRPr="00FA1A19">
        <w:t xml:space="preserve">Nevertheless and in light of submissions from </w:t>
      </w:r>
      <w:r w:rsidR="007B3603" w:rsidRPr="00FA1A19">
        <w:t xml:space="preserve">some consultees, including senior and specialist judges, the Law Commission </w:t>
      </w:r>
      <w:r w:rsidR="007E7A5D" w:rsidRPr="00FA1A19">
        <w:t xml:space="preserve">recommended </w:t>
      </w:r>
      <w:r w:rsidR="00522595" w:rsidRPr="00FA1A19">
        <w:t>statutory confirmation that a thing will not be deprived of legal status as an object of personal property rights merely b</w:t>
      </w:r>
      <w:r w:rsidR="55563A0B" w:rsidRPr="00FA1A19">
        <w:t>y</w:t>
      </w:r>
      <w:r w:rsidR="00522595" w:rsidRPr="00FA1A19">
        <w:t xml:space="preserve"> reason of the fact that it is neither a thing in action nor a thing in possession,</w:t>
      </w:r>
      <w:r w:rsidR="0045321E" w:rsidRPr="00FA1A19">
        <w:t xml:space="preserve"> but that it is not necessary or appropriate to define in statute the hard boundaries of </w:t>
      </w:r>
      <w:r w:rsidR="00F75232">
        <w:t>‘</w:t>
      </w:r>
      <w:r w:rsidR="0045321E" w:rsidRPr="00FA1A19">
        <w:t>such a third category of thing</w:t>
      </w:r>
      <w:r w:rsidR="00F75232">
        <w:t>’</w:t>
      </w:r>
      <w:r w:rsidR="0045321E" w:rsidRPr="00FA1A19">
        <w:t>.</w:t>
      </w:r>
      <w:r w:rsidR="0045321E" w:rsidRPr="00170ADC">
        <w:rPr>
          <w:rStyle w:val="FootnoteReference"/>
        </w:rPr>
        <w:footnoteReference w:id="258"/>
      </w:r>
    </w:p>
    <w:p w14:paraId="68E2BE26" w14:textId="0D689562" w:rsidR="004F267E" w:rsidRPr="00FA1A19" w:rsidRDefault="004F267E" w:rsidP="00342121">
      <w:pPr>
        <w:pStyle w:val="Heading3"/>
      </w:pPr>
      <w:r w:rsidRPr="00FA1A19">
        <w:t>Contrary Views</w:t>
      </w:r>
    </w:p>
    <w:p w14:paraId="1DBA5796" w14:textId="3023D26B" w:rsidR="004F267E" w:rsidRPr="00FA1A19" w:rsidRDefault="004F267E" w:rsidP="004F267E">
      <w:r w:rsidRPr="00FA1A19">
        <w:t>Th</w:t>
      </w:r>
      <w:r w:rsidR="00AC682A" w:rsidRPr="00FA1A19">
        <w:t xml:space="preserve">at crypto assets are property is not universally accepted. </w:t>
      </w:r>
      <w:r w:rsidR="00464A04" w:rsidRPr="00FA1A19">
        <w:t>For instance, i</w:t>
      </w:r>
      <w:r w:rsidR="002839F8" w:rsidRPr="00FA1A19">
        <w:t>n a forthcoming art</w:t>
      </w:r>
      <w:r w:rsidR="00435366" w:rsidRPr="00FA1A19">
        <w:t xml:space="preserve">icle in the </w:t>
      </w:r>
      <w:r w:rsidR="0048008B" w:rsidRPr="00FA1A19">
        <w:t xml:space="preserve">Law Quarterly Review, Professor Robert Stevens of the University of Oxford opines that </w:t>
      </w:r>
      <w:r w:rsidR="00464A04" w:rsidRPr="00FA1A19">
        <w:t>crypto assets are not property.</w:t>
      </w:r>
      <w:r w:rsidR="00464A04" w:rsidRPr="00170ADC">
        <w:rPr>
          <w:rStyle w:val="FootnoteReference"/>
        </w:rPr>
        <w:footnoteReference w:id="259"/>
      </w:r>
      <w:r w:rsidR="004F0A51" w:rsidRPr="00FA1A19">
        <w:t xml:space="preserve"> </w:t>
      </w:r>
      <w:r w:rsidR="00572DAE" w:rsidRPr="00FA1A19">
        <w:t xml:space="preserve">Professor Stevens </w:t>
      </w:r>
      <w:r w:rsidR="000C5586" w:rsidRPr="00FA1A19">
        <w:t xml:space="preserve">argues that </w:t>
      </w:r>
      <w:r w:rsidR="00F75232">
        <w:t>‘</w:t>
      </w:r>
      <w:r w:rsidR="000C5586" w:rsidRPr="00FA1A19">
        <w:t>Cryptoassets are just numbers within a system operating over the internet</w:t>
      </w:r>
      <w:r w:rsidR="00F75232">
        <w:t>’</w:t>
      </w:r>
      <w:r w:rsidR="007B1E03" w:rsidRPr="00FA1A19">
        <w:t xml:space="preserve">, and </w:t>
      </w:r>
      <w:r w:rsidR="00F75232">
        <w:t>‘</w:t>
      </w:r>
      <w:r w:rsidR="00D23B4B" w:rsidRPr="00FA1A19">
        <w:t>a form of information, admittedly with special factual features given to it by virtue of the system within which it makes sense.</w:t>
      </w:r>
      <w:r w:rsidR="004F0A51" w:rsidRPr="00FA1A19">
        <w:t xml:space="preserve"> </w:t>
      </w:r>
      <w:r w:rsidR="00D23B4B" w:rsidRPr="00FA1A19">
        <w:t>But that is all</w:t>
      </w:r>
      <w:r w:rsidR="0028313D" w:rsidRPr="00FA1A19">
        <w:t>.</w:t>
      </w:r>
      <w:r w:rsidR="00F75232">
        <w:t>’</w:t>
      </w:r>
      <w:r w:rsidR="004F0A51" w:rsidRPr="00FA1A19">
        <w:t xml:space="preserve"> </w:t>
      </w:r>
      <w:r w:rsidR="0028313D" w:rsidRPr="00FA1A19">
        <w:t xml:space="preserve">Professor Stevens goes on to say </w:t>
      </w:r>
      <w:r w:rsidR="007B1E03" w:rsidRPr="00FA1A19">
        <w:t xml:space="preserve">that </w:t>
      </w:r>
      <w:r w:rsidR="006E172B" w:rsidRPr="00FA1A19">
        <w:t xml:space="preserve">if </w:t>
      </w:r>
      <w:r w:rsidR="00F75232">
        <w:t>‘</w:t>
      </w:r>
      <w:r w:rsidR="006E172B" w:rsidRPr="00FA1A19">
        <w:t>a third party were (extremely improbably) able to guess the private key, access the cryptoasset and sell it, there would not without more be any claim. This is the equivalent of another independently discovering where gold is buried, and we have no right to information as such.</w:t>
      </w:r>
      <w:r w:rsidR="00F75232">
        <w:t>’</w:t>
      </w:r>
      <w:r w:rsidR="004F0A51" w:rsidRPr="00FA1A19">
        <w:t xml:space="preserve"> </w:t>
      </w:r>
      <w:r w:rsidR="00E94C8E" w:rsidRPr="00FA1A19">
        <w:t>Professor Stevens concludes that:</w:t>
      </w:r>
    </w:p>
    <w:p w14:paraId="3A526AE7" w14:textId="48DB8A64" w:rsidR="00E94C8E" w:rsidRPr="00FA1A19" w:rsidRDefault="009C437D" w:rsidP="00035989">
      <w:pPr>
        <w:pStyle w:val="Quote"/>
      </w:pPr>
      <w:r w:rsidRPr="00FA1A19">
        <w:t xml:space="preserve">Some proponents of the view that crypto is </w:t>
      </w:r>
      <w:r w:rsidR="00F75232">
        <w:t>‘</w:t>
      </w:r>
      <w:r w:rsidRPr="00FA1A19">
        <w:t>property</w:t>
      </w:r>
      <w:r w:rsidR="00F75232">
        <w:t>’</w:t>
      </w:r>
      <w:r w:rsidRPr="00FA1A19">
        <w:t xml:space="preserve"> have focussed not on its value, but on the factual ways in which it resembles physical things. In particular, it is rivalrous </w:t>
      </w:r>
      <w:r w:rsidR="0049071A" w:rsidRPr="00FA1A19">
        <w:t>and in practice possible to exclude others from.</w:t>
      </w:r>
      <w:r w:rsidR="0049071A" w:rsidRPr="00170ADC">
        <w:rPr>
          <w:rStyle w:val="FootnoteReference"/>
        </w:rPr>
        <w:footnoteReference w:id="260"/>
      </w:r>
      <w:r w:rsidR="004F0A51" w:rsidRPr="00FA1A19">
        <w:t xml:space="preserve"> </w:t>
      </w:r>
      <w:r w:rsidR="0049071A" w:rsidRPr="00FA1A19">
        <w:t>This is the layperson</w:t>
      </w:r>
      <w:r w:rsidR="00F75232">
        <w:t>’</w:t>
      </w:r>
      <w:r w:rsidR="0049071A" w:rsidRPr="00FA1A19">
        <w:t xml:space="preserve">s mistake </w:t>
      </w:r>
      <w:r w:rsidR="000024F1" w:rsidRPr="00FA1A19">
        <w:t>…</w:t>
      </w:r>
      <w:r w:rsidR="004F0A51" w:rsidRPr="00FA1A19">
        <w:t xml:space="preserve"> </w:t>
      </w:r>
      <w:r w:rsidR="002E56B0" w:rsidRPr="00FA1A19">
        <w:t xml:space="preserve">Tables, chairs, areas of land, mobile phones and pieces of paper are not property because they are things. They are property because we have legal rights in relation to those things. The moon and the fish in the sea are things, but they are not </w:t>
      </w:r>
      <w:r w:rsidR="00F75232">
        <w:t>‘</w:t>
      </w:r>
      <w:r w:rsidR="002E56B0" w:rsidRPr="00FA1A19">
        <w:t>property</w:t>
      </w:r>
      <w:r w:rsidR="00F75232">
        <w:t>’</w:t>
      </w:r>
      <w:r w:rsidR="002E56B0" w:rsidRPr="00FA1A19">
        <w:t>.</w:t>
      </w:r>
      <w:r w:rsidR="004F0A51" w:rsidRPr="00FA1A19">
        <w:t xml:space="preserve"> </w:t>
      </w:r>
      <w:r w:rsidR="002E56B0" w:rsidRPr="00FA1A19">
        <w:t xml:space="preserve">Nobody has ever </w:t>
      </w:r>
      <w:r w:rsidR="00211122" w:rsidRPr="00FA1A19">
        <w:t>identified</w:t>
      </w:r>
      <w:r w:rsidR="002E56B0" w:rsidRPr="00FA1A19">
        <w:t xml:space="preserve"> any right in</w:t>
      </w:r>
      <w:r w:rsidR="00211122" w:rsidRPr="00FA1A19">
        <w:t xml:space="preserve"> </w:t>
      </w:r>
      <w:r w:rsidR="002E56B0" w:rsidRPr="00FA1A19">
        <w:t>relation to crypto nor how it would be vindicated. Therefore, it is not property.</w:t>
      </w:r>
      <w:r w:rsidR="00F75232">
        <w:t>’</w:t>
      </w:r>
    </w:p>
    <w:p w14:paraId="78EF9021" w14:textId="3C40D1B8" w:rsidR="009A775F" w:rsidRPr="00FA1A19" w:rsidRDefault="009A775F" w:rsidP="00342121">
      <w:pPr>
        <w:pStyle w:val="Heading3"/>
      </w:pPr>
      <w:r w:rsidRPr="00FA1A19">
        <w:t>Submissions received</w:t>
      </w:r>
    </w:p>
    <w:p w14:paraId="19794B7C" w14:textId="282CCE32" w:rsidR="009A775F" w:rsidRPr="00FA1A19" w:rsidRDefault="009A775F" w:rsidP="009A775F">
      <w:r w:rsidRPr="00FA1A19">
        <w:t xml:space="preserve">The Board has received </w:t>
      </w:r>
      <w:r w:rsidR="008D171C" w:rsidRPr="00FA1A19">
        <w:t xml:space="preserve">considerable </w:t>
      </w:r>
      <w:r w:rsidRPr="00FA1A19">
        <w:t xml:space="preserve">stakeholder feedback in relation to </w:t>
      </w:r>
      <w:r w:rsidR="00BA44D4" w:rsidRPr="00FA1A19">
        <w:t>whether crypto assets are property</w:t>
      </w:r>
      <w:r w:rsidRPr="00FA1A19">
        <w:t>. The written submission from Cartland Law, endorsed by STEP Australia</w:t>
      </w:r>
      <w:r w:rsidR="00D83EB4" w:rsidRPr="00FA1A19">
        <w:t>,</w:t>
      </w:r>
      <w:r w:rsidRPr="00FA1A19">
        <w:t xml:space="preserve"> provided a detailed analysis of the relevant considerations </w:t>
      </w:r>
      <w:r w:rsidR="00D83EB4" w:rsidRPr="00FA1A19">
        <w:t xml:space="preserve">on </w:t>
      </w:r>
      <w:r w:rsidR="00BA44D4" w:rsidRPr="00FA1A19">
        <w:t>this question</w:t>
      </w:r>
      <w:r w:rsidRPr="00FA1A19">
        <w:t xml:space="preserve"> and </w:t>
      </w:r>
      <w:r w:rsidR="00162101" w:rsidRPr="00FA1A19">
        <w:t>stated</w:t>
      </w:r>
      <w:r w:rsidRPr="00FA1A19">
        <w:t>:</w:t>
      </w:r>
    </w:p>
    <w:p w14:paraId="5D519382" w14:textId="76760D4F" w:rsidR="009A775F" w:rsidRPr="00FA1A19" w:rsidRDefault="009A775F" w:rsidP="00991EBC">
      <w:pPr>
        <w:pStyle w:val="Quote"/>
      </w:pPr>
      <w:r w:rsidRPr="00FA1A19">
        <w:t>The ATO</w:t>
      </w:r>
      <w:r w:rsidR="00F75232">
        <w:t>’</w:t>
      </w:r>
      <w:r w:rsidRPr="00FA1A19">
        <w:t>s view of the current tax treatment of crypto in Australia is clear, although there are many difficulties in practice. However, the Commissioner</w:t>
      </w:r>
      <w:r w:rsidR="00F75232">
        <w:t>’</w:t>
      </w:r>
      <w:r w:rsidRPr="00FA1A19">
        <w:t>s view of crypto diverges from fundamental common law principles of what constitutes property. It seems unlikely that a Court would necessarily follow the ATO</w:t>
      </w:r>
      <w:r w:rsidR="00F75232">
        <w:t>’</w:t>
      </w:r>
      <w:r w:rsidRPr="00FA1A19">
        <w:t>s view. The divergence between the ATO</w:t>
      </w:r>
      <w:r w:rsidR="00F75232">
        <w:t>’</w:t>
      </w:r>
      <w:r w:rsidRPr="00FA1A19">
        <w:t>s view and common law creates uncertainty for the reasons set out in this submission.</w:t>
      </w:r>
    </w:p>
    <w:p w14:paraId="1D94DCA9" w14:textId="77777777" w:rsidR="009A775F" w:rsidRPr="00FA1A19" w:rsidRDefault="009A775F" w:rsidP="00991EBC">
      <w:pPr>
        <w:pStyle w:val="Quote"/>
      </w:pPr>
      <w:r w:rsidRPr="00FA1A19">
        <w:t>Crypto assets are not property and attempts to treat them as property are incongruent with other practices. If code is treated as property this will create a fundamental problem in the administration of tax laws and the application of software in Australia.</w:t>
      </w:r>
      <w:r w:rsidRPr="00170ADC">
        <w:rPr>
          <w:rStyle w:val="FootnoteReference"/>
        </w:rPr>
        <w:footnoteReference w:id="261"/>
      </w:r>
    </w:p>
    <w:p w14:paraId="5E06DD2B" w14:textId="6F617F91" w:rsidR="009A775F" w:rsidRPr="00FA1A19" w:rsidRDefault="009A775F" w:rsidP="009A775F">
      <w:r w:rsidRPr="00FA1A19">
        <w:t>The Law Institute of Victoria</w:t>
      </w:r>
      <w:r w:rsidR="00707BC9" w:rsidRPr="00170ADC">
        <w:rPr>
          <w:rStyle w:val="FootnoteReference"/>
        </w:rPr>
        <w:footnoteReference w:id="262"/>
      </w:r>
      <w:r w:rsidR="00707BC9" w:rsidRPr="00FA1A19">
        <w:t>, PwC</w:t>
      </w:r>
      <w:r w:rsidR="00707BC9" w:rsidRPr="00170ADC">
        <w:rPr>
          <w:rStyle w:val="FootnoteReference"/>
        </w:rPr>
        <w:footnoteReference w:id="263"/>
      </w:r>
      <w:r w:rsidR="00707BC9" w:rsidRPr="00FA1A19">
        <w:t xml:space="preserve"> and Cadena Legal</w:t>
      </w:r>
      <w:r w:rsidR="00707BC9" w:rsidRPr="00170ADC">
        <w:rPr>
          <w:rStyle w:val="FootnoteReference"/>
        </w:rPr>
        <w:footnoteReference w:id="264"/>
      </w:r>
      <w:r w:rsidR="00707BC9" w:rsidRPr="00FA1A19">
        <w:t>, all</w:t>
      </w:r>
      <w:r w:rsidRPr="00FA1A19">
        <w:t xml:space="preserve"> described the challenges at common law</w:t>
      </w:r>
      <w:r w:rsidR="00707BC9" w:rsidRPr="00FA1A19">
        <w:t xml:space="preserve"> and the specific nature of crypto assets.</w:t>
      </w:r>
      <w:r w:rsidRPr="00FA1A19">
        <w:t xml:space="preserve"> Further, </w:t>
      </w:r>
      <w:r w:rsidR="001A6F39" w:rsidRPr="00FA1A19">
        <w:t>the Members of the Tax Profession</w:t>
      </w:r>
      <w:r w:rsidR="00A52608" w:rsidRPr="00170ADC">
        <w:rPr>
          <w:rStyle w:val="FootnoteReference"/>
        </w:rPr>
        <w:footnoteReference w:id="265"/>
      </w:r>
      <w:r w:rsidRPr="00FA1A19">
        <w:t xml:space="preserve">, </w:t>
      </w:r>
      <w:r w:rsidR="00F32521">
        <w:t>Blockchain &amp; Digital Assets – Services + Law</w:t>
      </w:r>
      <w:r w:rsidR="00A52608" w:rsidRPr="00170ADC">
        <w:rPr>
          <w:rStyle w:val="FootnoteReference"/>
        </w:rPr>
        <w:footnoteReference w:id="266"/>
      </w:r>
      <w:r w:rsidR="00A52608" w:rsidRPr="00FA1A19">
        <w:t xml:space="preserve"> and KPMG</w:t>
      </w:r>
      <w:r w:rsidR="00A52608" w:rsidRPr="00170ADC">
        <w:rPr>
          <w:rStyle w:val="FootnoteReference"/>
        </w:rPr>
        <w:footnoteReference w:id="267"/>
      </w:r>
      <w:r w:rsidR="00A52608" w:rsidRPr="00FA1A19">
        <w:t xml:space="preserve"> all</w:t>
      </w:r>
      <w:r w:rsidRPr="00FA1A19">
        <w:t xml:space="preserve"> referenced the UK Law Commission</w:t>
      </w:r>
      <w:r w:rsidR="00F75232">
        <w:t>’</w:t>
      </w:r>
      <w:r w:rsidRPr="00FA1A19">
        <w:t>s work, noting</w:t>
      </w:r>
      <w:r w:rsidR="00A52608" w:rsidRPr="00FA1A19">
        <w:t xml:space="preserve"> the proposed third category of property. </w:t>
      </w:r>
    </w:p>
    <w:p w14:paraId="76D9B5B8" w14:textId="2959A245" w:rsidR="009A775F" w:rsidRPr="00FA1A19" w:rsidRDefault="009A775F" w:rsidP="00342121">
      <w:pPr>
        <w:pStyle w:val="Heading3"/>
      </w:pPr>
      <w:r w:rsidRPr="00FA1A19">
        <w:t>Board</w:t>
      </w:r>
      <w:r w:rsidR="00F75232">
        <w:t>’</w:t>
      </w:r>
      <w:r w:rsidRPr="00FA1A19">
        <w:t>s Conclusion</w:t>
      </w:r>
    </w:p>
    <w:p w14:paraId="7A7D28CD" w14:textId="77777777" w:rsidR="00573455" w:rsidRPr="00FA1A19" w:rsidRDefault="003C2708" w:rsidP="009A775F">
      <w:pPr>
        <w:autoSpaceDE w:val="0"/>
        <w:autoSpaceDN w:val="0"/>
        <w:adjustRightInd w:val="0"/>
      </w:pPr>
      <w:r w:rsidRPr="00FA1A19">
        <w:t>A</w:t>
      </w:r>
      <w:r w:rsidR="0037397A" w:rsidRPr="00FA1A19">
        <w:t xml:space="preserve"> number of submissions indicated that </w:t>
      </w:r>
      <w:r w:rsidRPr="00FA1A19">
        <w:t>whether or not crypt</w:t>
      </w:r>
      <w:r w:rsidR="00AA340C" w:rsidRPr="00FA1A19">
        <w:t xml:space="preserve">ocurrencies </w:t>
      </w:r>
      <w:r w:rsidRPr="00FA1A19">
        <w:t>are property at law is not clear</w:t>
      </w:r>
      <w:r w:rsidR="00635018" w:rsidRPr="00FA1A19">
        <w:t xml:space="preserve">, </w:t>
      </w:r>
      <w:r w:rsidR="00902710" w:rsidRPr="00FA1A19">
        <w:t>with the argument that they are not property being based, broadly, on the fact that</w:t>
      </w:r>
      <w:r w:rsidR="0037397A" w:rsidRPr="00FA1A19">
        <w:t xml:space="preserve"> crypto</w:t>
      </w:r>
      <w:r w:rsidR="00AA340C" w:rsidRPr="00FA1A19">
        <w:t xml:space="preserve">currencies derive their existence </w:t>
      </w:r>
      <w:r w:rsidR="002C131D" w:rsidRPr="00FA1A19">
        <w:t xml:space="preserve">from </w:t>
      </w:r>
      <w:r w:rsidR="0037397A" w:rsidRPr="00FA1A19">
        <w:t>computer code</w:t>
      </w:r>
      <w:r w:rsidR="00A4260D" w:rsidRPr="00FA1A19">
        <w:t xml:space="preserve"> and are therefore merely information</w:t>
      </w:r>
      <w:r w:rsidR="00902710" w:rsidRPr="00FA1A19">
        <w:t>.</w:t>
      </w:r>
    </w:p>
    <w:p w14:paraId="43D7B8F6" w14:textId="445D50D2" w:rsidR="00A64E1A" w:rsidRPr="00FA1A19" w:rsidRDefault="00902710" w:rsidP="009A775F">
      <w:pPr>
        <w:autoSpaceDE w:val="0"/>
        <w:autoSpaceDN w:val="0"/>
        <w:adjustRightInd w:val="0"/>
      </w:pPr>
      <w:r w:rsidRPr="00FA1A19">
        <w:t>Notwithstanding this, t</w:t>
      </w:r>
      <w:r w:rsidR="009A775F" w:rsidRPr="00FA1A19">
        <w:t>he Board notes that</w:t>
      </w:r>
      <w:r w:rsidR="0053653A" w:rsidRPr="00FA1A19">
        <w:t xml:space="preserve"> </w:t>
      </w:r>
      <w:r w:rsidR="00657160">
        <w:t xml:space="preserve">a number of </w:t>
      </w:r>
      <w:r w:rsidR="009A775F" w:rsidRPr="00FA1A19">
        <w:t xml:space="preserve">international </w:t>
      </w:r>
      <w:r w:rsidR="00573455" w:rsidRPr="00FA1A19">
        <w:t xml:space="preserve">judicial decisions </w:t>
      </w:r>
      <w:r w:rsidR="0053653A" w:rsidRPr="00FA1A19">
        <w:t>h</w:t>
      </w:r>
      <w:r w:rsidR="009A775F" w:rsidRPr="00FA1A19">
        <w:t>ave concluded that crypto</w:t>
      </w:r>
      <w:r w:rsidR="005116A6" w:rsidRPr="00FA1A19">
        <w:t xml:space="preserve">currencies </w:t>
      </w:r>
      <w:r w:rsidR="009A775F" w:rsidRPr="00FA1A19">
        <w:t>represent a form a property</w:t>
      </w:r>
      <w:r w:rsidR="000F059D" w:rsidRPr="00FA1A19">
        <w:t xml:space="preserve"> </w:t>
      </w:r>
      <w:r w:rsidR="00346BE4" w:rsidRPr="00FA1A19">
        <w:t>and Australian decisions have assumed the same.</w:t>
      </w:r>
      <w:r w:rsidR="004F0A51" w:rsidRPr="00FA1A19">
        <w:t xml:space="preserve"> </w:t>
      </w:r>
      <w:r w:rsidR="008E2051">
        <w:t>T</w:t>
      </w:r>
      <w:r w:rsidR="000F059D" w:rsidRPr="00FA1A19">
        <w:t xml:space="preserve">he Board </w:t>
      </w:r>
      <w:r w:rsidR="008E2051">
        <w:t xml:space="preserve">has </w:t>
      </w:r>
      <w:r w:rsidR="000F059D" w:rsidRPr="00FA1A19">
        <w:t>conclude</w:t>
      </w:r>
      <w:r w:rsidR="008E2051">
        <w:t>d</w:t>
      </w:r>
      <w:r w:rsidR="0087316D" w:rsidRPr="00FA1A19">
        <w:t xml:space="preserve"> </w:t>
      </w:r>
      <w:r w:rsidR="0053653A" w:rsidRPr="00FA1A19">
        <w:t xml:space="preserve">that </w:t>
      </w:r>
      <w:r w:rsidR="007E2F01" w:rsidRPr="00FA1A19">
        <w:t>t</w:t>
      </w:r>
      <w:r w:rsidR="00DD0F51" w:rsidRPr="00FA1A19">
        <w:t>he ATO</w:t>
      </w:r>
      <w:r w:rsidR="00F75232">
        <w:t>’</w:t>
      </w:r>
      <w:r w:rsidR="001C5B6E" w:rsidRPr="00FA1A19">
        <w:t xml:space="preserve">s </w:t>
      </w:r>
      <w:r w:rsidR="009F36DC" w:rsidRPr="00FA1A19">
        <w:t xml:space="preserve">position that </w:t>
      </w:r>
      <w:r w:rsidR="00600892" w:rsidRPr="00FA1A19">
        <w:t>crypto</w:t>
      </w:r>
      <w:r w:rsidR="005116A6" w:rsidRPr="00FA1A19">
        <w:t xml:space="preserve">currencies </w:t>
      </w:r>
      <w:r w:rsidR="009F36DC" w:rsidRPr="00FA1A19">
        <w:t xml:space="preserve">are property </w:t>
      </w:r>
      <w:r w:rsidR="00BA726D" w:rsidRPr="00FA1A19">
        <w:t>for tax purposes</w:t>
      </w:r>
      <w:r w:rsidR="001C5B6E" w:rsidRPr="00FA1A19">
        <w:t xml:space="preserve"> is appropriate</w:t>
      </w:r>
      <w:r w:rsidR="00A52608" w:rsidRPr="00FA1A19">
        <w:t>.</w:t>
      </w:r>
      <w:r w:rsidR="004F0A51" w:rsidRPr="00FA1A19">
        <w:t xml:space="preserve"> </w:t>
      </w:r>
      <w:r w:rsidR="00A64E1A" w:rsidRPr="00FA1A19">
        <w:t>Where relevant, the Board</w:t>
      </w:r>
      <w:r w:rsidR="00F75232">
        <w:t>’</w:t>
      </w:r>
      <w:r w:rsidR="00A64E1A" w:rsidRPr="00FA1A19">
        <w:t xml:space="preserve">s </w:t>
      </w:r>
      <w:r w:rsidR="009057BB" w:rsidRPr="00FA1A19">
        <w:t xml:space="preserve">considerations, observations and recommendations as set out in this </w:t>
      </w:r>
      <w:r w:rsidR="00087FF7">
        <w:t>R</w:t>
      </w:r>
      <w:r w:rsidR="009057BB" w:rsidRPr="00FA1A19">
        <w:t xml:space="preserve">eport assume that </w:t>
      </w:r>
      <w:r w:rsidR="00F5312A" w:rsidRPr="00FA1A19">
        <w:t xml:space="preserve">crypto assets </w:t>
      </w:r>
      <w:r w:rsidR="009057BB" w:rsidRPr="00FA1A19">
        <w:t>are correctly classified as property.</w:t>
      </w:r>
    </w:p>
    <w:p w14:paraId="61453A86" w14:textId="000DE8CC" w:rsidR="0087316D" w:rsidRPr="00FA1A19" w:rsidRDefault="00FD75D9" w:rsidP="009A775F">
      <w:pPr>
        <w:autoSpaceDE w:val="0"/>
        <w:autoSpaceDN w:val="0"/>
        <w:adjustRightInd w:val="0"/>
      </w:pPr>
      <w:r w:rsidRPr="00FA1A19">
        <w:t xml:space="preserve">If it is ultimately determined that </w:t>
      </w:r>
      <w:r w:rsidR="00F5312A" w:rsidRPr="00FA1A19">
        <w:t>crypto assets</w:t>
      </w:r>
      <w:r w:rsidRPr="00FA1A19">
        <w:t xml:space="preserve"> are not property</w:t>
      </w:r>
      <w:r w:rsidR="00C97EF6" w:rsidRPr="00FA1A19">
        <w:t xml:space="preserve"> at common law</w:t>
      </w:r>
      <w:r w:rsidR="00F5312A" w:rsidRPr="00FA1A19">
        <w:t>, then</w:t>
      </w:r>
      <w:r w:rsidRPr="00FA1A19">
        <w:t xml:space="preserve"> </w:t>
      </w:r>
      <w:r w:rsidR="00194C11" w:rsidRPr="00FA1A19">
        <w:t>many</w:t>
      </w:r>
      <w:r w:rsidR="00F5312A" w:rsidRPr="00FA1A19">
        <w:t xml:space="preserve"> of the</w:t>
      </w:r>
      <w:r w:rsidRPr="00FA1A19">
        <w:t xml:space="preserve"> analys</w:t>
      </w:r>
      <w:r w:rsidR="00194C11" w:rsidRPr="00FA1A19">
        <w:t>es</w:t>
      </w:r>
      <w:r w:rsidRPr="00FA1A19">
        <w:t xml:space="preserve">, </w:t>
      </w:r>
      <w:r w:rsidR="00F94DFF" w:rsidRPr="00FA1A19">
        <w:t xml:space="preserve">conclusions, observations and recommendations in this </w:t>
      </w:r>
      <w:r w:rsidR="000B67F1">
        <w:t>R</w:t>
      </w:r>
      <w:r w:rsidR="000B67F1" w:rsidRPr="00FA1A19">
        <w:t xml:space="preserve">eport </w:t>
      </w:r>
      <w:r w:rsidR="00F94DFF" w:rsidRPr="00FA1A19">
        <w:t>would be affected.</w:t>
      </w:r>
      <w:r w:rsidR="004F0A51" w:rsidRPr="00FA1A19">
        <w:t xml:space="preserve"> </w:t>
      </w:r>
      <w:r w:rsidR="00F94DFF" w:rsidRPr="00FA1A19">
        <w:t>Should this occur</w:t>
      </w:r>
      <w:r w:rsidR="00120FB4" w:rsidRPr="00FA1A19">
        <w:t xml:space="preserve"> and the Government not decide to legislatively </w:t>
      </w:r>
      <w:r w:rsidR="00FC42B6" w:rsidRPr="00FA1A19">
        <w:t>deem</w:t>
      </w:r>
      <w:r w:rsidR="00120FB4" w:rsidRPr="00FA1A19">
        <w:t xml:space="preserve"> crypto currencies </w:t>
      </w:r>
      <w:r w:rsidR="00FC42B6" w:rsidRPr="00FA1A19">
        <w:t>to be</w:t>
      </w:r>
      <w:r w:rsidR="00194C11" w:rsidRPr="00FA1A19">
        <w:t xml:space="preserve"> </w:t>
      </w:r>
      <w:r w:rsidR="00120FB4" w:rsidRPr="00FA1A19">
        <w:t>property or to have proprietary rights</w:t>
      </w:r>
      <w:r w:rsidR="00F94DFF" w:rsidRPr="00FA1A19">
        <w:t>, the</w:t>
      </w:r>
      <w:r w:rsidR="00120FB4" w:rsidRPr="00FA1A19">
        <w:t xml:space="preserve"> Government may need to revisit the issues in this Re</w:t>
      </w:r>
      <w:r w:rsidR="000B67F1">
        <w:t>port</w:t>
      </w:r>
      <w:r w:rsidR="00120FB4" w:rsidRPr="00FA1A19">
        <w:t>.</w:t>
      </w:r>
    </w:p>
    <w:p w14:paraId="35215109" w14:textId="77777777" w:rsidR="00E028F7" w:rsidRPr="00FA1A19" w:rsidRDefault="00E028F7" w:rsidP="00471171">
      <w:pPr>
        <w:pStyle w:val="SingleParagraph"/>
      </w:pPr>
    </w:p>
    <w:tbl>
      <w:tblPr>
        <w:tblStyle w:val="BoTObservation"/>
        <w:tblW w:w="5000" w:type="pct"/>
        <w:tblLook w:val="0420" w:firstRow="1" w:lastRow="0" w:firstColumn="0" w:lastColumn="0" w:noHBand="0" w:noVBand="1"/>
      </w:tblPr>
      <w:tblGrid>
        <w:gridCol w:w="9641"/>
      </w:tblGrid>
      <w:tr w:rsidR="009A775F" w:rsidRPr="00FA1A19" w14:paraId="2D9CD367" w14:textId="77777777" w:rsidTr="00393CD7">
        <w:trPr>
          <w:cnfStyle w:val="100000000000" w:firstRow="1" w:lastRow="0" w:firstColumn="0" w:lastColumn="0" w:oddVBand="0" w:evenVBand="0" w:oddHBand="0" w:evenHBand="0" w:firstRowFirstColumn="0" w:firstRowLastColumn="0" w:lastRowFirstColumn="0" w:lastRowLastColumn="0"/>
        </w:trPr>
        <w:tc>
          <w:tcPr>
            <w:tcW w:w="5000" w:type="pct"/>
          </w:tcPr>
          <w:p w14:paraId="161137F8" w14:textId="315C995C" w:rsidR="009A775F" w:rsidRPr="00471171" w:rsidRDefault="00372633" w:rsidP="00471171">
            <w:pPr>
              <w:pStyle w:val="BoxHeading1"/>
            </w:pPr>
            <w:r>
              <w:t>Observation </w:t>
            </w:r>
            <w:r w:rsidR="00230E4C" w:rsidRPr="00FA1A19">
              <w:t>4</w:t>
            </w:r>
            <w:r w:rsidR="009A775F" w:rsidRPr="00FA1A19">
              <w:t>.1</w:t>
            </w:r>
          </w:p>
        </w:tc>
      </w:tr>
      <w:tr w:rsidR="009A775F" w:rsidRPr="00FA1A19" w14:paraId="3833E876" w14:textId="77777777" w:rsidTr="00393CD7">
        <w:trPr>
          <w:cnfStyle w:val="000000100000" w:firstRow="0" w:lastRow="0" w:firstColumn="0" w:lastColumn="0" w:oddVBand="0" w:evenVBand="0" w:oddHBand="1" w:evenHBand="0" w:firstRowFirstColumn="0" w:firstRowLastColumn="0" w:lastRowFirstColumn="0" w:lastRowLastColumn="0"/>
        </w:trPr>
        <w:tc>
          <w:tcPr>
            <w:tcW w:w="5000" w:type="pct"/>
          </w:tcPr>
          <w:p w14:paraId="7466D3A2" w14:textId="57DD4B30" w:rsidR="009A775F" w:rsidRPr="00471171" w:rsidRDefault="00BF31F8" w:rsidP="00471171">
            <w:pPr>
              <w:pStyle w:val="BoxText"/>
            </w:pPr>
            <w:r>
              <w:t>Both Australian and</w:t>
            </w:r>
            <w:r w:rsidR="00591D41" w:rsidRPr="00FA1A19">
              <w:t xml:space="preserve"> international judicial decisions</w:t>
            </w:r>
            <w:r>
              <w:t xml:space="preserve"> have accepted or determined </w:t>
            </w:r>
            <w:r w:rsidR="00EB5CC1">
              <w:t>that</w:t>
            </w:r>
            <w:r w:rsidR="00591D41" w:rsidRPr="00FA1A19">
              <w:t xml:space="preserve"> c</w:t>
            </w:r>
            <w:r w:rsidR="009A775F" w:rsidRPr="00FA1A19">
              <w:t>rypto assets are</w:t>
            </w:r>
            <w:r w:rsidR="00591D41" w:rsidRPr="00FA1A19">
              <w:t xml:space="preserve"> </w:t>
            </w:r>
            <w:r w:rsidR="009A775F" w:rsidRPr="00FA1A19">
              <w:t>property at common law</w:t>
            </w:r>
            <w:r w:rsidR="00AD4AFE" w:rsidRPr="00FA1A19">
              <w:t>,</w:t>
            </w:r>
            <w:r w:rsidR="009A775F" w:rsidRPr="00FA1A19">
              <w:t xml:space="preserve"> </w:t>
            </w:r>
            <w:r w:rsidR="00BD5B2E" w:rsidRPr="00FA1A19">
              <w:t xml:space="preserve">notwithstanding that they </w:t>
            </w:r>
            <w:r w:rsidR="009A775F" w:rsidRPr="00FA1A19">
              <w:t>may not fit easily within established property categories of things in possession or things in action.</w:t>
            </w:r>
          </w:p>
          <w:p w14:paraId="27D1D70D" w14:textId="5F9A5E95" w:rsidR="007809B9" w:rsidRPr="00FA1A19" w:rsidRDefault="0016057A" w:rsidP="00471171">
            <w:pPr>
              <w:pStyle w:val="BoxText"/>
            </w:pPr>
            <w:r w:rsidRPr="00FA1A19">
              <w:t xml:space="preserve">The Board has assumed for the purposes of the remainder of this Report that </w:t>
            </w:r>
            <w:r w:rsidR="00E85EE3" w:rsidRPr="00FA1A19">
              <w:t>crypto assets are property.</w:t>
            </w:r>
            <w:r w:rsidR="004F0A51" w:rsidRPr="00FA1A19">
              <w:t xml:space="preserve"> </w:t>
            </w:r>
            <w:r w:rsidR="00E85EE3" w:rsidRPr="00FA1A19">
              <w:t>If this is</w:t>
            </w:r>
            <w:r w:rsidR="009D7FC5" w:rsidRPr="00FA1A19">
              <w:t xml:space="preserve"> ultimately found to be </w:t>
            </w:r>
            <w:r w:rsidR="009D7FC5" w:rsidRPr="00471171">
              <w:t>incorrect</w:t>
            </w:r>
            <w:r w:rsidR="009D7FC5" w:rsidRPr="00FA1A19">
              <w:t xml:space="preserve"> and </w:t>
            </w:r>
            <w:r w:rsidR="00E85EE3" w:rsidRPr="00FA1A19">
              <w:t xml:space="preserve">the Government does not </w:t>
            </w:r>
            <w:r w:rsidR="00922BBD" w:rsidRPr="00FA1A19">
              <w:t>then legislatively deem</w:t>
            </w:r>
            <w:r w:rsidR="00E85EE3" w:rsidRPr="00FA1A19">
              <w:t xml:space="preserve"> </w:t>
            </w:r>
            <w:r w:rsidR="007E746A" w:rsidRPr="00FA1A19">
              <w:t xml:space="preserve">crypto assets </w:t>
            </w:r>
            <w:r w:rsidR="00922BBD" w:rsidRPr="00FA1A19">
              <w:t>to be property, t</w:t>
            </w:r>
            <w:r w:rsidR="007E746A" w:rsidRPr="00FA1A19">
              <w:t>he Government may need to revisit the issues in this Re</w:t>
            </w:r>
            <w:r w:rsidR="00EF310B">
              <w:t>port</w:t>
            </w:r>
            <w:r w:rsidR="007E746A" w:rsidRPr="00FA1A19">
              <w:t>.</w:t>
            </w:r>
            <w:r w:rsidR="007809B9" w:rsidRPr="00FA1A19">
              <w:t xml:space="preserve"> </w:t>
            </w:r>
          </w:p>
        </w:tc>
      </w:tr>
    </w:tbl>
    <w:p w14:paraId="3A69CF6F" w14:textId="2A88E59A" w:rsidR="009A775F" w:rsidRPr="00FA1A19" w:rsidRDefault="009A775F" w:rsidP="0069352C">
      <w:pPr>
        <w:pStyle w:val="Heading2"/>
      </w:pPr>
      <w:bookmarkStart w:id="62" w:name="_Toc159513586"/>
      <w:r w:rsidRPr="00FA1A19">
        <w:t>Crypto assets as foreign currency</w:t>
      </w:r>
      <w:bookmarkEnd w:id="62"/>
    </w:p>
    <w:p w14:paraId="0847A3A1" w14:textId="77777777" w:rsidR="009A775F" w:rsidRPr="00FA1A19" w:rsidRDefault="009A775F" w:rsidP="00342121">
      <w:pPr>
        <w:pStyle w:val="Heading3"/>
      </w:pPr>
      <w:r w:rsidRPr="00FA1A19">
        <w:t>Overview</w:t>
      </w:r>
    </w:p>
    <w:p w14:paraId="16C77503" w14:textId="402B546B" w:rsidR="00F4787A" w:rsidRPr="00FA1A19" w:rsidRDefault="00654F64" w:rsidP="009A775F">
      <w:pPr>
        <w:autoSpaceDE w:val="0"/>
        <w:autoSpaceDN w:val="0"/>
        <w:adjustRightInd w:val="0"/>
        <w:rPr>
          <w:rFonts w:asciiTheme="minorHAnsi" w:hAnsiTheme="minorHAnsi" w:cstheme="minorHAnsi"/>
        </w:rPr>
      </w:pPr>
      <w:r w:rsidRPr="00FA1A19">
        <w:rPr>
          <w:rFonts w:asciiTheme="minorHAnsi" w:hAnsiTheme="minorHAnsi" w:cstheme="minorHAnsi"/>
        </w:rPr>
        <w:t xml:space="preserve">The </w:t>
      </w:r>
      <w:r w:rsidR="00374B8E" w:rsidRPr="00FA1A19">
        <w:rPr>
          <w:rFonts w:asciiTheme="minorHAnsi" w:hAnsiTheme="minorHAnsi" w:cstheme="minorHAnsi"/>
        </w:rPr>
        <w:t xml:space="preserve">classification of crypto assets, specifically cryptocurrencies as </w:t>
      </w:r>
      <w:r w:rsidR="00C948F1" w:rsidRPr="00FA1A19">
        <w:rPr>
          <w:rFonts w:asciiTheme="minorHAnsi" w:hAnsiTheme="minorHAnsi" w:cstheme="minorHAnsi"/>
        </w:rPr>
        <w:t>a currency</w:t>
      </w:r>
      <w:r w:rsidR="008F1390" w:rsidRPr="00FA1A19">
        <w:rPr>
          <w:rFonts w:asciiTheme="minorHAnsi" w:hAnsiTheme="minorHAnsi" w:cstheme="minorHAnsi"/>
        </w:rPr>
        <w:t>,</w:t>
      </w:r>
      <w:r w:rsidR="00C948F1" w:rsidRPr="00FA1A19">
        <w:rPr>
          <w:rFonts w:asciiTheme="minorHAnsi" w:hAnsiTheme="minorHAnsi" w:cstheme="minorHAnsi"/>
        </w:rPr>
        <w:t xml:space="preserve"> h</w:t>
      </w:r>
      <w:r w:rsidR="004A19BD" w:rsidRPr="00FA1A19">
        <w:rPr>
          <w:rFonts w:asciiTheme="minorHAnsi" w:hAnsiTheme="minorHAnsi" w:cstheme="minorHAnsi"/>
        </w:rPr>
        <w:t xml:space="preserve">as been </w:t>
      </w:r>
      <w:r w:rsidR="00E152CF" w:rsidRPr="00FA1A19">
        <w:rPr>
          <w:rFonts w:asciiTheme="minorHAnsi" w:hAnsiTheme="minorHAnsi" w:cstheme="minorHAnsi"/>
        </w:rPr>
        <w:t>subject to much global contention</w:t>
      </w:r>
      <w:r w:rsidR="007D56D2" w:rsidRPr="00FA1A19">
        <w:rPr>
          <w:rFonts w:asciiTheme="minorHAnsi" w:hAnsiTheme="minorHAnsi" w:cstheme="minorHAnsi"/>
        </w:rPr>
        <w:t>, particularly as</w:t>
      </w:r>
      <w:r w:rsidR="00E152CF" w:rsidRPr="00FA1A19">
        <w:rPr>
          <w:rFonts w:asciiTheme="minorHAnsi" w:hAnsiTheme="minorHAnsi" w:cstheme="minorHAnsi"/>
        </w:rPr>
        <w:t xml:space="preserve"> the </w:t>
      </w:r>
      <w:r w:rsidR="00F258BB" w:rsidRPr="00FA1A19">
        <w:rPr>
          <w:rFonts w:asciiTheme="minorHAnsi" w:hAnsiTheme="minorHAnsi" w:cstheme="minorHAnsi"/>
        </w:rPr>
        <w:t>prevalence</w:t>
      </w:r>
      <w:r w:rsidR="00E152CF" w:rsidRPr="00FA1A19">
        <w:rPr>
          <w:rFonts w:asciiTheme="minorHAnsi" w:hAnsiTheme="minorHAnsi" w:cstheme="minorHAnsi"/>
        </w:rPr>
        <w:t xml:space="preserve"> of </w:t>
      </w:r>
      <w:r w:rsidR="008F1390" w:rsidRPr="00FA1A19">
        <w:rPr>
          <w:rFonts w:asciiTheme="minorHAnsi" w:hAnsiTheme="minorHAnsi" w:cstheme="minorHAnsi"/>
        </w:rPr>
        <w:t>b</w:t>
      </w:r>
      <w:r w:rsidR="00F258BB" w:rsidRPr="00FA1A19">
        <w:rPr>
          <w:rFonts w:asciiTheme="minorHAnsi" w:hAnsiTheme="minorHAnsi" w:cstheme="minorHAnsi"/>
        </w:rPr>
        <w:t xml:space="preserve">itcoin has </w:t>
      </w:r>
      <w:r w:rsidR="002B6223" w:rsidRPr="00FA1A19">
        <w:rPr>
          <w:rFonts w:asciiTheme="minorHAnsi" w:hAnsiTheme="minorHAnsi" w:cstheme="minorHAnsi"/>
        </w:rPr>
        <w:t>grown</w:t>
      </w:r>
      <w:r w:rsidR="00897BC0" w:rsidRPr="00FA1A19">
        <w:rPr>
          <w:rFonts w:asciiTheme="minorHAnsi" w:hAnsiTheme="minorHAnsi" w:cstheme="minorHAnsi"/>
        </w:rPr>
        <w:t xml:space="preserve">. </w:t>
      </w:r>
      <w:r w:rsidR="001B06D7" w:rsidRPr="00FA1A19">
        <w:rPr>
          <w:rFonts w:asciiTheme="minorHAnsi" w:hAnsiTheme="minorHAnsi" w:cstheme="minorHAnsi"/>
        </w:rPr>
        <w:t xml:space="preserve">In 2014, the ATO </w:t>
      </w:r>
      <w:r w:rsidR="006927BE" w:rsidRPr="00FA1A19">
        <w:rPr>
          <w:rFonts w:asciiTheme="minorHAnsi" w:hAnsiTheme="minorHAnsi" w:cstheme="minorHAnsi"/>
        </w:rPr>
        <w:t>provided a Taxation Determination</w:t>
      </w:r>
      <w:r w:rsidR="00AD5A7E" w:rsidRPr="00170ADC">
        <w:rPr>
          <w:rStyle w:val="FootnoteReference"/>
        </w:rPr>
        <w:footnoteReference w:id="268"/>
      </w:r>
      <w:r w:rsidR="00E56A8C" w:rsidRPr="00FA1A19">
        <w:rPr>
          <w:rFonts w:asciiTheme="minorHAnsi" w:hAnsiTheme="minorHAnsi" w:cstheme="minorHAnsi"/>
        </w:rPr>
        <w:t xml:space="preserve"> confirming its position that </w:t>
      </w:r>
      <w:r w:rsidR="00165052" w:rsidRPr="00FA1A19">
        <w:rPr>
          <w:rFonts w:asciiTheme="minorHAnsi" w:hAnsiTheme="minorHAnsi" w:cstheme="minorHAnsi"/>
        </w:rPr>
        <w:t>bit</w:t>
      </w:r>
      <w:r w:rsidR="00F56CDB" w:rsidRPr="00FA1A19">
        <w:rPr>
          <w:rFonts w:asciiTheme="minorHAnsi" w:hAnsiTheme="minorHAnsi" w:cstheme="minorHAnsi"/>
        </w:rPr>
        <w:t xml:space="preserve">coin </w:t>
      </w:r>
      <w:r w:rsidR="00920B29" w:rsidRPr="00FA1A19">
        <w:rPr>
          <w:rFonts w:asciiTheme="minorHAnsi" w:hAnsiTheme="minorHAnsi" w:cstheme="minorHAnsi"/>
        </w:rPr>
        <w:t xml:space="preserve">was not currency and therefore not a foreign currency. </w:t>
      </w:r>
      <w:r w:rsidR="008276D7" w:rsidRPr="00FA1A19">
        <w:rPr>
          <w:rFonts w:asciiTheme="minorHAnsi" w:hAnsiTheme="minorHAnsi" w:cstheme="minorHAnsi"/>
        </w:rPr>
        <w:t>However, t</w:t>
      </w:r>
      <w:r w:rsidR="00A65905" w:rsidRPr="00FA1A19">
        <w:rPr>
          <w:rFonts w:asciiTheme="minorHAnsi" w:hAnsiTheme="minorHAnsi" w:cstheme="minorHAnsi"/>
        </w:rPr>
        <w:t xml:space="preserve">his conclusion </w:t>
      </w:r>
      <w:r w:rsidR="007A6D44" w:rsidRPr="00FA1A19">
        <w:rPr>
          <w:rFonts w:asciiTheme="minorHAnsi" w:hAnsiTheme="minorHAnsi" w:cstheme="minorHAnsi"/>
        </w:rPr>
        <w:t>became contentious</w:t>
      </w:r>
      <w:r w:rsidR="00814172" w:rsidRPr="00FA1A19">
        <w:rPr>
          <w:rFonts w:asciiTheme="minorHAnsi" w:hAnsiTheme="minorHAnsi" w:cstheme="minorHAnsi"/>
        </w:rPr>
        <w:t xml:space="preserve"> when</w:t>
      </w:r>
      <w:r w:rsidR="00920B29" w:rsidRPr="00FA1A19">
        <w:rPr>
          <w:rFonts w:asciiTheme="minorHAnsi" w:hAnsiTheme="minorHAnsi" w:cstheme="minorHAnsi"/>
        </w:rPr>
        <w:t xml:space="preserve"> in 2021 El Salvador introduced a law that </w:t>
      </w:r>
      <w:r w:rsidR="006B5EED" w:rsidRPr="00FA1A19">
        <w:rPr>
          <w:rFonts w:asciiTheme="minorHAnsi" w:hAnsiTheme="minorHAnsi" w:cstheme="minorHAnsi"/>
        </w:rPr>
        <w:t xml:space="preserve">bitcoin was legal tender. </w:t>
      </w:r>
      <w:r w:rsidR="00B45742" w:rsidRPr="00FA1A19">
        <w:rPr>
          <w:rFonts w:asciiTheme="minorHAnsi" w:hAnsiTheme="minorHAnsi" w:cstheme="minorHAnsi"/>
        </w:rPr>
        <w:t xml:space="preserve">The Australian </w:t>
      </w:r>
      <w:r w:rsidR="00B96DE9">
        <w:rPr>
          <w:rFonts w:asciiTheme="minorHAnsi" w:hAnsiTheme="minorHAnsi" w:cstheme="minorHAnsi"/>
        </w:rPr>
        <w:t>G</w:t>
      </w:r>
      <w:r w:rsidR="00B96DE9" w:rsidRPr="00FA1A19">
        <w:rPr>
          <w:rFonts w:asciiTheme="minorHAnsi" w:hAnsiTheme="minorHAnsi" w:cstheme="minorHAnsi"/>
        </w:rPr>
        <w:t xml:space="preserve">overnment </w:t>
      </w:r>
      <w:r w:rsidR="00C5389E" w:rsidRPr="00FA1A19">
        <w:rPr>
          <w:rFonts w:asciiTheme="minorHAnsi" w:hAnsiTheme="minorHAnsi" w:cstheme="minorHAnsi"/>
        </w:rPr>
        <w:t>responded to this development though legislat</w:t>
      </w:r>
      <w:r w:rsidR="00775B1A" w:rsidRPr="00FA1A19">
        <w:rPr>
          <w:rFonts w:asciiTheme="minorHAnsi" w:hAnsiTheme="minorHAnsi" w:cstheme="minorHAnsi"/>
        </w:rPr>
        <w:t xml:space="preserve">ion that such </w:t>
      </w:r>
      <w:r w:rsidR="00471DAD" w:rsidRPr="00FA1A19">
        <w:rPr>
          <w:rFonts w:asciiTheme="minorHAnsi" w:hAnsiTheme="minorHAnsi" w:cstheme="minorHAnsi"/>
        </w:rPr>
        <w:t>cry</w:t>
      </w:r>
      <w:r w:rsidR="00E34E14" w:rsidRPr="00FA1A19">
        <w:rPr>
          <w:rFonts w:asciiTheme="minorHAnsi" w:hAnsiTheme="minorHAnsi" w:cstheme="minorHAnsi"/>
        </w:rPr>
        <w:t>pt</w:t>
      </w:r>
      <w:r w:rsidR="00471DAD" w:rsidRPr="00FA1A19">
        <w:rPr>
          <w:rFonts w:asciiTheme="minorHAnsi" w:hAnsiTheme="minorHAnsi" w:cstheme="minorHAnsi"/>
        </w:rPr>
        <w:t>o assets would not be treated as foreign currency for tax purpose</w:t>
      </w:r>
      <w:r w:rsidR="008276D7" w:rsidRPr="00FA1A19">
        <w:rPr>
          <w:rFonts w:asciiTheme="minorHAnsi" w:hAnsiTheme="minorHAnsi" w:cstheme="minorHAnsi"/>
        </w:rPr>
        <w:t>s</w:t>
      </w:r>
      <w:r w:rsidR="00471DAD" w:rsidRPr="00FA1A19">
        <w:rPr>
          <w:rFonts w:asciiTheme="minorHAnsi" w:hAnsiTheme="minorHAnsi" w:cstheme="minorHAnsi"/>
        </w:rPr>
        <w:t xml:space="preserve">. </w:t>
      </w:r>
    </w:p>
    <w:p w14:paraId="65347E6F" w14:textId="5AD3DB8C" w:rsidR="00471DAD" w:rsidRPr="00FA1A19" w:rsidRDefault="00471DAD" w:rsidP="009A775F">
      <w:pPr>
        <w:autoSpaceDE w:val="0"/>
        <w:autoSpaceDN w:val="0"/>
        <w:adjustRightInd w:val="0"/>
        <w:rPr>
          <w:rFonts w:asciiTheme="minorHAnsi" w:hAnsiTheme="minorHAnsi" w:cstheme="minorHAnsi"/>
        </w:rPr>
      </w:pPr>
      <w:r w:rsidRPr="00FA1A19">
        <w:rPr>
          <w:rFonts w:asciiTheme="minorHAnsi" w:hAnsiTheme="minorHAnsi" w:cstheme="minorHAnsi"/>
        </w:rPr>
        <w:t>In this section the Board provides a brief overview of th</w:t>
      </w:r>
      <w:r w:rsidR="00015513" w:rsidRPr="00FA1A19">
        <w:rPr>
          <w:rFonts w:asciiTheme="minorHAnsi" w:hAnsiTheme="minorHAnsi" w:cstheme="minorHAnsi"/>
        </w:rPr>
        <w:t xml:space="preserve">e nature of cryptocurrency and the foreign currency exclusion. </w:t>
      </w:r>
      <w:r w:rsidR="00937E48" w:rsidRPr="00FA1A19">
        <w:rPr>
          <w:rFonts w:asciiTheme="minorHAnsi" w:hAnsiTheme="minorHAnsi" w:cstheme="minorHAnsi"/>
        </w:rPr>
        <w:t>Given th</w:t>
      </w:r>
      <w:r w:rsidR="004727AE" w:rsidRPr="00FA1A19">
        <w:rPr>
          <w:rFonts w:asciiTheme="minorHAnsi" w:hAnsiTheme="minorHAnsi" w:cstheme="minorHAnsi"/>
        </w:rPr>
        <w:t>e</w:t>
      </w:r>
      <w:r w:rsidR="00BE7D4D" w:rsidRPr="00FA1A19">
        <w:rPr>
          <w:rFonts w:asciiTheme="minorHAnsi" w:hAnsiTheme="minorHAnsi" w:cstheme="minorHAnsi"/>
        </w:rPr>
        <w:t xml:space="preserve"> </w:t>
      </w:r>
      <w:r w:rsidR="00F70323">
        <w:rPr>
          <w:rFonts w:asciiTheme="minorHAnsi" w:hAnsiTheme="minorHAnsi" w:cstheme="minorHAnsi"/>
        </w:rPr>
        <w:t>Australian</w:t>
      </w:r>
      <w:r w:rsidR="00F70323" w:rsidRPr="00FA1A19">
        <w:rPr>
          <w:rFonts w:asciiTheme="minorHAnsi" w:hAnsiTheme="minorHAnsi" w:cstheme="minorHAnsi"/>
        </w:rPr>
        <w:t xml:space="preserve"> </w:t>
      </w:r>
      <w:r w:rsidR="00BE7D4D" w:rsidRPr="00FA1A19">
        <w:rPr>
          <w:rFonts w:asciiTheme="minorHAnsi" w:hAnsiTheme="minorHAnsi" w:cstheme="minorHAnsi"/>
        </w:rPr>
        <w:t>Government</w:t>
      </w:r>
      <w:r w:rsidR="00F75232">
        <w:rPr>
          <w:rFonts w:asciiTheme="minorHAnsi" w:hAnsiTheme="minorHAnsi" w:cstheme="minorHAnsi"/>
        </w:rPr>
        <w:t>’</w:t>
      </w:r>
      <w:r w:rsidR="00BE7D4D" w:rsidRPr="00FA1A19">
        <w:rPr>
          <w:rFonts w:asciiTheme="minorHAnsi" w:hAnsiTheme="minorHAnsi" w:cstheme="minorHAnsi"/>
        </w:rPr>
        <w:t>s</w:t>
      </w:r>
      <w:r w:rsidR="004727AE" w:rsidRPr="00FA1A19">
        <w:rPr>
          <w:rFonts w:asciiTheme="minorHAnsi" w:hAnsiTheme="minorHAnsi" w:cstheme="minorHAnsi"/>
        </w:rPr>
        <w:t xml:space="preserve"> legislative amendment, </w:t>
      </w:r>
      <w:r w:rsidR="0081063E" w:rsidRPr="00FA1A19">
        <w:rPr>
          <w:rFonts w:asciiTheme="minorHAnsi" w:hAnsiTheme="minorHAnsi" w:cstheme="minorHAnsi"/>
        </w:rPr>
        <w:t xml:space="preserve">in undertaking this review </w:t>
      </w:r>
      <w:r w:rsidR="004727AE" w:rsidRPr="00FA1A19">
        <w:rPr>
          <w:rFonts w:asciiTheme="minorHAnsi" w:hAnsiTheme="minorHAnsi" w:cstheme="minorHAnsi"/>
        </w:rPr>
        <w:t xml:space="preserve">the Board </w:t>
      </w:r>
      <w:r w:rsidR="0081063E" w:rsidRPr="00FA1A19">
        <w:rPr>
          <w:rFonts w:asciiTheme="minorHAnsi" w:hAnsiTheme="minorHAnsi" w:cstheme="minorHAnsi"/>
        </w:rPr>
        <w:t>has assumed that cryptocurrency is not foreign currency</w:t>
      </w:r>
      <w:r w:rsidR="00A25DE7" w:rsidRPr="00FA1A19">
        <w:rPr>
          <w:rFonts w:asciiTheme="minorHAnsi" w:hAnsiTheme="minorHAnsi" w:cstheme="minorHAnsi"/>
        </w:rPr>
        <w:t>,</w:t>
      </w:r>
      <w:r w:rsidR="0081063E" w:rsidRPr="00FA1A19">
        <w:rPr>
          <w:rFonts w:asciiTheme="minorHAnsi" w:hAnsiTheme="minorHAnsi" w:cstheme="minorHAnsi"/>
        </w:rPr>
        <w:t xml:space="preserve"> and </w:t>
      </w:r>
      <w:r w:rsidR="004727AE" w:rsidRPr="00FA1A19">
        <w:rPr>
          <w:rFonts w:asciiTheme="minorHAnsi" w:hAnsiTheme="minorHAnsi" w:cstheme="minorHAnsi"/>
        </w:rPr>
        <w:t xml:space="preserve">has not considered the consequences </w:t>
      </w:r>
      <w:r w:rsidR="00A25DE7" w:rsidRPr="00FA1A19">
        <w:rPr>
          <w:rFonts w:asciiTheme="minorHAnsi" w:hAnsiTheme="minorHAnsi" w:cstheme="minorHAnsi"/>
        </w:rPr>
        <w:t>i</w:t>
      </w:r>
      <w:r w:rsidR="004727AE" w:rsidRPr="00FA1A19">
        <w:rPr>
          <w:rFonts w:asciiTheme="minorHAnsi" w:hAnsiTheme="minorHAnsi" w:cstheme="minorHAnsi"/>
        </w:rPr>
        <w:t xml:space="preserve">f cryptocurrency </w:t>
      </w:r>
      <w:r w:rsidR="00A25DE7" w:rsidRPr="00FA1A19">
        <w:rPr>
          <w:rFonts w:asciiTheme="minorHAnsi" w:hAnsiTheme="minorHAnsi" w:cstheme="minorHAnsi"/>
        </w:rPr>
        <w:t>i</w:t>
      </w:r>
      <w:r w:rsidR="004727AE" w:rsidRPr="00FA1A19">
        <w:rPr>
          <w:rFonts w:asciiTheme="minorHAnsi" w:hAnsiTheme="minorHAnsi" w:cstheme="minorHAnsi"/>
        </w:rPr>
        <w:t>s foreign currency</w:t>
      </w:r>
      <w:r w:rsidR="00BE7D4D" w:rsidRPr="00FA1A19">
        <w:rPr>
          <w:rFonts w:asciiTheme="minorHAnsi" w:hAnsiTheme="minorHAnsi" w:cstheme="minorHAnsi"/>
        </w:rPr>
        <w:t>.</w:t>
      </w:r>
    </w:p>
    <w:p w14:paraId="6E6963B0" w14:textId="584FFF50" w:rsidR="009A775F" w:rsidRPr="00FA1A19" w:rsidRDefault="000564B0" w:rsidP="00342121">
      <w:pPr>
        <w:pStyle w:val="Heading3"/>
      </w:pPr>
      <w:r w:rsidRPr="00FA1A19">
        <w:t xml:space="preserve">Cryptocurrency and tax law </w:t>
      </w:r>
      <w:r w:rsidR="006B4DDD" w:rsidRPr="00FA1A19">
        <w:t xml:space="preserve">relating to </w:t>
      </w:r>
      <w:r w:rsidR="00F75232">
        <w:t>‘</w:t>
      </w:r>
      <w:r w:rsidR="006B4DDD" w:rsidRPr="00FA1A19">
        <w:t xml:space="preserve">foreign </w:t>
      </w:r>
      <w:r w:rsidR="00F2540A" w:rsidRPr="00FA1A19">
        <w:t>currency</w:t>
      </w:r>
      <w:r w:rsidR="00F75232">
        <w:t>’</w:t>
      </w:r>
    </w:p>
    <w:p w14:paraId="080150C9" w14:textId="306BB8D6" w:rsidR="009A775F" w:rsidRPr="00FA1A19" w:rsidRDefault="00F657E6" w:rsidP="009A775F">
      <w:pPr>
        <w:autoSpaceDE w:val="0"/>
        <w:autoSpaceDN w:val="0"/>
        <w:adjustRightInd w:val="0"/>
      </w:pPr>
      <w:r w:rsidRPr="00110451">
        <w:t>Australia has a specific regime that deals with the taxation of foreign exchange gains and losses</w:t>
      </w:r>
      <w:r w:rsidR="00596D48">
        <w:t xml:space="preserve"> which is contained in Divis</w:t>
      </w:r>
      <w:r w:rsidR="00F771C5">
        <w:t>i</w:t>
      </w:r>
      <w:r w:rsidR="00596D48">
        <w:t>on 775 of the</w:t>
      </w:r>
      <w:r w:rsidR="00387EAF">
        <w:t xml:space="preserve"> </w:t>
      </w:r>
      <w:r w:rsidR="00387EAF">
        <w:rPr>
          <w:i/>
          <w:iCs/>
        </w:rPr>
        <w:t>Income Tax Assessment Act 1997</w:t>
      </w:r>
      <w:r w:rsidR="00596D48">
        <w:t xml:space="preserve"> </w:t>
      </w:r>
      <w:r w:rsidR="00387EAF">
        <w:t>(</w:t>
      </w:r>
      <w:r w:rsidR="00596D48">
        <w:t>ITAA</w:t>
      </w:r>
      <w:r w:rsidR="00F771C5">
        <w:t xml:space="preserve"> 19</w:t>
      </w:r>
      <w:r w:rsidR="00596D48">
        <w:t>97</w:t>
      </w:r>
      <w:r w:rsidR="00387EAF">
        <w:t>)</w:t>
      </w:r>
      <w:r w:rsidR="00596D48">
        <w:t>.</w:t>
      </w:r>
      <w:r w:rsidRPr="00170ADC">
        <w:rPr>
          <w:rStyle w:val="FootnoteReference"/>
        </w:rPr>
        <w:footnoteReference w:id="269"/>
      </w:r>
      <w:r w:rsidRPr="00110451">
        <w:t xml:space="preserve"> Under this regime, foreign realisation gains and losses are determined based on nine specified forex realisation events. </w:t>
      </w:r>
      <w:r w:rsidR="009A775F" w:rsidRPr="00FA1A19">
        <w:t xml:space="preserve">In 2014, the ATO published Taxation Determination </w:t>
      </w:r>
      <w:hyperlink r:id="rId45" w:history="1">
        <w:r w:rsidR="009A775F" w:rsidRPr="00FA1A19">
          <w:rPr>
            <w:rStyle w:val="Hyperlink"/>
          </w:rPr>
          <w:t>TD 2014/25</w:t>
        </w:r>
      </w:hyperlink>
      <w:r w:rsidR="009A775F" w:rsidRPr="00FA1A19">
        <w:t xml:space="preserve"> </w:t>
      </w:r>
      <w:r w:rsidR="009A775F" w:rsidRPr="00813896">
        <w:rPr>
          <w:rStyle w:val="Emphasis"/>
        </w:rPr>
        <w:t xml:space="preserve">Income tax: is bitcoin a </w:t>
      </w:r>
      <w:r w:rsidR="00F75232">
        <w:rPr>
          <w:rStyle w:val="Emphasis"/>
        </w:rPr>
        <w:t>‘</w:t>
      </w:r>
      <w:r w:rsidR="009A775F" w:rsidRPr="00813896">
        <w:rPr>
          <w:rStyle w:val="Emphasis"/>
        </w:rPr>
        <w:t>foreign currency</w:t>
      </w:r>
      <w:r w:rsidR="00F75232">
        <w:rPr>
          <w:rStyle w:val="Emphasis"/>
        </w:rPr>
        <w:t>’</w:t>
      </w:r>
      <w:r w:rsidR="009A775F" w:rsidRPr="00813896">
        <w:rPr>
          <w:rStyle w:val="Emphasis"/>
        </w:rPr>
        <w:t xml:space="preserve"> for the purposes of Division 775 of the income Tax Assessment Act 1997? </w:t>
      </w:r>
      <w:r w:rsidR="009A775F" w:rsidRPr="00FA1A19">
        <w:t xml:space="preserve">(TD 2014/25). At that time foreign currency was defined for tax purposes as a currency other than Australian currency. </w:t>
      </w:r>
      <w:r w:rsidR="009870B8" w:rsidRPr="00FA1A19">
        <w:t>F</w:t>
      </w:r>
      <w:r w:rsidR="009A775F" w:rsidRPr="00FA1A19">
        <w:t>or the purposes of th</w:t>
      </w:r>
      <w:r w:rsidR="000320AF" w:rsidRPr="00FA1A19">
        <w:t>is definition,</w:t>
      </w:r>
      <w:r w:rsidR="009A775F" w:rsidRPr="00FA1A19" w:rsidDel="000320AF">
        <w:t xml:space="preserve"> </w:t>
      </w:r>
      <w:r w:rsidR="009A775F" w:rsidRPr="00FA1A19">
        <w:t>the Commissioner consider</w:t>
      </w:r>
      <w:r w:rsidR="00A73859" w:rsidRPr="00FA1A19">
        <w:t>ed</w:t>
      </w:r>
      <w:r w:rsidR="009A775F" w:rsidRPr="00FA1A19">
        <w:t xml:space="preserve"> that the intended meaning </w:t>
      </w:r>
      <w:r w:rsidR="000320AF" w:rsidRPr="00FA1A19">
        <w:t xml:space="preserve">was </w:t>
      </w:r>
      <w:r w:rsidR="009A775F" w:rsidRPr="00FA1A19">
        <w:t xml:space="preserve">the same as that used in the </w:t>
      </w:r>
      <w:r w:rsidR="009A775F" w:rsidRPr="00813896">
        <w:rPr>
          <w:rStyle w:val="Emphasis"/>
        </w:rPr>
        <w:t>Currency Act 1965</w:t>
      </w:r>
      <w:r w:rsidR="009A775F" w:rsidRPr="00FA1A19">
        <w:t xml:space="preserve"> and that currency </w:t>
      </w:r>
      <w:r w:rsidR="00684C1B" w:rsidRPr="00FA1A19">
        <w:t>could</w:t>
      </w:r>
      <w:r w:rsidR="003D27C6" w:rsidRPr="00FA1A19">
        <w:t xml:space="preserve"> relevantly</w:t>
      </w:r>
      <w:r w:rsidR="00684C1B" w:rsidRPr="00FA1A19">
        <w:t xml:space="preserve"> </w:t>
      </w:r>
      <w:r w:rsidR="009A775F" w:rsidRPr="00FA1A19">
        <w:t xml:space="preserve">be divided into two types – Australian currency, and every currency that is recognised and adopted by the laws of any other sovereign State as the monetary unit and means of discharging monetary obligations and payments in the respective sovereign </w:t>
      </w:r>
      <w:r w:rsidR="00122027">
        <w:t>S</w:t>
      </w:r>
      <w:r w:rsidR="00122027" w:rsidRPr="00FA1A19">
        <w:t xml:space="preserve">tate </w:t>
      </w:r>
      <w:r w:rsidR="009A775F" w:rsidRPr="00FA1A19">
        <w:t>(that is, foreign currency).</w:t>
      </w:r>
      <w:r w:rsidR="009A775F" w:rsidRPr="00170ADC">
        <w:rPr>
          <w:rStyle w:val="FootnoteReference"/>
        </w:rPr>
        <w:footnoteReference w:id="270"/>
      </w:r>
      <w:r w:rsidR="009A775F" w:rsidRPr="00FA1A19">
        <w:t xml:space="preserve"> </w:t>
      </w:r>
    </w:p>
    <w:p w14:paraId="3584F694" w14:textId="1708491C" w:rsidR="009A775F" w:rsidRPr="00FA1A19" w:rsidRDefault="009A775F" w:rsidP="009A775F">
      <w:pPr>
        <w:autoSpaceDE w:val="0"/>
        <w:autoSpaceDN w:val="0"/>
        <w:adjustRightInd w:val="0"/>
      </w:pPr>
      <w:r w:rsidRPr="00FA1A19">
        <w:t xml:space="preserve">The ATO position was challenged when El Salvador introduced a law </w:t>
      </w:r>
      <w:r w:rsidR="003D27C6" w:rsidRPr="00FA1A19">
        <w:t xml:space="preserve">to the effect </w:t>
      </w:r>
      <w:r w:rsidRPr="00FA1A19">
        <w:t xml:space="preserve">that bitcoin would become legal tender in that country </w:t>
      </w:r>
      <w:r w:rsidR="003D27C6" w:rsidRPr="00FA1A19">
        <w:t>from</w:t>
      </w:r>
      <w:r w:rsidRPr="00FA1A19">
        <w:t xml:space="preserve"> 7 September 2021. In response, the Government passed legislation in June 2023 applicable in relation to an income year that includes 1 July 2021 and later income years to ensure that certain crypto assets, such as bitcoin, were excluded from the definition of foreign currency. </w:t>
      </w:r>
    </w:p>
    <w:p w14:paraId="48F45126" w14:textId="6FD2FD87" w:rsidR="009A775F" w:rsidRPr="00FA1A19" w:rsidRDefault="009A775F" w:rsidP="00471171">
      <w:r w:rsidRPr="00FA1A19">
        <w:t xml:space="preserve">The legislation relies on amending the existing definition of digital currency in the </w:t>
      </w:r>
      <w:r w:rsidRPr="00813896">
        <w:rPr>
          <w:rStyle w:val="Emphasis"/>
        </w:rPr>
        <w:t>A New Tax System (Goods and Services Tax) Act 1999</w:t>
      </w:r>
      <w:r w:rsidRPr="00FA1A19">
        <w:t xml:space="preserve"> (GST Act) before adopting it as an exclusion from the definition of foreign currency in ITAA 1997. As a result, crypto assets (including cryptocurrencies such as bitcoin) that meet the </w:t>
      </w:r>
      <w:r w:rsidR="00760394" w:rsidRPr="00FA1A19">
        <w:t xml:space="preserve">digital currency </w:t>
      </w:r>
      <w:r w:rsidRPr="00FA1A19">
        <w:t xml:space="preserve">definition will not be treated as foreign </w:t>
      </w:r>
      <w:r w:rsidRPr="00471171">
        <w:t>currency</w:t>
      </w:r>
      <w:r w:rsidR="00760394" w:rsidRPr="00FA1A19">
        <w:t xml:space="preserve">. The Board has provided further consideration of this definition in </w:t>
      </w:r>
      <w:r w:rsidR="00372633">
        <w:t>Chapter </w:t>
      </w:r>
      <w:r w:rsidR="00FA4DE5" w:rsidRPr="00FA1A19">
        <w:t xml:space="preserve">10 </w:t>
      </w:r>
      <w:r w:rsidR="00760394" w:rsidRPr="00FA1A19">
        <w:t xml:space="preserve">of the Report as part of its analysis of </w:t>
      </w:r>
      <w:r w:rsidR="003C18B3" w:rsidRPr="00FA1A19">
        <w:t>indirect tax issues.</w:t>
      </w:r>
      <w:r w:rsidR="004F0A51" w:rsidRPr="00FA1A19">
        <w:t xml:space="preserve"> </w:t>
      </w:r>
    </w:p>
    <w:p w14:paraId="5FBF34FD" w14:textId="77777777" w:rsidR="009A775F" w:rsidRPr="00FA1A19" w:rsidRDefault="009A775F" w:rsidP="00342121">
      <w:pPr>
        <w:pStyle w:val="Heading3"/>
      </w:pPr>
      <w:r w:rsidRPr="00FA1A19">
        <w:t>Submissions received</w:t>
      </w:r>
    </w:p>
    <w:p w14:paraId="4560B826" w14:textId="7899BE9C" w:rsidR="009A775F" w:rsidRPr="00FA1A19" w:rsidRDefault="009A775F" w:rsidP="009A775F">
      <w:pPr>
        <w:autoSpaceDE w:val="0"/>
        <w:autoSpaceDN w:val="0"/>
        <w:adjustRightInd w:val="0"/>
      </w:pPr>
      <w:r w:rsidRPr="00FA1A19">
        <w:t>T</w:t>
      </w:r>
      <w:r w:rsidR="002B40EB">
        <w:t>he T</w:t>
      </w:r>
      <w:r w:rsidRPr="00FA1A19">
        <w:t>reasury consultation in relation to the amendments to ensure that cryptocurrencies were not included as foreign currency occurred at the same time as the Board</w:t>
      </w:r>
      <w:r w:rsidR="00F75232">
        <w:t>’</w:t>
      </w:r>
      <w:r w:rsidRPr="00FA1A19">
        <w:t xml:space="preserve">s consultation in relation to this Review. Accordingly, a number of stakeholders provided feedback to the Board in relation to the proposed amendment. </w:t>
      </w:r>
    </w:p>
    <w:p w14:paraId="5437CC25" w14:textId="79DCACD2" w:rsidR="003C18B3" w:rsidRPr="00FA1A19" w:rsidRDefault="003C18B3" w:rsidP="009A775F">
      <w:pPr>
        <w:autoSpaceDE w:val="0"/>
        <w:autoSpaceDN w:val="0"/>
        <w:adjustRightInd w:val="0"/>
      </w:pPr>
      <w:r w:rsidRPr="00FA1A19">
        <w:t>The feedback received by the Board included</w:t>
      </w:r>
      <w:r w:rsidR="003F2F56" w:rsidRPr="00FA1A19">
        <w:t>:</w:t>
      </w:r>
    </w:p>
    <w:p w14:paraId="75A9CCF6" w14:textId="097FD2F7" w:rsidR="0088656B" w:rsidRPr="00FA1A19" w:rsidRDefault="0088656B" w:rsidP="00471171">
      <w:pPr>
        <w:pStyle w:val="Bullet"/>
      </w:pPr>
      <w:r w:rsidRPr="00FA1A19">
        <w:t>concerns about the potential retrospectivity of the amendment</w:t>
      </w:r>
      <w:r w:rsidR="008E403C" w:rsidRPr="00FA1A19">
        <w:t>s</w:t>
      </w:r>
      <w:r w:rsidR="00B31860" w:rsidRPr="00170ADC">
        <w:rPr>
          <w:rStyle w:val="FootnoteReference"/>
        </w:rPr>
        <w:t xml:space="preserve"> </w:t>
      </w:r>
      <w:r w:rsidR="00B31860" w:rsidRPr="00170ADC">
        <w:rPr>
          <w:rStyle w:val="FootnoteReference"/>
        </w:rPr>
        <w:footnoteReference w:id="271"/>
      </w:r>
    </w:p>
    <w:p w14:paraId="2A856A17" w14:textId="180AC3D7" w:rsidR="009A775F" w:rsidRPr="00FA1A19" w:rsidRDefault="003F2F56" w:rsidP="00471171">
      <w:pPr>
        <w:pStyle w:val="Bullet"/>
      </w:pPr>
      <w:r w:rsidRPr="00FA1A19">
        <w:t xml:space="preserve">concerns about the </w:t>
      </w:r>
      <w:r w:rsidR="00CB2DE4" w:rsidRPr="00FA1A19">
        <w:t>stated</w:t>
      </w:r>
      <w:r w:rsidR="009A775F" w:rsidRPr="00FA1A19">
        <w:t xml:space="preserve"> purpose for the amendment</w:t>
      </w:r>
      <w:r w:rsidR="00CB2DE4" w:rsidRPr="00170ADC">
        <w:rPr>
          <w:rStyle w:val="FootnoteReference"/>
        </w:rPr>
        <w:footnoteReference w:id="272"/>
      </w:r>
    </w:p>
    <w:p w14:paraId="4FE32D05" w14:textId="19544209" w:rsidR="009A775F" w:rsidRPr="00FA1A19" w:rsidRDefault="00CB2DE4" w:rsidP="00471171">
      <w:pPr>
        <w:pStyle w:val="Bullet"/>
        <w:rPr>
          <w:rFonts w:asciiTheme="minorHAnsi" w:hAnsiTheme="minorHAnsi" w:cstheme="minorHAnsi"/>
        </w:rPr>
      </w:pPr>
      <w:r w:rsidRPr="00FA1A19">
        <w:t>whether</w:t>
      </w:r>
      <w:r w:rsidRPr="00FA1A19">
        <w:rPr>
          <w:rFonts w:asciiTheme="minorHAnsi" w:hAnsiTheme="minorHAnsi" w:cstheme="minorBidi"/>
        </w:rPr>
        <w:t xml:space="preserve"> it may be more appropriate to </w:t>
      </w:r>
      <w:r w:rsidR="009A775F" w:rsidRPr="00FA1A19">
        <w:rPr>
          <w:rFonts w:asciiTheme="minorHAnsi" w:hAnsiTheme="minorHAnsi" w:cstheme="minorBidi"/>
        </w:rPr>
        <w:t>tax crypto assets under the forex or TOFA regimes</w:t>
      </w:r>
      <w:r w:rsidRPr="00170ADC">
        <w:rPr>
          <w:rStyle w:val="FootnoteReference"/>
        </w:rPr>
        <w:footnoteReference w:id="273"/>
      </w:r>
    </w:p>
    <w:p w14:paraId="7D6337EB" w14:textId="4F9D82CF" w:rsidR="0088656B" w:rsidRPr="00FA1A19" w:rsidRDefault="00CB2DE4" w:rsidP="00471171">
      <w:pPr>
        <w:pStyle w:val="Bullet"/>
      </w:pPr>
      <w:r w:rsidRPr="00FA1A19">
        <w:t>limitations on</w:t>
      </w:r>
      <w:r w:rsidR="009A775F" w:rsidRPr="00FA1A19" w:rsidDel="00CB2DE4">
        <w:t xml:space="preserve"> </w:t>
      </w:r>
      <w:r w:rsidR="009A775F" w:rsidRPr="00FA1A19">
        <w:t>the ability for a regulation to be prescribed to include a particular crypto asset as foreign currency</w:t>
      </w:r>
      <w:r w:rsidR="002470AB" w:rsidRPr="00170ADC">
        <w:rPr>
          <w:rStyle w:val="FootnoteReference"/>
        </w:rPr>
        <w:footnoteReference w:id="274"/>
      </w:r>
      <w:r w:rsidR="009A775F" w:rsidRPr="00FA1A19">
        <w:t xml:space="preserve"> </w:t>
      </w:r>
    </w:p>
    <w:p w14:paraId="0693D9D0" w14:textId="22C0EF0F" w:rsidR="009A775F" w:rsidRPr="00FA1A19" w:rsidRDefault="007B6E95" w:rsidP="00471171">
      <w:pPr>
        <w:pStyle w:val="Bullet"/>
        <w:rPr>
          <w:i/>
          <w:iCs/>
        </w:rPr>
      </w:pPr>
      <w:r w:rsidRPr="00FA1A19">
        <w:t xml:space="preserve">whether the new legislation is going in the right direction noting </w:t>
      </w:r>
      <w:r w:rsidR="0006333E" w:rsidRPr="00FA1A19">
        <w:t>t</w:t>
      </w:r>
      <w:r w:rsidR="009A775F" w:rsidRPr="00FA1A19">
        <w:t xml:space="preserve">he GST legislation, the </w:t>
      </w:r>
      <w:r w:rsidR="00B9632D" w:rsidRPr="00813896">
        <w:rPr>
          <w:rStyle w:val="Emphasis"/>
        </w:rPr>
        <w:t>Anti</w:t>
      </w:r>
      <w:r w:rsidR="00F75232">
        <w:rPr>
          <w:rStyle w:val="Emphasis"/>
        </w:rPr>
        <w:noBreakHyphen/>
      </w:r>
      <w:r w:rsidR="00B9632D" w:rsidRPr="00813896">
        <w:rPr>
          <w:rStyle w:val="Emphasis"/>
        </w:rPr>
        <w:t>Money Laundering and Counter</w:t>
      </w:r>
      <w:r w:rsidR="00F75232">
        <w:rPr>
          <w:rStyle w:val="Emphasis"/>
        </w:rPr>
        <w:noBreakHyphen/>
      </w:r>
      <w:r w:rsidR="00B9632D" w:rsidRPr="00813896">
        <w:rPr>
          <w:rStyle w:val="Emphasis"/>
        </w:rPr>
        <w:t>Terrorism Financing Act 2006</w:t>
      </w:r>
      <w:r w:rsidR="00B9632D" w:rsidRPr="00FA1A19">
        <w:t xml:space="preserve"> </w:t>
      </w:r>
      <w:r w:rsidRPr="00FA1A19">
        <w:t>(</w:t>
      </w:r>
      <w:r w:rsidR="009A775F" w:rsidRPr="00FA1A19">
        <w:t>AMLCTFA</w:t>
      </w:r>
      <w:r w:rsidRPr="00FA1A19">
        <w:t>)</w:t>
      </w:r>
      <w:r w:rsidR="009A775F" w:rsidRPr="00FA1A19">
        <w:t xml:space="preserve"> and the </w:t>
      </w:r>
      <w:r w:rsidR="003E1910">
        <w:t>RBA</w:t>
      </w:r>
      <w:r w:rsidR="009A775F" w:rsidRPr="00FA1A19">
        <w:t xml:space="preserve"> see digital currencies as currencies</w:t>
      </w:r>
      <w:r w:rsidR="009A775F" w:rsidRPr="00FA1A19">
        <w:rPr>
          <w:i/>
          <w:iCs/>
        </w:rPr>
        <w:t>.</w:t>
      </w:r>
      <w:r w:rsidR="009A775F" w:rsidRPr="00170ADC">
        <w:rPr>
          <w:rStyle w:val="FootnoteReference"/>
        </w:rPr>
        <w:footnoteReference w:id="275"/>
      </w:r>
    </w:p>
    <w:p w14:paraId="5C5C645F" w14:textId="4EB612BF" w:rsidR="009A775F" w:rsidRPr="00FA1A19" w:rsidRDefault="009A775F" w:rsidP="00342121">
      <w:pPr>
        <w:pStyle w:val="Heading3"/>
      </w:pPr>
      <w:r w:rsidRPr="00FA1A19">
        <w:t>Board</w:t>
      </w:r>
      <w:r w:rsidR="00F75232">
        <w:t>’</w:t>
      </w:r>
      <w:r w:rsidRPr="00FA1A19">
        <w:t>s Conclusion</w:t>
      </w:r>
    </w:p>
    <w:p w14:paraId="5F8387A5" w14:textId="77777777" w:rsidR="009A775F" w:rsidRPr="00FA1A19" w:rsidRDefault="009A775F" w:rsidP="00393CD7">
      <w:pPr>
        <w:pStyle w:val="SingleParagraph"/>
        <w:keepNext/>
      </w:pPr>
    </w:p>
    <w:tbl>
      <w:tblPr>
        <w:tblStyle w:val="BoTObservation"/>
        <w:tblW w:w="5000" w:type="pct"/>
        <w:tblLook w:val="0420" w:firstRow="1" w:lastRow="0" w:firstColumn="0" w:lastColumn="0" w:noHBand="0" w:noVBand="1"/>
      </w:tblPr>
      <w:tblGrid>
        <w:gridCol w:w="9641"/>
      </w:tblGrid>
      <w:tr w:rsidR="009A775F" w:rsidRPr="00FA1A19" w14:paraId="62393AC9" w14:textId="77777777" w:rsidTr="00393CD7">
        <w:trPr>
          <w:cnfStyle w:val="100000000000" w:firstRow="1" w:lastRow="0" w:firstColumn="0" w:lastColumn="0" w:oddVBand="0" w:evenVBand="0" w:oddHBand="0" w:evenHBand="0" w:firstRowFirstColumn="0" w:firstRowLastColumn="0" w:lastRowFirstColumn="0" w:lastRowLastColumn="0"/>
        </w:trPr>
        <w:tc>
          <w:tcPr>
            <w:tcW w:w="5000" w:type="pct"/>
          </w:tcPr>
          <w:p w14:paraId="53F7BDCD" w14:textId="2BCD88F7" w:rsidR="009A775F" w:rsidRPr="00FA1A19" w:rsidRDefault="00372633" w:rsidP="00471171">
            <w:pPr>
              <w:pStyle w:val="BoxHeading1"/>
              <w:rPr>
                <w:rFonts w:cstheme="minorHAnsi"/>
                <w:b/>
              </w:rPr>
            </w:pPr>
            <w:r>
              <w:t>Observation </w:t>
            </w:r>
            <w:r w:rsidR="00820D70" w:rsidRPr="00FA1A19">
              <w:t>4</w:t>
            </w:r>
            <w:r w:rsidR="009A775F" w:rsidRPr="00FA1A19">
              <w:t>.2</w:t>
            </w:r>
          </w:p>
        </w:tc>
      </w:tr>
      <w:tr w:rsidR="009A775F" w:rsidRPr="00FA1A19" w14:paraId="02514975" w14:textId="77777777" w:rsidTr="00393CD7">
        <w:trPr>
          <w:cnfStyle w:val="000000100000" w:firstRow="0" w:lastRow="0" w:firstColumn="0" w:lastColumn="0" w:oddVBand="0" w:evenVBand="0" w:oddHBand="1" w:evenHBand="0" w:firstRowFirstColumn="0" w:firstRowLastColumn="0" w:lastRowFirstColumn="0" w:lastRowLastColumn="0"/>
        </w:trPr>
        <w:tc>
          <w:tcPr>
            <w:tcW w:w="5000" w:type="pct"/>
          </w:tcPr>
          <w:p w14:paraId="48911EA4" w14:textId="35C1A039" w:rsidR="009A775F" w:rsidRPr="00FA1A19" w:rsidRDefault="009A775F" w:rsidP="00471171">
            <w:pPr>
              <w:pStyle w:val="BoxText"/>
            </w:pPr>
            <w:r w:rsidRPr="00FA1A19">
              <w:t xml:space="preserve">The Government decision to legislate that cryptocurrencies such as </w:t>
            </w:r>
            <w:r w:rsidR="000E116B">
              <w:t>b</w:t>
            </w:r>
            <w:r w:rsidR="000E116B" w:rsidRPr="00FA1A19">
              <w:t xml:space="preserve">itcoin </w:t>
            </w:r>
            <w:r w:rsidRPr="00FA1A19">
              <w:t xml:space="preserve">are </w:t>
            </w:r>
            <w:r w:rsidRPr="000E116B">
              <w:rPr>
                <w:b/>
              </w:rPr>
              <w:t>not</w:t>
            </w:r>
            <w:r w:rsidRPr="00FA1A19">
              <w:t xml:space="preserve"> foreign currency for tax purposes provides certainty and clarity to taxpayers and is consistent with </w:t>
            </w:r>
            <w:r w:rsidR="001F0D11" w:rsidRPr="00FA1A19">
              <w:t xml:space="preserve">most </w:t>
            </w:r>
            <w:r w:rsidR="00B93EB5" w:rsidRPr="00FA1A19">
              <w:t xml:space="preserve">international </w:t>
            </w:r>
            <w:r w:rsidRPr="00FA1A19">
              <w:t>treatment</w:t>
            </w:r>
            <w:r w:rsidR="00703917" w:rsidRPr="00FA1A19">
              <w:t xml:space="preserve"> (see </w:t>
            </w:r>
            <w:r w:rsidR="00372633">
              <w:t>Chapter </w:t>
            </w:r>
            <w:r w:rsidR="00703917" w:rsidRPr="00FA1A19">
              <w:t>12)</w:t>
            </w:r>
            <w:r w:rsidRPr="00FA1A19">
              <w:t>.</w:t>
            </w:r>
          </w:p>
        </w:tc>
      </w:tr>
    </w:tbl>
    <w:p w14:paraId="2E820BF8" w14:textId="0F518848" w:rsidR="00375036" w:rsidRPr="00FA1A19" w:rsidRDefault="00BF4C27" w:rsidP="0069352C">
      <w:pPr>
        <w:pStyle w:val="Heading2"/>
      </w:pPr>
      <w:bookmarkStart w:id="63" w:name="_Toc159513587"/>
      <w:r>
        <w:t>Potential risks and concerns</w:t>
      </w:r>
      <w:bookmarkEnd w:id="63"/>
    </w:p>
    <w:p w14:paraId="1CDF40F5" w14:textId="1B3BF0D7" w:rsidR="00375036" w:rsidRPr="00FA1A19" w:rsidRDefault="00375036" w:rsidP="00375036">
      <w:r w:rsidRPr="00FA1A19">
        <w:t>The crypto ecosystem is not without its detractors</w:t>
      </w:r>
      <w:r w:rsidR="00571B1D" w:rsidRPr="00FA1A19">
        <w:t xml:space="preserve">, and </w:t>
      </w:r>
      <w:r w:rsidR="00A96DB6" w:rsidRPr="00FA1A19">
        <w:t xml:space="preserve">a number of </w:t>
      </w:r>
      <w:r w:rsidR="00EF1B94">
        <w:t xml:space="preserve">potential </w:t>
      </w:r>
      <w:r w:rsidR="00A96DB6" w:rsidRPr="00FA1A19">
        <w:t>risks and</w:t>
      </w:r>
      <w:r w:rsidR="00F12425" w:rsidRPr="00FA1A19">
        <w:t xml:space="preserve"> </w:t>
      </w:r>
      <w:r w:rsidR="00A96DB6" w:rsidRPr="00FA1A19">
        <w:t>concerns have been raised</w:t>
      </w:r>
      <w:r w:rsidR="00F84FE0" w:rsidRPr="00FA1A19">
        <w:t xml:space="preserve"> in relation to digital assets</w:t>
      </w:r>
      <w:r w:rsidR="002E6E77" w:rsidRPr="00FA1A19">
        <w:t xml:space="preserve">, including by </w:t>
      </w:r>
      <w:r w:rsidR="005349A2" w:rsidRPr="00FA1A19">
        <w:t xml:space="preserve">Australian and overseas </w:t>
      </w:r>
      <w:r w:rsidR="002E6E77" w:rsidRPr="00FA1A19">
        <w:t>government</w:t>
      </w:r>
      <w:r w:rsidR="00F75232">
        <w:noBreakHyphen/>
      </w:r>
      <w:r w:rsidR="00A27618" w:rsidRPr="00FA1A19">
        <w:t>related</w:t>
      </w:r>
      <w:r w:rsidR="002E6E77" w:rsidRPr="00FA1A19">
        <w:t xml:space="preserve"> </w:t>
      </w:r>
      <w:r w:rsidR="005A27D6" w:rsidRPr="00FA1A19">
        <w:t>bodies</w:t>
      </w:r>
      <w:r w:rsidR="002E6E77" w:rsidRPr="00FA1A19">
        <w:t>.</w:t>
      </w:r>
      <w:r w:rsidR="002E6E77" w:rsidRPr="00170ADC">
        <w:rPr>
          <w:rStyle w:val="FootnoteReference"/>
        </w:rPr>
        <w:footnoteReference w:id="276"/>
      </w:r>
      <w:r w:rsidR="004F0A51" w:rsidRPr="00FA1A19">
        <w:t xml:space="preserve"> </w:t>
      </w:r>
      <w:r w:rsidR="001E23CC" w:rsidRPr="00FA1A19">
        <w:t xml:space="preserve">These </w:t>
      </w:r>
      <w:r w:rsidR="005349A2" w:rsidRPr="00FA1A19">
        <w:t xml:space="preserve">risks </w:t>
      </w:r>
      <w:r w:rsidR="001E23CC" w:rsidRPr="00FA1A19">
        <w:t xml:space="preserve">can be </w:t>
      </w:r>
      <w:r w:rsidR="00FA4D55" w:rsidRPr="00FA1A19">
        <w:t>divided into three types:</w:t>
      </w:r>
    </w:p>
    <w:p w14:paraId="433916BF" w14:textId="40FBC912" w:rsidR="00FA4D55" w:rsidRPr="00FA1A19" w:rsidRDefault="00FA4D55" w:rsidP="000024F1">
      <w:pPr>
        <w:pStyle w:val="Bullet"/>
        <w:keepNext/>
      </w:pPr>
      <w:r w:rsidRPr="00FA1A19">
        <w:t>environmental</w:t>
      </w:r>
    </w:p>
    <w:p w14:paraId="4A609BF3" w14:textId="5B583156" w:rsidR="00BB02BE" w:rsidRDefault="006E2D44">
      <w:pPr>
        <w:pStyle w:val="Bullet"/>
      </w:pPr>
      <w:r w:rsidRPr="00FA1A19">
        <w:t xml:space="preserve">criminal </w:t>
      </w:r>
      <w:r w:rsidR="008331C1" w:rsidRPr="00FA1A19">
        <w:t>activity</w:t>
      </w:r>
    </w:p>
    <w:p w14:paraId="74B3D8C8" w14:textId="2926A3A4" w:rsidR="00FA4D55" w:rsidRPr="00FA1A19" w:rsidRDefault="00FA4D55">
      <w:pPr>
        <w:pStyle w:val="Bullet"/>
      </w:pPr>
      <w:r w:rsidRPr="00FA1A19">
        <w:t xml:space="preserve">financial </w:t>
      </w:r>
      <w:r w:rsidR="00DB2660" w:rsidRPr="00FA1A19">
        <w:t>risks</w:t>
      </w:r>
      <w:r w:rsidR="00E17DC5" w:rsidRPr="00FA1A19">
        <w:t>.</w:t>
      </w:r>
    </w:p>
    <w:p w14:paraId="51616CCC" w14:textId="55B133EC" w:rsidR="00610EDE" w:rsidRPr="00BE4945" w:rsidRDefault="0011333B" w:rsidP="0086792B">
      <w:pPr>
        <w:rPr>
          <w:spacing w:val="-2"/>
        </w:rPr>
      </w:pPr>
      <w:r w:rsidRPr="00BE4945">
        <w:rPr>
          <w:spacing w:val="-2"/>
        </w:rPr>
        <w:t xml:space="preserve">In the following paragraphs, the Board </w:t>
      </w:r>
      <w:r w:rsidR="00F84FE0" w:rsidRPr="00BE4945">
        <w:rPr>
          <w:spacing w:val="-2"/>
        </w:rPr>
        <w:t xml:space="preserve">outlines what has been contended about </w:t>
      </w:r>
      <w:r w:rsidRPr="00BE4945">
        <w:rPr>
          <w:spacing w:val="-2"/>
        </w:rPr>
        <w:t>these risks</w:t>
      </w:r>
      <w:r w:rsidR="0139BF72" w:rsidRPr="00BE4945">
        <w:rPr>
          <w:spacing w:val="-2"/>
        </w:rPr>
        <w:t xml:space="preserve"> during our review</w:t>
      </w:r>
      <w:r w:rsidRPr="00BE4945">
        <w:rPr>
          <w:spacing w:val="-2"/>
        </w:rPr>
        <w:t>.</w:t>
      </w:r>
      <w:r w:rsidR="004F0A51" w:rsidRPr="00BE4945">
        <w:rPr>
          <w:spacing w:val="-2"/>
        </w:rPr>
        <w:t xml:space="preserve"> </w:t>
      </w:r>
    </w:p>
    <w:p w14:paraId="4A37A164" w14:textId="57B4D48B" w:rsidR="0086792B" w:rsidRPr="00FA1A19" w:rsidRDefault="00B848E2" w:rsidP="0086792B">
      <w:r w:rsidRPr="00FA1A19">
        <w:t>Th</w:t>
      </w:r>
      <w:r w:rsidR="00E73354" w:rsidRPr="00FA1A19">
        <w:t xml:space="preserve">e Board notes </w:t>
      </w:r>
      <w:r w:rsidR="008C0392" w:rsidRPr="00FA1A19">
        <w:t xml:space="preserve">upfront </w:t>
      </w:r>
      <w:r w:rsidR="00E73354" w:rsidRPr="00FA1A19">
        <w:t xml:space="preserve">that </w:t>
      </w:r>
      <w:r w:rsidR="0086792B" w:rsidRPr="00FA1A19">
        <w:t>there are differing views in relation to the</w:t>
      </w:r>
      <w:r w:rsidR="00610EDE" w:rsidRPr="00FA1A19">
        <w:t xml:space="preserve"> seriousness of these</w:t>
      </w:r>
      <w:r w:rsidR="00137A78" w:rsidRPr="00FA1A19">
        <w:t xml:space="preserve"> risks.</w:t>
      </w:r>
      <w:r w:rsidR="004F0A51" w:rsidRPr="00FA1A19">
        <w:t xml:space="preserve"> </w:t>
      </w:r>
      <w:r w:rsidR="005E2F65" w:rsidRPr="00FA1A19">
        <w:t>This Report does not provide a</w:t>
      </w:r>
      <w:r w:rsidR="0086792B" w:rsidRPr="00FA1A19">
        <w:t xml:space="preserve"> detailed </w:t>
      </w:r>
      <w:r w:rsidR="005E2F65" w:rsidRPr="00FA1A19">
        <w:t>analysis</w:t>
      </w:r>
      <w:r w:rsidR="0086792B" w:rsidRPr="00FA1A19">
        <w:t xml:space="preserve"> of these risks, </w:t>
      </w:r>
      <w:r w:rsidR="005E2F65" w:rsidRPr="00FA1A19">
        <w:t>o</w:t>
      </w:r>
      <w:r w:rsidR="009857D1" w:rsidRPr="00FA1A19">
        <w:t>r</w:t>
      </w:r>
      <w:r w:rsidR="005E2F65" w:rsidRPr="00FA1A19">
        <w:t xml:space="preserve"> the</w:t>
      </w:r>
      <w:r w:rsidR="0086792B" w:rsidRPr="00FA1A19">
        <w:t xml:space="preserve"> </w:t>
      </w:r>
      <w:r w:rsidR="001E445E" w:rsidRPr="00FA1A19">
        <w:t>counter</w:t>
      </w:r>
      <w:r w:rsidR="0086792B" w:rsidRPr="00FA1A19">
        <w:t xml:space="preserve"> </w:t>
      </w:r>
      <w:r w:rsidR="001E445E" w:rsidRPr="00FA1A19">
        <w:t>arguments</w:t>
      </w:r>
      <w:r w:rsidR="009857D1" w:rsidRPr="00FA1A19">
        <w:t xml:space="preserve"> to them</w:t>
      </w:r>
      <w:r w:rsidR="004D5257" w:rsidRPr="00FA1A19">
        <w:t>.</w:t>
      </w:r>
      <w:r w:rsidR="004F0A51" w:rsidRPr="00FA1A19">
        <w:t xml:space="preserve"> </w:t>
      </w:r>
      <w:r w:rsidR="004D5257" w:rsidRPr="00FA1A19">
        <w:t>It</w:t>
      </w:r>
      <w:r w:rsidR="0061222A" w:rsidRPr="00FA1A19">
        <w:t xml:space="preserve"> </w:t>
      </w:r>
      <w:r w:rsidR="00AA4E87" w:rsidRPr="00FA1A19">
        <w:t xml:space="preserve">is not the purpose of this Report to undertake an assessment of the costs and benefits of </w:t>
      </w:r>
      <w:r w:rsidR="00FA461B" w:rsidRPr="00FA1A19">
        <w:t>t</w:t>
      </w:r>
      <w:r w:rsidR="00AA4E87" w:rsidRPr="00FA1A19">
        <w:t>he crypto ecosystem</w:t>
      </w:r>
      <w:r w:rsidR="0086792B" w:rsidRPr="00FA1A19">
        <w:t>.</w:t>
      </w:r>
    </w:p>
    <w:p w14:paraId="32313723" w14:textId="025A3FE1" w:rsidR="00D440F0" w:rsidRPr="00FA1A19" w:rsidRDefault="0061222A" w:rsidP="0086792B">
      <w:r w:rsidRPr="00FA1A19">
        <w:t>However, the Board consider</w:t>
      </w:r>
      <w:r w:rsidR="0029585A" w:rsidRPr="00FA1A19">
        <w:t>s</w:t>
      </w:r>
      <w:r w:rsidRPr="00FA1A19">
        <w:t xml:space="preserve"> that </w:t>
      </w:r>
      <w:r w:rsidR="00FA461B" w:rsidRPr="00FA1A19">
        <w:t xml:space="preserve">it is relevant to identify </w:t>
      </w:r>
      <w:r w:rsidR="70F8FC05" w:rsidRPr="00FA1A19">
        <w:t xml:space="preserve">and document </w:t>
      </w:r>
      <w:r w:rsidR="00FA461B" w:rsidRPr="00FA1A19">
        <w:t xml:space="preserve">these </w:t>
      </w:r>
      <w:r w:rsidR="00360CDB" w:rsidRPr="00FA1A19">
        <w:t>risks</w:t>
      </w:r>
      <w:r w:rsidR="0029585A" w:rsidRPr="00FA1A19">
        <w:t xml:space="preserve"> because they were the subject of some discussion in consultations.</w:t>
      </w:r>
      <w:r w:rsidR="004F0A51" w:rsidRPr="00FA1A19">
        <w:t xml:space="preserve"> </w:t>
      </w:r>
      <w:r w:rsidR="0029585A" w:rsidRPr="00FA1A19">
        <w:t xml:space="preserve">Further, the </w:t>
      </w:r>
      <w:r w:rsidR="00FA461B" w:rsidRPr="00FA1A19">
        <w:t xml:space="preserve">Board considers that these risks are specifically relevant to </w:t>
      </w:r>
      <w:r w:rsidR="00EC2B53" w:rsidRPr="00FA1A19">
        <w:t>the following matters in this Report</w:t>
      </w:r>
      <w:r w:rsidR="00FA461B" w:rsidRPr="00FA1A19">
        <w:t>:</w:t>
      </w:r>
    </w:p>
    <w:p w14:paraId="0DF6F95B" w14:textId="6F3CF654" w:rsidR="0086792B" w:rsidRPr="00FA1A19" w:rsidRDefault="00906FF0" w:rsidP="006F0112">
      <w:pPr>
        <w:pStyle w:val="Bullet"/>
      </w:pPr>
      <w:r>
        <w:t>T</w:t>
      </w:r>
      <w:r w:rsidR="0086792B" w:rsidRPr="00FA1A19">
        <w:t xml:space="preserve">he Board has indicated </w:t>
      </w:r>
      <w:r w:rsidR="005971E1" w:rsidRPr="00FA1A19">
        <w:t>at various times in</w:t>
      </w:r>
      <w:r w:rsidR="0086792B" w:rsidRPr="00FA1A19">
        <w:t xml:space="preserve"> </w:t>
      </w:r>
      <w:r w:rsidR="005971E1" w:rsidRPr="00FA1A19">
        <w:t>this Report</w:t>
      </w:r>
      <w:r w:rsidR="0086792B" w:rsidRPr="00FA1A19">
        <w:t xml:space="preserve"> that some taxation issues are matters of policy for the </w:t>
      </w:r>
      <w:r w:rsidR="00C70B48">
        <w:t>G</w:t>
      </w:r>
      <w:r w:rsidR="00C70B48" w:rsidRPr="00FA1A19">
        <w:t>overnment</w:t>
      </w:r>
      <w:r w:rsidR="00985A40" w:rsidRPr="00FA1A19">
        <w:t>.</w:t>
      </w:r>
      <w:r w:rsidR="004F0A51" w:rsidRPr="00FA1A19">
        <w:t xml:space="preserve"> </w:t>
      </w:r>
      <w:r w:rsidR="00985A40" w:rsidRPr="00FA1A19">
        <w:t xml:space="preserve">Any policy considerations may need to take into account broader risks such as those </w:t>
      </w:r>
      <w:r w:rsidR="77738EAB" w:rsidRPr="00FA1A19">
        <w:t xml:space="preserve">that have been </w:t>
      </w:r>
      <w:r w:rsidR="00985A40" w:rsidRPr="00FA1A19">
        <w:t>identified</w:t>
      </w:r>
      <w:r w:rsidR="6B208D18" w:rsidRPr="00FA1A19">
        <w:t xml:space="preserve"> as part of </w:t>
      </w:r>
      <w:r w:rsidR="53109240" w:rsidRPr="00FA1A19">
        <w:t xml:space="preserve">this review and </w:t>
      </w:r>
      <w:r w:rsidR="6B208D18" w:rsidRPr="00FA1A19">
        <w:t xml:space="preserve">other Australian </w:t>
      </w:r>
      <w:r w:rsidR="00775E6B">
        <w:t>g</w:t>
      </w:r>
      <w:r w:rsidR="00C70B48" w:rsidRPr="00FA1A19">
        <w:t xml:space="preserve">overnmental </w:t>
      </w:r>
      <w:r w:rsidR="5EC2DB78" w:rsidRPr="00FA1A19">
        <w:t xml:space="preserve">reviews that are in progress or have been </w:t>
      </w:r>
      <w:r w:rsidR="3B9898EF" w:rsidRPr="00FA1A19">
        <w:t>completed</w:t>
      </w:r>
      <w:r w:rsidR="5EC2DB78" w:rsidRPr="00FA1A19">
        <w:t>.</w:t>
      </w:r>
    </w:p>
    <w:p w14:paraId="56C8C850" w14:textId="6D518F1F" w:rsidR="0086792B" w:rsidRPr="00FA1A19" w:rsidRDefault="00906FF0" w:rsidP="00393CD7">
      <w:pPr>
        <w:pStyle w:val="Bullet"/>
        <w:keepLines w:val="0"/>
      </w:pPr>
      <w:r>
        <w:t>I</w:t>
      </w:r>
      <w:r w:rsidR="0086792B" w:rsidRPr="00FA1A19">
        <w:t xml:space="preserve">n the next </w:t>
      </w:r>
      <w:r w:rsidR="00372633">
        <w:t>Chapter </w:t>
      </w:r>
      <w:r w:rsidR="0086792B" w:rsidRPr="00FA1A19">
        <w:t xml:space="preserve">5 of this </w:t>
      </w:r>
      <w:r w:rsidR="00447147">
        <w:t>R</w:t>
      </w:r>
      <w:r w:rsidR="0086792B" w:rsidRPr="00FA1A19">
        <w:t xml:space="preserve">eport, the Board </w:t>
      </w:r>
      <w:r w:rsidR="008E03B6" w:rsidRPr="00FA1A19">
        <w:t xml:space="preserve">sets out </w:t>
      </w:r>
      <w:r w:rsidR="0086792B" w:rsidRPr="00FA1A19">
        <w:t xml:space="preserve">a Principles Framework </w:t>
      </w:r>
      <w:r w:rsidR="008E03B6" w:rsidRPr="00FA1A19">
        <w:t>that it has developed for</w:t>
      </w:r>
      <w:r w:rsidR="0086792B" w:rsidRPr="00FA1A19">
        <w:t xml:space="preserve"> considering the appropriate taxation framework to apply to crypto assets and transactions</w:t>
      </w:r>
      <w:r w:rsidR="00BB2712" w:rsidRPr="00FA1A19">
        <w:t>. Some of the principles developed includ</w:t>
      </w:r>
      <w:r w:rsidR="000A389E" w:rsidRPr="00FA1A19">
        <w:t>e</w:t>
      </w:r>
      <w:r w:rsidR="00BB2712" w:rsidRPr="00FA1A19">
        <w:t xml:space="preserve"> considerations of neutrality</w:t>
      </w:r>
      <w:r w:rsidR="005A05C5" w:rsidRPr="00FA1A19">
        <w:t>.</w:t>
      </w:r>
      <w:r w:rsidR="004F0A51" w:rsidRPr="00FA1A19">
        <w:t xml:space="preserve"> </w:t>
      </w:r>
      <w:r w:rsidR="005A05C5" w:rsidRPr="00FA1A19">
        <w:t xml:space="preserve">The risks identified </w:t>
      </w:r>
      <w:r w:rsidR="713CC404" w:rsidRPr="00FA1A19">
        <w:t>below</w:t>
      </w:r>
      <w:r w:rsidR="005A05C5" w:rsidRPr="00FA1A19">
        <w:t xml:space="preserve"> may </w:t>
      </w:r>
      <w:r w:rsidR="008C0392" w:rsidRPr="00FA1A19">
        <w:t>be</w:t>
      </w:r>
      <w:r w:rsidR="00DF15E2" w:rsidRPr="00FA1A19">
        <w:t xml:space="preserve"> </w:t>
      </w:r>
      <w:r w:rsidR="008E03B6" w:rsidRPr="00FA1A19">
        <w:t>relevant</w:t>
      </w:r>
      <w:r w:rsidR="005A05C5" w:rsidRPr="00FA1A19">
        <w:t xml:space="preserve"> when considering whether </w:t>
      </w:r>
      <w:r w:rsidR="008C0392" w:rsidRPr="00FA1A19">
        <w:t xml:space="preserve">there is </w:t>
      </w:r>
      <w:r w:rsidR="00026898" w:rsidRPr="00FA1A19">
        <w:t xml:space="preserve">true </w:t>
      </w:r>
      <w:r w:rsidR="008C0392" w:rsidRPr="00393CD7">
        <w:t>neutrality</w:t>
      </w:r>
      <w:r w:rsidR="008C0392" w:rsidRPr="00FA1A19">
        <w:t xml:space="preserve"> between digital assets and transactions, and assets and transactions in </w:t>
      </w:r>
      <w:r w:rsidR="000A389E" w:rsidRPr="00FA1A19">
        <w:t xml:space="preserve">more </w:t>
      </w:r>
      <w:r w:rsidR="008C0392" w:rsidRPr="00FA1A19">
        <w:t>traditional finance</w:t>
      </w:r>
      <w:r w:rsidR="000A389E" w:rsidRPr="00FA1A19">
        <w:t xml:space="preserve"> arrangements</w:t>
      </w:r>
      <w:r w:rsidR="008C0392" w:rsidRPr="00FA1A19">
        <w:t>.</w:t>
      </w:r>
    </w:p>
    <w:p w14:paraId="10C10C2A" w14:textId="436E4F7B" w:rsidR="00FA4D55" w:rsidRPr="00FA1A19" w:rsidRDefault="00FA4D55" w:rsidP="00342121">
      <w:pPr>
        <w:pStyle w:val="Heading3"/>
      </w:pPr>
      <w:r w:rsidRPr="00FA1A19">
        <w:t>Environmental</w:t>
      </w:r>
    </w:p>
    <w:p w14:paraId="43AAB4C4" w14:textId="2C4FA442" w:rsidR="00D81D4F" w:rsidRPr="00FA1A19" w:rsidRDefault="009E67D4" w:rsidP="00FA4D55">
      <w:r w:rsidRPr="00FA1A19">
        <w:t xml:space="preserve">The electricity to support </w:t>
      </w:r>
      <w:r w:rsidR="005E74BF" w:rsidRPr="00FA1A19">
        <w:t>a distributed ledger technology is significant, and no more so than the electricity to support bitcoin mining.</w:t>
      </w:r>
      <w:r w:rsidR="004F0A51" w:rsidRPr="00FA1A19">
        <w:t xml:space="preserve"> </w:t>
      </w:r>
      <w:r w:rsidR="00D81D4F" w:rsidRPr="00FA1A19">
        <w:t>In October 2023, the United Nations University reported that:</w:t>
      </w:r>
    </w:p>
    <w:p w14:paraId="2CD8BE37" w14:textId="0B4F508C" w:rsidR="00D24EDD" w:rsidRPr="00FA1A19" w:rsidRDefault="004A2A0E" w:rsidP="00991EBC">
      <w:pPr>
        <w:pStyle w:val="Quote"/>
      </w:pPr>
      <w:r w:rsidRPr="00FA1A19">
        <w:t>… d</w:t>
      </w:r>
      <w:r w:rsidR="005E74BF" w:rsidRPr="00FA1A19">
        <w:t>uring the 2020</w:t>
      </w:r>
      <w:r w:rsidR="00C66BE4">
        <w:t>–</w:t>
      </w:r>
      <w:r w:rsidR="005E74BF" w:rsidRPr="00FA1A19">
        <w:t xml:space="preserve">2021 period, </w:t>
      </w:r>
      <w:r w:rsidR="00345EB7" w:rsidRPr="00FA1A19">
        <w:t>the global Bitcoin mining network</w:t>
      </w:r>
      <w:r w:rsidR="005E74BF" w:rsidRPr="00FA1A19">
        <w:t xml:space="preserve"> </w:t>
      </w:r>
      <w:r w:rsidR="00A851B1" w:rsidRPr="00FA1A19">
        <w:t>consumed 173.42 Terawatt hours of electricity</w:t>
      </w:r>
      <w:r w:rsidR="00345EB7" w:rsidRPr="00FA1A19">
        <w:t>.</w:t>
      </w:r>
      <w:r w:rsidR="004F0A51" w:rsidRPr="00FA1A19">
        <w:t xml:space="preserve"> </w:t>
      </w:r>
      <w:r w:rsidRPr="00FA1A19">
        <w:t>This means that if Bitcoin were a country, its energy consumption would have ranked 27</w:t>
      </w:r>
      <w:r w:rsidRPr="00170ADC">
        <w:rPr>
          <w:rStyle w:val="FootnoteReference"/>
        </w:rPr>
        <w:t>th</w:t>
      </w:r>
      <w:r w:rsidRPr="00FA1A19">
        <w:t xml:space="preserve"> in the world, ahead of a country like Pakistan, with a population of over 230</w:t>
      </w:r>
      <w:r w:rsidR="00372633">
        <w:t> million</w:t>
      </w:r>
      <w:r w:rsidRPr="00FA1A19">
        <w:t xml:space="preserve"> people</w:t>
      </w:r>
      <w:r w:rsidR="005B1EBB" w:rsidRPr="00FA1A19">
        <w:t>.</w:t>
      </w:r>
      <w:r w:rsidR="004F0A51" w:rsidRPr="00FA1A19">
        <w:t xml:space="preserve"> </w:t>
      </w:r>
      <w:r w:rsidRPr="00FA1A19">
        <w:t>The resulting carbon footprint was equivalent to that of burning 84</w:t>
      </w:r>
      <w:r w:rsidR="00372633">
        <w:t> billion</w:t>
      </w:r>
      <w:r w:rsidRPr="00FA1A19">
        <w:t xml:space="preserve"> pounds of coal or operating 190 natural gas</w:t>
      </w:r>
      <w:r w:rsidR="00F75232">
        <w:noBreakHyphen/>
      </w:r>
      <w:r w:rsidRPr="00FA1A19">
        <w:t>fired power plants.</w:t>
      </w:r>
      <w:r w:rsidR="004F0A51" w:rsidRPr="00FA1A19">
        <w:t xml:space="preserve"> </w:t>
      </w:r>
      <w:r w:rsidR="00D24EDD" w:rsidRPr="00FA1A19">
        <w:t>…</w:t>
      </w:r>
    </w:p>
    <w:p w14:paraId="6E677750" w14:textId="0F00239D" w:rsidR="00BE3977" w:rsidRPr="00FA1A19" w:rsidRDefault="00BE3977" w:rsidP="00991EBC">
      <w:pPr>
        <w:pStyle w:val="Quote"/>
      </w:pPr>
      <w:r w:rsidRPr="00FA1A19">
        <w:t>during this time period, bitcoin</w:t>
      </w:r>
      <w:r w:rsidR="00F75232">
        <w:t>’</w:t>
      </w:r>
      <w:r w:rsidRPr="00FA1A19">
        <w:t>s water footprint was similar to the amount of water required to fill over 660,000 Olympic</w:t>
      </w:r>
      <w:r w:rsidR="00F75232">
        <w:noBreakHyphen/>
      </w:r>
      <w:r w:rsidRPr="00FA1A19">
        <w:t>sized swimming pools, enough to meet the current domestic water needs of more than 300</w:t>
      </w:r>
      <w:r w:rsidR="00372633">
        <w:t> million</w:t>
      </w:r>
      <w:r w:rsidRPr="00FA1A19">
        <w:t xml:space="preserve"> people in rural sub</w:t>
      </w:r>
      <w:r w:rsidR="00F75232">
        <w:noBreakHyphen/>
      </w:r>
      <w:r w:rsidRPr="00FA1A19">
        <w:t>Saharan Africa</w:t>
      </w:r>
      <w:r w:rsidR="000024F1">
        <w:t xml:space="preserve">. </w:t>
      </w:r>
      <w:r w:rsidRPr="00FA1A19">
        <w:t>…</w:t>
      </w:r>
    </w:p>
    <w:p w14:paraId="2F98923A" w14:textId="53969613" w:rsidR="00FA4D55" w:rsidRPr="00EB09BD" w:rsidRDefault="005B1EBB" w:rsidP="00991EBC">
      <w:pPr>
        <w:pStyle w:val="Quote"/>
        <w:rPr>
          <w:spacing w:val="-2"/>
        </w:rPr>
      </w:pPr>
      <w:r w:rsidRPr="00EB09BD">
        <w:rPr>
          <w:spacing w:val="-2"/>
        </w:rPr>
        <w:t>The US scientists report that Bitcoin mining heavily relies on fossil energy sources, with coal accounting for 45% of Bitcoin</w:t>
      </w:r>
      <w:r w:rsidR="00F75232" w:rsidRPr="00EB09BD">
        <w:rPr>
          <w:spacing w:val="-2"/>
        </w:rPr>
        <w:t>’</w:t>
      </w:r>
      <w:r w:rsidRPr="00EB09BD">
        <w:rPr>
          <w:spacing w:val="-2"/>
        </w:rPr>
        <w:t>s energy supply mix, followed by natural gas (21%). … Renewables such as solar and wind only provide 2% and 5% of the total electricity used by bitcoin.</w:t>
      </w:r>
      <w:r w:rsidR="00BE3977" w:rsidRPr="00EB09BD">
        <w:rPr>
          <w:rStyle w:val="FootnoteReference"/>
          <w:spacing w:val="-2"/>
        </w:rPr>
        <w:footnoteReference w:id="277"/>
      </w:r>
    </w:p>
    <w:p w14:paraId="7296378A" w14:textId="16D8353A" w:rsidR="00CE1FA0" w:rsidRPr="00FA1A19" w:rsidRDefault="00CE1FA0" w:rsidP="00CE1FA0">
      <w:r w:rsidRPr="00FA1A19">
        <w:t xml:space="preserve">A proof of stake network (rather than a proof of work network such as Bitcoin) uses </w:t>
      </w:r>
      <w:r w:rsidR="00593E4C" w:rsidRPr="00FA1A19">
        <w:t>much less energy</w:t>
      </w:r>
      <w:r w:rsidR="00734DCF" w:rsidRPr="00FA1A19">
        <w:t xml:space="preserve">, </w:t>
      </w:r>
      <w:r w:rsidR="00AE0A8B" w:rsidRPr="00FA1A19">
        <w:t>with estimates of a 99.9% reduction in carbon emissions when Ethereum moved from a proof</w:t>
      </w:r>
      <w:r w:rsidR="00F75232">
        <w:noBreakHyphen/>
      </w:r>
      <w:r w:rsidR="00AE0A8B" w:rsidRPr="00FA1A19">
        <w:t>of</w:t>
      </w:r>
      <w:r w:rsidR="00F75232">
        <w:noBreakHyphen/>
      </w:r>
      <w:r w:rsidR="00AE0A8B" w:rsidRPr="00FA1A19">
        <w:t>work protocol to a proof</w:t>
      </w:r>
      <w:r w:rsidR="00F75232">
        <w:noBreakHyphen/>
      </w:r>
      <w:r w:rsidR="00AE0A8B" w:rsidRPr="00FA1A19">
        <w:t>of</w:t>
      </w:r>
      <w:r w:rsidR="00F75232">
        <w:noBreakHyphen/>
      </w:r>
      <w:r w:rsidR="00AE0A8B" w:rsidRPr="00FA1A19">
        <w:t>stake protocol</w:t>
      </w:r>
      <w:r w:rsidR="00593E4C" w:rsidRPr="00FA1A19">
        <w:t>.</w:t>
      </w:r>
      <w:r w:rsidR="00734DCF" w:rsidRPr="00170ADC">
        <w:rPr>
          <w:rStyle w:val="FootnoteReference"/>
        </w:rPr>
        <w:footnoteReference w:id="278"/>
      </w:r>
    </w:p>
    <w:p w14:paraId="0EDB644A" w14:textId="6831E0C0" w:rsidR="00AA0040" w:rsidRPr="00FA1A19" w:rsidRDefault="006E2D44" w:rsidP="00A65360">
      <w:pPr>
        <w:pStyle w:val="Heading3"/>
        <w:spacing w:before="240"/>
      </w:pPr>
      <w:r w:rsidRPr="00FA1A19">
        <w:t xml:space="preserve">Criminal </w:t>
      </w:r>
      <w:r w:rsidRPr="00BE4945">
        <w:t>Activity</w:t>
      </w:r>
    </w:p>
    <w:p w14:paraId="4BE2988E" w14:textId="7ACF7034" w:rsidR="005E2BDA" w:rsidRPr="00FA1A19" w:rsidRDefault="00EE3B85" w:rsidP="00AA0040">
      <w:r w:rsidRPr="00FA1A19">
        <w:t xml:space="preserve">In April 2022, AUSTRAC released its Financial Crime Guide </w:t>
      </w:r>
      <w:r w:rsidR="00F75232">
        <w:t>‘</w:t>
      </w:r>
      <w:r w:rsidRPr="00FA1A19">
        <w:t>Preventing the Criminal Abuse of Digital Currencies</w:t>
      </w:r>
      <w:r w:rsidR="00F75232">
        <w:t>’</w:t>
      </w:r>
      <w:r w:rsidR="00FA1DF1" w:rsidRPr="00FA1A19">
        <w:t xml:space="preserve"> to assist financial service providers, including digital currency exchange providers to understand, identify and report criminal activity facilitated through digital currencies.</w:t>
      </w:r>
      <w:r w:rsidR="006167B7" w:rsidRPr="00170ADC">
        <w:rPr>
          <w:rStyle w:val="FootnoteReference"/>
        </w:rPr>
        <w:footnoteReference w:id="279"/>
      </w:r>
      <w:r w:rsidR="004F0A51" w:rsidRPr="00FA1A19">
        <w:t xml:space="preserve"> </w:t>
      </w:r>
      <w:r w:rsidR="002029CE" w:rsidRPr="00FA1A19">
        <w:t xml:space="preserve">AUSTRAC states that </w:t>
      </w:r>
      <w:r w:rsidR="00F75232">
        <w:t>‘</w:t>
      </w:r>
      <w:r w:rsidR="002029CE" w:rsidRPr="00FA1A19">
        <w:t>The pseudo</w:t>
      </w:r>
      <w:r w:rsidR="00F75232">
        <w:noBreakHyphen/>
      </w:r>
      <w:r w:rsidR="002029CE" w:rsidRPr="00FA1A19">
        <w:t>anonymous and borderless nature of digital currencies can make them a risk for criminal activity including money laundering, terrorism financing, ransomware and more.</w:t>
      </w:r>
      <w:r w:rsidR="00F75232">
        <w:t>’</w:t>
      </w:r>
      <w:r w:rsidR="002029CE" w:rsidRPr="00170ADC">
        <w:rPr>
          <w:rStyle w:val="FootnoteReference"/>
        </w:rPr>
        <w:footnoteReference w:id="280"/>
      </w:r>
      <w:r w:rsidR="004F0A51" w:rsidRPr="00FA1A19">
        <w:t xml:space="preserve"> </w:t>
      </w:r>
    </w:p>
    <w:p w14:paraId="59269798" w14:textId="35FBC89F" w:rsidR="007D3612" w:rsidRDefault="00A904E2" w:rsidP="00AA0040">
      <w:r>
        <w:t>T</w:t>
      </w:r>
      <w:r w:rsidRPr="00FA1A19">
        <w:t xml:space="preserve">he proportion of criminal use of crypto </w:t>
      </w:r>
      <w:r>
        <w:t>can be</w:t>
      </w:r>
      <w:r w:rsidRPr="00FA1A19">
        <w:t xml:space="preserve"> difficult to estimate. </w:t>
      </w:r>
      <w:r w:rsidR="00D60F10">
        <w:t xml:space="preserve">However, </w:t>
      </w:r>
      <w:r w:rsidR="007D3612">
        <w:t>different analys</w:t>
      </w:r>
      <w:r w:rsidR="001D3367">
        <w:t>es are</w:t>
      </w:r>
      <w:r w:rsidR="007D3612">
        <w:t xml:space="preserve"> being undertaken.</w:t>
      </w:r>
    </w:p>
    <w:p w14:paraId="36DDF29F" w14:textId="695399EB" w:rsidR="00C544C9" w:rsidRDefault="007D3612" w:rsidP="00A65360">
      <w:pPr>
        <w:spacing w:before="0"/>
      </w:pPr>
      <w:r>
        <w:t xml:space="preserve">Criminal use of crypto </w:t>
      </w:r>
      <w:r w:rsidR="00C544C9">
        <w:t>broadly comes in two types:</w:t>
      </w:r>
    </w:p>
    <w:p w14:paraId="6DA7ED40" w14:textId="15A2395D" w:rsidR="0082677E" w:rsidRPr="00BE4945" w:rsidRDefault="00104E8C" w:rsidP="00A65360">
      <w:pPr>
        <w:pStyle w:val="Bullet"/>
        <w:spacing w:after="0"/>
        <w:rPr>
          <w:spacing w:val="-3"/>
          <w:kern w:val="2"/>
        </w:rPr>
      </w:pPr>
      <w:r w:rsidRPr="00BE4945">
        <w:rPr>
          <w:spacing w:val="-3"/>
          <w:kern w:val="2"/>
        </w:rPr>
        <w:t>Cryptocurrency theft as a result of hacks</w:t>
      </w:r>
      <w:r w:rsidR="007D3612" w:rsidRPr="00BE4945">
        <w:rPr>
          <w:spacing w:val="-3"/>
          <w:kern w:val="2"/>
        </w:rPr>
        <w:t xml:space="preserve">. </w:t>
      </w:r>
      <w:r w:rsidR="007E0D9F" w:rsidRPr="00BE4945">
        <w:rPr>
          <w:spacing w:val="-3"/>
          <w:kern w:val="2"/>
        </w:rPr>
        <w:t>In their 2023 Crypto Crime Report, Chainalysis</w:t>
      </w:r>
      <w:r w:rsidR="001D3367" w:rsidRPr="00BE4945">
        <w:rPr>
          <w:spacing w:val="-3"/>
          <w:kern w:val="2"/>
        </w:rPr>
        <w:t xml:space="preserve"> </w:t>
      </w:r>
      <w:r w:rsidR="00601D97" w:rsidRPr="00BE4945">
        <w:rPr>
          <w:spacing w:val="-3"/>
          <w:kern w:val="2"/>
        </w:rPr>
        <w:t>reported that 2022 was the biggest year for crypto hacking with $3.8</w:t>
      </w:r>
      <w:r w:rsidR="00372633" w:rsidRPr="00BE4945">
        <w:rPr>
          <w:spacing w:val="-3"/>
          <w:kern w:val="2"/>
        </w:rPr>
        <w:t> billion</w:t>
      </w:r>
      <w:r w:rsidR="00601D97" w:rsidRPr="00BE4945">
        <w:rPr>
          <w:spacing w:val="-3"/>
          <w:kern w:val="2"/>
        </w:rPr>
        <w:t xml:space="preserve"> stolen</w:t>
      </w:r>
      <w:r w:rsidR="009742EA" w:rsidRPr="00BE4945">
        <w:rPr>
          <w:spacing w:val="-3"/>
          <w:kern w:val="2"/>
        </w:rPr>
        <w:t xml:space="preserve">, that DeFi protocols accounted for 82.1% of all cryptocurrency stolen by hackers, and that </w:t>
      </w:r>
      <w:r w:rsidR="007F59BD" w:rsidRPr="00BE4945">
        <w:rPr>
          <w:spacing w:val="-3"/>
          <w:kern w:val="2"/>
        </w:rPr>
        <w:t>64% of that came from cross</w:t>
      </w:r>
      <w:r w:rsidR="00F75232" w:rsidRPr="00BE4945">
        <w:rPr>
          <w:spacing w:val="-3"/>
          <w:kern w:val="2"/>
        </w:rPr>
        <w:noBreakHyphen/>
      </w:r>
      <w:r w:rsidR="007F59BD" w:rsidRPr="00BE4945">
        <w:rPr>
          <w:spacing w:val="-3"/>
          <w:kern w:val="2"/>
        </w:rPr>
        <w:t>chain bridge protocols.</w:t>
      </w:r>
      <w:r w:rsidR="00C7272F" w:rsidRPr="00BE4945">
        <w:rPr>
          <w:rStyle w:val="FootnoteReference"/>
          <w:spacing w:val="-3"/>
          <w:kern w:val="2"/>
        </w:rPr>
        <w:footnoteReference w:id="281"/>
      </w:r>
    </w:p>
    <w:p w14:paraId="11CAA67A" w14:textId="3374A575" w:rsidR="00EA290E" w:rsidRPr="00EB09BD" w:rsidRDefault="00A4265D" w:rsidP="006F0112">
      <w:pPr>
        <w:pStyle w:val="Bullet"/>
        <w:rPr>
          <w:spacing w:val="-3"/>
        </w:rPr>
      </w:pPr>
      <w:r w:rsidRPr="00EB09BD">
        <w:rPr>
          <w:spacing w:val="-3"/>
        </w:rPr>
        <w:t xml:space="preserve">Criminals using cryptocurrency </w:t>
      </w:r>
      <w:r w:rsidR="00253D1F" w:rsidRPr="00EB09BD">
        <w:rPr>
          <w:spacing w:val="-3"/>
        </w:rPr>
        <w:t xml:space="preserve">for </w:t>
      </w:r>
      <w:r w:rsidRPr="00EB09BD">
        <w:rPr>
          <w:spacing w:val="-3"/>
        </w:rPr>
        <w:t>illicit activity</w:t>
      </w:r>
      <w:r w:rsidR="00F75232" w:rsidRPr="00EB09BD">
        <w:rPr>
          <w:spacing w:val="-3"/>
        </w:rPr>
        <w:t xml:space="preserve">. </w:t>
      </w:r>
      <w:r w:rsidR="008F2BEA" w:rsidRPr="00EB09BD">
        <w:rPr>
          <w:spacing w:val="-3"/>
        </w:rPr>
        <w:t xml:space="preserve">It has been estimated that total cryptocurrency value received by illicit addresses in 2022 were </w:t>
      </w:r>
      <w:r w:rsidR="008D7835" w:rsidRPr="00EB09BD">
        <w:rPr>
          <w:spacing w:val="-3"/>
        </w:rPr>
        <w:t>$20.1</w:t>
      </w:r>
      <w:r w:rsidR="00372633">
        <w:rPr>
          <w:spacing w:val="-3"/>
        </w:rPr>
        <w:t> billion</w:t>
      </w:r>
      <w:r w:rsidR="008D7835" w:rsidRPr="00EB09BD">
        <w:rPr>
          <w:spacing w:val="-3"/>
        </w:rPr>
        <w:t>, and that this is a lower bound estimate likely to grow as new addresses associated with illicit activity are identified</w:t>
      </w:r>
      <w:r w:rsidR="00F75232" w:rsidRPr="00EB09BD">
        <w:rPr>
          <w:spacing w:val="-3"/>
        </w:rPr>
        <w:t xml:space="preserve">. </w:t>
      </w:r>
      <w:r w:rsidR="008D7835" w:rsidRPr="00EB09BD">
        <w:rPr>
          <w:spacing w:val="-3"/>
        </w:rPr>
        <w:t xml:space="preserve"> </w:t>
      </w:r>
      <w:r w:rsidR="00425E36" w:rsidRPr="00EB09BD">
        <w:rPr>
          <w:spacing w:val="-3"/>
        </w:rPr>
        <w:t>This figure also doesn</w:t>
      </w:r>
      <w:r w:rsidR="00F75232" w:rsidRPr="00EB09BD">
        <w:rPr>
          <w:spacing w:val="-3"/>
        </w:rPr>
        <w:t>’</w:t>
      </w:r>
      <w:r w:rsidR="00425E36" w:rsidRPr="00EB09BD">
        <w:rPr>
          <w:spacing w:val="-3"/>
        </w:rPr>
        <w:t>t capture proceeds from non</w:t>
      </w:r>
      <w:r w:rsidR="00F75232" w:rsidRPr="00EB09BD">
        <w:rPr>
          <w:spacing w:val="-3"/>
        </w:rPr>
        <w:noBreakHyphen/>
      </w:r>
      <w:r w:rsidR="00425E36" w:rsidRPr="00EB09BD">
        <w:rPr>
          <w:spacing w:val="-3"/>
        </w:rPr>
        <w:t>crypto native crime such as drug trafficking involving cryptocurrency as a mode of payment.</w:t>
      </w:r>
      <w:r w:rsidR="00FC3A2B" w:rsidRPr="00EB09BD">
        <w:rPr>
          <w:rStyle w:val="FootnoteReference"/>
          <w:spacing w:val="-3"/>
        </w:rPr>
        <w:footnoteReference w:id="282"/>
      </w:r>
    </w:p>
    <w:p w14:paraId="243C6F63" w14:textId="2AA5CADC" w:rsidR="00AA0040" w:rsidRPr="00FA1A19" w:rsidRDefault="00764C89" w:rsidP="00AA0040">
      <w:r w:rsidRPr="00FA1A19">
        <w:t xml:space="preserve">It </w:t>
      </w:r>
      <w:r w:rsidR="008E0173">
        <w:t>has</w:t>
      </w:r>
      <w:r w:rsidR="008E0173" w:rsidRPr="00FA1A19">
        <w:t xml:space="preserve"> </w:t>
      </w:r>
      <w:r w:rsidRPr="00FA1A19">
        <w:t>also</w:t>
      </w:r>
      <w:r w:rsidR="001F5BF2" w:rsidRPr="00FA1A19">
        <w:t xml:space="preserve"> </w:t>
      </w:r>
      <w:r w:rsidR="008E0173">
        <w:t xml:space="preserve">been </w:t>
      </w:r>
      <w:r w:rsidR="001F5BF2" w:rsidRPr="00FA1A19">
        <w:t>estimated</w:t>
      </w:r>
      <w:r w:rsidR="008E0173">
        <w:t>, however,</w:t>
      </w:r>
      <w:r w:rsidR="001F5BF2" w:rsidRPr="00FA1A19">
        <w:t xml:space="preserve"> that the criminal use of crypto as a percentage of all crypto use is falling – </w:t>
      </w:r>
      <w:r w:rsidR="007733D2" w:rsidRPr="00FA1A19">
        <w:t xml:space="preserve">that </w:t>
      </w:r>
      <w:r w:rsidR="001F5BF2" w:rsidRPr="00FA1A19">
        <w:t>whilst the use of</w:t>
      </w:r>
      <w:r w:rsidR="00572415" w:rsidRPr="00FA1A19">
        <w:t xml:space="preserve"> crypto by criminals is increasing, the use of crypto </w:t>
      </w:r>
      <w:r w:rsidR="00AD6CF8" w:rsidRPr="00FA1A19">
        <w:t>for non</w:t>
      </w:r>
      <w:r w:rsidR="00F75232">
        <w:noBreakHyphen/>
      </w:r>
      <w:r w:rsidR="00AD6CF8" w:rsidRPr="00FA1A19">
        <w:t>criminal purposes</w:t>
      </w:r>
      <w:r w:rsidR="00572415" w:rsidRPr="00FA1A19">
        <w:t xml:space="preserve"> is increasing at a faster rate.</w:t>
      </w:r>
      <w:r w:rsidR="00AD6CF8" w:rsidRPr="00170ADC">
        <w:rPr>
          <w:rStyle w:val="FootnoteReference"/>
        </w:rPr>
        <w:footnoteReference w:id="283"/>
      </w:r>
    </w:p>
    <w:p w14:paraId="6986322A" w14:textId="701D9554" w:rsidR="000046E8" w:rsidRPr="00FA1A19" w:rsidRDefault="006E2D44" w:rsidP="00342121">
      <w:pPr>
        <w:pStyle w:val="Heading3"/>
      </w:pPr>
      <w:r w:rsidRPr="00FA1A19">
        <w:t xml:space="preserve">Financial </w:t>
      </w:r>
      <w:r w:rsidR="00DB2660" w:rsidRPr="00FA1A19">
        <w:t>Risks</w:t>
      </w:r>
    </w:p>
    <w:p w14:paraId="0C566E18" w14:textId="4F38A6EB" w:rsidR="000046E8" w:rsidRPr="00FA1A19" w:rsidRDefault="00DB2660" w:rsidP="000046E8">
      <w:r w:rsidRPr="00FA1A19">
        <w:t xml:space="preserve">In its </w:t>
      </w:r>
      <w:r w:rsidR="00B31801" w:rsidRPr="00FA1A19">
        <w:t xml:space="preserve">July 2023 </w:t>
      </w:r>
      <w:r w:rsidRPr="00FA1A19">
        <w:t xml:space="preserve">report </w:t>
      </w:r>
      <w:r w:rsidR="00F75232">
        <w:t>‘</w:t>
      </w:r>
      <w:r w:rsidR="00B31801" w:rsidRPr="00FA1A19">
        <w:t>The Crypto Ecosystem: Key Elements and Risks</w:t>
      </w:r>
      <w:r w:rsidR="00F75232">
        <w:t>’</w:t>
      </w:r>
      <w:r w:rsidR="00B31801" w:rsidRPr="00FA1A19">
        <w:t xml:space="preserve">, </w:t>
      </w:r>
      <w:r w:rsidRPr="00FA1A19">
        <w:t>submitted to the G20 Finance Ministers and Central Bank Governors</w:t>
      </w:r>
      <w:r w:rsidR="00B31801" w:rsidRPr="00FA1A19">
        <w:t xml:space="preserve">, the Bank for International Settlements </w:t>
      </w:r>
      <w:r w:rsidR="00C16E33" w:rsidRPr="00FA1A19">
        <w:t>concluded that:</w:t>
      </w:r>
      <w:r w:rsidR="00EC3A3B" w:rsidRPr="00170ADC">
        <w:rPr>
          <w:rStyle w:val="FootnoteReference"/>
        </w:rPr>
        <w:footnoteReference w:id="284"/>
      </w:r>
    </w:p>
    <w:p w14:paraId="7D7D5867" w14:textId="6F721A4A" w:rsidR="00C16E33" w:rsidRPr="00FA1A19" w:rsidRDefault="008F27B9" w:rsidP="00471171">
      <w:pPr>
        <w:pStyle w:val="Bullet"/>
      </w:pPr>
      <w:r w:rsidRPr="00FA1A19">
        <w:t>T</w:t>
      </w:r>
      <w:r w:rsidR="00C16E33" w:rsidRPr="00FA1A19">
        <w:t>he crypto ecosystem is subject to a high degree of fragmentation and is characterised by congestion and high fees</w:t>
      </w:r>
      <w:r w:rsidR="00FB1B2E" w:rsidRPr="00FA1A19">
        <w:t>.</w:t>
      </w:r>
    </w:p>
    <w:p w14:paraId="344B6A5B" w14:textId="456E32A2" w:rsidR="00FB1B2E" w:rsidRPr="00FA1A19" w:rsidRDefault="003A36D0" w:rsidP="00471171">
      <w:pPr>
        <w:pStyle w:val="Bullet"/>
      </w:pPr>
      <w:r>
        <w:t>T</w:t>
      </w:r>
      <w:r w:rsidRPr="00FA1A19">
        <w:t xml:space="preserve">he </w:t>
      </w:r>
      <w:r w:rsidR="00FB1B2E" w:rsidRPr="00FA1A19">
        <w:t>original decentralised ethos has been compromised by centralised intermediaries</w:t>
      </w:r>
      <w:r w:rsidR="00987FD7" w:rsidRPr="00FA1A19">
        <w:t>,</w:t>
      </w:r>
      <w:r w:rsidR="0035083A" w:rsidRPr="00FA1A19">
        <w:t xml:space="preserve"> with </w:t>
      </w:r>
      <w:r w:rsidR="00676F58" w:rsidRPr="00FA1A19">
        <w:t xml:space="preserve">the same vulnerabilities of traditional finance as evidence by the </w:t>
      </w:r>
      <w:r w:rsidR="00F75232">
        <w:t>‘</w:t>
      </w:r>
      <w:r w:rsidR="00676F58" w:rsidRPr="00FA1A19">
        <w:t>implosion of the FTX crypto exchange</w:t>
      </w:r>
      <w:r w:rsidR="00F75232">
        <w:t>’</w:t>
      </w:r>
      <w:r w:rsidR="00676F58" w:rsidRPr="00FA1A19">
        <w:t>.</w:t>
      </w:r>
      <w:r w:rsidR="004F0A51" w:rsidRPr="00FA1A19">
        <w:t xml:space="preserve"> </w:t>
      </w:r>
      <w:r w:rsidR="000B4CEE" w:rsidRPr="00FA1A19">
        <w:t>Tim</w:t>
      </w:r>
      <w:r w:rsidR="000024F1">
        <w:t> </w:t>
      </w:r>
      <w:r w:rsidR="000B4CEE" w:rsidRPr="00FA1A19">
        <w:t>O</w:t>
      </w:r>
      <w:r w:rsidR="00F75232">
        <w:t>’</w:t>
      </w:r>
      <w:r w:rsidR="000B4CEE" w:rsidRPr="00FA1A19">
        <w:t xml:space="preserve">Reilly was quoted by </w:t>
      </w:r>
      <w:r w:rsidR="003E3F76" w:rsidRPr="00FA1A19">
        <w:t>an article published by the</w:t>
      </w:r>
      <w:r w:rsidR="000B4CEE" w:rsidRPr="00FA1A19">
        <w:t xml:space="preserve"> International Monetary Fund as saying that </w:t>
      </w:r>
      <w:r w:rsidR="00F75232">
        <w:t>‘</w:t>
      </w:r>
      <w:r w:rsidR="000B4CEE" w:rsidRPr="00FA1A19">
        <w:t>Blockchain turned out to be the most rapid recentralization of a decentralized technology that I</w:t>
      </w:r>
      <w:r w:rsidR="00F75232">
        <w:t>’</w:t>
      </w:r>
      <w:r w:rsidR="000B4CEE" w:rsidRPr="00FA1A19">
        <w:t>ve seen in my lifetime.</w:t>
      </w:r>
      <w:r w:rsidR="00F75232">
        <w:t>’</w:t>
      </w:r>
      <w:r w:rsidR="000B4CEE" w:rsidRPr="00170ADC">
        <w:rPr>
          <w:rStyle w:val="FootnoteReference"/>
        </w:rPr>
        <w:footnoteReference w:id="285"/>
      </w:r>
    </w:p>
    <w:p w14:paraId="33B54B50" w14:textId="08D220BA" w:rsidR="00FA64A8" w:rsidRPr="00FA1A19" w:rsidRDefault="00FA64A8" w:rsidP="00471171">
      <w:pPr>
        <w:pStyle w:val="Bullet"/>
      </w:pPr>
      <w:r w:rsidRPr="00FA1A19">
        <w:t>While crypto has offered some elements of genuine innov</w:t>
      </w:r>
      <w:r w:rsidR="00CD0B64" w:rsidRPr="00FA1A19">
        <w:t>ation</w:t>
      </w:r>
      <w:r w:rsidRPr="00FA1A19">
        <w:t>, these can be repl</w:t>
      </w:r>
      <w:r w:rsidR="00CD0B64" w:rsidRPr="00FA1A19">
        <w:t>i</w:t>
      </w:r>
      <w:r w:rsidRPr="00FA1A19">
        <w:t>cated or embedded in the safer and more trusted traditional finance system.</w:t>
      </w:r>
    </w:p>
    <w:p w14:paraId="6CFC5726" w14:textId="1CFABEF6" w:rsidR="00FA64A8" w:rsidRPr="00FA1A19" w:rsidRDefault="00CD043B" w:rsidP="00471171">
      <w:pPr>
        <w:pStyle w:val="Bullet"/>
      </w:pPr>
      <w:r w:rsidRPr="00FA1A19">
        <w:t>Crypto and DeFi often feature substantial de facto centralisation, for example stablecoins tied to fiat currencies</w:t>
      </w:r>
      <w:r w:rsidR="00CD0B64" w:rsidRPr="00FA1A19">
        <w:t xml:space="preserve"> and may pose risks to monetary sovereignty.</w:t>
      </w:r>
    </w:p>
    <w:p w14:paraId="253479BE" w14:textId="5383DD10" w:rsidR="0083679D" w:rsidRPr="00471171" w:rsidRDefault="00D211AA" w:rsidP="00BC3F14">
      <w:pPr>
        <w:pStyle w:val="Bullet"/>
      </w:pPr>
      <w:r>
        <w:t>W</w:t>
      </w:r>
      <w:r w:rsidRPr="00FA1A19">
        <w:t xml:space="preserve">hile </w:t>
      </w:r>
      <w:r w:rsidR="00EC3A3B" w:rsidRPr="00FA1A19">
        <w:t>DeFi mostly replicates services offered by the traditional financial system, it does not finance any activity in the real economy but amplifies known risks.</w:t>
      </w:r>
      <w:r w:rsidR="004F0A51" w:rsidRPr="00FA1A19">
        <w:t xml:space="preserve"> </w:t>
      </w:r>
      <w:r w:rsidR="00EC3A3B" w:rsidRPr="00FA1A19">
        <w:t>As growth is driven mainly by the speculative influx of new users hoping for high returns, crypto and DeFi pose substantial risks to (especially retail) investors. In sum, crypto</w:t>
      </w:r>
      <w:r w:rsidR="00F75232">
        <w:t>’</w:t>
      </w:r>
      <w:r w:rsidR="00EC3A3B" w:rsidRPr="00FA1A19">
        <w:t>s inherent structural flaws make it unsuitable to play a constructive role in the monetary system.</w:t>
      </w:r>
      <w:r w:rsidR="00F75232">
        <w:t>’</w:t>
      </w:r>
      <w:r w:rsidR="00B04991" w:rsidRPr="00170ADC">
        <w:rPr>
          <w:rStyle w:val="FootnoteReference"/>
        </w:rPr>
        <w:footnoteReference w:id="286"/>
      </w:r>
    </w:p>
    <w:p w14:paraId="6A08EC9A" w14:textId="77777777" w:rsidR="00471171" w:rsidRPr="00471171" w:rsidRDefault="00471171" w:rsidP="00471171">
      <w:pPr>
        <w:sectPr w:rsidR="00471171" w:rsidRPr="00471171" w:rsidSect="00320772">
          <w:pgSz w:w="11909" w:h="16834" w:code="9"/>
          <w:pgMar w:top="1985" w:right="1134" w:bottom="1985" w:left="1134" w:header="1134" w:footer="1134" w:gutter="0"/>
          <w:cols w:space="708"/>
          <w:docGrid w:linePitch="360"/>
        </w:sectPr>
      </w:pPr>
    </w:p>
    <w:p w14:paraId="405797B6" w14:textId="35A6911A" w:rsidR="00717176" w:rsidRPr="00FA1A19" w:rsidRDefault="00372633" w:rsidP="0069352C">
      <w:pPr>
        <w:pStyle w:val="Heading1"/>
      </w:pPr>
      <w:bookmarkStart w:id="64" w:name="_Toc159513588"/>
      <w:r>
        <w:t>Chapter </w:t>
      </w:r>
      <w:r w:rsidR="00717176" w:rsidRPr="00FA1A19">
        <w:t>5: Principles Framework</w:t>
      </w:r>
      <w:bookmarkEnd w:id="64"/>
    </w:p>
    <w:p w14:paraId="7B63EB25" w14:textId="69F62064" w:rsidR="00717176" w:rsidRPr="00FA1A19" w:rsidRDefault="00717176" w:rsidP="0069352C">
      <w:pPr>
        <w:pStyle w:val="Heading2"/>
        <w:rPr>
          <w:rStyle w:val="Emphasis"/>
        </w:rPr>
      </w:pPr>
      <w:bookmarkStart w:id="65" w:name="_Toc159513589"/>
      <w:r w:rsidRPr="00FA1A19">
        <w:rPr>
          <w:rStyle w:val="Emphasis"/>
        </w:rPr>
        <w:t>Key Points</w:t>
      </w:r>
      <w:bookmarkEnd w:id="65"/>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1F4D" w:themeFill="accent2"/>
        <w:tblCellMar>
          <w:top w:w="284" w:type="dxa"/>
          <w:left w:w="454" w:type="dxa"/>
          <w:bottom w:w="397" w:type="dxa"/>
          <w:right w:w="454" w:type="dxa"/>
        </w:tblCellMar>
        <w:tblLook w:val="04A0" w:firstRow="1" w:lastRow="0" w:firstColumn="1" w:lastColumn="0" w:noHBand="0" w:noVBand="1"/>
      </w:tblPr>
      <w:tblGrid>
        <w:gridCol w:w="3213"/>
        <w:gridCol w:w="3214"/>
        <w:gridCol w:w="3214"/>
      </w:tblGrid>
      <w:tr w:rsidR="000E72DD" w:rsidRPr="000E72DD" w14:paraId="773C4F78" w14:textId="396F1EF9" w:rsidTr="00EB09BD">
        <w:trPr>
          <w:trHeight w:val="20"/>
        </w:trPr>
        <w:tc>
          <w:tcPr>
            <w:tcW w:w="5000" w:type="pct"/>
            <w:gridSpan w:val="3"/>
            <w:shd w:val="clear" w:color="auto" w:fill="701F4D" w:themeFill="accent2"/>
          </w:tcPr>
          <w:p w14:paraId="770413E4" w14:textId="5A136197" w:rsidR="00077135" w:rsidRPr="000E72DD" w:rsidRDefault="00077135" w:rsidP="008D7462">
            <w:pPr>
              <w:pStyle w:val="BoxText"/>
              <w:spacing w:after="0"/>
              <w:rPr>
                <w:rFonts w:eastAsiaTheme="minorHAnsi"/>
                <w:color w:val="FFFFFF" w:themeColor="background1"/>
              </w:rPr>
            </w:pPr>
            <w:r w:rsidRPr="000E72DD">
              <w:rPr>
                <w:rFonts w:eastAsiaTheme="minorHAnsi"/>
                <w:color w:val="FFFFFF" w:themeColor="background1"/>
              </w:rPr>
              <w:t>The Board has developed a Principles Framework for the taxation of digital assets and transactions which, if applied consistently, will:</w:t>
            </w:r>
          </w:p>
        </w:tc>
      </w:tr>
      <w:tr w:rsidR="000E72DD" w:rsidRPr="000E72DD" w14:paraId="64A161F6" w14:textId="727BFF12" w:rsidTr="00EB09BD">
        <w:trPr>
          <w:trHeight w:val="20"/>
        </w:trPr>
        <w:tc>
          <w:tcPr>
            <w:tcW w:w="1666" w:type="pct"/>
            <w:shd w:val="clear" w:color="auto" w:fill="701F4D" w:themeFill="accent2"/>
          </w:tcPr>
          <w:p w14:paraId="21F1A1BB" w14:textId="48A73ECB" w:rsidR="008D7462" w:rsidRPr="000E72DD" w:rsidRDefault="008D7462" w:rsidP="008D7462">
            <w:pPr>
              <w:spacing w:before="0"/>
              <w:jc w:val="center"/>
              <w:rPr>
                <w:color w:val="FFFFFF" w:themeColor="background1"/>
              </w:rPr>
            </w:pPr>
            <w:r w:rsidRPr="000E72DD">
              <w:rPr>
                <w:rFonts w:ascii="CIDFont+F1" w:eastAsiaTheme="minorHAnsi" w:hAnsi="CIDFont+F1" w:cs="CIDFont+F1"/>
                <w:noProof/>
                <w:color w:val="FFFFFF" w:themeColor="background1"/>
                <w:lang w:eastAsia="en-US"/>
              </w:rPr>
              <w:drawing>
                <wp:inline distT="0" distB="0" distL="0" distR="0" wp14:anchorId="5320C464" wp14:editId="2B1B1795">
                  <wp:extent cx="609600" cy="609600"/>
                  <wp:effectExtent l="0" t="0" r="0" b="0"/>
                  <wp:docPr id="2002719168" name="Graphic 200271916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inline>
              </w:drawing>
            </w:r>
          </w:p>
          <w:p w14:paraId="355A4F4F" w14:textId="3374C68B" w:rsidR="00077135" w:rsidRPr="000E72DD" w:rsidRDefault="00077135" w:rsidP="008D7462">
            <w:pPr>
              <w:spacing w:before="0"/>
              <w:jc w:val="center"/>
              <w:rPr>
                <w:color w:val="FFFFFF" w:themeColor="background1"/>
              </w:rPr>
            </w:pPr>
            <w:r w:rsidRPr="000E72DD">
              <w:rPr>
                <w:color w:val="FFFFFF" w:themeColor="background1"/>
              </w:rPr>
              <w:t>Promote certainty simplicity and integrity.</w:t>
            </w:r>
          </w:p>
        </w:tc>
        <w:tc>
          <w:tcPr>
            <w:tcW w:w="1667" w:type="pct"/>
            <w:shd w:val="clear" w:color="auto" w:fill="701F4D" w:themeFill="accent2"/>
          </w:tcPr>
          <w:p w14:paraId="0E91E846" w14:textId="337191A4" w:rsidR="008D7462" w:rsidRPr="000E72DD" w:rsidRDefault="008D7462" w:rsidP="008D7462">
            <w:pPr>
              <w:spacing w:before="0"/>
              <w:jc w:val="center"/>
              <w:rPr>
                <w:color w:val="FFFFFF" w:themeColor="background1"/>
              </w:rPr>
            </w:pPr>
            <w:r w:rsidRPr="000E72DD">
              <w:rPr>
                <w:rFonts w:ascii="CIDFont+F1" w:eastAsiaTheme="minorHAnsi" w:hAnsi="CIDFont+F1" w:cs="CIDFont+F1"/>
                <w:noProof/>
                <w:color w:val="FFFFFF" w:themeColor="background1"/>
                <w:lang w:eastAsia="en-US"/>
              </w:rPr>
              <w:drawing>
                <wp:inline distT="0" distB="0" distL="0" distR="0" wp14:anchorId="26ED0E95" wp14:editId="6F5520F9">
                  <wp:extent cx="609600" cy="609600"/>
                  <wp:effectExtent l="0" t="0" r="0" b="0"/>
                  <wp:docPr id="2052033909" name="Graphic 205203390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inline>
              </w:drawing>
            </w:r>
          </w:p>
          <w:p w14:paraId="1A1ED00C" w14:textId="38CF94F2" w:rsidR="00077135" w:rsidRPr="000E72DD" w:rsidRDefault="00077135" w:rsidP="008D7462">
            <w:pPr>
              <w:spacing w:before="0"/>
              <w:jc w:val="center"/>
              <w:rPr>
                <w:color w:val="FFFFFF" w:themeColor="background1"/>
              </w:rPr>
            </w:pPr>
            <w:r w:rsidRPr="000E72DD">
              <w:rPr>
                <w:color w:val="FFFFFF" w:themeColor="background1"/>
              </w:rPr>
              <w:t>Promote competitive, revenue, technological and functional neutrality.</w:t>
            </w:r>
          </w:p>
        </w:tc>
        <w:tc>
          <w:tcPr>
            <w:tcW w:w="1667" w:type="pct"/>
            <w:shd w:val="clear" w:color="auto" w:fill="701F4D" w:themeFill="accent2"/>
          </w:tcPr>
          <w:p w14:paraId="0EAB9C4D" w14:textId="1FAB6D05" w:rsidR="008D7462" w:rsidRPr="000E72DD" w:rsidRDefault="008D7462" w:rsidP="008D7462">
            <w:pPr>
              <w:spacing w:before="0"/>
              <w:jc w:val="center"/>
              <w:rPr>
                <w:rFonts w:asciiTheme="minorHAnsi" w:hAnsiTheme="minorHAnsi" w:cstheme="minorHAnsi"/>
                <w:color w:val="FFFFFF" w:themeColor="background1"/>
              </w:rPr>
            </w:pPr>
            <w:r w:rsidRPr="000E72DD">
              <w:rPr>
                <w:rFonts w:ascii="CIDFont+F1" w:eastAsiaTheme="minorHAnsi" w:hAnsi="CIDFont+F1" w:cs="CIDFont+F1"/>
                <w:noProof/>
                <w:color w:val="FFFFFF" w:themeColor="background1"/>
                <w:lang w:eastAsia="en-US"/>
              </w:rPr>
              <w:drawing>
                <wp:inline distT="0" distB="0" distL="0" distR="0" wp14:anchorId="0E822552" wp14:editId="31DE7FB9">
                  <wp:extent cx="609600" cy="609600"/>
                  <wp:effectExtent l="0" t="0" r="0" b="0"/>
                  <wp:docPr id="546271228" name="Graphic 5462712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09600" cy="609600"/>
                          </a:xfrm>
                          <a:prstGeom prst="rect">
                            <a:avLst/>
                          </a:prstGeom>
                        </pic:spPr>
                      </pic:pic>
                    </a:graphicData>
                  </a:graphic>
                </wp:inline>
              </w:drawing>
            </w:r>
          </w:p>
          <w:p w14:paraId="19F54F73" w14:textId="5F59AF6C" w:rsidR="00077135" w:rsidRPr="000E72DD" w:rsidRDefault="00077135" w:rsidP="008D7462">
            <w:pPr>
              <w:spacing w:before="0"/>
              <w:jc w:val="center"/>
              <w:rPr>
                <w:color w:val="FFFFFF" w:themeColor="background1"/>
              </w:rPr>
            </w:pPr>
            <w:r w:rsidRPr="000E72DD">
              <w:rPr>
                <w:rFonts w:asciiTheme="minorHAnsi" w:hAnsiTheme="minorHAnsi" w:cstheme="minorHAnsi"/>
                <w:color w:val="FFFFFF" w:themeColor="background1"/>
              </w:rPr>
              <w:t>Apply tax based on existing ordinary tax principles, unless there are unforeseen or unintended outcomes.</w:t>
            </w:r>
          </w:p>
        </w:tc>
      </w:tr>
    </w:tbl>
    <w:p w14:paraId="5FC1AAC0" w14:textId="1372BF28" w:rsidR="00717176" w:rsidRPr="00FA1A19" w:rsidRDefault="00717176" w:rsidP="0069352C">
      <w:pPr>
        <w:pStyle w:val="Heading2"/>
      </w:pPr>
      <w:bookmarkStart w:id="66" w:name="_Toc159513590"/>
      <w:bookmarkStart w:id="67" w:name="_Toc132965612"/>
      <w:r w:rsidRPr="00FA1A19">
        <w:t>Introduction</w:t>
      </w:r>
      <w:bookmarkEnd w:id="66"/>
    </w:p>
    <w:p w14:paraId="23C060D7" w14:textId="7375A96F" w:rsidR="00717176" w:rsidRPr="00FA1A19" w:rsidRDefault="00717176" w:rsidP="00717176">
      <w:pPr>
        <w:rPr>
          <w:rFonts w:asciiTheme="minorHAnsi" w:hAnsiTheme="minorHAnsi" w:cstheme="minorBidi"/>
        </w:rPr>
      </w:pPr>
      <w:r w:rsidRPr="00FA1A19">
        <w:rPr>
          <w:rFonts w:asciiTheme="minorHAnsi" w:hAnsiTheme="minorHAnsi" w:cstheme="minorBidi"/>
        </w:rPr>
        <w:t>The purpose of this</w:t>
      </w:r>
      <w:r w:rsidRPr="00FA1A19" w:rsidDel="00A951C5">
        <w:rPr>
          <w:rFonts w:asciiTheme="minorHAnsi" w:hAnsiTheme="minorHAnsi" w:cstheme="minorBidi"/>
        </w:rPr>
        <w:t xml:space="preserve"> </w:t>
      </w:r>
      <w:r w:rsidR="002C78F7" w:rsidRPr="00FA1A19">
        <w:rPr>
          <w:rFonts w:asciiTheme="minorHAnsi" w:hAnsiTheme="minorHAnsi" w:cstheme="minorBidi"/>
        </w:rPr>
        <w:t>c</w:t>
      </w:r>
      <w:r w:rsidR="00A951C5" w:rsidRPr="00FA1A19">
        <w:rPr>
          <w:rFonts w:asciiTheme="minorHAnsi" w:hAnsiTheme="minorHAnsi" w:cstheme="minorBidi"/>
        </w:rPr>
        <w:t>hapter</w:t>
      </w:r>
      <w:r w:rsidRPr="00FA1A19">
        <w:rPr>
          <w:rFonts w:asciiTheme="minorHAnsi" w:hAnsiTheme="minorHAnsi" w:cstheme="minorBidi"/>
        </w:rPr>
        <w:t xml:space="preserve"> is to formulate and explain a set of tax principles (Principles Framework) which should be used when considering the suitability of current Australian taxation laws and/or any amendments to, or creation of new, tax legislation for crypto assets and transactions. </w:t>
      </w:r>
    </w:p>
    <w:p w14:paraId="264FF0D3" w14:textId="77777777" w:rsidR="00717176" w:rsidRPr="00FA1A19" w:rsidRDefault="00717176" w:rsidP="0069352C">
      <w:pPr>
        <w:pStyle w:val="Heading2"/>
      </w:pPr>
      <w:bookmarkStart w:id="68" w:name="_Toc159513591"/>
      <w:r w:rsidRPr="00FA1A19">
        <w:t>Context and purpose</w:t>
      </w:r>
      <w:bookmarkEnd w:id="68"/>
    </w:p>
    <w:p w14:paraId="63D68486" w14:textId="261FE58C" w:rsidR="00717176" w:rsidRPr="00FA1A19" w:rsidRDefault="00717176" w:rsidP="00717176">
      <w:pPr>
        <w:rPr>
          <w:rFonts w:asciiTheme="minorHAnsi" w:hAnsiTheme="minorHAnsi" w:cstheme="minorHAnsi"/>
          <w:szCs w:val="24"/>
        </w:rPr>
      </w:pPr>
      <w:bookmarkStart w:id="69" w:name="_Hlk125557554"/>
      <w:r w:rsidRPr="00FA1A19">
        <w:rPr>
          <w:rFonts w:asciiTheme="minorHAnsi" w:hAnsiTheme="minorHAnsi" w:cstheme="minorHAnsi"/>
          <w:szCs w:val="24"/>
        </w:rPr>
        <w:t>As set out in the Review</w:t>
      </w:r>
      <w:r w:rsidR="00F75232">
        <w:rPr>
          <w:rFonts w:asciiTheme="minorHAnsi" w:hAnsiTheme="minorHAnsi" w:cstheme="minorHAnsi"/>
          <w:szCs w:val="24"/>
        </w:rPr>
        <w:t>’</w:t>
      </w:r>
      <w:r w:rsidRPr="00FA1A19">
        <w:rPr>
          <w:rFonts w:asciiTheme="minorHAnsi" w:hAnsiTheme="minorHAnsi" w:cstheme="minorHAnsi"/>
          <w:szCs w:val="24"/>
        </w:rPr>
        <w:t>s Consultation Guide, in analysing the tax treatment of crypto assets in Australia, from creation to the various forms of exchange or disposal, the Board may recommend the establishment of a set of tax principles, amendments to current Australian taxation laws to comply with these principles, and/or the establishment of a new taxing regime.</w:t>
      </w:r>
    </w:p>
    <w:p w14:paraId="37A6F986" w14:textId="77777777" w:rsidR="00717176" w:rsidRPr="00FA1A19" w:rsidRDefault="00717176" w:rsidP="00717176">
      <w:pPr>
        <w:rPr>
          <w:rFonts w:asciiTheme="minorHAnsi" w:hAnsiTheme="minorHAnsi" w:cstheme="minorHAnsi"/>
          <w:szCs w:val="24"/>
        </w:rPr>
      </w:pPr>
      <w:bookmarkStart w:id="70" w:name="_Hlk125557621"/>
      <w:bookmarkEnd w:id="69"/>
      <w:r w:rsidRPr="00FA1A19">
        <w:rPr>
          <w:rFonts w:asciiTheme="minorHAnsi" w:hAnsiTheme="minorHAnsi" w:cstheme="minorHAnsi"/>
          <w:szCs w:val="24"/>
        </w:rPr>
        <w:t xml:space="preserve">After a detailed analysis of the written submissions and the discussions at consultation meetings, the Board has formulated this Principles Framework to assist the Government in creating, designing, and implementing tax policy responses to current and future issues in the tax treatment of crypto assets and transactions. </w:t>
      </w:r>
    </w:p>
    <w:p w14:paraId="1BBF524A" w14:textId="77777777" w:rsidR="00717176" w:rsidRPr="00FA1A19" w:rsidRDefault="00717176" w:rsidP="0069352C">
      <w:pPr>
        <w:pStyle w:val="Heading2"/>
      </w:pPr>
      <w:bookmarkStart w:id="71" w:name="_Toc159513592"/>
      <w:r w:rsidRPr="00FA1A19">
        <w:t>Consultation</w:t>
      </w:r>
      <w:bookmarkEnd w:id="71"/>
    </w:p>
    <w:p w14:paraId="15C494BC" w14:textId="77777777" w:rsidR="00717176" w:rsidRPr="00FA1A19" w:rsidRDefault="00717176" w:rsidP="00717176">
      <w:pPr>
        <w:rPr>
          <w:rFonts w:asciiTheme="minorHAnsi" w:hAnsiTheme="minorHAnsi" w:cstheme="minorHAnsi"/>
        </w:rPr>
      </w:pPr>
      <w:r w:rsidRPr="00FA1A19">
        <w:rPr>
          <w:rFonts w:asciiTheme="minorHAnsi" w:hAnsiTheme="minorHAnsi" w:cstheme="minorHAnsi"/>
        </w:rPr>
        <w:t>These principles have been developed by the Board through consultations, written submissions received, discussions with revenue authorities from international jurisdictions, and its research and literature review.</w:t>
      </w:r>
    </w:p>
    <w:p w14:paraId="318ABE73" w14:textId="77777777" w:rsidR="00717176" w:rsidRPr="00FA1A19" w:rsidRDefault="00717176" w:rsidP="00717176">
      <w:pPr>
        <w:rPr>
          <w:rFonts w:asciiTheme="minorHAnsi" w:hAnsiTheme="minorHAnsi" w:cstheme="minorBidi"/>
        </w:rPr>
      </w:pPr>
      <w:r w:rsidRPr="00FA1A19">
        <w:rPr>
          <w:rFonts w:asciiTheme="minorHAnsi" w:hAnsiTheme="minorHAnsi" w:cstheme="minorBidi"/>
        </w:rPr>
        <w:t>A number of submissions supported the establishment of a principles framework for developing and reforming Australian taxation of digital assets, including various proposals for what those principles should contain.</w:t>
      </w:r>
      <w:r w:rsidRPr="00170ADC">
        <w:rPr>
          <w:rStyle w:val="FootnoteReference"/>
        </w:rPr>
        <w:footnoteReference w:id="287"/>
      </w:r>
      <w:r w:rsidRPr="00FA1A19">
        <w:rPr>
          <w:rFonts w:asciiTheme="minorHAnsi" w:hAnsiTheme="minorHAnsi" w:cstheme="minorBidi"/>
        </w:rPr>
        <w:t xml:space="preserve"> </w:t>
      </w:r>
    </w:p>
    <w:p w14:paraId="32B90690" w14:textId="77777777" w:rsidR="00717176" w:rsidRPr="00FA1A19" w:rsidRDefault="00717176" w:rsidP="00717176">
      <w:pPr>
        <w:rPr>
          <w:rFonts w:asciiTheme="minorHAnsi" w:hAnsiTheme="minorHAnsi" w:cstheme="minorHAnsi"/>
        </w:rPr>
      </w:pPr>
      <w:bookmarkStart w:id="72" w:name="_Hlk137502445"/>
      <w:r w:rsidRPr="00FA1A19">
        <w:rPr>
          <w:rFonts w:asciiTheme="minorHAnsi" w:hAnsiTheme="minorHAnsi" w:cstheme="minorHAnsi"/>
        </w:rPr>
        <w:t>For example, the Members of the Tax Profession</w:t>
      </w:r>
      <w:bookmarkEnd w:id="72"/>
      <w:r w:rsidRPr="00FA1A19">
        <w:rPr>
          <w:rFonts w:asciiTheme="minorHAnsi" w:hAnsiTheme="minorHAnsi" w:cstheme="minorHAnsi"/>
        </w:rPr>
        <w:t xml:space="preserve"> stated:</w:t>
      </w:r>
      <w:r w:rsidRPr="00170ADC">
        <w:rPr>
          <w:rStyle w:val="FootnoteReference"/>
        </w:rPr>
        <w:footnoteReference w:id="288"/>
      </w:r>
    </w:p>
    <w:p w14:paraId="7F3D9268" w14:textId="77777777" w:rsidR="00717176" w:rsidRPr="00FA1A19" w:rsidRDefault="00717176" w:rsidP="00991EBC">
      <w:pPr>
        <w:pStyle w:val="Quote"/>
      </w:pPr>
      <w:r w:rsidRPr="00FA1A19">
        <w:t>As such, we propose that a set of guiding principles be established to aid taxpayers and tax practitioners to interpret the most appropriate tax treatment. These principles ought to be underpinned by principles of a good tax system, in particular equity, simplicity and ultimately aimed at promoting compliance.</w:t>
      </w:r>
    </w:p>
    <w:p w14:paraId="4FC40614" w14:textId="77777777" w:rsidR="00717176" w:rsidRPr="00FA1A19" w:rsidRDefault="00717176" w:rsidP="00471171">
      <w:pPr>
        <w:pStyle w:val="SingleParagraph"/>
      </w:pPr>
    </w:p>
    <w:tbl>
      <w:tblPr>
        <w:tblStyle w:val="BoTObservation"/>
        <w:tblW w:w="5000" w:type="pct"/>
        <w:tblLook w:val="01E0" w:firstRow="1" w:lastRow="1" w:firstColumn="1" w:lastColumn="1" w:noHBand="0" w:noVBand="0"/>
      </w:tblPr>
      <w:tblGrid>
        <w:gridCol w:w="9641"/>
      </w:tblGrid>
      <w:tr w:rsidR="00717176" w:rsidRPr="00FA1A19" w14:paraId="1BEF7909"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2E29FD84" w14:textId="7954EC0F" w:rsidR="00717176" w:rsidRPr="00FA1A19" w:rsidRDefault="00372633" w:rsidP="003316D7">
            <w:pPr>
              <w:pStyle w:val="BoxHeading1"/>
            </w:pPr>
            <w:r>
              <w:t>Observation </w:t>
            </w:r>
            <w:r w:rsidR="00717176" w:rsidRPr="00FA1A19">
              <w:t>5.1</w:t>
            </w:r>
          </w:p>
        </w:tc>
      </w:tr>
      <w:tr w:rsidR="00717176" w:rsidRPr="00FA1A19" w14:paraId="0BA55D2D"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4D031E11" w14:textId="4BE068E5" w:rsidR="00717176" w:rsidRPr="00FA1A19" w:rsidRDefault="00D21C13">
            <w:pPr>
              <w:rPr>
                <w:rFonts w:asciiTheme="minorHAnsi" w:hAnsiTheme="minorHAnsi" w:cstheme="minorBidi"/>
              </w:rPr>
            </w:pPr>
            <w:r w:rsidRPr="00FA1A19">
              <w:rPr>
                <w:rFonts w:asciiTheme="minorHAnsi" w:hAnsiTheme="minorHAnsi" w:cstheme="minorBidi"/>
              </w:rPr>
              <w:t>T</w:t>
            </w:r>
            <w:r w:rsidR="00717176" w:rsidRPr="00FA1A19">
              <w:rPr>
                <w:rFonts w:asciiTheme="minorHAnsi" w:hAnsiTheme="minorHAnsi" w:cstheme="minorBidi"/>
              </w:rPr>
              <w:t xml:space="preserve">here </w:t>
            </w:r>
            <w:r w:rsidRPr="00FA1A19">
              <w:rPr>
                <w:rFonts w:asciiTheme="minorHAnsi" w:hAnsiTheme="minorHAnsi" w:cstheme="minorBidi"/>
              </w:rPr>
              <w:t xml:space="preserve">was </w:t>
            </w:r>
            <w:r w:rsidR="00450627">
              <w:rPr>
                <w:rFonts w:asciiTheme="minorHAnsi" w:hAnsiTheme="minorHAnsi" w:cstheme="minorBidi"/>
              </w:rPr>
              <w:t>considerable</w:t>
            </w:r>
            <w:r w:rsidR="00201AF1">
              <w:rPr>
                <w:rFonts w:asciiTheme="minorHAnsi" w:hAnsiTheme="minorHAnsi" w:cstheme="minorBidi"/>
              </w:rPr>
              <w:t xml:space="preserve"> </w:t>
            </w:r>
            <w:r w:rsidR="00717176" w:rsidRPr="00FA1A19">
              <w:rPr>
                <w:rFonts w:asciiTheme="minorHAnsi" w:hAnsiTheme="minorHAnsi" w:cstheme="minorBidi"/>
              </w:rPr>
              <w:t xml:space="preserve">support </w:t>
            </w:r>
            <w:r w:rsidRPr="00FA1A19">
              <w:rPr>
                <w:rFonts w:asciiTheme="minorHAnsi" w:hAnsiTheme="minorHAnsi" w:cstheme="minorBidi"/>
              </w:rPr>
              <w:t xml:space="preserve">in consultations </w:t>
            </w:r>
            <w:r w:rsidR="00717176" w:rsidRPr="00FA1A19">
              <w:rPr>
                <w:rFonts w:asciiTheme="minorHAnsi" w:hAnsiTheme="minorHAnsi" w:cstheme="minorBidi"/>
              </w:rPr>
              <w:t xml:space="preserve">for the development of a principles framework for assessing, developing, and </w:t>
            </w:r>
            <w:r w:rsidR="00D47398" w:rsidRPr="00FA1A19">
              <w:rPr>
                <w:rFonts w:asciiTheme="minorHAnsi" w:hAnsiTheme="minorHAnsi" w:cstheme="minorBidi"/>
              </w:rPr>
              <w:t xml:space="preserve">potentially </w:t>
            </w:r>
            <w:r w:rsidR="00717176" w:rsidRPr="00FA1A19">
              <w:rPr>
                <w:rFonts w:asciiTheme="minorHAnsi" w:hAnsiTheme="minorHAnsi" w:cstheme="minorBidi"/>
              </w:rPr>
              <w:t>reforming Australian taxation of digital assets</w:t>
            </w:r>
            <w:r w:rsidR="00917BD7">
              <w:rPr>
                <w:rFonts w:asciiTheme="minorHAnsi" w:hAnsiTheme="minorHAnsi" w:cstheme="minorBidi"/>
              </w:rPr>
              <w:t xml:space="preserve"> and transactions</w:t>
            </w:r>
            <w:r w:rsidR="00717176" w:rsidRPr="00FA1A19">
              <w:rPr>
                <w:rFonts w:asciiTheme="minorHAnsi" w:hAnsiTheme="minorHAnsi" w:cstheme="minorBidi"/>
              </w:rPr>
              <w:t>.</w:t>
            </w:r>
          </w:p>
        </w:tc>
      </w:tr>
      <w:bookmarkEnd w:id="70"/>
    </w:tbl>
    <w:p w14:paraId="2C263FC1" w14:textId="77777777" w:rsidR="00471171" w:rsidRDefault="00471171" w:rsidP="00471171">
      <w:pPr>
        <w:pStyle w:val="SingleParagraph"/>
      </w:pPr>
    </w:p>
    <w:p w14:paraId="2E6D29A7" w14:textId="5B3A6A07" w:rsidR="00E32790" w:rsidRPr="00FA1A19" w:rsidRDefault="00246EB1" w:rsidP="00E32790">
      <w:pPr>
        <w:spacing w:before="240"/>
        <w:rPr>
          <w:rFonts w:asciiTheme="minorHAnsi" w:hAnsiTheme="minorHAnsi" w:cstheme="minorBidi"/>
        </w:rPr>
      </w:pPr>
      <w:r>
        <w:rPr>
          <w:rFonts w:asciiTheme="minorHAnsi" w:hAnsiTheme="minorHAnsi" w:cstheme="minorBidi"/>
        </w:rPr>
        <w:t>This</w:t>
      </w:r>
      <w:r w:rsidR="00025CC7" w:rsidRPr="00FA1A19">
        <w:rPr>
          <w:rFonts w:asciiTheme="minorHAnsi" w:hAnsiTheme="minorHAnsi" w:cstheme="minorBidi"/>
        </w:rPr>
        <w:t xml:space="preserve"> </w:t>
      </w:r>
      <w:r w:rsidR="00450627">
        <w:rPr>
          <w:rFonts w:asciiTheme="minorHAnsi" w:hAnsiTheme="minorHAnsi" w:cstheme="minorBidi"/>
        </w:rPr>
        <w:t>considerable</w:t>
      </w:r>
      <w:r w:rsidR="00025CC7">
        <w:rPr>
          <w:rFonts w:asciiTheme="minorHAnsi" w:hAnsiTheme="minorHAnsi" w:cstheme="minorBidi"/>
        </w:rPr>
        <w:t xml:space="preserve"> </w:t>
      </w:r>
      <w:r w:rsidR="00025CC7" w:rsidRPr="00FA1A19">
        <w:rPr>
          <w:rFonts w:asciiTheme="minorHAnsi" w:hAnsiTheme="minorHAnsi" w:cstheme="minorBidi"/>
        </w:rPr>
        <w:t>support in consultations for the development of a principles framework for assessing, developing, and potentially reforming Australian taxation of digital assets</w:t>
      </w:r>
      <w:r w:rsidR="00025CC7">
        <w:rPr>
          <w:rFonts w:asciiTheme="minorHAnsi" w:hAnsiTheme="minorHAnsi" w:cstheme="minorBidi"/>
        </w:rPr>
        <w:t xml:space="preserve">. </w:t>
      </w:r>
      <w:r w:rsidR="00E32790" w:rsidRPr="00FA1A19">
        <w:rPr>
          <w:rFonts w:asciiTheme="minorHAnsi" w:hAnsiTheme="minorHAnsi" w:cstheme="minorBidi"/>
        </w:rPr>
        <w:t>There was not, however, universal support for a principles</w:t>
      </w:r>
      <w:r w:rsidR="00F75232">
        <w:rPr>
          <w:rFonts w:asciiTheme="minorHAnsi" w:hAnsiTheme="minorHAnsi" w:cstheme="minorBidi"/>
        </w:rPr>
        <w:noBreakHyphen/>
      </w:r>
      <w:r w:rsidR="00E32790" w:rsidRPr="00FA1A19">
        <w:rPr>
          <w:rFonts w:asciiTheme="minorHAnsi" w:hAnsiTheme="minorHAnsi" w:cstheme="minorBidi"/>
        </w:rPr>
        <w:t xml:space="preserve">based approach to </w:t>
      </w:r>
      <w:r w:rsidR="00F9519F" w:rsidRPr="00FA1A19">
        <w:rPr>
          <w:rFonts w:asciiTheme="minorHAnsi" w:hAnsiTheme="minorHAnsi" w:cstheme="minorBidi"/>
        </w:rPr>
        <w:t>the</w:t>
      </w:r>
      <w:r w:rsidR="00E32790" w:rsidRPr="00FA1A19">
        <w:rPr>
          <w:rFonts w:asciiTheme="minorHAnsi" w:hAnsiTheme="minorHAnsi" w:cstheme="minorBidi"/>
        </w:rPr>
        <w:t xml:space="preserve"> drafting</w:t>
      </w:r>
      <w:r w:rsidR="00F9519F" w:rsidRPr="00FA1A19">
        <w:rPr>
          <w:rFonts w:asciiTheme="minorHAnsi" w:hAnsiTheme="minorHAnsi" w:cstheme="minorBidi"/>
        </w:rPr>
        <w:t xml:space="preserve"> of any proposed legislation to deal with crypto assets and transactions</w:t>
      </w:r>
      <w:r w:rsidR="00E32790" w:rsidRPr="00FA1A19">
        <w:rPr>
          <w:rFonts w:asciiTheme="minorHAnsi" w:hAnsiTheme="minorHAnsi" w:cstheme="minorBidi"/>
        </w:rPr>
        <w:t>.</w:t>
      </w:r>
      <w:r w:rsidR="004F0A51" w:rsidRPr="00FA1A19">
        <w:rPr>
          <w:rFonts w:asciiTheme="minorHAnsi" w:hAnsiTheme="minorHAnsi" w:cstheme="minorBidi"/>
        </w:rPr>
        <w:t xml:space="preserve"> </w:t>
      </w:r>
      <w:r w:rsidR="00E32790" w:rsidRPr="00FA1A19">
        <w:rPr>
          <w:rFonts w:asciiTheme="minorHAnsi" w:hAnsiTheme="minorHAnsi" w:cstheme="minorBidi"/>
        </w:rPr>
        <w:t>The Law Council of Australia argued that:</w:t>
      </w:r>
    </w:p>
    <w:p w14:paraId="2CE3B2DA" w14:textId="5606ADCC" w:rsidR="00E32790" w:rsidRPr="00FA1A19" w:rsidRDefault="00E32790" w:rsidP="00991EBC">
      <w:pPr>
        <w:pStyle w:val="Quote"/>
      </w:pPr>
      <w:r w:rsidRPr="00FA1A19">
        <w:t>There are a number of examples in the tax law where a principles</w:t>
      </w:r>
      <w:r w:rsidR="00F75232">
        <w:noBreakHyphen/>
      </w:r>
      <w:r w:rsidRPr="00FA1A19">
        <w:t>based approach has led to overreliance on the Explanatory Memorandum and lengthy ATO companion documents on the meaning of generalised terms in the legislation. This can lead to uncertainty for taxpayers and tax advisors until the Courts are able to consider the legislation, which can take many years after the relevant law has been introduced.</w:t>
      </w:r>
      <w:r w:rsidR="00025CC7" w:rsidRPr="00170ADC">
        <w:rPr>
          <w:rStyle w:val="FootnoteReference"/>
        </w:rPr>
        <w:t xml:space="preserve"> </w:t>
      </w:r>
      <w:r w:rsidR="00025CC7" w:rsidRPr="00170ADC">
        <w:rPr>
          <w:rStyle w:val="FootnoteReference"/>
        </w:rPr>
        <w:footnoteReference w:id="289"/>
      </w:r>
    </w:p>
    <w:p w14:paraId="61F44982" w14:textId="77777777" w:rsidR="00717176" w:rsidRPr="00FA1A19" w:rsidRDefault="00717176" w:rsidP="0069352C">
      <w:pPr>
        <w:pStyle w:val="Heading2"/>
      </w:pPr>
      <w:bookmarkStart w:id="73" w:name="_Toc159513593"/>
      <w:r w:rsidRPr="00FA1A19">
        <w:t>Policy Objectives</w:t>
      </w:r>
      <w:bookmarkEnd w:id="73"/>
    </w:p>
    <w:p w14:paraId="73B4E8F9" w14:textId="4EBE1B76" w:rsidR="00717176" w:rsidRPr="00FA1A19" w:rsidRDefault="00717176" w:rsidP="00717176">
      <w:pPr>
        <w:rPr>
          <w:rFonts w:asciiTheme="minorHAnsi" w:hAnsiTheme="minorHAnsi" w:cstheme="minorHAnsi"/>
          <w:szCs w:val="24"/>
        </w:rPr>
      </w:pPr>
      <w:r w:rsidRPr="00FA1A19">
        <w:rPr>
          <w:rFonts w:asciiTheme="minorHAnsi" w:hAnsiTheme="minorHAnsi" w:cstheme="minorHAnsi"/>
          <w:szCs w:val="24"/>
        </w:rPr>
        <w:t>The tax treatment of crypto assets should have regard to the Government</w:t>
      </w:r>
      <w:r w:rsidR="00F75232">
        <w:rPr>
          <w:rFonts w:asciiTheme="minorHAnsi" w:hAnsiTheme="minorHAnsi" w:cstheme="minorHAnsi"/>
          <w:szCs w:val="24"/>
        </w:rPr>
        <w:t>’</w:t>
      </w:r>
      <w:r w:rsidRPr="00FA1A19">
        <w:rPr>
          <w:rFonts w:asciiTheme="minorHAnsi" w:hAnsiTheme="minorHAnsi" w:cstheme="minorHAnsi"/>
          <w:szCs w:val="24"/>
        </w:rPr>
        <w:t>s policy objectives for the regulation of crypto assets which include protecting consumers and ensuring true innovation can flourish. In order to improve the regulation of crypto assets the Government is strengthening enforcement, bolstering consumer protection, and establishing a framework for reform.</w:t>
      </w:r>
    </w:p>
    <w:p w14:paraId="7E5A961C" w14:textId="47DD3B3E" w:rsidR="00717176" w:rsidRPr="00FA1A19" w:rsidRDefault="00717176" w:rsidP="00717176">
      <w:pPr>
        <w:rPr>
          <w:rFonts w:asciiTheme="minorHAnsi" w:hAnsiTheme="minorHAnsi" w:cstheme="minorBidi"/>
        </w:rPr>
      </w:pPr>
      <w:r w:rsidRPr="00FA1A19">
        <w:rPr>
          <w:rFonts w:asciiTheme="minorHAnsi" w:hAnsiTheme="minorHAnsi" w:cstheme="minorBidi"/>
        </w:rPr>
        <w:t>T</w:t>
      </w:r>
      <w:r w:rsidR="002B28F2">
        <w:rPr>
          <w:rFonts w:asciiTheme="minorHAnsi" w:hAnsiTheme="minorHAnsi" w:cstheme="minorBidi"/>
        </w:rPr>
        <w:t>he T</w:t>
      </w:r>
      <w:r w:rsidRPr="00FA1A19">
        <w:rPr>
          <w:rFonts w:asciiTheme="minorHAnsi" w:hAnsiTheme="minorHAnsi" w:cstheme="minorBidi"/>
        </w:rPr>
        <w:t>reasury released its token mapping consultation paper in early 2023. The paper provided a framework for understanding crypto tokens and related services from a practical legal and technical perspective. It applied this framework to analysing the suitability of the existing financial services laws in the context of consumer protection. While the paper did not specifically consider all policy objectives (such as tax transparency</w:t>
      </w:r>
      <w:r w:rsidR="00DB71C0">
        <w:rPr>
          <w:rFonts w:asciiTheme="minorHAnsi" w:hAnsiTheme="minorHAnsi" w:cstheme="minorBidi"/>
        </w:rPr>
        <w:t xml:space="preserve"> and</w:t>
      </w:r>
      <w:r w:rsidR="00DB71C0" w:rsidRPr="00FA1A19">
        <w:rPr>
          <w:rFonts w:asciiTheme="minorHAnsi" w:hAnsiTheme="minorHAnsi" w:cstheme="minorBidi"/>
        </w:rPr>
        <w:t xml:space="preserve"> </w:t>
      </w:r>
      <w:r w:rsidRPr="00FA1A19">
        <w:rPr>
          <w:rFonts w:asciiTheme="minorHAnsi" w:hAnsiTheme="minorHAnsi" w:cstheme="minorBidi"/>
        </w:rPr>
        <w:t xml:space="preserve">financial stability), the framework contained in the paper provides a practical starting point for such an exercise. In October 2023, the Government released a Proposal </w:t>
      </w:r>
      <w:r w:rsidR="00413997">
        <w:rPr>
          <w:rFonts w:asciiTheme="minorHAnsi" w:hAnsiTheme="minorHAnsi" w:cstheme="minorBidi"/>
        </w:rPr>
        <w:t>P</w:t>
      </w:r>
      <w:r w:rsidRPr="00FA1A19">
        <w:rPr>
          <w:rFonts w:asciiTheme="minorHAnsi" w:hAnsiTheme="minorHAnsi" w:cstheme="minorBidi"/>
        </w:rPr>
        <w:t>aper</w:t>
      </w:r>
      <w:r w:rsidR="00ED3C98">
        <w:rPr>
          <w:rFonts w:asciiTheme="minorHAnsi" w:hAnsiTheme="minorHAnsi" w:cstheme="minorBidi"/>
        </w:rPr>
        <w:t xml:space="preserve"> </w:t>
      </w:r>
      <w:r w:rsidRPr="00FA1A19">
        <w:rPr>
          <w:rFonts w:asciiTheme="minorHAnsi" w:hAnsiTheme="minorHAnsi" w:cstheme="minorBidi"/>
        </w:rPr>
        <w:t>seeking views on its proposal to incorporate digital asset platforms and other intermediaries within the existing financial services framework.</w:t>
      </w:r>
      <w:r w:rsidR="00ED3C98" w:rsidRPr="00ED3C98">
        <w:rPr>
          <w:rStyle w:val="FootnoteReference"/>
        </w:rPr>
        <w:t xml:space="preserve"> </w:t>
      </w:r>
      <w:r w:rsidR="00ED3C98" w:rsidRPr="00170ADC">
        <w:rPr>
          <w:rStyle w:val="FootnoteReference"/>
        </w:rPr>
        <w:footnoteReference w:id="290"/>
      </w:r>
      <w:r w:rsidR="00ED3C98" w:rsidRPr="00FA1A19">
        <w:rPr>
          <w:rFonts w:asciiTheme="minorHAnsi" w:hAnsiTheme="minorHAnsi" w:cstheme="minorBidi"/>
        </w:rPr>
        <w:t xml:space="preserve"> </w:t>
      </w:r>
      <w:r w:rsidRPr="00FA1A19">
        <w:rPr>
          <w:rFonts w:asciiTheme="minorHAnsi" w:hAnsiTheme="minorHAnsi" w:cstheme="minorBidi"/>
        </w:rPr>
        <w:t xml:space="preserve"> </w:t>
      </w:r>
    </w:p>
    <w:p w14:paraId="7B6AFE3A" w14:textId="51ACB4E3" w:rsidR="00717176" w:rsidRPr="00FA1A19" w:rsidRDefault="00717176" w:rsidP="0069352C">
      <w:pPr>
        <w:pStyle w:val="Heading2"/>
      </w:pPr>
      <w:bookmarkStart w:id="74" w:name="_Toc159513594"/>
      <w:bookmarkStart w:id="75" w:name="_Hlk125557924"/>
      <w:r w:rsidRPr="00FA1A19">
        <w:t>The Board</w:t>
      </w:r>
      <w:r w:rsidR="00F75232">
        <w:t>’</w:t>
      </w:r>
      <w:r w:rsidRPr="00FA1A19">
        <w:t>s view</w:t>
      </w:r>
      <w:bookmarkEnd w:id="74"/>
    </w:p>
    <w:p w14:paraId="52A7E1D8" w14:textId="1DD856A2" w:rsidR="00717176" w:rsidRPr="00FA1A19" w:rsidRDefault="00717176" w:rsidP="00717176">
      <w:r w:rsidRPr="00FA1A19">
        <w:t xml:space="preserve">The review is undertaken in the context of </w:t>
      </w:r>
      <w:r w:rsidR="00CD3909" w:rsidRPr="00FA1A19">
        <w:t>extensive</w:t>
      </w:r>
      <w:r w:rsidR="0090777C" w:rsidRPr="00FA1A19">
        <w:t xml:space="preserve"> </w:t>
      </w:r>
      <w:r w:rsidR="00122846">
        <w:t>g</w:t>
      </w:r>
      <w:r w:rsidR="00122846" w:rsidRPr="00FA1A19">
        <w:t xml:space="preserve">overnment </w:t>
      </w:r>
      <w:r w:rsidRPr="00FA1A19">
        <w:t xml:space="preserve">consideration of crypto assets and their regulation. In this context, the Board has taken the approach at this early stage in the rapidly developing crypto asset market </w:t>
      </w:r>
      <w:r w:rsidR="00CD3909" w:rsidRPr="00FA1A19">
        <w:t xml:space="preserve">and related regulatory regime </w:t>
      </w:r>
      <w:r w:rsidRPr="00FA1A19">
        <w:t>that it should only recommend any legislative change to deal with the taxation of crypto assets in either of the following two circumstances:</w:t>
      </w:r>
    </w:p>
    <w:p w14:paraId="4EBC2280" w14:textId="3EEB8CC1" w:rsidR="00185CDC" w:rsidRPr="00FA1A19" w:rsidRDefault="003F08F1" w:rsidP="00471171">
      <w:pPr>
        <w:pStyle w:val="Bullet"/>
      </w:pPr>
      <w:r w:rsidRPr="00FA1A19">
        <w:t>It is clear that t</w:t>
      </w:r>
      <w:r w:rsidR="00717176" w:rsidRPr="00FA1A19">
        <w:t xml:space="preserve">he current tax system does not deal properly or adequately with crypto assets or certain types of crypto assets. </w:t>
      </w:r>
    </w:p>
    <w:p w14:paraId="025A8FDF" w14:textId="60145F0A" w:rsidR="00717176" w:rsidRPr="00FA1A19" w:rsidRDefault="00717176" w:rsidP="00471171">
      <w:pPr>
        <w:pStyle w:val="Bullet"/>
      </w:pPr>
      <w:r w:rsidRPr="00FA1A19">
        <w:t>The current crypto asset market is such that there is significant leakage of Australia</w:t>
      </w:r>
      <w:r w:rsidR="00F75232">
        <w:t>’</w:t>
      </w:r>
      <w:r w:rsidRPr="00FA1A19">
        <w:t>s revenue base, the prevention of which requires legislative change.</w:t>
      </w:r>
    </w:p>
    <w:p w14:paraId="386960F0" w14:textId="252BBA49" w:rsidR="00717176" w:rsidRPr="00FA1A19" w:rsidRDefault="00717176" w:rsidP="00717176">
      <w:pPr>
        <w:spacing w:after="160" w:line="259" w:lineRule="auto"/>
        <w:rPr>
          <w:rFonts w:asciiTheme="minorHAnsi" w:hAnsiTheme="minorHAnsi" w:cstheme="minorBidi"/>
        </w:rPr>
      </w:pPr>
      <w:r w:rsidRPr="00FA1A19">
        <w:t>Any proposed legislative change should seek to provide a long</w:t>
      </w:r>
      <w:r w:rsidR="00F75232">
        <w:noBreakHyphen/>
      </w:r>
      <w:r w:rsidRPr="00FA1A19">
        <w:t>term solution, rather than a short</w:t>
      </w:r>
      <w:r w:rsidR="00F75232">
        <w:noBreakHyphen/>
      </w:r>
      <w:r w:rsidRPr="00FA1A19">
        <w:t>term solution, to a confirmed issue regardless of the way in which the crypto asset market develops and matures.</w:t>
      </w:r>
      <w:r w:rsidR="004F0A51" w:rsidRPr="00FA1A19">
        <w:t xml:space="preserve"> </w:t>
      </w:r>
      <w:r w:rsidR="75C9A39D" w:rsidRPr="00FA1A19">
        <w:t>The Principles Framework provides</w:t>
      </w:r>
      <w:r w:rsidR="62B16096" w:rsidRPr="00FA1A19">
        <w:rPr>
          <w:rFonts w:asciiTheme="minorHAnsi" w:hAnsiTheme="minorHAnsi" w:cstheme="minorBidi"/>
        </w:rPr>
        <w:t xml:space="preserve"> a </w:t>
      </w:r>
      <w:r w:rsidR="75C9A39D" w:rsidRPr="00FA1A19">
        <w:t>methodology</w:t>
      </w:r>
      <w:r w:rsidR="62B16096" w:rsidRPr="00FA1A19">
        <w:rPr>
          <w:rFonts w:asciiTheme="minorHAnsi" w:hAnsiTheme="minorHAnsi" w:cstheme="minorBidi"/>
        </w:rPr>
        <w:t xml:space="preserve"> </w:t>
      </w:r>
      <w:r w:rsidR="02333CDD" w:rsidRPr="00FA1A19">
        <w:rPr>
          <w:rFonts w:asciiTheme="minorHAnsi" w:hAnsiTheme="minorHAnsi" w:cstheme="minorBidi"/>
        </w:rPr>
        <w:t xml:space="preserve">for </w:t>
      </w:r>
      <w:r w:rsidR="62B16096" w:rsidRPr="00FA1A19">
        <w:rPr>
          <w:rFonts w:asciiTheme="minorHAnsi" w:hAnsiTheme="minorHAnsi" w:cstheme="minorBidi"/>
        </w:rPr>
        <w:t>assess</w:t>
      </w:r>
      <w:r w:rsidR="057B4F28" w:rsidRPr="00FA1A19">
        <w:rPr>
          <w:rFonts w:asciiTheme="minorHAnsi" w:hAnsiTheme="minorHAnsi" w:cstheme="minorBidi"/>
        </w:rPr>
        <w:t xml:space="preserve">ing the effectiveness of the current tax system in dealing with digital assets </w:t>
      </w:r>
      <w:r w:rsidR="48DF8847" w:rsidRPr="00FA1A19">
        <w:rPr>
          <w:rFonts w:asciiTheme="minorHAnsi" w:hAnsiTheme="minorHAnsi" w:cstheme="minorBidi"/>
        </w:rPr>
        <w:t>and for determining when</w:t>
      </w:r>
      <w:r w:rsidR="62B16096" w:rsidRPr="00FA1A19">
        <w:rPr>
          <w:rFonts w:asciiTheme="minorHAnsi" w:hAnsiTheme="minorHAnsi" w:cstheme="minorBidi"/>
        </w:rPr>
        <w:t xml:space="preserve"> reform </w:t>
      </w:r>
      <w:r w:rsidR="68ED4BA4" w:rsidRPr="00FA1A19">
        <w:rPr>
          <w:rFonts w:asciiTheme="minorHAnsi" w:hAnsiTheme="minorHAnsi" w:cstheme="minorBidi"/>
        </w:rPr>
        <w:t>may be required.</w:t>
      </w:r>
    </w:p>
    <w:p w14:paraId="1F584F64" w14:textId="1013A387" w:rsidR="009E07EA" w:rsidRPr="00FA1A19" w:rsidRDefault="009E07EA" w:rsidP="00717176">
      <w:pPr>
        <w:spacing w:after="160" w:line="259" w:lineRule="auto"/>
        <w:rPr>
          <w:rFonts w:asciiTheme="minorHAnsi" w:hAnsiTheme="minorHAnsi" w:cstheme="minorBidi"/>
        </w:rPr>
      </w:pPr>
      <w:r w:rsidRPr="00FA1A19">
        <w:rPr>
          <w:rFonts w:asciiTheme="minorHAnsi" w:hAnsiTheme="minorHAnsi" w:cstheme="minorBidi"/>
        </w:rPr>
        <w:t xml:space="preserve">In assessing </w:t>
      </w:r>
      <w:r w:rsidR="00E87943" w:rsidRPr="00FA1A19">
        <w:rPr>
          <w:rFonts w:asciiTheme="minorHAnsi" w:hAnsiTheme="minorHAnsi" w:cstheme="minorBidi"/>
        </w:rPr>
        <w:t xml:space="preserve">any proposed measure by reference to the </w:t>
      </w:r>
      <w:r w:rsidR="009535B0">
        <w:rPr>
          <w:rFonts w:asciiTheme="minorHAnsi" w:hAnsiTheme="minorHAnsi" w:cstheme="minorBidi"/>
        </w:rPr>
        <w:t>P</w:t>
      </w:r>
      <w:r w:rsidR="009535B0" w:rsidRPr="00FA1A19">
        <w:rPr>
          <w:rFonts w:asciiTheme="minorHAnsi" w:hAnsiTheme="minorHAnsi" w:cstheme="minorBidi"/>
        </w:rPr>
        <w:t xml:space="preserve">rinciples </w:t>
      </w:r>
      <w:r w:rsidR="009535B0">
        <w:rPr>
          <w:rFonts w:asciiTheme="minorHAnsi" w:hAnsiTheme="minorHAnsi" w:cstheme="minorBidi"/>
        </w:rPr>
        <w:t>F</w:t>
      </w:r>
      <w:r w:rsidR="009535B0" w:rsidRPr="00FA1A19">
        <w:rPr>
          <w:rFonts w:asciiTheme="minorHAnsi" w:hAnsiTheme="minorHAnsi" w:cstheme="minorBidi"/>
        </w:rPr>
        <w:t>ramework</w:t>
      </w:r>
      <w:r w:rsidR="00E87943" w:rsidRPr="00FA1A19">
        <w:rPr>
          <w:rFonts w:asciiTheme="minorHAnsi" w:hAnsiTheme="minorHAnsi" w:cstheme="minorBidi"/>
        </w:rPr>
        <w:t>, all relevant factors should be considered.</w:t>
      </w:r>
      <w:r w:rsidR="004F0A51" w:rsidRPr="00FA1A19">
        <w:rPr>
          <w:rFonts w:asciiTheme="minorHAnsi" w:hAnsiTheme="minorHAnsi" w:cstheme="minorBidi"/>
        </w:rPr>
        <w:t xml:space="preserve"> </w:t>
      </w:r>
      <w:r w:rsidR="00D54B04" w:rsidRPr="00FA1A19">
        <w:rPr>
          <w:rFonts w:asciiTheme="minorHAnsi" w:hAnsiTheme="minorHAnsi" w:cstheme="minorBidi"/>
        </w:rPr>
        <w:t>Relevant factors may in some circumstances include features of the crypto ecosystem that have been the subject of criticism, such as</w:t>
      </w:r>
      <w:r w:rsidR="00E81845" w:rsidRPr="00FA1A19">
        <w:rPr>
          <w:rFonts w:asciiTheme="minorHAnsi" w:hAnsiTheme="minorHAnsi" w:cstheme="minorBidi"/>
        </w:rPr>
        <w:t xml:space="preserve"> risks and integrity concerns </w:t>
      </w:r>
      <w:r w:rsidR="009D5F19" w:rsidRPr="00FA1A19">
        <w:rPr>
          <w:rFonts w:asciiTheme="minorHAnsi" w:hAnsiTheme="minorHAnsi" w:cstheme="minorBidi"/>
        </w:rPr>
        <w:t xml:space="preserve">associated with crypto assets including </w:t>
      </w:r>
      <w:r w:rsidR="006F6FB3" w:rsidRPr="00FA1A19">
        <w:rPr>
          <w:rFonts w:asciiTheme="minorHAnsi" w:hAnsiTheme="minorHAnsi" w:cstheme="minorBidi"/>
        </w:rPr>
        <w:t xml:space="preserve">the potential for </w:t>
      </w:r>
      <w:r w:rsidR="009D5F19" w:rsidRPr="00FA1A19">
        <w:rPr>
          <w:rFonts w:asciiTheme="minorHAnsi" w:hAnsiTheme="minorHAnsi" w:cstheme="minorBidi"/>
        </w:rPr>
        <w:t xml:space="preserve">dealings (including criminal dealings) </w:t>
      </w:r>
      <w:r w:rsidR="006F6FB3" w:rsidRPr="00FA1A19">
        <w:rPr>
          <w:rFonts w:asciiTheme="minorHAnsi" w:hAnsiTheme="minorHAnsi" w:cstheme="minorBidi"/>
        </w:rPr>
        <w:t xml:space="preserve">designed to </w:t>
      </w:r>
      <w:r w:rsidR="00163AB2" w:rsidRPr="00FA1A19">
        <w:rPr>
          <w:rFonts w:asciiTheme="minorHAnsi" w:hAnsiTheme="minorHAnsi" w:cstheme="minorBidi"/>
        </w:rPr>
        <w:t xml:space="preserve">circumvent regulation and </w:t>
      </w:r>
      <w:r w:rsidR="0035593C">
        <w:rPr>
          <w:rFonts w:asciiTheme="minorHAnsi" w:hAnsiTheme="minorHAnsi" w:cstheme="minorBidi"/>
        </w:rPr>
        <w:t>g</w:t>
      </w:r>
      <w:r w:rsidR="00163AB2" w:rsidRPr="00FA1A19">
        <w:rPr>
          <w:rFonts w:asciiTheme="minorHAnsi" w:hAnsiTheme="minorHAnsi" w:cstheme="minorBidi"/>
        </w:rPr>
        <w:t>overnment scrutiny</w:t>
      </w:r>
      <w:r w:rsidR="00571B1D" w:rsidRPr="00FA1A19">
        <w:rPr>
          <w:rFonts w:asciiTheme="minorHAnsi" w:hAnsiTheme="minorHAnsi" w:cstheme="minorBidi"/>
        </w:rPr>
        <w:t xml:space="preserve"> and the role of crypto assets in phoenix arrangements.</w:t>
      </w:r>
      <w:r w:rsidR="004F0A51" w:rsidRPr="00FA1A19">
        <w:rPr>
          <w:rFonts w:asciiTheme="minorHAnsi" w:hAnsiTheme="minorHAnsi" w:cstheme="minorBidi"/>
        </w:rPr>
        <w:t xml:space="preserve"> </w:t>
      </w:r>
      <w:r w:rsidR="00571B1D" w:rsidRPr="00FA1A19">
        <w:rPr>
          <w:rFonts w:asciiTheme="minorHAnsi" w:hAnsiTheme="minorHAnsi" w:cstheme="minorBidi"/>
        </w:rPr>
        <w:t xml:space="preserve">For further see </w:t>
      </w:r>
      <w:r w:rsidR="00372633">
        <w:rPr>
          <w:rFonts w:asciiTheme="minorHAnsi" w:hAnsiTheme="minorHAnsi" w:cstheme="minorBidi"/>
        </w:rPr>
        <w:t>Chapter </w:t>
      </w:r>
      <w:r w:rsidR="00571B1D" w:rsidRPr="00FA1A19">
        <w:rPr>
          <w:rFonts w:asciiTheme="minorHAnsi" w:hAnsiTheme="minorHAnsi" w:cstheme="minorBidi"/>
        </w:rPr>
        <w:t>4.</w:t>
      </w:r>
    </w:p>
    <w:p w14:paraId="3DB8BBD1" w14:textId="7696E798" w:rsidR="00717176" w:rsidRPr="00471171" w:rsidRDefault="00717176" w:rsidP="0069352C">
      <w:pPr>
        <w:pStyle w:val="Heading2"/>
      </w:pPr>
      <w:bookmarkStart w:id="76" w:name="_Toc159513595"/>
      <w:bookmarkEnd w:id="75"/>
      <w:r w:rsidRPr="00FA1A19">
        <w:t>Principles</w:t>
      </w:r>
      <w:bookmarkEnd w:id="76"/>
    </w:p>
    <w:p w14:paraId="730A1897" w14:textId="77777777" w:rsidR="00717176" w:rsidRPr="00471171" w:rsidRDefault="00717176" w:rsidP="00342121">
      <w:pPr>
        <w:pStyle w:val="Heading3"/>
      </w:pPr>
      <w:r w:rsidRPr="00471171">
        <w:t>Principle 1: The law should promote certainty, simplicity and integrity</w:t>
      </w:r>
      <w:bookmarkStart w:id="77" w:name="_Hlk125569769"/>
      <w:r w:rsidRPr="00471171">
        <w:t>.</w:t>
      </w:r>
    </w:p>
    <w:bookmarkEnd w:id="77"/>
    <w:p w14:paraId="655E46A0" w14:textId="77777777" w:rsidR="00717176" w:rsidRPr="00FA1A19" w:rsidRDefault="00717176" w:rsidP="00717176">
      <w:pPr>
        <w:rPr>
          <w:rFonts w:asciiTheme="minorHAnsi" w:hAnsiTheme="minorHAnsi" w:cstheme="minorHAnsi"/>
        </w:rPr>
      </w:pPr>
      <w:r w:rsidRPr="00FA1A19">
        <w:rPr>
          <w:rFonts w:asciiTheme="minorHAnsi" w:hAnsiTheme="minorHAnsi" w:cstheme="minorHAnsi"/>
        </w:rPr>
        <w:t>Any current or new taxation law relating to crypto assets and transactions should be updated or designed to provide certain, clear and consistent outcomes for the taxpayer.</w:t>
      </w:r>
    </w:p>
    <w:p w14:paraId="6CC84602" w14:textId="77777777" w:rsidR="00717176" w:rsidRPr="00FA1A19" w:rsidRDefault="00717176" w:rsidP="00717176">
      <w:pPr>
        <w:rPr>
          <w:rFonts w:asciiTheme="minorHAnsi" w:hAnsiTheme="minorHAnsi" w:cstheme="minorHAnsi"/>
        </w:rPr>
      </w:pPr>
      <w:r w:rsidRPr="00FA1A19">
        <w:rPr>
          <w:rFonts w:asciiTheme="minorHAnsi" w:hAnsiTheme="minorHAnsi" w:cstheme="minorHAnsi"/>
        </w:rPr>
        <w:t xml:space="preserve">Principle 1 seeks to achieve the following goals: </w:t>
      </w:r>
    </w:p>
    <w:p w14:paraId="5A32AB6B" w14:textId="77777777" w:rsidR="00717176" w:rsidRPr="00FA1A19" w:rsidRDefault="00717176" w:rsidP="0069352C">
      <w:pPr>
        <w:pStyle w:val="Heading4"/>
      </w:pPr>
      <w:r w:rsidRPr="00FA1A19">
        <w:t xml:space="preserve">Support </w:t>
      </w:r>
      <w:r w:rsidRPr="00471171">
        <w:t>taxpayer</w:t>
      </w:r>
      <w:r w:rsidRPr="00FA1A19">
        <w:t xml:space="preserve"> compliance</w:t>
      </w:r>
    </w:p>
    <w:p w14:paraId="64E708E7" w14:textId="77777777" w:rsidR="00717176" w:rsidRPr="00FA1A19" w:rsidRDefault="00717176" w:rsidP="00471171">
      <w:pPr>
        <w:pStyle w:val="Bullet"/>
        <w:rPr>
          <w:rFonts w:cstheme="minorHAnsi"/>
        </w:rPr>
      </w:pPr>
      <w:r w:rsidRPr="00FA1A19">
        <w:t xml:space="preserve">Be clear and simple to understand to enable taxpayers to determine the correct tax treatment. </w:t>
      </w:r>
    </w:p>
    <w:p w14:paraId="0E4D6861" w14:textId="77777777" w:rsidR="00717176" w:rsidRPr="00FA1A19" w:rsidRDefault="00717176" w:rsidP="00471171">
      <w:pPr>
        <w:pStyle w:val="Bullet"/>
        <w:rPr>
          <w:rFonts w:cstheme="minorHAnsi"/>
        </w:rPr>
      </w:pPr>
      <w:r w:rsidRPr="00FA1A19">
        <w:t>Provide taxpayers with access to reporting and records to enable them to comply with their taxation obligations.</w:t>
      </w:r>
    </w:p>
    <w:p w14:paraId="4AA9F847" w14:textId="77777777" w:rsidR="00717176" w:rsidRPr="00FA1A19" w:rsidRDefault="00717176" w:rsidP="00471171">
      <w:pPr>
        <w:pStyle w:val="Bullet"/>
        <w:rPr>
          <w:rFonts w:cstheme="minorHAnsi"/>
        </w:rPr>
      </w:pPr>
      <w:r w:rsidRPr="00FA1A19">
        <w:t>Regulators must provide certainty in relation to the evidentiary requirements for complying with these obligations.</w:t>
      </w:r>
    </w:p>
    <w:p w14:paraId="75A6879E" w14:textId="77777777" w:rsidR="00717176" w:rsidRPr="00471171" w:rsidRDefault="00717176" w:rsidP="0069352C">
      <w:pPr>
        <w:pStyle w:val="Heading4"/>
      </w:pPr>
      <w:r w:rsidRPr="00FA1A19">
        <w:t>Be administrable</w:t>
      </w:r>
    </w:p>
    <w:p w14:paraId="10ADB1B6" w14:textId="625FA24C" w:rsidR="00717176" w:rsidRPr="00FA1A19" w:rsidRDefault="00717176" w:rsidP="00471171">
      <w:pPr>
        <w:pStyle w:val="Bullet"/>
      </w:pPr>
      <w:r w:rsidRPr="00FA1A19">
        <w:t>Be administrable by the regulators, including the ATO having access to the relevant evidentiary requirements for administration of the law.</w:t>
      </w:r>
    </w:p>
    <w:p w14:paraId="72874996" w14:textId="77777777" w:rsidR="00717176" w:rsidRPr="00FA1A19" w:rsidRDefault="00717176" w:rsidP="0069352C">
      <w:pPr>
        <w:pStyle w:val="Heading4"/>
      </w:pPr>
      <w:r w:rsidRPr="00FA1A19">
        <w:t xml:space="preserve">Provide </w:t>
      </w:r>
      <w:r w:rsidRPr="00471171">
        <w:t>consistency</w:t>
      </w:r>
    </w:p>
    <w:p w14:paraId="4B1F01B8" w14:textId="77777777" w:rsidR="00717176" w:rsidRPr="00FA1A19" w:rsidRDefault="00717176" w:rsidP="00471171">
      <w:pPr>
        <w:pStyle w:val="Bullet"/>
        <w:rPr>
          <w:rFonts w:cstheme="minorHAnsi"/>
        </w:rPr>
      </w:pPr>
      <w:r w:rsidRPr="00FA1A19">
        <w:t>Provide clear definitions of specific crypto asset or activity terminology that are consistent with other forms of domestic and international regulation.</w:t>
      </w:r>
    </w:p>
    <w:p w14:paraId="7F91BDFE" w14:textId="09E23007" w:rsidR="00717176" w:rsidRPr="00FA1A19" w:rsidRDefault="00717176" w:rsidP="00471171">
      <w:pPr>
        <w:pStyle w:val="Bullet"/>
      </w:pPr>
      <w:r w:rsidRPr="00FA1A19">
        <w:t>Seek to be consistent with relevant domestic law and regulation of crypto assets and transactions where there are interactions between regulatory and taxation regimes.</w:t>
      </w:r>
    </w:p>
    <w:p w14:paraId="1532A46D" w14:textId="77777777" w:rsidR="00717176" w:rsidRPr="00FA1A19" w:rsidRDefault="00717176" w:rsidP="0069352C">
      <w:pPr>
        <w:pStyle w:val="Heading4"/>
      </w:pPr>
      <w:r w:rsidRPr="00FA1A19">
        <w:t xml:space="preserve">Be compatible </w:t>
      </w:r>
      <w:r w:rsidRPr="00471171">
        <w:t>with</w:t>
      </w:r>
      <w:r w:rsidRPr="00FA1A19">
        <w:t xml:space="preserve"> comparable international tax regimes</w:t>
      </w:r>
      <w:r w:rsidRPr="00A65360">
        <w:rPr>
          <w:rStyle w:val="FootnoteReference"/>
          <w:sz w:val="28"/>
          <w:szCs w:val="28"/>
        </w:rPr>
        <w:footnoteReference w:id="291"/>
      </w:r>
      <w:r w:rsidRPr="00A65360">
        <w:rPr>
          <w:sz w:val="40"/>
          <w:szCs w:val="36"/>
        </w:rPr>
        <w:t xml:space="preserve"> </w:t>
      </w:r>
    </w:p>
    <w:p w14:paraId="52DA937B" w14:textId="77777777" w:rsidR="00717176" w:rsidRPr="00FA1A19" w:rsidRDefault="00717176" w:rsidP="00471171">
      <w:pPr>
        <w:pStyle w:val="Bullet"/>
        <w:rPr>
          <w:rFonts w:cstheme="minorHAnsi"/>
        </w:rPr>
      </w:pPr>
      <w:r w:rsidRPr="00FA1A19">
        <w:t xml:space="preserve">Promote integrity by removing or reducing the ability to manipulate the system and not pay the correct amount of tax in Australia. </w:t>
      </w:r>
    </w:p>
    <w:p w14:paraId="2658C421" w14:textId="77777777" w:rsidR="00717176" w:rsidRPr="00FA1A19" w:rsidRDefault="00717176" w:rsidP="00471171">
      <w:pPr>
        <w:pStyle w:val="Bullet"/>
        <w:rPr>
          <w:rFonts w:cstheme="minorHAnsi"/>
        </w:rPr>
      </w:pPr>
      <w:r w:rsidRPr="00FA1A19">
        <w:t>Minimise the opportunity for international tax arbitrage through consistency with relevant international laws and regulations.</w:t>
      </w:r>
    </w:p>
    <w:p w14:paraId="3668F5CA" w14:textId="77777777" w:rsidR="00717176" w:rsidRPr="00FA1A19" w:rsidRDefault="00717176" w:rsidP="00471171">
      <w:pPr>
        <w:pStyle w:val="Bullet"/>
        <w:rPr>
          <w:rFonts w:cstheme="minorHAnsi"/>
        </w:rPr>
      </w:pPr>
      <w:r w:rsidRPr="00FA1A19">
        <w:t>Seek to avoid the incidence of double taxation.</w:t>
      </w:r>
    </w:p>
    <w:p w14:paraId="73AA0B04" w14:textId="77777777" w:rsidR="00717176" w:rsidRPr="00FA1A19" w:rsidRDefault="00717176" w:rsidP="0069352C">
      <w:pPr>
        <w:pStyle w:val="Heading4"/>
      </w:pPr>
      <w:r w:rsidRPr="00FA1A19">
        <w:t xml:space="preserve">Be </w:t>
      </w:r>
      <w:r w:rsidRPr="00471171">
        <w:t>resilient</w:t>
      </w:r>
    </w:p>
    <w:p w14:paraId="5D7580FA" w14:textId="35E103EF" w:rsidR="00717176" w:rsidRPr="00FA1A19" w:rsidRDefault="00717176" w:rsidP="00471171">
      <w:pPr>
        <w:pStyle w:val="Bullet"/>
        <w:rPr>
          <w:rFonts w:cstheme="minorHAnsi"/>
        </w:rPr>
      </w:pPr>
      <w:r w:rsidRPr="00FA1A19">
        <w:t>Keep ahead of changes and seek to be resilient to the fast</w:t>
      </w:r>
      <w:r w:rsidR="00F75232">
        <w:noBreakHyphen/>
      </w:r>
      <w:r w:rsidRPr="00FA1A19">
        <w:t>paced nature of the industry.</w:t>
      </w:r>
    </w:p>
    <w:p w14:paraId="174D9B34" w14:textId="77777777" w:rsidR="00717176" w:rsidRPr="00FA1A19" w:rsidRDefault="00717176" w:rsidP="00342121">
      <w:pPr>
        <w:pStyle w:val="Heading3"/>
      </w:pPr>
      <w:r w:rsidRPr="00FA1A19">
        <w:t xml:space="preserve">Principle 2: Technology Neutrality Principle – taxpayers should be able to meet their taxation obligations </w:t>
      </w:r>
      <w:r w:rsidRPr="00471171">
        <w:t>through</w:t>
      </w:r>
      <w:r w:rsidRPr="00FA1A19">
        <w:t xml:space="preserve"> the adoption of a technology neutral position. </w:t>
      </w:r>
    </w:p>
    <w:p w14:paraId="1747E0DA" w14:textId="06A6DD71" w:rsidR="00717176" w:rsidRPr="00FA1A19" w:rsidRDefault="00A77093" w:rsidP="002F3C1A">
      <w:pPr>
        <w:rPr>
          <w:rFonts w:cstheme="minorHAnsi"/>
        </w:rPr>
      </w:pPr>
      <w:r w:rsidRPr="00FA1A19">
        <w:rPr>
          <w:rFonts w:asciiTheme="minorHAnsi" w:hAnsiTheme="minorHAnsi" w:cstheme="minorHAnsi"/>
        </w:rPr>
        <w:t>T</w:t>
      </w:r>
      <w:r w:rsidR="00717176" w:rsidRPr="00FA1A19">
        <w:rPr>
          <w:rFonts w:asciiTheme="minorHAnsi" w:hAnsiTheme="minorHAnsi" w:cstheme="minorHAnsi"/>
        </w:rPr>
        <w:t xml:space="preserve">he Government should not impose any constraints on the selection and use of technology by the taxpayer. </w:t>
      </w:r>
    </w:p>
    <w:p w14:paraId="3B89BF32" w14:textId="7AE3BBDE" w:rsidR="00717176" w:rsidRPr="00FA1A19" w:rsidRDefault="00717176" w:rsidP="002F3C1A">
      <w:pPr>
        <w:rPr>
          <w:b/>
        </w:rPr>
      </w:pPr>
      <w:r w:rsidRPr="00FA1A19">
        <w:t xml:space="preserve">This principle is enshrined in the </w:t>
      </w:r>
      <w:r w:rsidRPr="00813896">
        <w:rPr>
          <w:rStyle w:val="Emphasis"/>
        </w:rPr>
        <w:t>Electronic Transactions Act 1999</w:t>
      </w:r>
      <w:r w:rsidRPr="00FA1A19">
        <w:t xml:space="preserve"> (Cth) which is uniform legislation throughout Australia, and which stabilised and provided certainty in the development of ecommerce in Australia. </w:t>
      </w:r>
      <w:r w:rsidR="00D61F57" w:rsidRPr="00FA1A19">
        <w:t xml:space="preserve">In its submission to the Review, the </w:t>
      </w:r>
      <w:r w:rsidRPr="00FA1A19">
        <w:t>Law Council</w:t>
      </w:r>
      <w:r w:rsidR="00580D55">
        <w:t xml:space="preserve"> of Australia</w:t>
      </w:r>
      <w:r w:rsidRPr="00FA1A19">
        <w:t xml:space="preserve"> </w:t>
      </w:r>
      <w:r w:rsidR="00841056" w:rsidRPr="00FA1A19">
        <w:t xml:space="preserve">noted its </w:t>
      </w:r>
      <w:r w:rsidRPr="00FA1A19">
        <w:t>support</w:t>
      </w:r>
      <w:r w:rsidR="00841056" w:rsidRPr="00FA1A19">
        <w:t xml:space="preserve"> for</w:t>
      </w:r>
      <w:r w:rsidRPr="00FA1A19">
        <w:t xml:space="preserve"> the </w:t>
      </w:r>
      <w:r w:rsidR="00B33C28">
        <w:t>ALRC</w:t>
      </w:r>
      <w:r w:rsidR="00F75232">
        <w:t>’</w:t>
      </w:r>
      <w:r w:rsidR="00B33C28">
        <w:t>s</w:t>
      </w:r>
      <w:r w:rsidRPr="00FA1A19">
        <w:t xml:space="preserve"> position that any regulation should be technology neutral, and its legislative hierarchy model.</w:t>
      </w:r>
      <w:r w:rsidR="00815C4A" w:rsidRPr="00170ADC">
        <w:rPr>
          <w:rStyle w:val="FootnoteReference"/>
        </w:rPr>
        <w:footnoteReference w:id="292"/>
      </w:r>
    </w:p>
    <w:p w14:paraId="2E78BD41" w14:textId="77777777" w:rsidR="00717176" w:rsidRPr="00FA1A19" w:rsidRDefault="00717176" w:rsidP="00342121">
      <w:pPr>
        <w:pStyle w:val="Heading3"/>
      </w:pPr>
      <w:r w:rsidRPr="00FA1A19">
        <w:t xml:space="preserve">Principle 3: Equity and Functional Neutrality Principle – crypto assets </w:t>
      </w:r>
      <w:r w:rsidRPr="00471171">
        <w:t>and</w:t>
      </w:r>
      <w:r w:rsidRPr="00FA1A19">
        <w:t xml:space="preserve"> transactions with same function and effect as other assets should have the same tax outcomes.</w:t>
      </w:r>
    </w:p>
    <w:p w14:paraId="69012327" w14:textId="75DD6878" w:rsidR="00717176" w:rsidRPr="00FA1A19" w:rsidRDefault="00717176" w:rsidP="00717176">
      <w:pPr>
        <w:rPr>
          <w:rFonts w:asciiTheme="minorHAnsi" w:hAnsiTheme="minorHAnsi" w:cstheme="minorHAnsi"/>
        </w:rPr>
      </w:pPr>
      <w:r w:rsidRPr="00FA1A19">
        <w:rPr>
          <w:rFonts w:asciiTheme="minorHAnsi" w:hAnsiTheme="minorHAnsi" w:cstheme="minorHAnsi"/>
        </w:rPr>
        <w:t xml:space="preserve">The taxation of crypto assets and transactions should be based on the principle of </w:t>
      </w:r>
      <w:r w:rsidR="00F75232">
        <w:rPr>
          <w:rFonts w:asciiTheme="minorHAnsi" w:hAnsiTheme="minorHAnsi" w:cstheme="minorHAnsi"/>
        </w:rPr>
        <w:t>‘</w:t>
      </w:r>
      <w:r w:rsidRPr="00FA1A19">
        <w:rPr>
          <w:rFonts w:asciiTheme="minorHAnsi" w:hAnsiTheme="minorHAnsi" w:cstheme="minorHAnsi"/>
        </w:rPr>
        <w:t>same activity, same risk, same tax treatment or regulation</w:t>
      </w:r>
      <w:r w:rsidR="00F75232">
        <w:rPr>
          <w:rFonts w:asciiTheme="minorHAnsi" w:hAnsiTheme="minorHAnsi" w:cstheme="minorHAnsi"/>
        </w:rPr>
        <w:t>’</w:t>
      </w:r>
      <w:r w:rsidRPr="00170ADC">
        <w:rPr>
          <w:rStyle w:val="FootnoteReference"/>
        </w:rPr>
        <w:footnoteReference w:id="293"/>
      </w:r>
      <w:r w:rsidRPr="00FA1A19">
        <w:rPr>
          <w:rFonts w:asciiTheme="minorHAnsi" w:hAnsiTheme="minorHAnsi" w:cstheme="minorHAnsi"/>
        </w:rPr>
        <w:t xml:space="preserve">. </w:t>
      </w:r>
    </w:p>
    <w:p w14:paraId="6BAE8660" w14:textId="77777777" w:rsidR="00717176" w:rsidRPr="00FA1A19" w:rsidRDefault="00717176" w:rsidP="00717176">
      <w:pPr>
        <w:rPr>
          <w:rFonts w:asciiTheme="minorHAnsi" w:hAnsiTheme="minorHAnsi" w:cstheme="minorHAnsi"/>
        </w:rPr>
      </w:pPr>
      <w:r w:rsidRPr="00FA1A19">
        <w:rPr>
          <w:rFonts w:asciiTheme="minorHAnsi" w:hAnsiTheme="minorHAnsi" w:cstheme="minorHAnsi"/>
        </w:rPr>
        <w:t>Where crypto assets and transactions have a similar or an equivalent economic function to a different crypto asset and transaction or one performed in the traditional financial sector, they should be subject to the same tax treatment regardless of how a particular crypto asset is characterised (for example as a payment, security or other instrument).</w:t>
      </w:r>
    </w:p>
    <w:p w14:paraId="216610B4" w14:textId="7901AE63" w:rsidR="00717176" w:rsidRPr="00FA1A19" w:rsidRDefault="00717176" w:rsidP="00717176">
      <w:pPr>
        <w:rPr>
          <w:rFonts w:asciiTheme="minorHAnsi" w:hAnsiTheme="minorHAnsi" w:cstheme="minorHAnsi"/>
        </w:rPr>
      </w:pPr>
      <w:r w:rsidRPr="00FA1A19">
        <w:rPr>
          <w:rFonts w:asciiTheme="minorHAnsi" w:hAnsiTheme="minorHAnsi" w:cstheme="minorHAnsi"/>
        </w:rPr>
        <w:t>This principle is based on the tax policy concept of horizontal equity. Horizontal equity requires that taxpayers in similar situations are taxed in a similar manner and that transactions of a similar economic substance are taxed similarly.</w:t>
      </w:r>
      <w:r w:rsidRPr="00170ADC">
        <w:rPr>
          <w:rStyle w:val="FootnoteReference"/>
        </w:rPr>
        <w:footnoteReference w:id="294"/>
      </w:r>
    </w:p>
    <w:p w14:paraId="639B9EBB" w14:textId="77777777" w:rsidR="00717176" w:rsidRPr="00FA1A19" w:rsidRDefault="00717176" w:rsidP="00342121">
      <w:pPr>
        <w:pStyle w:val="Heading3"/>
      </w:pPr>
      <w:r w:rsidRPr="00FA1A19">
        <w:t>Principle 4: Competitive Neutrality Principle – the law should not encourage/discourage asset substitution.</w:t>
      </w:r>
    </w:p>
    <w:p w14:paraId="642567DD" w14:textId="77777777" w:rsidR="00717176" w:rsidRPr="00FA1A19" w:rsidRDefault="00717176" w:rsidP="00717176">
      <w:pPr>
        <w:rPr>
          <w:rFonts w:asciiTheme="minorHAnsi" w:hAnsiTheme="minorHAnsi" w:cstheme="minorHAnsi"/>
        </w:rPr>
      </w:pPr>
      <w:r w:rsidRPr="00FA1A19">
        <w:rPr>
          <w:rFonts w:asciiTheme="minorHAnsi" w:hAnsiTheme="minorHAnsi" w:cstheme="minorHAnsi"/>
        </w:rPr>
        <w:t>The taxation framework should seek to deliver a competitively neutral outcome. The tax treatment of crypto assets and transactions should neither encourage nor discourage substitution from crypto assets to other financial assets, or vice versa.</w:t>
      </w:r>
    </w:p>
    <w:p w14:paraId="0A0E73C3" w14:textId="77777777" w:rsidR="00717176" w:rsidRPr="00FA1A19" w:rsidRDefault="00717176" w:rsidP="00717176">
      <w:pPr>
        <w:rPr>
          <w:rFonts w:asciiTheme="minorHAnsi" w:hAnsiTheme="minorHAnsi" w:cstheme="minorHAnsi"/>
        </w:rPr>
      </w:pPr>
      <w:r w:rsidRPr="00FA1A19">
        <w:rPr>
          <w:rFonts w:asciiTheme="minorHAnsi" w:hAnsiTheme="minorHAnsi" w:cstheme="minorHAnsi"/>
        </w:rPr>
        <w:t>Tax should not in principle distort market behaviour unless there is a clear policy objective for incentivising or disincentivising</w:t>
      </w:r>
      <w:r w:rsidRPr="00FA1A19">
        <w:rPr>
          <w:rFonts w:asciiTheme="minorHAnsi" w:hAnsiTheme="minorHAnsi" w:cstheme="minorHAnsi"/>
          <w:szCs w:val="20"/>
        </w:rPr>
        <w:t>.</w:t>
      </w:r>
      <w:r w:rsidRPr="00170ADC">
        <w:rPr>
          <w:rStyle w:val="FootnoteReference"/>
        </w:rPr>
        <w:footnoteReference w:id="295"/>
      </w:r>
    </w:p>
    <w:p w14:paraId="677BB796" w14:textId="547DAF18" w:rsidR="00717176" w:rsidRPr="00FA1A19" w:rsidRDefault="00717176" w:rsidP="00342121">
      <w:pPr>
        <w:pStyle w:val="Heading3"/>
      </w:pPr>
      <w:r w:rsidRPr="00FA1A19">
        <w:t xml:space="preserve">Principle 5: Revenue </w:t>
      </w:r>
      <w:r w:rsidRPr="00471171">
        <w:t>Neutrality</w:t>
      </w:r>
      <w:r w:rsidRPr="00FA1A19">
        <w:t xml:space="preserve"> Principle – any new law should be revenue neutral.</w:t>
      </w:r>
    </w:p>
    <w:p w14:paraId="103ED4BB" w14:textId="5E5169B3" w:rsidR="00717176" w:rsidRPr="00FA1A19" w:rsidRDefault="00717176" w:rsidP="00717176">
      <w:pPr>
        <w:rPr>
          <w:rFonts w:asciiTheme="minorHAnsi" w:hAnsiTheme="minorHAnsi" w:cstheme="minorHAnsi"/>
        </w:rPr>
      </w:pPr>
      <w:r w:rsidRPr="00FA1A19">
        <w:rPr>
          <w:rFonts w:asciiTheme="minorHAnsi" w:hAnsiTheme="minorHAnsi" w:cstheme="minorHAnsi"/>
        </w:rPr>
        <w:t>The taxation framework should seek to ensure that there is revenue neutrality between the current taxation regime applying to crypto assets and transactions and any changes/amendments to the current taxation regime</w:t>
      </w:r>
      <w:r w:rsidR="00467659" w:rsidRPr="00FA1A19">
        <w:rPr>
          <w:rFonts w:asciiTheme="minorHAnsi" w:hAnsiTheme="minorHAnsi" w:cstheme="minorHAnsi"/>
        </w:rPr>
        <w:t xml:space="preserve"> or proposed future taxation regime</w:t>
      </w:r>
      <w:r w:rsidRPr="00FA1A19">
        <w:rPr>
          <w:rFonts w:asciiTheme="minorHAnsi" w:hAnsiTheme="minorHAnsi" w:cstheme="minorHAnsi"/>
        </w:rPr>
        <w:t xml:space="preserve">. </w:t>
      </w:r>
      <w:r w:rsidR="00156013" w:rsidRPr="00FA1A19">
        <w:rPr>
          <w:rFonts w:asciiTheme="minorHAnsi" w:hAnsiTheme="minorHAnsi" w:cstheme="minorHAnsi"/>
        </w:rPr>
        <w:t xml:space="preserve">The Board notes the importance of </w:t>
      </w:r>
      <w:r w:rsidR="00775FDA" w:rsidRPr="00FA1A19">
        <w:rPr>
          <w:rFonts w:asciiTheme="minorHAnsi" w:hAnsiTheme="minorHAnsi" w:cstheme="minorHAnsi"/>
        </w:rPr>
        <w:t xml:space="preserve">a sustainable system, </w:t>
      </w:r>
      <w:r w:rsidR="00324506" w:rsidRPr="00FA1A19">
        <w:rPr>
          <w:rFonts w:asciiTheme="minorHAnsi" w:hAnsiTheme="minorHAnsi" w:cstheme="minorHAnsi"/>
        </w:rPr>
        <w:t xml:space="preserve">that can be relied upon to raise revenue </w:t>
      </w:r>
      <w:r w:rsidR="00427BFC" w:rsidRPr="00FA1A19">
        <w:rPr>
          <w:rFonts w:asciiTheme="minorHAnsi" w:hAnsiTheme="minorHAnsi" w:cstheme="minorHAnsi"/>
        </w:rPr>
        <w:t xml:space="preserve">to fund </w:t>
      </w:r>
      <w:r w:rsidR="00963C64">
        <w:rPr>
          <w:rFonts w:asciiTheme="minorHAnsi" w:hAnsiTheme="minorHAnsi" w:cstheme="minorHAnsi"/>
        </w:rPr>
        <w:t>g</w:t>
      </w:r>
      <w:r w:rsidR="003A4A99" w:rsidRPr="00FA1A19">
        <w:rPr>
          <w:rFonts w:asciiTheme="minorHAnsi" w:hAnsiTheme="minorHAnsi" w:cstheme="minorHAnsi"/>
        </w:rPr>
        <w:t xml:space="preserve">overnment </w:t>
      </w:r>
      <w:r w:rsidR="00427BFC" w:rsidRPr="00FA1A19">
        <w:rPr>
          <w:rFonts w:asciiTheme="minorHAnsi" w:hAnsiTheme="minorHAnsi" w:cstheme="minorHAnsi"/>
        </w:rPr>
        <w:t>activities now and into the future.</w:t>
      </w:r>
      <w:r w:rsidR="004F0A51" w:rsidRPr="00FA1A19">
        <w:rPr>
          <w:rFonts w:asciiTheme="minorHAnsi" w:hAnsiTheme="minorHAnsi" w:cstheme="minorHAnsi"/>
        </w:rPr>
        <w:t xml:space="preserve"> </w:t>
      </w:r>
    </w:p>
    <w:p w14:paraId="5573B83D" w14:textId="237EC6A0" w:rsidR="00717176" w:rsidRPr="00FA1A19" w:rsidRDefault="00717176" w:rsidP="00717176">
      <w:pPr>
        <w:rPr>
          <w:rFonts w:asciiTheme="minorHAnsi" w:hAnsiTheme="minorHAnsi" w:cstheme="minorHAnsi"/>
        </w:rPr>
      </w:pPr>
      <w:r w:rsidRPr="00FA1A19">
        <w:rPr>
          <w:rFonts w:asciiTheme="minorHAnsi" w:hAnsiTheme="minorHAnsi" w:cstheme="minorHAnsi"/>
        </w:rPr>
        <w:t>The Board</w:t>
      </w:r>
      <w:r w:rsidR="00F75232">
        <w:rPr>
          <w:rFonts w:asciiTheme="minorHAnsi" w:hAnsiTheme="minorHAnsi" w:cstheme="minorHAnsi"/>
        </w:rPr>
        <w:t>’</w:t>
      </w:r>
      <w:r w:rsidRPr="00FA1A19">
        <w:rPr>
          <w:rFonts w:asciiTheme="minorHAnsi" w:hAnsiTheme="minorHAnsi" w:cstheme="minorHAnsi"/>
        </w:rPr>
        <w:t>s Terms of Reference stipulates that there should be no increase in the overall tax burden.</w:t>
      </w:r>
    </w:p>
    <w:p w14:paraId="536FDFBD" w14:textId="77777777" w:rsidR="00717176" w:rsidRPr="00FA1A19" w:rsidRDefault="00717176" w:rsidP="00342121">
      <w:pPr>
        <w:pStyle w:val="Heading3"/>
      </w:pPr>
      <w:r w:rsidRPr="00FA1A19">
        <w:t xml:space="preserve">Principle 6: The tax </w:t>
      </w:r>
      <w:r w:rsidRPr="00471171">
        <w:t>treatment</w:t>
      </w:r>
      <w:r w:rsidRPr="00FA1A19">
        <w:t xml:space="preserve"> of crypto assets and transactions should only depart from ordinary tax principles to </w:t>
      </w:r>
      <w:bookmarkStart w:id="78" w:name="_Hlk136170908"/>
      <w:r w:rsidRPr="00FA1A19">
        <w:t xml:space="preserve">resolve unforeseen or unintended tax outcomes. </w:t>
      </w:r>
      <w:bookmarkEnd w:id="78"/>
    </w:p>
    <w:p w14:paraId="05E73EDD" w14:textId="24979DFE" w:rsidR="00717176" w:rsidRPr="00FA1A19" w:rsidRDefault="00717176" w:rsidP="007422D5">
      <w:pPr>
        <w:rPr>
          <w:rFonts w:asciiTheme="minorHAnsi" w:hAnsiTheme="minorHAnsi" w:cstheme="minorHAnsi"/>
        </w:rPr>
      </w:pPr>
      <w:r w:rsidRPr="00FA1A19">
        <w:rPr>
          <w:rFonts w:asciiTheme="minorHAnsi" w:hAnsiTheme="minorHAnsi" w:cstheme="minorHAnsi"/>
        </w:rPr>
        <w:t>The tax treatment of crypto assets and transactions should only depart from existing ordinary tax principles (including established revenue/capital principles) where there are unforeseen or unintended outcomes. Such departure should be reasonable and not substantially inconsistent with the intended purpose of those principles. This is to ensure that the taxation laws applicable to crypto assets and transactions are consistent with Principle 1:</w:t>
      </w:r>
    </w:p>
    <w:p w14:paraId="136358AA" w14:textId="0545A9F0" w:rsidR="00717176" w:rsidRPr="00FA1A19" w:rsidRDefault="00717176" w:rsidP="00471171">
      <w:pPr>
        <w:pStyle w:val="Bullet"/>
        <w:rPr>
          <w:rFonts w:cstheme="minorHAnsi"/>
          <w:b/>
          <w:bCs/>
        </w:rPr>
      </w:pPr>
      <w:r w:rsidRPr="00FA1A19">
        <w:t xml:space="preserve">aligned with policy objectives </w:t>
      </w:r>
    </w:p>
    <w:p w14:paraId="654D23F5" w14:textId="5328776E" w:rsidR="00717176" w:rsidRPr="00FA1A19" w:rsidRDefault="00717176" w:rsidP="00471171">
      <w:pPr>
        <w:pStyle w:val="Bullet"/>
        <w:rPr>
          <w:rFonts w:cstheme="minorHAnsi"/>
          <w:b/>
          <w:bCs/>
        </w:rPr>
      </w:pPr>
      <w:r w:rsidRPr="00FA1A19">
        <w:t>easy to comply with</w:t>
      </w:r>
    </w:p>
    <w:p w14:paraId="5B6962AA" w14:textId="77777777" w:rsidR="00717176" w:rsidRPr="00FA1A19" w:rsidRDefault="00717176" w:rsidP="00471171">
      <w:pPr>
        <w:pStyle w:val="Bullet"/>
        <w:rPr>
          <w:rFonts w:cstheme="minorHAnsi"/>
          <w:b/>
          <w:bCs/>
        </w:rPr>
      </w:pPr>
      <w:r w:rsidRPr="00FA1A19">
        <w:t>capable of being administered.</w:t>
      </w:r>
    </w:p>
    <w:p w14:paraId="74FB0CD7" w14:textId="77777777" w:rsidR="00717176" w:rsidRPr="00FA1A19" w:rsidRDefault="00717176" w:rsidP="006F0112">
      <w:r w:rsidRPr="00FA1A19">
        <w:t xml:space="preserve">Modifications or clarification of existing ordinary tax principles may sometimes be required to resolve unforeseen or unintended outcomes so those principles can be appropriately applied to the particular characteristics of crypto assets and transactions. </w:t>
      </w:r>
    </w:p>
    <w:p w14:paraId="531C8B7C" w14:textId="2494C380" w:rsidR="00717176" w:rsidRPr="00FA1A19" w:rsidRDefault="00717176" w:rsidP="00330BEF">
      <w:pPr>
        <w:rPr>
          <w:rFonts w:cstheme="minorBidi"/>
        </w:rPr>
      </w:pPr>
      <w:r w:rsidRPr="00FA1A19">
        <w:rPr>
          <w:rFonts w:asciiTheme="minorHAnsi" w:hAnsiTheme="minorHAnsi" w:cstheme="minorHAnsi"/>
        </w:rPr>
        <w:t xml:space="preserve">For example, it is noted that crypto assets may be subject to unique events that are not analogous with events associated with traditional financial assets, including protocol changes, wrapping, bridging and forks. </w:t>
      </w:r>
    </w:p>
    <w:p w14:paraId="0F4B231A" w14:textId="780C6B14" w:rsidR="00FF26E0" w:rsidRPr="00FA1A19" w:rsidRDefault="00FF26E0" w:rsidP="0069352C">
      <w:pPr>
        <w:pStyle w:val="Heading2"/>
      </w:pPr>
      <w:bookmarkStart w:id="79" w:name="_Toc159513596"/>
      <w:r w:rsidRPr="00FA1A19">
        <w:t>Conclusion</w:t>
      </w:r>
      <w:bookmarkEnd w:id="79"/>
    </w:p>
    <w:bookmarkEnd w:id="67"/>
    <w:p w14:paraId="7721EF8D" w14:textId="77777777" w:rsidR="00717176" w:rsidRPr="00FA1A19" w:rsidRDefault="00717176" w:rsidP="00471171">
      <w:pPr>
        <w:pStyle w:val="SingleParagraph"/>
      </w:pPr>
    </w:p>
    <w:tbl>
      <w:tblPr>
        <w:tblStyle w:val="Style2"/>
        <w:tblW w:w="5000" w:type="pct"/>
        <w:tblLook w:val="0420" w:firstRow="1" w:lastRow="0" w:firstColumn="0" w:lastColumn="0" w:noHBand="0" w:noVBand="1"/>
      </w:tblPr>
      <w:tblGrid>
        <w:gridCol w:w="9641"/>
      </w:tblGrid>
      <w:tr w:rsidR="00930E21" w:rsidRPr="00FA1A19" w14:paraId="187393D5"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0F4BFED" w14:textId="5F316CF4" w:rsidR="00930E21" w:rsidRPr="00471171" w:rsidRDefault="00372633" w:rsidP="00471171">
            <w:pPr>
              <w:pStyle w:val="BoxHeading1"/>
            </w:pPr>
            <w:r>
              <w:t>Recommendation </w:t>
            </w:r>
            <w:r w:rsidR="00930E21" w:rsidRPr="00FA1A19">
              <w:t>5.1</w:t>
            </w:r>
          </w:p>
        </w:tc>
      </w:tr>
      <w:tr w:rsidR="00930E21" w:rsidRPr="00FA1A19" w14:paraId="4386E639"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24FB16B7" w14:textId="50FDB444" w:rsidR="00930E21" w:rsidRPr="00FA1A19" w:rsidRDefault="00930E21" w:rsidP="00471171">
            <w:pPr>
              <w:pStyle w:val="BoxText"/>
            </w:pPr>
            <w:r w:rsidRPr="00FA1A19">
              <w:t xml:space="preserve">The Principles Framework </w:t>
            </w:r>
            <w:r w:rsidR="008B2F4F" w:rsidRPr="00FA1A19">
              <w:t xml:space="preserve">developed by the Board </w:t>
            </w:r>
            <w:r w:rsidRPr="00FA1A19">
              <w:t xml:space="preserve">promotes certainty, simplicity, integrity as well </w:t>
            </w:r>
            <w:r w:rsidR="00A00E59" w:rsidRPr="00FA1A19">
              <w:t xml:space="preserve">as </w:t>
            </w:r>
            <w:r w:rsidRPr="00FA1A19">
              <w:t xml:space="preserve">competitive, revenue, technological and functional neutrality. It also ensures that the tax treatment of crypto assets and transactions should be based on existing ordinary tax principles, unless there are unforeseen or unintended outcomes. </w:t>
            </w:r>
          </w:p>
          <w:p w14:paraId="76F178AD" w14:textId="3FE008FA" w:rsidR="00930E21" w:rsidRPr="00FA1A19" w:rsidRDefault="00930E21" w:rsidP="00471171">
            <w:pPr>
              <w:pStyle w:val="BoxText"/>
            </w:pPr>
            <w:r w:rsidRPr="00FA1A19">
              <w:t>The Board recommends that the Principles Framework be used as a guide by the Government, when considering the suitability of amendments to current Australian taxation laws and/or any amendments to or creation of a new tax legislation for crypto assets and transactions</w:t>
            </w:r>
            <w:r w:rsidR="0060053A" w:rsidRPr="00FA1A19">
              <w:t>.</w:t>
            </w:r>
          </w:p>
          <w:p w14:paraId="4FA33722" w14:textId="6AE201CA" w:rsidR="00C80BCD" w:rsidRPr="00FA1A19" w:rsidRDefault="00C80BCD" w:rsidP="00471171">
            <w:pPr>
              <w:pStyle w:val="BoxText"/>
            </w:pPr>
            <w:r w:rsidRPr="00FA1A19">
              <w:t xml:space="preserve">In assessing any proposed measure by reference to the </w:t>
            </w:r>
            <w:r w:rsidR="009F6CEB" w:rsidRPr="00FA1A19">
              <w:t>P</w:t>
            </w:r>
            <w:r w:rsidRPr="00FA1A19">
              <w:t xml:space="preserve">rinciples </w:t>
            </w:r>
            <w:r w:rsidR="009F6CEB" w:rsidRPr="00FA1A19">
              <w:t>F</w:t>
            </w:r>
            <w:r w:rsidRPr="00FA1A19">
              <w:t>ramework, all relevant factors should be considered.</w:t>
            </w:r>
            <w:r w:rsidR="004F0A51" w:rsidRPr="00FA1A19">
              <w:t xml:space="preserve"> </w:t>
            </w:r>
            <w:r w:rsidR="00FE6020" w:rsidRPr="00FA1A19">
              <w:t>This</w:t>
            </w:r>
            <w:r w:rsidRPr="00FA1A19">
              <w:t xml:space="preserve"> may </w:t>
            </w:r>
            <w:r w:rsidR="00FE6020" w:rsidRPr="00FA1A19">
              <w:t>i</w:t>
            </w:r>
            <w:r w:rsidRPr="00FA1A19">
              <w:t xml:space="preserve">nclude features of the crypto ecosystem that </w:t>
            </w:r>
            <w:r w:rsidR="00FE6020" w:rsidRPr="00FA1A19">
              <w:t>give rise to risks and integrity concerns</w:t>
            </w:r>
            <w:r w:rsidR="00DA7EC6" w:rsidRPr="00FA1A19">
              <w:t xml:space="preserve"> (see </w:t>
            </w:r>
            <w:r w:rsidR="00372633">
              <w:t>Chapter </w:t>
            </w:r>
            <w:r w:rsidR="00DA7EC6" w:rsidRPr="00FA1A19">
              <w:t>4).</w:t>
            </w:r>
            <w:r w:rsidR="004F0A51" w:rsidRPr="00FA1A19">
              <w:t xml:space="preserve"> </w:t>
            </w:r>
            <w:r w:rsidR="00DA7EC6" w:rsidRPr="00FA1A19">
              <w:t xml:space="preserve">For </w:t>
            </w:r>
            <w:r w:rsidR="00FE6020" w:rsidRPr="00FA1A19">
              <w:t xml:space="preserve">example, neutrality </w:t>
            </w:r>
            <w:r w:rsidR="00572AD4" w:rsidRPr="00FA1A19">
              <w:t>in principles 3, 4 and 5</w:t>
            </w:r>
            <w:r w:rsidR="00430539" w:rsidRPr="00FA1A19">
              <w:t xml:space="preserve"> needs to consider the inherent integrity risks that exist for crypto assets that do</w:t>
            </w:r>
            <w:r w:rsidR="6B016850" w:rsidRPr="00FA1A19">
              <w:t xml:space="preserve"> </w:t>
            </w:r>
            <w:r w:rsidR="2713D073" w:rsidRPr="00FA1A19">
              <w:t>n</w:t>
            </w:r>
            <w:r w:rsidR="1C24A4A5" w:rsidRPr="00FA1A19">
              <w:t>ot</w:t>
            </w:r>
            <w:r w:rsidR="00430539" w:rsidRPr="00FA1A19">
              <w:t xml:space="preserve"> exist for other traditional assets including cash, shares and property.</w:t>
            </w:r>
            <w:r w:rsidR="004F0A51" w:rsidRPr="00FA1A19">
              <w:t xml:space="preserve"> </w:t>
            </w:r>
          </w:p>
        </w:tc>
      </w:tr>
    </w:tbl>
    <w:p w14:paraId="118864A3" w14:textId="027E157E" w:rsidR="00FB3B5E" w:rsidRPr="00FA1A19" w:rsidRDefault="00FB3B5E" w:rsidP="00471171">
      <w:pPr>
        <w:pStyle w:val="SingleParagraph"/>
      </w:pPr>
    </w:p>
    <w:p w14:paraId="559837AF" w14:textId="77777777" w:rsidR="00471171" w:rsidRPr="00471171" w:rsidRDefault="00471171" w:rsidP="00471171">
      <w:pPr>
        <w:sectPr w:rsidR="00471171" w:rsidRPr="00471171" w:rsidSect="00320772">
          <w:pgSz w:w="11909" w:h="16834" w:code="9"/>
          <w:pgMar w:top="1985" w:right="1134" w:bottom="1985" w:left="1134" w:header="1134" w:footer="1134" w:gutter="0"/>
          <w:cols w:space="708"/>
          <w:docGrid w:linePitch="360"/>
        </w:sectPr>
      </w:pPr>
    </w:p>
    <w:p w14:paraId="7B595640" w14:textId="6AFB89A7" w:rsidR="00730A91" w:rsidRPr="00FA1A19" w:rsidRDefault="00372633" w:rsidP="0069352C">
      <w:pPr>
        <w:pStyle w:val="Heading1"/>
        <w:rPr>
          <w:rFonts w:asciiTheme="majorHAnsi" w:hAnsiTheme="majorHAnsi"/>
          <w:szCs w:val="56"/>
        </w:rPr>
      </w:pPr>
      <w:bookmarkStart w:id="80" w:name="_Toc159513597"/>
      <w:r>
        <w:t>Chapter </w:t>
      </w:r>
      <w:r w:rsidR="004109EE" w:rsidRPr="00FA1A19">
        <w:t>6</w:t>
      </w:r>
      <w:r w:rsidR="00730A91" w:rsidRPr="00FA1A19">
        <w:t>: Taxpayer awareness and support</w:t>
      </w:r>
      <w:bookmarkEnd w:id="80"/>
      <w:r w:rsidR="00730A91" w:rsidRPr="00FA1A19">
        <w:t xml:space="preserve"> </w:t>
      </w:r>
    </w:p>
    <w:p w14:paraId="2D4ECDD0" w14:textId="77777777" w:rsidR="00730A91" w:rsidRPr="00FA1A19" w:rsidRDefault="00730A91" w:rsidP="0069352C">
      <w:pPr>
        <w:pStyle w:val="Heading2"/>
        <w:rPr>
          <w:rStyle w:val="Emphasis"/>
        </w:rPr>
      </w:pPr>
      <w:bookmarkStart w:id="81" w:name="_Toc159513598"/>
      <w:r w:rsidRPr="00FA1A19">
        <w:rPr>
          <w:rStyle w:val="Emphasis"/>
        </w:rPr>
        <w:t>Key Points</w:t>
      </w:r>
      <w:bookmarkEnd w:id="81"/>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2147" w:themeFill="accent1"/>
        <w:tblCellMar>
          <w:top w:w="397" w:type="dxa"/>
          <w:left w:w="454" w:type="dxa"/>
          <w:bottom w:w="397" w:type="dxa"/>
          <w:right w:w="454" w:type="dxa"/>
        </w:tblCellMar>
        <w:tblLook w:val="04A0" w:firstRow="1" w:lastRow="0" w:firstColumn="1" w:lastColumn="0" w:noHBand="0" w:noVBand="1"/>
      </w:tblPr>
      <w:tblGrid>
        <w:gridCol w:w="9641"/>
      </w:tblGrid>
      <w:tr w:rsidR="00730A91" w:rsidRPr="00471171" w14:paraId="6AD2F04E" w14:textId="77777777" w:rsidTr="00A65360">
        <w:tc>
          <w:tcPr>
            <w:tcW w:w="5000" w:type="pct"/>
            <w:shd w:val="clear" w:color="auto" w:fill="701F4D" w:themeFill="accent2"/>
          </w:tcPr>
          <w:p w14:paraId="31D177FA" w14:textId="77777777" w:rsidR="00730A91" w:rsidRPr="00471171" w:rsidRDefault="00730A91" w:rsidP="000E72DD">
            <w:pPr>
              <w:pStyle w:val="BoxBulletWhite"/>
              <w:rPr>
                <w:rFonts w:eastAsiaTheme="minorHAnsi"/>
              </w:rPr>
            </w:pPr>
            <w:r w:rsidRPr="00471171">
              <w:rPr>
                <w:rFonts w:eastAsiaTheme="minorHAnsi"/>
              </w:rPr>
              <w:t xml:space="preserve">The tax profession and crypto asset industry play an important role in supporting the ATO in simplifying and ensuring tax compliance for crypto asset users. </w:t>
            </w:r>
          </w:p>
          <w:p w14:paraId="4BF47C13" w14:textId="2E4C7283" w:rsidR="00730A91" w:rsidRPr="00471171" w:rsidRDefault="00730A91" w:rsidP="000E72DD">
            <w:pPr>
              <w:pStyle w:val="BoxBulletWhite"/>
              <w:rPr>
                <w:rFonts w:eastAsiaTheme="minorHAnsi"/>
              </w:rPr>
            </w:pPr>
            <w:r w:rsidRPr="00471171">
              <w:rPr>
                <w:rFonts w:eastAsiaTheme="minorHAnsi"/>
              </w:rPr>
              <w:t>Taxpayers need to have access to knowledgeable tax professionals who understand their obligations in supporting their crypto asset</w:t>
            </w:r>
            <w:r w:rsidR="00F75232">
              <w:noBreakHyphen/>
            </w:r>
            <w:r w:rsidRPr="00471171">
              <w:rPr>
                <w:rFonts w:eastAsiaTheme="minorHAnsi"/>
              </w:rPr>
              <w:t xml:space="preserve">using clients. </w:t>
            </w:r>
          </w:p>
          <w:p w14:paraId="7D48BEF6" w14:textId="55F8D5C2" w:rsidR="00730A91" w:rsidRPr="00471171" w:rsidRDefault="00730A91" w:rsidP="000E72DD">
            <w:pPr>
              <w:pStyle w:val="BoxBulletWhite"/>
            </w:pPr>
            <w:r w:rsidRPr="00471171">
              <w:rPr>
                <w:rFonts w:eastAsiaTheme="minorHAnsi"/>
              </w:rPr>
              <w:t>Supporting guidance in relation to crypto asset tax treatments needs to provide certainty and clarity to users.</w:t>
            </w:r>
            <w:r w:rsidR="004F0A51" w:rsidRPr="00471171">
              <w:t xml:space="preserve"> </w:t>
            </w:r>
          </w:p>
        </w:tc>
      </w:tr>
    </w:tbl>
    <w:p w14:paraId="461F35DD" w14:textId="77777777" w:rsidR="00730A91" w:rsidRPr="00FA1A19" w:rsidRDefault="00730A91" w:rsidP="0069352C">
      <w:pPr>
        <w:pStyle w:val="Heading2"/>
      </w:pPr>
      <w:bookmarkStart w:id="82" w:name="_Toc159513599"/>
      <w:r w:rsidRPr="00FA1A19">
        <w:t>Introduction</w:t>
      </w:r>
      <w:bookmarkEnd w:id="82"/>
    </w:p>
    <w:p w14:paraId="366249AF" w14:textId="489F1510" w:rsidR="00730A91" w:rsidRPr="00FA1A19" w:rsidRDefault="00730A91" w:rsidP="00730A91">
      <w:r w:rsidRPr="00FA1A19">
        <w:t>This</w:t>
      </w:r>
      <w:r w:rsidRPr="00FA1A19" w:rsidDel="00C50296">
        <w:t xml:space="preserve"> </w:t>
      </w:r>
      <w:r w:rsidR="002C78F7" w:rsidRPr="00FA1A19">
        <w:t>c</w:t>
      </w:r>
      <w:r w:rsidR="00C50296" w:rsidRPr="00FA1A19">
        <w:t>hapter</w:t>
      </w:r>
      <w:r w:rsidRPr="00FA1A19">
        <w:t xml:space="preserve"> provides an overview of how taxpayers interact with the tax system and the organisations and resources available to support them. The analysis considers how the growing transactional and tax complexity associated with crypto assets is currently addressed through these channels and how this m</w:t>
      </w:r>
      <w:r w:rsidR="0075290E" w:rsidRPr="00FA1A19">
        <w:t>ight</w:t>
      </w:r>
      <w:r w:rsidRPr="00FA1A19">
        <w:t xml:space="preserve"> be improved.</w:t>
      </w:r>
      <w:r w:rsidR="004F0A51" w:rsidRPr="00FA1A19">
        <w:t xml:space="preserve"> </w:t>
      </w:r>
      <w:r w:rsidRPr="00FA1A19">
        <w:t>The Board</w:t>
      </w:r>
      <w:r w:rsidR="00F75232">
        <w:t>’</w:t>
      </w:r>
      <w:r w:rsidRPr="00FA1A19">
        <w:t xml:space="preserve">s view is that it is important to ensure </w:t>
      </w:r>
      <w:r w:rsidR="4322D16D" w:rsidRPr="00FA1A19">
        <w:t>that all Australians and not merely</w:t>
      </w:r>
      <w:r w:rsidRPr="00FA1A19">
        <w:t xml:space="preserve"> the younger demographic of crypto asset users are </w:t>
      </w:r>
      <w:r w:rsidR="00856B5B" w:rsidRPr="00FA1A19">
        <w:t xml:space="preserve">provided with a full opportunity to </w:t>
      </w:r>
      <w:r w:rsidRPr="00FA1A19">
        <w:t>understand and comply with their tax obligations into the future as the industry expands.</w:t>
      </w:r>
    </w:p>
    <w:p w14:paraId="73B195B7" w14:textId="77777777" w:rsidR="00730A91" w:rsidRPr="00FA1A19" w:rsidRDefault="00730A91" w:rsidP="0069352C">
      <w:pPr>
        <w:pStyle w:val="Heading2"/>
      </w:pPr>
      <w:bookmarkStart w:id="83" w:name="_Toc159513600"/>
      <w:r w:rsidRPr="00FA1A19">
        <w:t>Operation of the tax system</w:t>
      </w:r>
      <w:bookmarkEnd w:id="83"/>
    </w:p>
    <w:p w14:paraId="7EC970D5" w14:textId="77777777" w:rsidR="00730A91" w:rsidRPr="00FA1A19" w:rsidRDefault="00730A91" w:rsidP="00342121">
      <w:pPr>
        <w:pStyle w:val="Heading3"/>
      </w:pPr>
      <w:r w:rsidRPr="00FA1A19">
        <w:t>Australian tax system</w:t>
      </w:r>
    </w:p>
    <w:p w14:paraId="10FA9631" w14:textId="7A13975B" w:rsidR="00730A91" w:rsidRPr="00FA1A19" w:rsidRDefault="00730A91" w:rsidP="009F5D35">
      <w:r w:rsidRPr="00FA1A19">
        <w:t>Australia has operated under a system of self</w:t>
      </w:r>
      <w:r w:rsidR="00F75232">
        <w:noBreakHyphen/>
      </w:r>
      <w:r w:rsidRPr="00FA1A19">
        <w:t>assessment of income tax since the mid</w:t>
      </w:r>
      <w:r w:rsidR="00F75232">
        <w:noBreakHyphen/>
      </w:r>
      <w:r w:rsidRPr="00FA1A19">
        <w:t xml:space="preserve">1980s, meaning that income tax returns are generally processed and assessed following lodgement without any significant upfront examination by the ATO, but may be subject to ATO </w:t>
      </w:r>
      <w:r w:rsidR="00B962BB" w:rsidRPr="00FA1A19">
        <w:t xml:space="preserve">inquiry </w:t>
      </w:r>
      <w:r w:rsidRPr="00FA1A19">
        <w:t xml:space="preserve">through later selective review activity. </w:t>
      </w:r>
    </w:p>
    <w:p w14:paraId="78607E2F" w14:textId="53950DCF" w:rsidR="00730A91" w:rsidRPr="00FA1A19" w:rsidRDefault="00730A91" w:rsidP="009F5D35">
      <w:r w:rsidRPr="00FA1A19">
        <w:t>Similarly, since 1 July 2012 following the Board</w:t>
      </w:r>
      <w:r w:rsidR="00F75232">
        <w:t>’</w:t>
      </w:r>
      <w:r w:rsidRPr="00FA1A19">
        <w:t xml:space="preserve">s review of </w:t>
      </w:r>
      <w:r w:rsidR="00521DDE" w:rsidRPr="00FA1A19">
        <w:t>Goods and Services Tax (</w:t>
      </w:r>
      <w:r w:rsidRPr="00FA1A19">
        <w:t>GST</w:t>
      </w:r>
      <w:r w:rsidR="00521DDE" w:rsidRPr="00FA1A19">
        <w:t>)</w:t>
      </w:r>
      <w:r w:rsidRPr="00FA1A19">
        <w:t xml:space="preserve"> administration, taxpayers can self</w:t>
      </w:r>
      <w:r w:rsidR="00F75232">
        <w:noBreakHyphen/>
      </w:r>
      <w:r w:rsidRPr="00FA1A19">
        <w:t xml:space="preserve">assess their </w:t>
      </w:r>
      <w:r w:rsidR="00B962BB" w:rsidRPr="00FA1A19">
        <w:t>GST</w:t>
      </w:r>
      <w:r w:rsidR="00F75232">
        <w:noBreakHyphen/>
      </w:r>
      <w:r w:rsidRPr="00FA1A19">
        <w:t xml:space="preserve">related liabilities and entitlements through </w:t>
      </w:r>
      <w:r w:rsidR="703AE664" w:rsidRPr="00FA1A19">
        <w:t>lodgement</w:t>
      </w:r>
      <w:r w:rsidRPr="00FA1A19">
        <w:t xml:space="preserve"> of their Business Activity Statement</w:t>
      </w:r>
      <w:r w:rsidR="001B5300">
        <w:t>s</w:t>
      </w:r>
      <w:r w:rsidRPr="00FA1A19">
        <w:t xml:space="preserve"> (BAS).</w:t>
      </w:r>
      <w:r w:rsidR="004F0A51" w:rsidRPr="00FA1A19">
        <w:t xml:space="preserve"> </w:t>
      </w:r>
    </w:p>
    <w:p w14:paraId="28D5CD9B" w14:textId="4AE3BF8D" w:rsidR="00730A91" w:rsidRPr="00FA1A19" w:rsidRDefault="000F3307" w:rsidP="009F5D35">
      <w:r w:rsidRPr="00FA1A19">
        <w:t>The self</w:t>
      </w:r>
      <w:r w:rsidR="00F75232">
        <w:noBreakHyphen/>
      </w:r>
      <w:r w:rsidRPr="00FA1A19">
        <w:t>assessment</w:t>
      </w:r>
      <w:r w:rsidR="00730A91" w:rsidRPr="00FA1A19">
        <w:t xml:space="preserve"> system places responsibility on taxpayers to ensure their disclosures comply with tax laws and provides the Commissioner with a period during which the ATO may review the return or statement (commonly referred to as the period of review</w:t>
      </w:r>
      <w:r w:rsidRPr="00FA1A19">
        <w:t xml:space="preserve"> or limited amendment period</w:t>
      </w:r>
      <w:r w:rsidR="00730A91" w:rsidRPr="00FA1A19">
        <w:t xml:space="preserve">). </w:t>
      </w:r>
    </w:p>
    <w:p w14:paraId="003BD4E9" w14:textId="5D046C3E" w:rsidR="00730A91" w:rsidRDefault="00730A91" w:rsidP="009F5D35">
      <w:r w:rsidRPr="00FA1A19">
        <w:t xml:space="preserve">The system operates through the imposition of obligations and rights upon the three main groups in the tax system: the taxpayer, the intermediary tax professional, and the ATO. The Board has considered the needs of taxpayers who are managing their own tax affairs, taxpayers that are supported by tax or BAS agents, how tax agents may be supported, and the role of the ATO. The following chart sets out some key obligations and needs of these groups: </w:t>
      </w:r>
    </w:p>
    <w:p w14:paraId="1180AB4B" w14:textId="6F6EDD6E" w:rsidR="008C7BA5" w:rsidRPr="00FA1A19" w:rsidRDefault="008C7BA5" w:rsidP="00A65360">
      <w:pPr>
        <w:pStyle w:val="ChartGraphic"/>
      </w:pPr>
      <w:r>
        <w:rPr>
          <w:noProof/>
        </w:rPr>
        <w:drawing>
          <wp:inline distT="0" distB="0" distL="0" distR="0" wp14:anchorId="0B31C278" wp14:editId="24519FA9">
            <wp:extent cx="5148000" cy="2896768"/>
            <wp:effectExtent l="0" t="0" r="0" b="0"/>
            <wp:docPr id="16" name="Picture 16" descr="This infographic summarises the different roles and obligations of the three main groups in the tax system: the taxpayer will lodge tax returns and BASs, access resources and education, respond to ATO inquiries and may utilise a tax/BAS agent. The tax/BAS agent will register with the Tax Practitioners Board, act as an intermediary for a taxpayer, lodge tax returns, respond to ATO inquiries and access resources and education. The ATO will administer the tax system, undertake compliance activities and provide education and guidance to taxpayers and interme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nfographic summarises the different roles and obligations of the three main groups in the tax system: the taxpayer will lodge tax returns and BASs, access resources and education, respond to ATO inquiries and may utilise a tax/BAS agent. The tax/BAS agent will register with the Tax Practitioners Board, act as an intermediary for a taxpayer, lodge tax returns, respond to ATO inquiries and access resources and education. The ATO will administer the tax system, undertake compliance activities and provide education and guidance to taxpayers and intermediarie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48000" cy="2896768"/>
                    </a:xfrm>
                    <a:prstGeom prst="rect">
                      <a:avLst/>
                    </a:prstGeom>
                  </pic:spPr>
                </pic:pic>
              </a:graphicData>
            </a:graphic>
          </wp:inline>
        </w:drawing>
      </w:r>
    </w:p>
    <w:p w14:paraId="27EFB80F" w14:textId="63AFB7F9" w:rsidR="00730A91" w:rsidRPr="00FA1A19" w:rsidRDefault="00730A91" w:rsidP="00342121">
      <w:pPr>
        <w:pStyle w:val="Heading3"/>
      </w:pPr>
      <w:r w:rsidRPr="00FA1A19">
        <w:t xml:space="preserve">Annual tax return </w:t>
      </w:r>
      <w:r w:rsidR="42473AB8" w:rsidRPr="00FA1A19">
        <w:t>lodgements</w:t>
      </w:r>
    </w:p>
    <w:p w14:paraId="3274E66D" w14:textId="4CFEF3E4" w:rsidR="00730A91" w:rsidRPr="00FA1A19" w:rsidRDefault="00730A91" w:rsidP="009F5D35">
      <w:r w:rsidRPr="00FA1A19">
        <w:t>Subject to some minor exceptions, individuals and other entities are required to lodge an annual income tax return with the ATO. This lodg</w:t>
      </w:r>
      <w:r w:rsidR="51DA93E1" w:rsidRPr="00FA1A19">
        <w:t>e</w:t>
      </w:r>
      <w:r w:rsidRPr="00FA1A19">
        <w:t xml:space="preserve">ment may be undertaken directly by the taxpayer or through the use of an intermediary tax agent. </w:t>
      </w:r>
    </w:p>
    <w:p w14:paraId="49B8A84E" w14:textId="73BF7A82" w:rsidR="00730A91" w:rsidRPr="00FA1A19" w:rsidRDefault="00730A91" w:rsidP="00A65360">
      <w:pPr>
        <w:spacing w:after="0"/>
      </w:pPr>
      <w:r w:rsidRPr="00FA1A19">
        <w:t>In Australia, the majority of individual taxpayers use a tax agent to lodge their income tax return, with ATO tax statistics for the 2021 income year indicating that nearly 2 in 3 individual taxpayers used a tax agent to lodge their tax return.</w:t>
      </w:r>
      <w:r w:rsidRPr="00170ADC">
        <w:rPr>
          <w:rStyle w:val="FootnoteReference"/>
        </w:rPr>
        <w:footnoteReference w:id="296"/>
      </w:r>
      <w:r w:rsidRPr="00FA1A19">
        <w:t xml:space="preserve"> This figure is significantly higher for non</w:t>
      </w:r>
      <w:r w:rsidR="00F75232">
        <w:noBreakHyphen/>
      </w:r>
      <w:r w:rsidRPr="00FA1A19">
        <w:t>individual taxpayers, with tax agent lodg</w:t>
      </w:r>
      <w:r w:rsidR="17AFDB23" w:rsidRPr="00FA1A19">
        <w:t>e</w:t>
      </w:r>
      <w:r w:rsidRPr="00FA1A19">
        <w:t>ments for companies at over 95%</w:t>
      </w:r>
      <w:r w:rsidRPr="00170ADC">
        <w:rPr>
          <w:rStyle w:val="FootnoteReference"/>
        </w:rPr>
        <w:footnoteReference w:id="297"/>
      </w:r>
      <w:r w:rsidRPr="00FA1A19">
        <w:t xml:space="preserve"> and over 98% for trusts</w:t>
      </w:r>
      <w:r w:rsidR="006701E0" w:rsidRPr="00FA1A19">
        <w:t>.</w:t>
      </w:r>
      <w:r w:rsidRPr="00170ADC">
        <w:rPr>
          <w:rStyle w:val="FootnoteReference"/>
        </w:rPr>
        <w:footnoteReference w:id="298"/>
      </w:r>
    </w:p>
    <w:p w14:paraId="4C1DA7D4" w14:textId="59B01534" w:rsidR="00730A91" w:rsidRPr="00FA1A19" w:rsidRDefault="00730A91" w:rsidP="009F5D35">
      <w:r w:rsidRPr="00FA1A19">
        <w:t>Individual taxpayers that are not using a tax agent to lodge (self</w:t>
      </w:r>
      <w:r w:rsidR="00F75232">
        <w:noBreakHyphen/>
      </w:r>
      <w:r w:rsidRPr="00FA1A19">
        <w:t xml:space="preserve">preparers) have two options for lodging their tax return: completing and lodging a paper copy of the return, or </w:t>
      </w:r>
      <w:r w:rsidR="00070932" w:rsidRPr="00FA1A19">
        <w:t xml:space="preserve">by utilising </w:t>
      </w:r>
      <w:r w:rsidRPr="00FA1A19">
        <w:t>the ATO</w:t>
      </w:r>
      <w:r w:rsidR="00F75232">
        <w:t>’</w:t>
      </w:r>
      <w:r w:rsidRPr="00FA1A19">
        <w:t xml:space="preserve">s electronic lodgement service for individuals, </w:t>
      </w:r>
      <w:r w:rsidRPr="00813896">
        <w:rPr>
          <w:rStyle w:val="Emphasis"/>
        </w:rPr>
        <w:t>myTax</w:t>
      </w:r>
      <w:r w:rsidR="00070932" w:rsidRPr="00813896">
        <w:rPr>
          <w:rStyle w:val="Emphasis"/>
        </w:rPr>
        <w:t xml:space="preserve">. </w:t>
      </w:r>
      <w:r w:rsidR="00070932" w:rsidRPr="00FA1A19">
        <w:t>A</w:t>
      </w:r>
      <w:r w:rsidRPr="00FA1A19">
        <w:t>lmost all individual self</w:t>
      </w:r>
      <w:r w:rsidR="00F75232">
        <w:noBreakHyphen/>
      </w:r>
      <w:r w:rsidRPr="00FA1A19">
        <w:t>preparers</w:t>
      </w:r>
      <w:r w:rsidR="004F0A51" w:rsidRPr="00FA1A19">
        <w:t xml:space="preserve"> </w:t>
      </w:r>
      <w:r w:rsidRPr="00FA1A19">
        <w:t>lodge through myTax.</w:t>
      </w:r>
      <w:r w:rsidRPr="00170ADC">
        <w:rPr>
          <w:rStyle w:val="FootnoteReference"/>
        </w:rPr>
        <w:footnoteReference w:id="299"/>
      </w:r>
      <w:r w:rsidRPr="00FA1A19">
        <w:t xml:space="preserve"> Non</w:t>
      </w:r>
      <w:r w:rsidR="00F75232">
        <w:noBreakHyphen/>
      </w:r>
      <w:r w:rsidRPr="00FA1A19">
        <w:t xml:space="preserve">individual taxpayers that are not using the service of a tax agent </w:t>
      </w:r>
      <w:r w:rsidR="00C00795" w:rsidRPr="00FA1A19">
        <w:t xml:space="preserve">currently </w:t>
      </w:r>
      <w:r w:rsidRPr="00FA1A19">
        <w:t xml:space="preserve">only have the option of lodging </w:t>
      </w:r>
      <w:r w:rsidR="00C00795" w:rsidRPr="00FA1A19">
        <w:t xml:space="preserve">a </w:t>
      </w:r>
      <w:r w:rsidRPr="00FA1A19">
        <w:t>paper</w:t>
      </w:r>
      <w:r w:rsidR="00C00795" w:rsidRPr="00FA1A19">
        <w:t xml:space="preserve"> copy of the relevant tax return</w:t>
      </w:r>
      <w:r w:rsidRPr="00FA1A19">
        <w:t xml:space="preserve">. </w:t>
      </w:r>
    </w:p>
    <w:p w14:paraId="28BC54A5" w14:textId="17043125" w:rsidR="00730A91" w:rsidRPr="00FA1A19" w:rsidRDefault="00730A91" w:rsidP="009F5D35">
      <w:r w:rsidRPr="00FA1A19">
        <w:t>Tax agents interact with the ATO through Online services for agents and lodge relevant forms through tailored software products and utilising the ATO</w:t>
      </w:r>
      <w:r w:rsidR="00F75232">
        <w:t>’</w:t>
      </w:r>
      <w:r w:rsidRPr="00FA1A19">
        <w:t>s Practitioner lodg</w:t>
      </w:r>
      <w:r w:rsidR="38F394E0" w:rsidRPr="00FA1A19">
        <w:t>e</w:t>
      </w:r>
      <w:r w:rsidRPr="00FA1A19">
        <w:t>ment service (PLS).</w:t>
      </w:r>
    </w:p>
    <w:p w14:paraId="79B5E023" w14:textId="744E9E37" w:rsidR="00BC5DD1" w:rsidRPr="00FA1A19" w:rsidRDefault="00730A91" w:rsidP="006A3810">
      <w:pPr>
        <w:keepNext/>
      </w:pPr>
      <w:r w:rsidRPr="00FA1A19">
        <w:t>The split of individual tax lodg</w:t>
      </w:r>
      <w:r w:rsidR="00C5A83B" w:rsidRPr="00FA1A19">
        <w:t>e</w:t>
      </w:r>
      <w:r w:rsidRPr="00FA1A19">
        <w:t>ments based on the 2020</w:t>
      </w:r>
      <w:r w:rsidR="00C66BE4">
        <w:t>–</w:t>
      </w:r>
      <w:r w:rsidRPr="00FA1A19">
        <w:t xml:space="preserve">21 tax statistics is illustrated in the following </w:t>
      </w:r>
      <w:r w:rsidR="4F3F73EF" w:rsidRPr="00FA1A19">
        <w:t>graphic:</w:t>
      </w:r>
    </w:p>
    <w:p w14:paraId="39FBE214" w14:textId="1D141338" w:rsidR="00730A91" w:rsidRDefault="00484A20" w:rsidP="00471171">
      <w:pPr>
        <w:pStyle w:val="ChartGraphic"/>
      </w:pPr>
      <w:r w:rsidRPr="00FA1A19">
        <w:rPr>
          <w:noProof/>
        </w:rPr>
        <w:drawing>
          <wp:inline distT="0" distB="0" distL="0" distR="0" wp14:anchorId="326B461B" wp14:editId="5AC0E616">
            <wp:extent cx="6120000" cy="5139250"/>
            <wp:effectExtent l="0" t="0" r="0" b="4445"/>
            <wp:docPr id="43" name="Picture 43" descr="This infographic shows the split of individual tax return lodgements, showing that 36.3% of individual taxpayers self-prepare their tax return, and that 98.5% of those taxpayers lodge through myTax, with the remainder lodging by paper. The remaining 63.7% of individual taxpayers lodge through a tax agent through P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infographic shows the split of individual tax return lodgements, showing that 36.3% of individual taxpayers self-prepare their tax return, and that 98.5% of those taxpayers lodge through myTax, with the remainder lodging by paper. The remaining 63.7% of individual taxpayers lodge through a tax agent through PLS.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000" cy="5139250"/>
                    </a:xfrm>
                    <a:prstGeom prst="rect">
                      <a:avLst/>
                    </a:prstGeom>
                  </pic:spPr>
                </pic:pic>
              </a:graphicData>
            </a:graphic>
          </wp:inline>
        </w:drawing>
      </w:r>
    </w:p>
    <w:p w14:paraId="26321586" w14:textId="77777777" w:rsidR="00B86742" w:rsidRPr="00B86742" w:rsidRDefault="00B86742" w:rsidP="00B86742">
      <w:pPr>
        <w:pStyle w:val="SingleParagraph"/>
      </w:pPr>
    </w:p>
    <w:p w14:paraId="0F1CDCA1" w14:textId="0D3A8D2C" w:rsidR="00730A91" w:rsidRPr="00FA1A19" w:rsidRDefault="00B974F2" w:rsidP="009F5D35">
      <w:r w:rsidRPr="00FA1A19">
        <w:t xml:space="preserve">As set out in </w:t>
      </w:r>
      <w:r w:rsidR="00372633">
        <w:t>Chapter </w:t>
      </w:r>
      <w:r w:rsidRPr="00FA1A19">
        <w:t xml:space="preserve">2 of the Report, </w:t>
      </w:r>
      <w:r w:rsidR="005C6035">
        <w:t xml:space="preserve">the ATO </w:t>
      </w:r>
      <w:r w:rsidR="00730A91" w:rsidRPr="00FA1A19">
        <w:t xml:space="preserve">has indicated that </w:t>
      </w:r>
      <w:r w:rsidR="001B459E">
        <w:t>around one</w:t>
      </w:r>
      <w:r w:rsidR="00372633">
        <w:t> million</w:t>
      </w:r>
      <w:r w:rsidR="00730A91" w:rsidRPr="00FA1A19">
        <w:t xml:space="preserve"> Australians </w:t>
      </w:r>
      <w:r w:rsidR="001B459E">
        <w:t>are</w:t>
      </w:r>
      <w:r w:rsidR="001B459E" w:rsidRPr="00FA1A19">
        <w:t xml:space="preserve"> </w:t>
      </w:r>
      <w:r w:rsidR="00730A91" w:rsidRPr="00FA1A19">
        <w:t>expected to</w:t>
      </w:r>
      <w:r w:rsidR="001B459E">
        <w:t xml:space="preserve"> </w:t>
      </w:r>
      <w:r w:rsidR="001B459E" w:rsidRPr="001B459E">
        <w:t>consider whether their crypto assets should be reported</w:t>
      </w:r>
      <w:r w:rsidR="001B459E">
        <w:t xml:space="preserve"> </w:t>
      </w:r>
      <w:r w:rsidR="00730A91" w:rsidRPr="00FA1A19">
        <w:t>on their tax returns for the 2022 income year</w:t>
      </w:r>
      <w:r w:rsidR="00AB260F" w:rsidRPr="00FA1A19">
        <w:t>.</w:t>
      </w:r>
      <w:r w:rsidR="00730A91" w:rsidRPr="00FA1A19">
        <w:t xml:space="preserve"> Research by Swyftx indicates that there may be up to 4.5</w:t>
      </w:r>
      <w:r w:rsidR="00372633">
        <w:t> million</w:t>
      </w:r>
      <w:r w:rsidR="00730A91" w:rsidRPr="00FA1A19">
        <w:t xml:space="preserve"> Australians owning crypto assets.</w:t>
      </w:r>
      <w:r w:rsidR="00730A91" w:rsidRPr="00170ADC">
        <w:rPr>
          <w:rStyle w:val="FootnoteReference"/>
        </w:rPr>
        <w:footnoteReference w:id="300"/>
      </w:r>
      <w:r w:rsidR="00730A91" w:rsidRPr="00FA1A19">
        <w:t xml:space="preserve"> While lodg</w:t>
      </w:r>
      <w:r w:rsidR="5E999598" w:rsidRPr="00FA1A19">
        <w:t>e</w:t>
      </w:r>
      <w:r w:rsidR="00730A91" w:rsidRPr="00FA1A19">
        <w:t>ment data for the 2022 income year is not yet publicly available, average individual tax lodg</w:t>
      </w:r>
      <w:r w:rsidR="2549724F" w:rsidRPr="00FA1A19">
        <w:t>e</w:t>
      </w:r>
      <w:r w:rsidR="00730A91" w:rsidRPr="00FA1A19">
        <w:t>ments from 2018 to 2021 were 15.4</w:t>
      </w:r>
      <w:r w:rsidR="00372633">
        <w:t> million</w:t>
      </w:r>
      <w:r w:rsidR="00273289">
        <w:t>.</w:t>
      </w:r>
      <w:r w:rsidR="00730A91" w:rsidRPr="00170ADC">
        <w:rPr>
          <w:rStyle w:val="FootnoteReference"/>
        </w:rPr>
        <w:footnoteReference w:id="301"/>
      </w:r>
      <w:r w:rsidR="00273289">
        <w:t xml:space="preserve"> </w:t>
      </w:r>
      <w:r w:rsidR="00A925A6">
        <w:t xml:space="preserve">These </w:t>
      </w:r>
      <w:r w:rsidR="00D7794C">
        <w:t xml:space="preserve">numbers suggest a significant </w:t>
      </w:r>
      <w:r w:rsidR="00EF10E2">
        <w:t>portion</w:t>
      </w:r>
      <w:r w:rsidR="00D7794C">
        <w:t xml:space="preserve"> of taxpayers </w:t>
      </w:r>
      <w:r w:rsidR="00B44A9F">
        <w:t>should consider whether their</w:t>
      </w:r>
      <w:r w:rsidR="00D7794C">
        <w:t xml:space="preserve"> </w:t>
      </w:r>
      <w:r w:rsidR="00730A91" w:rsidRPr="00FA1A19">
        <w:t xml:space="preserve">crypto asset related transaction </w:t>
      </w:r>
      <w:r w:rsidR="00F3144D">
        <w:t xml:space="preserve">should be included </w:t>
      </w:r>
      <w:r w:rsidR="00730A91" w:rsidRPr="00FA1A19">
        <w:t xml:space="preserve">in their 2022 tax return. </w:t>
      </w:r>
    </w:p>
    <w:p w14:paraId="6148CB47" w14:textId="296ADED6" w:rsidR="00730A91" w:rsidRPr="00FA1A19" w:rsidRDefault="00730A91" w:rsidP="00342121">
      <w:pPr>
        <w:pStyle w:val="Heading3"/>
      </w:pPr>
      <w:r w:rsidRPr="00FA1A19">
        <w:t xml:space="preserve">Business activity statement </w:t>
      </w:r>
      <w:r w:rsidR="0060183B" w:rsidRPr="00FA1A19">
        <w:t>lodgement</w:t>
      </w:r>
      <w:r w:rsidRPr="00FA1A19">
        <w:t>s</w:t>
      </w:r>
    </w:p>
    <w:p w14:paraId="40AB44E0" w14:textId="1E433551" w:rsidR="00730A91" w:rsidRPr="00FA1A19" w:rsidRDefault="00730A91" w:rsidP="009F5D35">
      <w:r w:rsidRPr="00FA1A19">
        <w:t xml:space="preserve">Enterprises that are registered for GST are required to lodge a periodic BAS with the ATO. In </w:t>
      </w:r>
      <w:r w:rsidR="00372633">
        <w:t>Chapter </w:t>
      </w:r>
      <w:r w:rsidR="006912FF" w:rsidRPr="00FA1A19">
        <w:t>10</w:t>
      </w:r>
      <w:r w:rsidRPr="00FA1A19">
        <w:t xml:space="preserve">, the Board has set out some of the complexity that </w:t>
      </w:r>
      <w:r w:rsidR="00CE60D7" w:rsidRPr="00FA1A19">
        <w:t xml:space="preserve">may </w:t>
      </w:r>
      <w:r w:rsidRPr="00FA1A19">
        <w:t>arise</w:t>
      </w:r>
      <w:r w:rsidR="00CE60D7" w:rsidRPr="00FA1A19">
        <w:t xml:space="preserve"> </w:t>
      </w:r>
      <w:r w:rsidR="000B7BC8" w:rsidRPr="00FA1A19">
        <w:t>for</w:t>
      </w:r>
      <w:r w:rsidRPr="00FA1A19">
        <w:t xml:space="preserve"> taxpayers </w:t>
      </w:r>
      <w:r w:rsidR="5E72F10A" w:rsidRPr="00FA1A19">
        <w:t>when</w:t>
      </w:r>
      <w:r w:rsidRPr="00FA1A19">
        <w:t xml:space="preserve"> identifying their registration obligations </w:t>
      </w:r>
      <w:r w:rsidR="6AC0C899" w:rsidRPr="00FA1A19">
        <w:t>from</w:t>
      </w:r>
      <w:r w:rsidRPr="00FA1A19">
        <w:t xml:space="preserve"> crypto asset</w:t>
      </w:r>
      <w:r w:rsidR="19AF8C4C" w:rsidRPr="00FA1A19">
        <w:t xml:space="preserve"> transactions</w:t>
      </w:r>
      <w:r w:rsidRPr="00FA1A19">
        <w:t xml:space="preserve">. </w:t>
      </w:r>
    </w:p>
    <w:p w14:paraId="057E164D" w14:textId="77777777" w:rsidR="00730A91" w:rsidRPr="00FA1A19" w:rsidRDefault="00730A91" w:rsidP="00342121">
      <w:pPr>
        <w:pStyle w:val="Heading3"/>
      </w:pPr>
      <w:r w:rsidRPr="00FA1A19">
        <w:t>Role of the tax agent</w:t>
      </w:r>
    </w:p>
    <w:p w14:paraId="512A420B" w14:textId="191DF85D" w:rsidR="00730A91" w:rsidRPr="00FA1A19" w:rsidRDefault="00730A91" w:rsidP="009F5D35">
      <w:r w:rsidRPr="00FA1A19">
        <w:t>Tax and BAS agents are registered through the Tax Practitioners Board (TPB) and play an important role in the tax system in helping taxpayers prepare and lodge their tax returns</w:t>
      </w:r>
      <w:r w:rsidR="00F2672C" w:rsidRPr="00FA1A19">
        <w:t xml:space="preserve"> and BASs</w:t>
      </w:r>
      <w:r w:rsidRPr="00FA1A19">
        <w:t>. The TPB was established to ensure (among other things) that tax agents maintain appropriate skills and knowledge to provide tax agent services.</w:t>
      </w:r>
      <w:r w:rsidR="004F0A51" w:rsidRPr="00FA1A19">
        <w:t xml:space="preserve"> </w:t>
      </w:r>
    </w:p>
    <w:p w14:paraId="5D347111" w14:textId="6C178F4E" w:rsidR="00730A91" w:rsidRPr="00FA1A19" w:rsidRDefault="00730A91" w:rsidP="009F5D35">
      <w:r w:rsidRPr="00FA1A19">
        <w:t xml:space="preserve">Tax agents are </w:t>
      </w:r>
      <w:r w:rsidR="000D2371">
        <w:t xml:space="preserve">regulated </w:t>
      </w:r>
      <w:r w:rsidRPr="00FA1A19">
        <w:t xml:space="preserve">under the </w:t>
      </w:r>
      <w:r w:rsidRPr="00813896">
        <w:rPr>
          <w:rStyle w:val="Emphasis"/>
        </w:rPr>
        <w:t xml:space="preserve">Tax Agent Service Act 2009 </w:t>
      </w:r>
      <w:r w:rsidRPr="00813896">
        <w:t>(</w:t>
      </w:r>
      <w:r w:rsidRPr="00FA1A19">
        <w:rPr>
          <w:rFonts w:cs="Calibri"/>
          <w:color w:val="000000"/>
        </w:rPr>
        <w:t xml:space="preserve">TASA 2009) and </w:t>
      </w:r>
      <w:r w:rsidRPr="00813896">
        <w:rPr>
          <w:rStyle w:val="Emphasis"/>
        </w:rPr>
        <w:t xml:space="preserve">Tax Agent Services Regulations 2022 </w:t>
      </w:r>
      <w:r w:rsidRPr="00FA1A19">
        <w:rPr>
          <w:rFonts w:cs="Calibri"/>
          <w:color w:val="000000"/>
        </w:rPr>
        <w:t xml:space="preserve">(TASR 2022). Importantly, TASA 2009 sets out </w:t>
      </w:r>
      <w:r w:rsidRPr="00813896">
        <w:rPr>
          <w:rStyle w:val="Emphasis"/>
        </w:rPr>
        <w:t xml:space="preserve">The Code Professional Conduct </w:t>
      </w:r>
      <w:r w:rsidRPr="00FA1A19">
        <w:rPr>
          <w:rFonts w:cs="Calibri"/>
          <w:color w:val="000000"/>
        </w:rPr>
        <w:t>(Code)</w:t>
      </w:r>
      <w:r w:rsidRPr="00FA1A19">
        <w:rPr>
          <w:rFonts w:cs="Calibri"/>
          <w:i/>
          <w:iCs/>
          <w:color w:val="000000"/>
        </w:rPr>
        <w:t xml:space="preserve"> </w:t>
      </w:r>
      <w:r w:rsidRPr="00FA1A19">
        <w:t xml:space="preserve">detailing the requirements for tax practitioners across the categories of: honesty and integrity; independence; confidentiality; competence; and other responsibilities. </w:t>
      </w:r>
    </w:p>
    <w:p w14:paraId="3FE2878C" w14:textId="04C48822" w:rsidR="00730A91" w:rsidRPr="00FA1A19" w:rsidRDefault="00730A91" w:rsidP="009F5D35">
      <w:pPr>
        <w:rPr>
          <w:rFonts w:cs="Calibri"/>
          <w:color w:val="000000"/>
        </w:rPr>
      </w:pPr>
      <w:r w:rsidRPr="00FA1A19">
        <w:t xml:space="preserve">There are </w:t>
      </w:r>
      <w:r w:rsidR="00F2672C" w:rsidRPr="00FA1A19">
        <w:t>multiple</w:t>
      </w:r>
      <w:r w:rsidRPr="00FA1A19">
        <w:t xml:space="preserve"> pathways to becoming a registered tax agent</w:t>
      </w:r>
      <w:r w:rsidR="00896F16" w:rsidRPr="00FA1A19">
        <w:t>.</w:t>
      </w:r>
      <w:r w:rsidRPr="00FA1A19">
        <w:t xml:space="preserve"> </w:t>
      </w:r>
      <w:r w:rsidR="00896F16" w:rsidRPr="00FA1A19">
        <w:t>I</w:t>
      </w:r>
      <w:r w:rsidRPr="00FA1A19">
        <w:t>ndividuals are generally required to have some combination of formal qualifications, recognised work experience and professional association membership.</w:t>
      </w:r>
      <w:r w:rsidRPr="00170ADC">
        <w:rPr>
          <w:rStyle w:val="FootnoteReference"/>
        </w:rPr>
        <w:footnoteReference w:id="302"/>
      </w:r>
      <w:r w:rsidRPr="00FA1A19">
        <w:t xml:space="preserve"> Additionally, registered tax agents are subject to a series of ongoing registration obligations and required to </w:t>
      </w:r>
      <w:r w:rsidRPr="00FA1A19">
        <w:rPr>
          <w:rFonts w:cs="Calibri"/>
          <w:color w:val="000000"/>
        </w:rPr>
        <w:t>maintain a level of knowledge and skills relevant to the tax agent service that they are providing. In recognition of this, they are generally required to undertake a minimum 120 hours of Continuing Professional Education (CPE) across a 3</w:t>
      </w:r>
      <w:r w:rsidR="00F75232">
        <w:rPr>
          <w:rFonts w:cs="Calibri"/>
          <w:color w:val="000000"/>
        </w:rPr>
        <w:noBreakHyphen/>
      </w:r>
      <w:r w:rsidRPr="00FA1A19">
        <w:rPr>
          <w:rFonts w:cs="Calibri"/>
          <w:color w:val="000000"/>
        </w:rPr>
        <w:t>year period.</w:t>
      </w:r>
      <w:r w:rsidRPr="00170ADC">
        <w:rPr>
          <w:rStyle w:val="FootnoteReference"/>
        </w:rPr>
        <w:footnoteReference w:id="303"/>
      </w:r>
      <w:r w:rsidRPr="00FA1A19">
        <w:rPr>
          <w:rFonts w:cs="Calibri"/>
          <w:color w:val="000000"/>
        </w:rPr>
        <w:t xml:space="preserve"> Tax agents that are also members of a professional body such as </w:t>
      </w:r>
      <w:r w:rsidRPr="00FA1A19">
        <w:t>Chartered Accountants Australia and New Zealand</w:t>
      </w:r>
      <w:r w:rsidRPr="00FA1A19">
        <w:rPr>
          <w:rFonts w:cs="Calibri"/>
          <w:color w:val="000000"/>
        </w:rPr>
        <w:t>, CPA Australia, The Tax Institute  or the Institute of Public Accountants  may also be required to meet additional or specific CPE obligations</w:t>
      </w:r>
      <w:r w:rsidR="005C61A6" w:rsidRPr="00FA1A19">
        <w:rPr>
          <w:rFonts w:cs="Calibri"/>
          <w:color w:val="000000"/>
        </w:rPr>
        <w:t xml:space="preserve"> in relation to their membership</w:t>
      </w:r>
      <w:r w:rsidRPr="00FA1A19">
        <w:rPr>
          <w:rFonts w:cs="Calibri"/>
          <w:color w:val="000000"/>
        </w:rPr>
        <w:t>.</w:t>
      </w:r>
    </w:p>
    <w:p w14:paraId="7076CEB0" w14:textId="1C70974E" w:rsidR="00730A91" w:rsidRPr="00FA1A19" w:rsidRDefault="00730A91" w:rsidP="00471171">
      <w:pPr>
        <w:rPr>
          <w:rFonts w:cs="Calibri"/>
          <w:color w:val="000000"/>
        </w:rPr>
      </w:pPr>
      <w:r w:rsidRPr="00FA1A19">
        <w:rPr>
          <w:rFonts w:cs="Calibri"/>
          <w:color w:val="000000" w:themeColor="text1"/>
        </w:rPr>
        <w:t xml:space="preserve">The Board notes that </w:t>
      </w:r>
      <w:r w:rsidR="00526AF2" w:rsidRPr="00FA1A19">
        <w:rPr>
          <w:rFonts w:cs="Calibri"/>
          <w:color w:val="000000" w:themeColor="text1"/>
        </w:rPr>
        <w:t>when it comes to providing tax advice in relation to crypto assets,</w:t>
      </w:r>
      <w:r w:rsidRPr="00FA1A19">
        <w:rPr>
          <w:rFonts w:cs="Calibri"/>
          <w:color w:val="000000" w:themeColor="text1"/>
        </w:rPr>
        <w:t xml:space="preserve"> the obligations imposed by the </w:t>
      </w:r>
      <w:r w:rsidR="00F75232">
        <w:rPr>
          <w:rFonts w:cs="Calibri"/>
          <w:color w:val="000000" w:themeColor="text1"/>
        </w:rPr>
        <w:t>‘</w:t>
      </w:r>
      <w:r w:rsidRPr="00FA1A19">
        <w:rPr>
          <w:rFonts w:cs="Calibri"/>
          <w:color w:val="000000" w:themeColor="text1"/>
        </w:rPr>
        <w:t>maintaining a level of knowledge</w:t>
      </w:r>
      <w:r w:rsidR="00F75232">
        <w:rPr>
          <w:rFonts w:cs="Calibri"/>
          <w:color w:val="000000" w:themeColor="text1"/>
        </w:rPr>
        <w:t>’</w:t>
      </w:r>
      <w:r w:rsidRPr="00FA1A19">
        <w:rPr>
          <w:rFonts w:cs="Calibri"/>
          <w:color w:val="000000" w:themeColor="text1"/>
        </w:rPr>
        <w:t xml:space="preserve"> </w:t>
      </w:r>
      <w:r w:rsidR="006E16A5">
        <w:rPr>
          <w:rFonts w:cs="Calibri"/>
          <w:color w:val="000000" w:themeColor="text1"/>
        </w:rPr>
        <w:t xml:space="preserve">requirement </w:t>
      </w:r>
      <w:r w:rsidRPr="00FA1A19">
        <w:rPr>
          <w:rFonts w:cs="Calibri"/>
          <w:color w:val="000000" w:themeColor="text1"/>
        </w:rPr>
        <w:t xml:space="preserve">will </w:t>
      </w:r>
      <w:r w:rsidR="00DF38B6">
        <w:rPr>
          <w:rFonts w:cs="Calibri"/>
          <w:color w:val="000000" w:themeColor="text1"/>
        </w:rPr>
        <w:t xml:space="preserve">likely </w:t>
      </w:r>
      <w:r w:rsidRPr="00FA1A19">
        <w:rPr>
          <w:rFonts w:cs="Calibri"/>
          <w:color w:val="000000" w:themeColor="text1"/>
        </w:rPr>
        <w:t xml:space="preserve">require </w:t>
      </w:r>
      <w:r w:rsidR="00DF38B6">
        <w:rPr>
          <w:rFonts w:cs="Calibri"/>
          <w:color w:val="000000" w:themeColor="text1"/>
        </w:rPr>
        <w:t>a specific focus</w:t>
      </w:r>
      <w:r w:rsidR="006E16A5">
        <w:rPr>
          <w:rFonts w:cs="Calibri"/>
          <w:color w:val="000000" w:themeColor="text1"/>
        </w:rPr>
        <w:t xml:space="preserve"> on</w:t>
      </w:r>
      <w:r w:rsidR="00767350">
        <w:rPr>
          <w:rFonts w:cs="Calibri"/>
          <w:color w:val="000000" w:themeColor="text1"/>
        </w:rPr>
        <w:t xml:space="preserve"> </w:t>
      </w:r>
      <w:r w:rsidR="00133C34">
        <w:rPr>
          <w:rFonts w:cs="Calibri"/>
          <w:color w:val="000000" w:themeColor="text1"/>
        </w:rPr>
        <w:t>u</w:t>
      </w:r>
      <w:r w:rsidR="001477A8" w:rsidRPr="00FA1A19">
        <w:rPr>
          <w:rFonts w:cs="Calibri"/>
          <w:color w:val="000000" w:themeColor="text1"/>
        </w:rPr>
        <w:t>nderstand</w:t>
      </w:r>
      <w:r w:rsidR="00DF38B6">
        <w:rPr>
          <w:rFonts w:cs="Calibri"/>
          <w:color w:val="000000" w:themeColor="text1"/>
        </w:rPr>
        <w:t>ing</w:t>
      </w:r>
      <w:r w:rsidR="001477A8" w:rsidRPr="00FA1A19">
        <w:rPr>
          <w:rFonts w:cs="Calibri"/>
          <w:color w:val="000000" w:themeColor="text1"/>
        </w:rPr>
        <w:t xml:space="preserve"> crypto assets and transactions. </w:t>
      </w:r>
    </w:p>
    <w:p w14:paraId="18E4250F" w14:textId="77777777" w:rsidR="00730A91" w:rsidRPr="00FA1A19" w:rsidRDefault="00730A91" w:rsidP="009F5D35">
      <w:r w:rsidRPr="00FA1A19">
        <w:t xml:space="preserve">There is no obligation for taxpayers with complex affairs or undertaking specific transactions to engage the services of a tax agent to assist in preparing and lodging their return. Notwithstanding this, as noted in the previous section, a significant portion of Australian individuals utilise the services of a tax agent to prepare and lodge their annual income tax return. </w:t>
      </w:r>
    </w:p>
    <w:p w14:paraId="036E7251" w14:textId="2E6205D2" w:rsidR="00730A91" w:rsidRPr="00FA1A19" w:rsidRDefault="00730A91" w:rsidP="009F5D35">
      <w:r w:rsidRPr="00FA1A19">
        <w:t xml:space="preserve">While the Board does not have any statistics in relation to the portion of taxpayers </w:t>
      </w:r>
      <w:r w:rsidR="00580AC0" w:rsidRPr="00FA1A19">
        <w:t xml:space="preserve">with crypto assets </w:t>
      </w:r>
      <w:r w:rsidRPr="00FA1A19">
        <w:t>that utilise a tax agent to lodge their income tax return, in Koinly</w:t>
      </w:r>
      <w:r w:rsidR="00F75232">
        <w:t>’</w:t>
      </w:r>
      <w:r w:rsidRPr="00FA1A19">
        <w:t>s submission to the Review, they provided the results of a survey of retail crypto investors indicating that the majority of respondents use an accountant.</w:t>
      </w:r>
      <w:r w:rsidRPr="00170ADC">
        <w:rPr>
          <w:rStyle w:val="FootnoteReference"/>
        </w:rPr>
        <w:footnoteReference w:id="304"/>
      </w:r>
      <w:r w:rsidRPr="00FA1A19">
        <w:t xml:space="preserve"> </w:t>
      </w:r>
      <w:r w:rsidRPr="00FA1A19">
        <w:rPr>
          <w:rFonts w:cs="Calibri"/>
        </w:rPr>
        <w:t xml:space="preserve">The Board has received feedback that the majority of retail investors lack the knowledge on whether and/or how to calculate tax, given the </w:t>
      </w:r>
      <w:r w:rsidR="00066716" w:rsidRPr="00FA1A19">
        <w:rPr>
          <w:rFonts w:cs="Calibri"/>
        </w:rPr>
        <w:t xml:space="preserve">potential </w:t>
      </w:r>
      <w:r w:rsidRPr="00FA1A19">
        <w:rPr>
          <w:rFonts w:cs="Calibri"/>
        </w:rPr>
        <w:t>complexity of crypto asset transactions</w:t>
      </w:r>
      <w:r w:rsidR="00066716" w:rsidRPr="00FA1A19">
        <w:rPr>
          <w:rFonts w:cs="Calibri"/>
        </w:rPr>
        <w:t>,</w:t>
      </w:r>
      <w:r w:rsidRPr="00FA1A19">
        <w:rPr>
          <w:rFonts w:cs="Calibri"/>
        </w:rPr>
        <w:t xml:space="preserve"> and that this ambiguity pushes them towards seeking help from tax practitioners.</w:t>
      </w:r>
      <w:r w:rsidRPr="00170ADC">
        <w:rPr>
          <w:rStyle w:val="FootnoteReference"/>
        </w:rPr>
        <w:footnoteReference w:id="305"/>
      </w:r>
      <w:r w:rsidRPr="00FA1A19">
        <w:t xml:space="preserve"> </w:t>
      </w:r>
    </w:p>
    <w:p w14:paraId="3F2433F0" w14:textId="79C70BEC" w:rsidR="00730A91" w:rsidRPr="00FA1A19" w:rsidRDefault="00730A91" w:rsidP="009F5D35">
      <w:r w:rsidRPr="00FA1A19">
        <w:t>The Board has heard that there are significant challenges in accessing affordable and competent advice on crypto asset taxation. Further, as FinTech Australia highlighted, the absence of specialisation (or expert knowledge) in respect of the crypto assets industry amongst tax advisers affects the affordability of such services.</w:t>
      </w:r>
      <w:r w:rsidRPr="00170ADC">
        <w:rPr>
          <w:rStyle w:val="FootnoteReference"/>
        </w:rPr>
        <w:footnoteReference w:id="306"/>
      </w:r>
      <w:r w:rsidRPr="00FA1A19">
        <w:t xml:space="preserve"> This knowledge gap not only makes </w:t>
      </w:r>
      <w:r w:rsidR="007863EB" w:rsidRPr="00FA1A19">
        <w:t xml:space="preserve">accessibility of an </w:t>
      </w:r>
      <w:r w:rsidRPr="00FA1A19">
        <w:t xml:space="preserve">adviser </w:t>
      </w:r>
      <w:r w:rsidR="007863EB" w:rsidRPr="00FA1A19">
        <w:t xml:space="preserve">with crypto asset tax </w:t>
      </w:r>
      <w:r w:rsidR="33F5841B" w:rsidRPr="00FA1A19">
        <w:t>knowledge an</w:t>
      </w:r>
      <w:r w:rsidRPr="00FA1A19">
        <w:t xml:space="preserve"> issue for taxpayers</w:t>
      </w:r>
      <w:r w:rsidR="007863EB" w:rsidRPr="00FA1A19">
        <w:t>,</w:t>
      </w:r>
      <w:r w:rsidRPr="00FA1A19">
        <w:t xml:space="preserve"> but also presents challenges for the profession in meeting their </w:t>
      </w:r>
      <w:r w:rsidR="007863EB" w:rsidRPr="00FA1A19">
        <w:t>registered tax practitioner</w:t>
      </w:r>
      <w:r w:rsidRPr="00FA1A19">
        <w:t xml:space="preserve"> </w:t>
      </w:r>
      <w:r w:rsidR="041A20B3" w:rsidRPr="00FA1A19">
        <w:t>obligations.</w:t>
      </w:r>
    </w:p>
    <w:p w14:paraId="6AE965F6" w14:textId="77777777" w:rsidR="00730A91" w:rsidRPr="00FA1A19" w:rsidRDefault="00730A91" w:rsidP="00471171">
      <w:pPr>
        <w:pStyle w:val="SingleParagraph"/>
      </w:pPr>
    </w:p>
    <w:tbl>
      <w:tblPr>
        <w:tblStyle w:val="BoTObservation"/>
        <w:tblW w:w="5000" w:type="pct"/>
        <w:tblLook w:val="01E0" w:firstRow="1" w:lastRow="1" w:firstColumn="1" w:lastColumn="1" w:noHBand="0" w:noVBand="0"/>
      </w:tblPr>
      <w:tblGrid>
        <w:gridCol w:w="9641"/>
      </w:tblGrid>
      <w:tr w:rsidR="00730A91" w:rsidRPr="00FA1A19" w14:paraId="7C69C508"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6F97E2A" w14:textId="37D3F439" w:rsidR="00730A91" w:rsidRPr="00FA1A19" w:rsidRDefault="00372633" w:rsidP="003316D7">
            <w:pPr>
              <w:pStyle w:val="BoxHeading1"/>
            </w:pPr>
            <w:r>
              <w:t>Observation </w:t>
            </w:r>
            <w:r w:rsidR="004B1484" w:rsidRPr="00FA1A19">
              <w:t>6</w:t>
            </w:r>
            <w:r w:rsidR="00730A91" w:rsidRPr="00FA1A19">
              <w:t>.1</w:t>
            </w:r>
          </w:p>
        </w:tc>
      </w:tr>
      <w:tr w:rsidR="00730A91" w:rsidRPr="00FA1A19" w14:paraId="487C7832"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00B8B175" w14:textId="4B973D8A" w:rsidR="00730A91" w:rsidRPr="00FA1A19" w:rsidRDefault="00730A91" w:rsidP="00471171">
            <w:pPr>
              <w:pStyle w:val="BoxText"/>
            </w:pPr>
            <w:r w:rsidRPr="00FA1A19">
              <w:t>T</w:t>
            </w:r>
            <w:r w:rsidR="00943DE1">
              <w:t xml:space="preserve">ax advisers and tax agents perform a critical role in ensuring appropriate compliance by taxpayers with respect to crypto asset transactions. It is important that tax advisers and tax agents have the appropriate skills to advise on crypto asset transactions. </w:t>
            </w:r>
            <w:r w:rsidRPr="00FA1A19">
              <w:t>Education and awareness campaigns should</w:t>
            </w:r>
            <w:r w:rsidR="00453D2C">
              <w:t xml:space="preserve"> therefore</w:t>
            </w:r>
            <w:r w:rsidRPr="00FA1A19">
              <w:t xml:space="preserve"> be tailored to support both taxpayers and tax professionals.</w:t>
            </w:r>
          </w:p>
        </w:tc>
      </w:tr>
    </w:tbl>
    <w:p w14:paraId="4D65CCE7" w14:textId="77777777" w:rsidR="00730A91" w:rsidRPr="00FA1A19" w:rsidRDefault="00730A91" w:rsidP="00342121">
      <w:pPr>
        <w:pStyle w:val="Heading3"/>
      </w:pPr>
      <w:r w:rsidRPr="00FA1A19">
        <w:t>Role of professional associations</w:t>
      </w:r>
    </w:p>
    <w:p w14:paraId="55729F4C" w14:textId="104EACF1" w:rsidR="00730A91" w:rsidRPr="00FA1A19" w:rsidRDefault="00730A91" w:rsidP="009F5D35">
      <w:r w:rsidRPr="00FA1A19">
        <w:t xml:space="preserve">Tax professionals, including registered tax agents, may choose to be a member of a professional membership body providing services to the tax community. The Board particularly notes the roles of </w:t>
      </w:r>
      <w:r w:rsidR="0029093C">
        <w:t xml:space="preserve">the </w:t>
      </w:r>
      <w:r w:rsidR="0029093C" w:rsidRPr="00150DBA">
        <w:t xml:space="preserve">Chartered Accountants Australia and New Zealand, CPA Australia, The Tax Institute </w:t>
      </w:r>
      <w:r w:rsidR="0029093C">
        <w:t>and</w:t>
      </w:r>
      <w:r w:rsidR="0029093C" w:rsidRPr="00150DBA">
        <w:t xml:space="preserve"> the Institute of Public Accountants </w:t>
      </w:r>
      <w:r w:rsidRPr="00FA1A19">
        <w:t>who have been collectively referred to as the Joint Bodies throughout the Board</w:t>
      </w:r>
      <w:r w:rsidR="00F75232">
        <w:t>’</w:t>
      </w:r>
      <w:r w:rsidRPr="00FA1A19">
        <w:t>s Report with reference to their collective submission (Submission A33). These organisations, together with the Law Council of Australia and Corporate Tax Association are the membership bodies currently represented on the ATO</w:t>
      </w:r>
      <w:r w:rsidR="00F75232">
        <w:t>’</w:t>
      </w:r>
      <w:r w:rsidRPr="00FA1A19">
        <w:t>s National Tax Liaison Group (NTLG), a group operated by the ATO as a means of developing and improving the operation of the tax, super and registry systems</w:t>
      </w:r>
      <w:r w:rsidR="001053EA" w:rsidRPr="00FA1A19">
        <w:t>.</w:t>
      </w:r>
      <w:r w:rsidRPr="00170ADC">
        <w:rPr>
          <w:rStyle w:val="FootnoteReference"/>
        </w:rPr>
        <w:footnoteReference w:id="307"/>
      </w:r>
    </w:p>
    <w:p w14:paraId="61FA7D5B" w14:textId="79D442AD" w:rsidR="00730A91" w:rsidRPr="00FA1A19" w:rsidRDefault="00B0473D" w:rsidP="00D04951">
      <w:pPr>
        <w:rPr>
          <w:rFonts w:cs="Calibri"/>
          <w:color w:val="000000"/>
        </w:rPr>
      </w:pPr>
      <w:r w:rsidRPr="00FA1A19">
        <w:t>The role of the</w:t>
      </w:r>
      <w:r w:rsidR="00F963ED" w:rsidRPr="00FA1A19">
        <w:t xml:space="preserve"> professional associations w</w:t>
      </w:r>
      <w:r w:rsidR="00D17072" w:rsidRPr="00FA1A19">
        <w:t xml:space="preserve">as </w:t>
      </w:r>
      <w:r w:rsidR="003125C8" w:rsidRPr="00FA1A19">
        <w:t xml:space="preserve">highlighted in </w:t>
      </w:r>
      <w:r w:rsidR="00957318" w:rsidRPr="00FA1A19">
        <w:t>various submissions received to the Review</w:t>
      </w:r>
      <w:r w:rsidR="00F46F5D" w:rsidRPr="00FA1A19">
        <w:t xml:space="preserve"> with Koinly, for example, </w:t>
      </w:r>
      <w:r w:rsidR="003D2F6F" w:rsidRPr="00FA1A19">
        <w:rPr>
          <w:rFonts w:cs="Calibri"/>
          <w:color w:val="000000"/>
        </w:rPr>
        <w:t>highlighting the</w:t>
      </w:r>
      <w:r w:rsidR="006131C2" w:rsidRPr="00FA1A19">
        <w:rPr>
          <w:rFonts w:cs="Calibri"/>
          <w:color w:val="000000"/>
        </w:rPr>
        <w:t xml:space="preserve"> need</w:t>
      </w:r>
      <w:r w:rsidR="00730A91" w:rsidRPr="00FA1A19">
        <w:rPr>
          <w:rFonts w:cs="Calibri"/>
          <w:color w:val="000000"/>
        </w:rPr>
        <w:t xml:space="preserve"> for professional associations to work with the ATO to provide education and upskilling to tax agents, including: </w:t>
      </w:r>
    </w:p>
    <w:p w14:paraId="61A7ED9D" w14:textId="57552D72" w:rsidR="00730A91" w:rsidRPr="00FA1A19" w:rsidRDefault="00D211AA" w:rsidP="00471171">
      <w:pPr>
        <w:pStyle w:val="Bullet"/>
        <w:rPr>
          <w:color w:val="000000"/>
        </w:rPr>
      </w:pPr>
      <w:r>
        <w:rPr>
          <w:rFonts w:cstheme="minorBidi"/>
        </w:rPr>
        <w:t>e</w:t>
      </w:r>
      <w:r w:rsidRPr="00FA1A19">
        <w:rPr>
          <w:rFonts w:cstheme="minorBidi"/>
        </w:rPr>
        <w:t>ducational</w:t>
      </w:r>
      <w:r w:rsidRPr="00FA1A19">
        <w:t xml:space="preserve"> </w:t>
      </w:r>
      <w:r w:rsidR="00730A91" w:rsidRPr="00FA1A19">
        <w:t xml:space="preserve">links and materials </w:t>
      </w:r>
      <w:r w:rsidR="45D2D7C3" w:rsidRPr="00FA1A19">
        <w:t xml:space="preserve">to understand the nature and effect of </w:t>
      </w:r>
      <w:r w:rsidR="00730A91" w:rsidRPr="00FA1A19">
        <w:t>crypto assets</w:t>
      </w:r>
      <w:r w:rsidR="596E0C6E" w:rsidRPr="00FA1A19">
        <w:t xml:space="preserve"> and transactions</w:t>
      </w:r>
    </w:p>
    <w:p w14:paraId="02538CE9" w14:textId="45AECC0E" w:rsidR="00730A91" w:rsidRPr="00FA1A19" w:rsidRDefault="00D211AA" w:rsidP="00471171">
      <w:pPr>
        <w:pStyle w:val="Bullet"/>
        <w:rPr>
          <w:color w:val="000000"/>
        </w:rPr>
      </w:pPr>
      <w:r>
        <w:rPr>
          <w:rFonts w:cstheme="minorBidi"/>
        </w:rPr>
        <w:t>i</w:t>
      </w:r>
      <w:r w:rsidRPr="00FA1A19">
        <w:rPr>
          <w:rFonts w:cstheme="minorBidi"/>
        </w:rPr>
        <w:t>nformation</w:t>
      </w:r>
      <w:r w:rsidRPr="00FA1A19">
        <w:t xml:space="preserve"> </w:t>
      </w:r>
      <w:r w:rsidR="00730A91" w:rsidRPr="00FA1A19">
        <w:t xml:space="preserve">addressing common scenarios </w:t>
      </w:r>
      <w:r w:rsidR="7424DB88" w:rsidRPr="00FA1A19">
        <w:t xml:space="preserve">involving crypto assets and transactions </w:t>
      </w:r>
      <w:r w:rsidR="00730A91" w:rsidRPr="00FA1A19">
        <w:t xml:space="preserve">and </w:t>
      </w:r>
      <w:r w:rsidR="56C958AC" w:rsidRPr="00FA1A19">
        <w:t>the</w:t>
      </w:r>
      <w:r w:rsidR="00730A91" w:rsidRPr="00FA1A19">
        <w:t xml:space="preserve"> associated tax treatment</w:t>
      </w:r>
    </w:p>
    <w:p w14:paraId="5A517732" w14:textId="0B23E578" w:rsidR="00730A91" w:rsidRPr="00FA1A19" w:rsidRDefault="00D211AA" w:rsidP="00471171">
      <w:pPr>
        <w:pStyle w:val="Bullet"/>
        <w:rPr>
          <w:color w:val="000000"/>
        </w:rPr>
      </w:pPr>
      <w:r>
        <w:t>c</w:t>
      </w:r>
      <w:r w:rsidRPr="00FA1A19">
        <w:t xml:space="preserve">ommon </w:t>
      </w:r>
      <w:r w:rsidR="00730A91" w:rsidRPr="00FA1A19">
        <w:t>issues and misconceptions</w:t>
      </w:r>
    </w:p>
    <w:p w14:paraId="0256ADFC" w14:textId="1CC54BD8" w:rsidR="00730A91" w:rsidRPr="00FA1A19" w:rsidRDefault="00D211AA" w:rsidP="00471171">
      <w:pPr>
        <w:pStyle w:val="Bullet"/>
        <w:rPr>
          <w:color w:val="000000"/>
        </w:rPr>
      </w:pPr>
      <w:r>
        <w:t>a</w:t>
      </w:r>
      <w:r w:rsidRPr="00FA1A19">
        <w:t xml:space="preserve">ppropriate </w:t>
      </w:r>
      <w:r w:rsidR="00730A91" w:rsidRPr="00FA1A19">
        <w:rPr>
          <w:rFonts w:cstheme="minorBidi"/>
        </w:rPr>
        <w:t>disclosures</w:t>
      </w:r>
      <w:r w:rsidR="00730A91" w:rsidRPr="00FA1A19">
        <w:t xml:space="preserve"> and checklists</w:t>
      </w:r>
    </w:p>
    <w:p w14:paraId="525D477B" w14:textId="61400FDC" w:rsidR="00730A91" w:rsidRPr="00FA1A19" w:rsidRDefault="00D211AA" w:rsidP="00471171">
      <w:pPr>
        <w:pStyle w:val="Bullet"/>
        <w:rPr>
          <w:color w:val="000000"/>
        </w:rPr>
      </w:pPr>
      <w:r>
        <w:t>e</w:t>
      </w:r>
      <w:r w:rsidRPr="00FA1A19">
        <w:t xml:space="preserve">xplanations </w:t>
      </w:r>
      <w:r w:rsidR="00730A91" w:rsidRPr="00FA1A19">
        <w:t xml:space="preserve">on practical record keeping options, including software platforms and how they can be used by tax </w:t>
      </w:r>
      <w:r w:rsidR="00730A91" w:rsidRPr="00FA1A19">
        <w:rPr>
          <w:rFonts w:cstheme="minorBidi"/>
        </w:rPr>
        <w:t>professionals</w:t>
      </w:r>
    </w:p>
    <w:p w14:paraId="5F8C1698" w14:textId="71AD4283" w:rsidR="00730A91" w:rsidRPr="00FA1A19" w:rsidRDefault="00D211AA" w:rsidP="00471171">
      <w:pPr>
        <w:pStyle w:val="Bullet"/>
        <w:rPr>
          <w:color w:val="000000"/>
        </w:rPr>
      </w:pPr>
      <w:r>
        <w:rPr>
          <w:color w:val="000000"/>
        </w:rPr>
        <w:t>q</w:t>
      </w:r>
      <w:r w:rsidRPr="00FA1A19">
        <w:rPr>
          <w:color w:val="000000"/>
        </w:rPr>
        <w:t xml:space="preserve">uestionnaires </w:t>
      </w:r>
      <w:r w:rsidR="00730A91" w:rsidRPr="00FA1A19">
        <w:rPr>
          <w:color w:val="000000"/>
        </w:rPr>
        <w:t>to obtain relevant information from clients.</w:t>
      </w:r>
      <w:r w:rsidR="00730A91" w:rsidRPr="00170ADC">
        <w:rPr>
          <w:rStyle w:val="FootnoteReference"/>
        </w:rPr>
        <w:footnoteReference w:id="308"/>
      </w:r>
    </w:p>
    <w:p w14:paraId="30E3F907" w14:textId="4D0AF7AB" w:rsidR="00425904" w:rsidRPr="00FA1A19" w:rsidRDefault="00F54739" w:rsidP="006F0112">
      <w:pPr>
        <w:rPr>
          <w:color w:val="000000"/>
        </w:rPr>
      </w:pPr>
      <w:r w:rsidRPr="00FA1A19">
        <w:t>The Board notes that these organisations represent</w:t>
      </w:r>
      <w:r w:rsidR="004F0A51" w:rsidRPr="00FA1A19">
        <w:t xml:space="preserve"> </w:t>
      </w:r>
      <w:r w:rsidRPr="00FA1A19">
        <w:t>different market segments and interests, and that these and other industry bodies play an important role in educating and advocating on behalf of tax professionals.</w:t>
      </w:r>
    </w:p>
    <w:p w14:paraId="1C4BBF0E" w14:textId="77777777" w:rsidR="00730A91" w:rsidRPr="00FA1A19" w:rsidRDefault="00730A91" w:rsidP="00EB09BD">
      <w:pPr>
        <w:pStyle w:val="Heading2"/>
      </w:pPr>
      <w:bookmarkStart w:id="84" w:name="_Toc159513601"/>
      <w:r w:rsidRPr="00FA1A19">
        <w:t>Awareness and education</w:t>
      </w:r>
      <w:bookmarkEnd w:id="84"/>
    </w:p>
    <w:p w14:paraId="20ED3CE7" w14:textId="77777777" w:rsidR="00730A91" w:rsidRPr="00EB09BD" w:rsidRDefault="00730A91" w:rsidP="00EB09BD">
      <w:pPr>
        <w:pStyle w:val="Heading3"/>
      </w:pPr>
      <w:r w:rsidRPr="00FA1A19">
        <w:t>Taxpayer awareness</w:t>
      </w:r>
    </w:p>
    <w:p w14:paraId="484621F7" w14:textId="56AC0687" w:rsidR="00730A91" w:rsidRPr="00FA1A19" w:rsidRDefault="00730A91" w:rsidP="00791686">
      <w:pPr>
        <w:autoSpaceDE w:val="0"/>
        <w:autoSpaceDN w:val="0"/>
        <w:adjustRightInd w:val="0"/>
        <w:spacing w:after="0"/>
      </w:pPr>
      <w:r w:rsidRPr="00FA1A19">
        <w:t xml:space="preserve">In the Terms of Reference for the Review, the Government asked the Board to consider </w:t>
      </w:r>
      <w:r w:rsidR="00984DFF">
        <w:t xml:space="preserve">retail and wholesale </w:t>
      </w:r>
      <w:r w:rsidRPr="00FA1A19">
        <w:t xml:space="preserve">investor awareness of the tax treatment of digital assets and transactions. </w:t>
      </w:r>
      <w:r w:rsidR="002C3C34">
        <w:t>The majority of feedback received by</w:t>
      </w:r>
      <w:r w:rsidR="00984DFF">
        <w:t xml:space="preserve"> the Board </w:t>
      </w:r>
      <w:r w:rsidR="002C3C34">
        <w:t xml:space="preserve">did not indicate that there was a significant difference </w:t>
      </w:r>
      <w:r w:rsidR="007F4F99">
        <w:t xml:space="preserve">between the challenges faced </w:t>
      </w:r>
      <w:r w:rsidR="00E05EA0">
        <w:t xml:space="preserve">by </w:t>
      </w:r>
      <w:r w:rsidR="004E1E0F">
        <w:t xml:space="preserve">retail and wholesale </w:t>
      </w:r>
      <w:r w:rsidR="00E05EA0">
        <w:t>investors</w:t>
      </w:r>
      <w:r w:rsidR="00EE6B56">
        <w:t>. It was</w:t>
      </w:r>
      <w:r w:rsidR="004E1E0F">
        <w:t xml:space="preserve"> however</w:t>
      </w:r>
      <w:r w:rsidR="00EE6B56">
        <w:t xml:space="preserve"> apparent through the consultation process that</w:t>
      </w:r>
      <w:r w:rsidR="007425E9">
        <w:t xml:space="preserve"> </w:t>
      </w:r>
      <w:r w:rsidRPr="00FA1A19">
        <w:t xml:space="preserve">larger, sophisticated investors with access to advisors </w:t>
      </w:r>
      <w:r w:rsidR="00EE6B56">
        <w:t>were more likely to be</w:t>
      </w:r>
      <w:r w:rsidR="00EE6B56" w:rsidRPr="00FA1A19">
        <w:t xml:space="preserve"> </w:t>
      </w:r>
      <w:r w:rsidRPr="00FA1A19">
        <w:t xml:space="preserve">aware of and managing their tax obligations. Responses particularly noted </w:t>
      </w:r>
      <w:r w:rsidR="00EE6B56">
        <w:t>that a lack of awareness at the retail level</w:t>
      </w:r>
      <w:r w:rsidR="0017161A">
        <w:t xml:space="preserve"> may be attributed to the </w:t>
      </w:r>
      <w:r w:rsidR="0065576D">
        <w:t xml:space="preserve">large portion of </w:t>
      </w:r>
      <w:r w:rsidR="0001214E">
        <w:t>retail investors</w:t>
      </w:r>
      <w:r w:rsidR="0065576D">
        <w:t xml:space="preserve"> </w:t>
      </w:r>
      <w:r w:rsidR="00641764">
        <w:t xml:space="preserve">that fit </w:t>
      </w:r>
      <w:r w:rsidR="0065576D">
        <w:t xml:space="preserve">within </w:t>
      </w:r>
      <w:r w:rsidR="00641764">
        <w:t>a</w:t>
      </w:r>
      <w:r w:rsidR="0065576D">
        <w:t xml:space="preserve"> </w:t>
      </w:r>
      <w:r w:rsidRPr="00FA1A19">
        <w:t>younger demographic</w:t>
      </w:r>
      <w:r w:rsidR="00B3680B">
        <w:t xml:space="preserve"> with less experience of the taxation system</w:t>
      </w:r>
      <w:r w:rsidRPr="00FA1A19">
        <w:t xml:space="preserve">. </w:t>
      </w:r>
      <w:r w:rsidR="0083793F">
        <w:t xml:space="preserve">Notwithstanding this, the response required </w:t>
      </w:r>
      <w:r w:rsidR="00C46C6E">
        <w:t xml:space="preserve">to address the awareness gap will benefit both the retail and wholesale investor market. </w:t>
      </w:r>
    </w:p>
    <w:p w14:paraId="4591D579" w14:textId="77777777" w:rsidR="00730A91" w:rsidRPr="00FA1A19" w:rsidRDefault="00730A91" w:rsidP="00791686">
      <w:pPr>
        <w:autoSpaceDE w:val="0"/>
        <w:autoSpaceDN w:val="0"/>
        <w:adjustRightInd w:val="0"/>
        <w:spacing w:after="0"/>
      </w:pPr>
      <w:r w:rsidRPr="00FA1A19">
        <w:t xml:space="preserve">Swyftx provided feedback based upon their 2022 Annual Australian Crypto Survey results and noted in relation to crypto asset users that: </w:t>
      </w:r>
    </w:p>
    <w:p w14:paraId="06B76D82" w14:textId="4D4F9B74" w:rsidR="00730A91" w:rsidRPr="00FA1A19" w:rsidRDefault="0011504A" w:rsidP="00991EBC">
      <w:pPr>
        <w:pStyle w:val="Quote"/>
        <w:rPr>
          <w:sz w:val="20"/>
          <w:szCs w:val="20"/>
        </w:rPr>
      </w:pPr>
      <w:r w:rsidRPr="00FA1A19">
        <w:t xml:space="preserve">… </w:t>
      </w:r>
      <w:r w:rsidR="00730A91" w:rsidRPr="00FA1A19">
        <w:t>they have a strong interest in understanding the treatment of crypto assets in Australia and a willingness to learn about aspects of the space relevant to their investment. This includes a desire to understand the tax treatment of the assets they hold, and how that tax treatment applies to the variety of use cases they might choose for those assets. This impression is supported by the Swyftx Survey data that 61% of current crypto asset owners report a high to very high level of financial literacy, compared to 17% of people who have never owned crypto assets</w:t>
      </w:r>
      <w:r w:rsidR="00730A91" w:rsidRPr="00FA1A19">
        <w:rPr>
          <w:sz w:val="20"/>
          <w:szCs w:val="20"/>
        </w:rPr>
        <w:t>.</w:t>
      </w:r>
      <w:r w:rsidR="00730A91" w:rsidRPr="00170ADC">
        <w:rPr>
          <w:rStyle w:val="FootnoteReference"/>
        </w:rPr>
        <w:footnoteReference w:id="309"/>
      </w:r>
    </w:p>
    <w:p w14:paraId="42D942AA" w14:textId="77777777" w:rsidR="00730A91" w:rsidRPr="00FA1A19" w:rsidRDefault="00730A91" w:rsidP="006A3810">
      <w:pPr>
        <w:keepNext/>
      </w:pPr>
      <w:r w:rsidRPr="00FA1A19">
        <w:t>This was consistently represented across the submissions, which highlighted issues including:</w:t>
      </w:r>
    </w:p>
    <w:p w14:paraId="23DF48CE" w14:textId="539BC6CA" w:rsidR="00730A91" w:rsidRPr="00FA1A19" w:rsidRDefault="00730A91" w:rsidP="00471171">
      <w:pPr>
        <w:pStyle w:val="Bullet"/>
      </w:pPr>
      <w:r w:rsidRPr="00FA1A19">
        <w:t xml:space="preserve">the </w:t>
      </w:r>
      <w:r w:rsidRPr="00FA1A19">
        <w:rPr>
          <w:rFonts w:cstheme="minorBidi"/>
        </w:rPr>
        <w:t>demographic</w:t>
      </w:r>
      <w:r w:rsidRPr="00FA1A19">
        <w:t xml:space="preserve"> of taxpayers and lack of awareness of tax obligations and operation of the tax </w:t>
      </w:r>
      <w:r w:rsidRPr="00FA1A19">
        <w:rPr>
          <w:rFonts w:cstheme="minorBidi"/>
        </w:rPr>
        <w:t>system</w:t>
      </w:r>
      <w:r w:rsidRPr="00FA1A19">
        <w:t xml:space="preserve"> across the retail investor space</w:t>
      </w:r>
      <w:r w:rsidRPr="00170ADC">
        <w:rPr>
          <w:rStyle w:val="FootnoteReference"/>
        </w:rPr>
        <w:footnoteReference w:id="310"/>
      </w:r>
    </w:p>
    <w:p w14:paraId="47F8C088" w14:textId="53093F74" w:rsidR="00730A91" w:rsidRPr="00FA1A19" w:rsidRDefault="00730A91" w:rsidP="00471171">
      <w:pPr>
        <w:pStyle w:val="Bullet"/>
      </w:pPr>
      <w:r w:rsidRPr="00FA1A19">
        <w:t xml:space="preserve">the burden on the industry as a result of wholesale investors seeking education from </w:t>
      </w:r>
      <w:r w:rsidRPr="00FA1A19">
        <w:rPr>
          <w:rFonts w:cstheme="minorBidi"/>
        </w:rPr>
        <w:t>professional</w:t>
      </w:r>
      <w:r w:rsidRPr="00FA1A19">
        <w:t xml:space="preserve"> advisers as well as custody providers</w:t>
      </w:r>
      <w:r w:rsidRPr="00170ADC">
        <w:rPr>
          <w:rStyle w:val="FootnoteReference"/>
        </w:rPr>
        <w:footnoteReference w:id="311"/>
      </w:r>
    </w:p>
    <w:p w14:paraId="2CFEF600" w14:textId="567156E4" w:rsidR="00730A91" w:rsidRPr="00FA1A19" w:rsidRDefault="00730A91" w:rsidP="00471171">
      <w:pPr>
        <w:pStyle w:val="Bullet"/>
      </w:pPr>
      <w:r w:rsidRPr="00FA1A19">
        <w:t>the need</w:t>
      </w:r>
      <w:r w:rsidR="004F0A51" w:rsidRPr="00FA1A19">
        <w:t xml:space="preserve"> </w:t>
      </w:r>
      <w:r w:rsidRPr="00FA1A19">
        <w:t>to improve awareness and understanding of tax obligations in relation to the taxation of crypto asset transactions</w:t>
      </w:r>
      <w:r w:rsidRPr="00170ADC">
        <w:rPr>
          <w:rStyle w:val="FootnoteReference"/>
        </w:rPr>
        <w:footnoteReference w:id="312"/>
      </w:r>
    </w:p>
    <w:p w14:paraId="4C303A9C" w14:textId="0148F115" w:rsidR="00730A91" w:rsidRPr="00FA1A19" w:rsidRDefault="00730A91" w:rsidP="00471171">
      <w:pPr>
        <w:pStyle w:val="Bullet"/>
      </w:pPr>
      <w:r w:rsidRPr="00FA1A19">
        <w:t>the challenges in accessing tax agents and the affordability of such services</w:t>
      </w:r>
      <w:r w:rsidR="0027655F" w:rsidRPr="00170ADC">
        <w:rPr>
          <w:rStyle w:val="FootnoteReference"/>
        </w:rPr>
        <w:t xml:space="preserve"> </w:t>
      </w:r>
      <w:r w:rsidR="0027655F" w:rsidRPr="00170ADC">
        <w:rPr>
          <w:rStyle w:val="FootnoteReference"/>
        </w:rPr>
        <w:footnoteReference w:id="313"/>
      </w:r>
      <w:r w:rsidR="0027655F" w:rsidRPr="00FA1A19">
        <w:t xml:space="preserve"> </w:t>
      </w:r>
    </w:p>
    <w:p w14:paraId="71455FFD" w14:textId="38CC4FDD" w:rsidR="00730A91" w:rsidRPr="00FA1A19" w:rsidRDefault="00730A91" w:rsidP="00471171">
      <w:pPr>
        <w:pStyle w:val="Bullet"/>
      </w:pPr>
      <w:r w:rsidRPr="00FA1A19">
        <w:t>specific areas of law where there is a lack of awareness including personal use asset rules</w:t>
      </w:r>
      <w:r w:rsidR="000C347E" w:rsidRPr="00FA1A19">
        <w:t xml:space="preserve"> (relevant to capital gains tax)</w:t>
      </w:r>
      <w:r w:rsidRPr="00FA1A19">
        <w:t>, DeFi, GameFi, NFTs and DAOs.</w:t>
      </w:r>
    </w:p>
    <w:p w14:paraId="0D806DA4" w14:textId="77777777" w:rsidR="00730A91" w:rsidRPr="00FA1A19" w:rsidRDefault="00730A91" w:rsidP="00791686">
      <w:pPr>
        <w:autoSpaceDE w:val="0"/>
        <w:autoSpaceDN w:val="0"/>
        <w:adjustRightInd w:val="0"/>
      </w:pPr>
      <w:r w:rsidRPr="00FA1A19">
        <w:t xml:space="preserve">The consistent and clear feedback provided through the submissions highlights the need for crypto asset users to have increased exposure to education and guidance on crypto asset taxation. </w:t>
      </w:r>
    </w:p>
    <w:p w14:paraId="12FAE274" w14:textId="77777777" w:rsidR="00730A91" w:rsidRPr="00FA1A19" w:rsidRDefault="00730A91" w:rsidP="00471171">
      <w:pPr>
        <w:pStyle w:val="SingleParagraph"/>
      </w:pPr>
    </w:p>
    <w:tbl>
      <w:tblPr>
        <w:tblStyle w:val="GridTable4-Accent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84" w:type="dxa"/>
          <w:bottom w:w="113" w:type="dxa"/>
          <w:right w:w="284" w:type="dxa"/>
        </w:tblCellMar>
        <w:tblLook w:val="01E0" w:firstRow="1" w:lastRow="1" w:firstColumn="1" w:lastColumn="1" w:noHBand="0" w:noVBand="0"/>
      </w:tblPr>
      <w:tblGrid>
        <w:gridCol w:w="9641"/>
      </w:tblGrid>
      <w:tr w:rsidR="00730A91" w:rsidRPr="00FA1A19" w14:paraId="2D780A5E"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DCE469F" w14:textId="7B36B590" w:rsidR="00730A91" w:rsidRPr="00FA1A19" w:rsidRDefault="00372633" w:rsidP="003316D7">
            <w:pPr>
              <w:pStyle w:val="BoxHeading1"/>
            </w:pPr>
            <w:r>
              <w:t>Observation </w:t>
            </w:r>
            <w:r w:rsidR="00325FCB" w:rsidRPr="00FA1A19">
              <w:t>6</w:t>
            </w:r>
            <w:r w:rsidR="00730A91" w:rsidRPr="00FA1A19">
              <w:t>.2</w:t>
            </w:r>
          </w:p>
        </w:tc>
      </w:tr>
      <w:tr w:rsidR="00730A91" w:rsidRPr="00FA1A19" w14:paraId="3C25C7F0" w14:textId="77777777" w:rsidTr="00EB09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EDE6DC" w:themeFill="accent3" w:themeFillTint="66"/>
          </w:tcPr>
          <w:p w14:paraId="7132925C" w14:textId="340632A6" w:rsidR="00730A91" w:rsidRPr="00FA1A19" w:rsidRDefault="00730A91" w:rsidP="00791686">
            <w:r w:rsidRPr="00FA1A19">
              <w:t>There is a general lack of community awareness of the tax treatment of crypto assets and transactions, particularly amongst retail investors</w:t>
            </w:r>
            <w:r w:rsidR="009C63D2" w:rsidRPr="00FA1A19">
              <w:t xml:space="preserve"> </w:t>
            </w:r>
            <w:r w:rsidR="008E2574" w:rsidRPr="00FA1A19">
              <w:t>(</w:t>
            </w:r>
            <w:r w:rsidR="009C63D2" w:rsidRPr="00FA1A19">
              <w:t xml:space="preserve">who are often from </w:t>
            </w:r>
            <w:r w:rsidR="008E2574" w:rsidRPr="00FA1A19">
              <w:t>a younger demographic with little experience of the tax system)</w:t>
            </w:r>
            <w:r w:rsidRPr="00FA1A19">
              <w:t>, potentially leading to poor compliance and higher administration costs.</w:t>
            </w:r>
          </w:p>
        </w:tc>
      </w:tr>
    </w:tbl>
    <w:p w14:paraId="4E3F2E6D" w14:textId="77777777" w:rsidR="00730A91" w:rsidRPr="00FA1A19" w:rsidRDefault="00730A91" w:rsidP="00342121">
      <w:pPr>
        <w:pStyle w:val="Heading3"/>
      </w:pPr>
      <w:r w:rsidRPr="00FA1A19">
        <w:t xml:space="preserve">Education and guidance materials </w:t>
      </w:r>
    </w:p>
    <w:p w14:paraId="68E4E7FB" w14:textId="20835DDC" w:rsidR="00730A91" w:rsidRPr="00FA1A19" w:rsidRDefault="00730A91" w:rsidP="00471171">
      <w:pPr>
        <w:rPr>
          <w:rFonts w:cs="Calibri"/>
          <w:color w:val="000000"/>
        </w:rPr>
      </w:pPr>
      <w:r w:rsidRPr="00FA1A19">
        <w:rPr>
          <w:rFonts w:cs="Calibri"/>
          <w:color w:val="000000" w:themeColor="text1"/>
        </w:rPr>
        <w:t xml:space="preserve">A number of organisations have contributed to supporting crypto asset users in building awareness of and knowledge in relation to the resulting tax issues. The Board notes that many of the professional bodies have </w:t>
      </w:r>
      <w:r w:rsidRPr="00471171">
        <w:t>played</w:t>
      </w:r>
      <w:r w:rsidRPr="00FA1A19">
        <w:rPr>
          <w:rFonts w:cs="Calibri"/>
          <w:color w:val="000000" w:themeColor="text1"/>
        </w:rPr>
        <w:t xml:space="preserve"> an important role in recent years in providing crypto related content as part of their professional education development programs. Similarly, organisations associated with the tax profession or crypto industry, such as media publications, crypto tax software platforms and specialist practitioners</w:t>
      </w:r>
      <w:r w:rsidR="00003FFE" w:rsidRPr="00FA1A19">
        <w:rPr>
          <w:rFonts w:cs="Calibri"/>
          <w:color w:val="000000" w:themeColor="text1"/>
        </w:rPr>
        <w:t>,</w:t>
      </w:r>
      <w:r w:rsidRPr="00FA1A19">
        <w:rPr>
          <w:rFonts w:cs="Calibri"/>
          <w:color w:val="000000" w:themeColor="text1"/>
        </w:rPr>
        <w:t xml:space="preserve"> have provided education through a variety of mediums. </w:t>
      </w:r>
      <w:r w:rsidR="00C7632F">
        <w:rPr>
          <w:rFonts w:cs="Calibri"/>
          <w:color w:val="000000" w:themeColor="text1"/>
        </w:rPr>
        <w:t>Several</w:t>
      </w:r>
      <w:r w:rsidR="00C7632F" w:rsidRPr="00FA1A19">
        <w:rPr>
          <w:rFonts w:cs="Calibri"/>
          <w:color w:val="000000" w:themeColor="text1"/>
        </w:rPr>
        <w:t xml:space="preserve"> </w:t>
      </w:r>
      <w:r w:rsidR="00DD2864" w:rsidRPr="00FA1A19">
        <w:rPr>
          <w:rFonts w:cs="Calibri"/>
          <w:color w:val="000000" w:themeColor="text1"/>
        </w:rPr>
        <w:t>submissions</w:t>
      </w:r>
      <w:r w:rsidRPr="00FA1A19">
        <w:rPr>
          <w:rFonts w:cs="Calibri"/>
          <w:color w:val="000000" w:themeColor="text1"/>
        </w:rPr>
        <w:t xml:space="preserve"> to the Review highlighted the specific role that their own organisations have played in providing education and information. </w:t>
      </w:r>
    </w:p>
    <w:p w14:paraId="30A486F7" w14:textId="3802A9FC" w:rsidR="00730A91" w:rsidRPr="00FA1A19" w:rsidRDefault="00730A91" w:rsidP="00471171">
      <w:pPr>
        <w:rPr>
          <w:rFonts w:cs="Calibri"/>
          <w:color w:val="000000"/>
        </w:rPr>
      </w:pPr>
      <w:r w:rsidRPr="00FA1A19">
        <w:rPr>
          <w:rFonts w:cs="Calibri"/>
          <w:color w:val="000000" w:themeColor="text1"/>
        </w:rPr>
        <w:t xml:space="preserve">The Board </w:t>
      </w:r>
      <w:r w:rsidRPr="00471171">
        <w:t>acknowledges</w:t>
      </w:r>
      <w:r w:rsidRPr="00FA1A19">
        <w:rPr>
          <w:rFonts w:cs="Calibri"/>
          <w:color w:val="000000" w:themeColor="text1"/>
        </w:rPr>
        <w:t xml:space="preserve"> the valuable contribution </w:t>
      </w:r>
      <w:r w:rsidR="00003FFE" w:rsidRPr="00FA1A19">
        <w:rPr>
          <w:rFonts w:cs="Calibri"/>
          <w:color w:val="000000" w:themeColor="text1"/>
        </w:rPr>
        <w:t>of</w:t>
      </w:r>
      <w:r w:rsidRPr="00FA1A19">
        <w:rPr>
          <w:rFonts w:cs="Calibri"/>
          <w:color w:val="000000" w:themeColor="text1"/>
        </w:rPr>
        <w:t xml:space="preserve"> these professional bodies and organisations in supporting the development of taxpayers</w:t>
      </w:r>
      <w:r w:rsidR="00F75232">
        <w:rPr>
          <w:rFonts w:cs="Calibri"/>
          <w:color w:val="000000" w:themeColor="text1"/>
        </w:rPr>
        <w:t>’</w:t>
      </w:r>
      <w:r w:rsidRPr="00FA1A19">
        <w:rPr>
          <w:rFonts w:cs="Calibri"/>
          <w:color w:val="000000" w:themeColor="text1"/>
        </w:rPr>
        <w:t xml:space="preserve"> and tax intermediaries</w:t>
      </w:r>
      <w:r w:rsidR="00F75232">
        <w:rPr>
          <w:rFonts w:cs="Calibri"/>
          <w:color w:val="000000" w:themeColor="text1"/>
        </w:rPr>
        <w:t>’</w:t>
      </w:r>
      <w:r w:rsidRPr="00FA1A19">
        <w:rPr>
          <w:rFonts w:cs="Calibri"/>
          <w:color w:val="000000" w:themeColor="text1"/>
        </w:rPr>
        <w:t xml:space="preserve"> crypto asset </w:t>
      </w:r>
      <w:r w:rsidR="00F000B4">
        <w:rPr>
          <w:rFonts w:cs="Calibri"/>
          <w:color w:val="000000" w:themeColor="text1"/>
        </w:rPr>
        <w:t xml:space="preserve">related tax </w:t>
      </w:r>
      <w:r w:rsidRPr="00FA1A19">
        <w:rPr>
          <w:rFonts w:cs="Calibri"/>
          <w:color w:val="000000" w:themeColor="text1"/>
        </w:rPr>
        <w:t xml:space="preserve">knowledge. </w:t>
      </w:r>
    </w:p>
    <w:p w14:paraId="32DA7218" w14:textId="67741359" w:rsidR="00730A91" w:rsidRPr="00FA1A19" w:rsidRDefault="001F7F33" w:rsidP="00471171">
      <w:pPr>
        <w:rPr>
          <w:rFonts w:cs="Calibri"/>
          <w:color w:val="000000"/>
        </w:rPr>
      </w:pPr>
      <w:r>
        <w:rPr>
          <w:rFonts w:cs="Calibri"/>
          <w:color w:val="000000" w:themeColor="text1"/>
        </w:rPr>
        <w:t>Notwithstanding</w:t>
      </w:r>
      <w:r w:rsidRPr="00FA1A19">
        <w:rPr>
          <w:rFonts w:cs="Calibri"/>
          <w:color w:val="000000" w:themeColor="text1"/>
        </w:rPr>
        <w:t xml:space="preserve"> </w:t>
      </w:r>
      <w:r w:rsidR="1E24A8A2" w:rsidRPr="00FA1A19">
        <w:rPr>
          <w:rFonts w:cs="Calibri"/>
          <w:color w:val="000000" w:themeColor="text1"/>
        </w:rPr>
        <w:t>the fast</w:t>
      </w:r>
      <w:r w:rsidR="00F75232">
        <w:rPr>
          <w:rFonts w:cs="Calibri"/>
          <w:color w:val="000000" w:themeColor="text1"/>
        </w:rPr>
        <w:noBreakHyphen/>
      </w:r>
      <w:r w:rsidR="1E24A8A2" w:rsidRPr="00FA1A19">
        <w:rPr>
          <w:rFonts w:cs="Calibri"/>
          <w:color w:val="000000" w:themeColor="text1"/>
        </w:rPr>
        <w:t>paced evolution of digital assets and transactions</w:t>
      </w:r>
      <w:r w:rsidR="00F000B4">
        <w:rPr>
          <w:rFonts w:cs="Calibri"/>
          <w:color w:val="000000" w:themeColor="text1"/>
        </w:rPr>
        <w:t>,</w:t>
      </w:r>
      <w:r w:rsidR="00275BEC">
        <w:rPr>
          <w:rFonts w:cs="Calibri"/>
          <w:color w:val="000000" w:themeColor="text1"/>
        </w:rPr>
        <w:t xml:space="preserve"> </w:t>
      </w:r>
      <w:r w:rsidR="2C055EFB" w:rsidRPr="00FA1A19">
        <w:rPr>
          <w:rFonts w:cs="Calibri"/>
          <w:color w:val="000000" w:themeColor="text1"/>
        </w:rPr>
        <w:t>the use of new terms to describe features and activities asso</w:t>
      </w:r>
      <w:r w:rsidR="15702E43" w:rsidRPr="00FA1A19">
        <w:rPr>
          <w:rFonts w:cs="Calibri"/>
          <w:color w:val="000000" w:themeColor="text1"/>
        </w:rPr>
        <w:t>ciated with these assets</w:t>
      </w:r>
      <w:r w:rsidR="00F000B4">
        <w:rPr>
          <w:rFonts w:cs="Calibri"/>
          <w:color w:val="000000" w:themeColor="text1"/>
        </w:rPr>
        <w:t>,</w:t>
      </w:r>
      <w:r w:rsidR="00275BEC">
        <w:rPr>
          <w:rFonts w:cs="Calibri"/>
          <w:color w:val="000000" w:themeColor="text1"/>
        </w:rPr>
        <w:t xml:space="preserve"> </w:t>
      </w:r>
      <w:r w:rsidR="5042D8DE" w:rsidRPr="00FA1A19">
        <w:rPr>
          <w:rFonts w:cs="Calibri"/>
          <w:color w:val="000000" w:themeColor="text1"/>
        </w:rPr>
        <w:t>the sharp increase in those taxpayers engaging with digital assets</w:t>
      </w:r>
      <w:r>
        <w:rPr>
          <w:rFonts w:cs="Calibri"/>
          <w:color w:val="000000" w:themeColor="text1"/>
        </w:rPr>
        <w:t>,</w:t>
      </w:r>
      <w:r w:rsidR="5042D8DE" w:rsidRPr="00FA1A19">
        <w:rPr>
          <w:rFonts w:cs="Calibri"/>
          <w:color w:val="000000" w:themeColor="text1"/>
        </w:rPr>
        <w:t xml:space="preserve"> </w:t>
      </w:r>
      <w:r w:rsidR="15702E43" w:rsidRPr="00FA1A19">
        <w:rPr>
          <w:rFonts w:cs="Calibri"/>
          <w:color w:val="000000" w:themeColor="text1"/>
        </w:rPr>
        <w:t xml:space="preserve">and the complexity of the Australian tax system, </w:t>
      </w:r>
      <w:r w:rsidR="10B7CC77" w:rsidRPr="00FA1A19">
        <w:rPr>
          <w:rFonts w:cs="Calibri"/>
          <w:color w:val="000000" w:themeColor="text1"/>
        </w:rPr>
        <w:t>each taxpayer (under self</w:t>
      </w:r>
      <w:r w:rsidR="00F75232">
        <w:rPr>
          <w:rFonts w:cs="Calibri"/>
          <w:color w:val="000000" w:themeColor="text1"/>
        </w:rPr>
        <w:noBreakHyphen/>
      </w:r>
      <w:r w:rsidR="10B7CC77" w:rsidRPr="00FA1A19">
        <w:rPr>
          <w:rFonts w:cs="Calibri"/>
          <w:color w:val="000000" w:themeColor="text1"/>
        </w:rPr>
        <w:t xml:space="preserve">assessment) must determine the appropriate tax </w:t>
      </w:r>
      <w:r w:rsidR="2B3E0AEF" w:rsidRPr="00FA1A19">
        <w:rPr>
          <w:rFonts w:cs="Calibri"/>
          <w:color w:val="000000" w:themeColor="text1"/>
        </w:rPr>
        <w:t>treatment</w:t>
      </w:r>
      <w:r>
        <w:rPr>
          <w:rFonts w:cs="Calibri"/>
          <w:color w:val="000000" w:themeColor="text1"/>
        </w:rPr>
        <w:t>s</w:t>
      </w:r>
      <w:r w:rsidR="2B3E0AEF" w:rsidRPr="00FA1A19">
        <w:rPr>
          <w:rFonts w:cs="Calibri"/>
          <w:color w:val="000000" w:themeColor="text1"/>
        </w:rPr>
        <w:t xml:space="preserve"> to apply. Given </w:t>
      </w:r>
      <w:r w:rsidR="2B3E0AEF" w:rsidRPr="00471171">
        <w:t>there</w:t>
      </w:r>
      <w:r w:rsidR="2B3E0AEF" w:rsidRPr="00FA1A19">
        <w:rPr>
          <w:rFonts w:cs="Calibri"/>
          <w:color w:val="000000" w:themeColor="text1"/>
        </w:rPr>
        <w:t xml:space="preserve"> is no one repository of this information and b</w:t>
      </w:r>
      <w:r w:rsidR="00730A91" w:rsidRPr="00FA1A19">
        <w:rPr>
          <w:rFonts w:cs="Calibri"/>
          <w:color w:val="000000"/>
        </w:rPr>
        <w:t>ecause of</w:t>
      </w:r>
      <w:r w:rsidR="7CB256DE" w:rsidRPr="00FA1A19">
        <w:rPr>
          <w:rFonts w:cs="Calibri"/>
          <w:color w:val="000000"/>
        </w:rPr>
        <w:t xml:space="preserve"> the </w:t>
      </w:r>
      <w:r w:rsidR="00730A91" w:rsidRPr="00FA1A19">
        <w:rPr>
          <w:rFonts w:cs="Calibri"/>
          <w:color w:val="000000"/>
        </w:rPr>
        <w:t>emergin</w:t>
      </w:r>
      <w:r w:rsidR="00730A91" w:rsidRPr="00FA1A19" w:rsidDel="00730A91">
        <w:rPr>
          <w:rFonts w:cs="Calibri"/>
          <w:color w:val="000000" w:themeColor="text1"/>
        </w:rPr>
        <w:t>g</w:t>
      </w:r>
      <w:r w:rsidR="00730A91" w:rsidRPr="00FA1A19">
        <w:rPr>
          <w:rFonts w:cs="Calibri"/>
          <w:color w:val="000000" w:themeColor="text1"/>
        </w:rPr>
        <w:t xml:space="preserve"> nature of </w:t>
      </w:r>
      <w:r w:rsidR="00730A91" w:rsidRPr="00FA1A19">
        <w:rPr>
          <w:rFonts w:cs="Calibri"/>
          <w:color w:val="000000"/>
        </w:rPr>
        <w:t xml:space="preserve">tax interpretations in the crypto space, </w:t>
      </w:r>
      <w:r w:rsidR="2B5C0A49" w:rsidRPr="00FA1A19">
        <w:rPr>
          <w:rFonts w:cs="Calibri"/>
          <w:color w:val="000000" w:themeColor="text1"/>
        </w:rPr>
        <w:t>professional bodies,</w:t>
      </w:r>
      <w:r w:rsidR="00730A91" w:rsidRPr="00FA1A19">
        <w:rPr>
          <w:rFonts w:cs="Calibri"/>
          <w:color w:val="000000"/>
        </w:rPr>
        <w:t xml:space="preserve"> organisations </w:t>
      </w:r>
      <w:r w:rsidR="59830BD4" w:rsidRPr="00FA1A19">
        <w:rPr>
          <w:rFonts w:cs="Calibri"/>
          <w:color w:val="000000" w:themeColor="text1"/>
        </w:rPr>
        <w:t xml:space="preserve">and taxpayers </w:t>
      </w:r>
      <w:r w:rsidR="00730A91" w:rsidRPr="00FA1A19">
        <w:rPr>
          <w:rFonts w:cs="Calibri"/>
          <w:color w:val="000000"/>
        </w:rPr>
        <w:t>rely heavily on pronouncements of the ATO in relation to the applicable tax treatments. Part of the ATO</w:t>
      </w:r>
      <w:r w:rsidR="00F75232">
        <w:rPr>
          <w:rFonts w:cs="Calibri"/>
          <w:color w:val="000000"/>
        </w:rPr>
        <w:t>’</w:t>
      </w:r>
      <w:r w:rsidR="00730A91" w:rsidRPr="00FA1A19">
        <w:rPr>
          <w:rFonts w:cs="Calibri"/>
          <w:color w:val="000000"/>
        </w:rPr>
        <w:t>s role in administering the tax system is helping people understand their rights and obligations and improving ease of compliance.</w:t>
      </w:r>
      <w:r w:rsidR="00730A91" w:rsidRPr="00170ADC">
        <w:rPr>
          <w:rStyle w:val="FootnoteReference"/>
        </w:rPr>
        <w:footnoteReference w:id="314"/>
      </w:r>
      <w:r w:rsidR="00730A91" w:rsidRPr="00FA1A19">
        <w:rPr>
          <w:rFonts w:cs="Calibri"/>
          <w:color w:val="000000"/>
        </w:rPr>
        <w:t xml:space="preserve"> Accordingly, the Board has considered the ATO</w:t>
      </w:r>
      <w:r w:rsidR="00F75232">
        <w:rPr>
          <w:rFonts w:cs="Calibri"/>
          <w:color w:val="000000"/>
        </w:rPr>
        <w:t>’</w:t>
      </w:r>
      <w:r w:rsidR="00730A91" w:rsidRPr="00FA1A19">
        <w:rPr>
          <w:rFonts w:cs="Calibri"/>
          <w:color w:val="000000"/>
        </w:rPr>
        <w:t xml:space="preserve">s role in providing relevant public advice and guidance to support taxpayers and their intermediaries in complying with the law. </w:t>
      </w:r>
    </w:p>
    <w:p w14:paraId="0157DDB0" w14:textId="77777777" w:rsidR="00730A91" w:rsidRPr="00FA1A19" w:rsidRDefault="00730A91" w:rsidP="0069352C">
      <w:pPr>
        <w:pStyle w:val="Heading4"/>
      </w:pPr>
      <w:r w:rsidRPr="00FA1A19">
        <w:t>ATO guidance</w:t>
      </w:r>
    </w:p>
    <w:p w14:paraId="22E049AF" w14:textId="6B7747E3" w:rsidR="00730A91" w:rsidRPr="00FA1A19" w:rsidRDefault="00730A91" w:rsidP="00791686">
      <w:r w:rsidRPr="00FA1A19">
        <w:t xml:space="preserve">The ATO is responsible for administering Australian federal taxation laws and elements of the superannuation law. A key </w:t>
      </w:r>
      <w:r w:rsidR="4ED96751" w:rsidRPr="00FA1A19">
        <w:t>role</w:t>
      </w:r>
      <w:r w:rsidRPr="00FA1A19">
        <w:t xml:space="preserve"> that the ATO </w:t>
      </w:r>
      <w:r w:rsidR="4FD7B0F2" w:rsidRPr="00FA1A19">
        <w:t xml:space="preserve">undertakes is to </w:t>
      </w:r>
      <w:r w:rsidRPr="00FA1A19">
        <w:t>support taxpayers in understanding their rights and obligations under these laws</w:t>
      </w:r>
      <w:r w:rsidR="004F0A51" w:rsidRPr="00FA1A19">
        <w:t xml:space="preserve"> </w:t>
      </w:r>
      <w:r w:rsidRPr="00FA1A19">
        <w:t xml:space="preserve">through the publication of advice and guidance. </w:t>
      </w:r>
    </w:p>
    <w:p w14:paraId="11778084" w14:textId="7222961F" w:rsidR="00730A91" w:rsidRPr="00FA1A19" w:rsidRDefault="00730A91" w:rsidP="00791686">
      <w:r w:rsidRPr="00FA1A19">
        <w:t>The form and substance of ATO guidance featured heavily throughout submissions and consultation meetings for the Board</w:t>
      </w:r>
      <w:r w:rsidR="00F75232">
        <w:t>’</w:t>
      </w:r>
      <w:r w:rsidRPr="00FA1A19">
        <w:t>s Review. Extensive feedback has been received acknowledging that the ATO has been a global leader in the breadth and quality of the public advice and guidance provided to support taxpayers who are transacting with crypto assets.</w:t>
      </w:r>
      <w:r w:rsidRPr="00170ADC">
        <w:rPr>
          <w:rStyle w:val="FootnoteReference"/>
        </w:rPr>
        <w:footnoteReference w:id="315"/>
      </w:r>
      <w:r w:rsidRPr="00FA1A19">
        <w:t xml:space="preserve"> There has also been feedback that further work is required, and the Board has considered various aspects of ATO guidance </w:t>
      </w:r>
      <w:r w:rsidR="778627C7" w:rsidRPr="00FA1A19">
        <w:t xml:space="preserve">(including the recent December 2023 website updates) </w:t>
      </w:r>
      <w:r w:rsidRPr="00FA1A19">
        <w:t xml:space="preserve">throughout this </w:t>
      </w:r>
      <w:r w:rsidR="002C78F7" w:rsidRPr="00FA1A19">
        <w:t>c</w:t>
      </w:r>
      <w:r w:rsidR="00BE547F" w:rsidRPr="00FA1A19">
        <w:t>hapter</w:t>
      </w:r>
      <w:r w:rsidRPr="00FA1A19">
        <w:t>.</w:t>
      </w:r>
      <w:r w:rsidR="004F0A51" w:rsidRPr="00FA1A19">
        <w:t xml:space="preserve"> </w:t>
      </w:r>
    </w:p>
    <w:p w14:paraId="308A00F0" w14:textId="77777777" w:rsidR="00730A91" w:rsidRPr="00FA1A19" w:rsidRDefault="00730A91" w:rsidP="00791686">
      <w:pPr>
        <w:pStyle w:val="Heading5"/>
      </w:pPr>
      <w:r w:rsidRPr="00FA1A19">
        <w:t>Promotion and publication of ATO guidance</w:t>
      </w:r>
    </w:p>
    <w:p w14:paraId="3952C321" w14:textId="6783DE6C" w:rsidR="00730A91" w:rsidRPr="00FA1A19" w:rsidRDefault="00730A91" w:rsidP="00791686">
      <w:r w:rsidRPr="00FA1A19">
        <w:t xml:space="preserve">The ATO produces advice and guidance in different forms across various channels. This includes </w:t>
      </w:r>
      <w:r w:rsidR="00DA1D67" w:rsidRPr="00FA1A19">
        <w:t xml:space="preserve">through guidance published on the </w:t>
      </w:r>
      <w:r w:rsidRPr="00FA1A19">
        <w:t xml:space="preserve">main ATO website, tools to connect with the community, including social media engagement on Facebook, LinkedIn and </w:t>
      </w:r>
      <w:r w:rsidR="00DA1D67" w:rsidRPr="00FA1A19">
        <w:t xml:space="preserve">X (formerly </w:t>
      </w:r>
      <w:r w:rsidRPr="00FA1A19">
        <w:t>Twitter</w:t>
      </w:r>
      <w:r w:rsidR="00DA1D67" w:rsidRPr="00FA1A19">
        <w:t>)</w:t>
      </w:r>
      <w:r w:rsidRPr="00FA1A19">
        <w:t xml:space="preserve"> and moderation of a peer</w:t>
      </w:r>
      <w:r w:rsidR="00F75232">
        <w:noBreakHyphen/>
      </w:r>
      <w:r w:rsidRPr="00FA1A19">
        <w:t>to</w:t>
      </w:r>
      <w:r w:rsidR="00F75232">
        <w:noBreakHyphen/>
      </w:r>
      <w:r w:rsidRPr="00FA1A19">
        <w:t xml:space="preserve">peer platform, </w:t>
      </w:r>
      <w:r w:rsidRPr="00813896">
        <w:rPr>
          <w:rStyle w:val="Emphasis"/>
        </w:rPr>
        <w:t>ATO Community</w:t>
      </w:r>
      <w:r w:rsidRPr="00FA1A19">
        <w:t>, which is promoted as enabling users to drive conversations and find answers to their own tax and super</w:t>
      </w:r>
      <w:r w:rsidR="4C10DF23" w:rsidRPr="00FA1A19">
        <w:t>annuation</w:t>
      </w:r>
      <w:r w:rsidRPr="00FA1A19">
        <w:t xml:space="preserve"> questions.</w:t>
      </w:r>
      <w:r w:rsidRPr="00170ADC">
        <w:rPr>
          <w:rStyle w:val="FootnoteReference"/>
        </w:rPr>
        <w:footnoteReference w:id="316"/>
      </w:r>
      <w:r w:rsidRPr="00170ADC">
        <w:rPr>
          <w:rStyle w:val="FootnoteReference"/>
        </w:rPr>
        <w:t xml:space="preserve"> </w:t>
      </w:r>
    </w:p>
    <w:p w14:paraId="37149335" w14:textId="1FFF5190" w:rsidR="00730A91" w:rsidRPr="00FA1A19" w:rsidRDefault="00730A91" w:rsidP="00791686">
      <w:pPr>
        <w:rPr>
          <w:i/>
          <w:iCs/>
        </w:rPr>
      </w:pPr>
      <w:r w:rsidRPr="00FA1A19">
        <w:t xml:space="preserve">The Board has received feedback that the promotion of crypto asset tax guidance should be linked to channels utilised by those operating in the space (such as Discord, TikTok and </w:t>
      </w:r>
      <w:r w:rsidR="002B1462" w:rsidRPr="00FA1A19">
        <w:t>X</w:t>
      </w:r>
      <w:r w:rsidRPr="00FA1A19">
        <w:t xml:space="preserve"> </w:t>
      </w:r>
      <w:r w:rsidR="002B1462" w:rsidRPr="00FA1A19">
        <w:t>(</w:t>
      </w:r>
      <w:r w:rsidRPr="00FA1A19">
        <w:t>Twitter</w:t>
      </w:r>
      <w:r w:rsidR="002B1462" w:rsidRPr="00FA1A19">
        <w:t>)</w:t>
      </w:r>
      <w:r w:rsidRPr="00FA1A19">
        <w:t>)</w:t>
      </w:r>
      <w:r w:rsidR="0FEF89B0" w:rsidRPr="00FA1A19">
        <w:t>. The feedback also stressed</w:t>
      </w:r>
      <w:r w:rsidR="004F0A51" w:rsidRPr="00FA1A19">
        <w:t xml:space="preserve"> </w:t>
      </w:r>
      <w:r w:rsidRPr="00FA1A19">
        <w:t>the importance of accurate information being available through those channels.</w:t>
      </w:r>
      <w:r w:rsidRPr="00170ADC">
        <w:rPr>
          <w:rStyle w:val="FootnoteReference"/>
        </w:rPr>
        <w:footnoteReference w:id="317"/>
      </w:r>
      <w:r w:rsidRPr="00FA1A19">
        <w:t xml:space="preserve"> In Koinly</w:t>
      </w:r>
      <w:r w:rsidR="00F75232">
        <w:t>’</w:t>
      </w:r>
      <w:r w:rsidRPr="00FA1A19">
        <w:t xml:space="preserve">s submission to the Review, they noted: </w:t>
      </w:r>
    </w:p>
    <w:p w14:paraId="2B601BB1" w14:textId="1F5A6248" w:rsidR="00730A91" w:rsidRPr="00FA1A19" w:rsidRDefault="00730A91" w:rsidP="00991EBC">
      <w:pPr>
        <w:pStyle w:val="Quote"/>
      </w:pPr>
      <w:r w:rsidRPr="00FA1A19">
        <w:t>Where ATO guidance is limited, retail investors seeking answers via google search are often presented with ATO community guidance forums. From a retail investor</w:t>
      </w:r>
      <w:r w:rsidR="00F75232">
        <w:t>’</w:t>
      </w:r>
      <w:r w:rsidRPr="00FA1A19">
        <w:t xml:space="preserve">s perspective, it would be reasonable to assume that some reliance is placed on the ATO responses provided to queries. In our experience, the community guidance is contradictory and often opines on queries without </w:t>
      </w:r>
      <w:r w:rsidRPr="00FA1A19">
        <w:rPr>
          <w:rFonts w:asciiTheme="minorHAnsi" w:hAnsiTheme="minorHAnsi" w:cstheme="minorHAnsi"/>
        </w:rPr>
        <w:t>due</w:t>
      </w:r>
      <w:r w:rsidRPr="00FA1A19">
        <w:t xml:space="preserve"> consideration of the facts and circumstances.</w:t>
      </w:r>
      <w:r w:rsidRPr="00170ADC">
        <w:rPr>
          <w:rStyle w:val="FootnoteReference"/>
        </w:rPr>
        <w:footnoteReference w:id="318"/>
      </w:r>
    </w:p>
    <w:p w14:paraId="21131B10" w14:textId="384EDEAC" w:rsidR="00730A91" w:rsidRPr="00FA1A19" w:rsidRDefault="00730A91" w:rsidP="00791686">
      <w:r w:rsidRPr="00FA1A19">
        <w:t>The Board notes that where the ATO is undertaking public engagement through any form of social media, a significant resource commitment is required to ensure that the content and engagement is appropriately moderated. Currently, ATO social media engagement is largely limited to Facebook,</w:t>
      </w:r>
      <w:r w:rsidR="004F0A51" w:rsidRPr="00FA1A19">
        <w:t xml:space="preserve"> </w:t>
      </w:r>
      <w:r w:rsidRPr="00FA1A19">
        <w:t>LinkedIn</w:t>
      </w:r>
      <w:r w:rsidR="00391647" w:rsidRPr="00FA1A19">
        <w:t xml:space="preserve"> and X</w:t>
      </w:r>
      <w:r w:rsidRPr="00FA1A19">
        <w:t xml:space="preserve">. The ATO has not indicated any intention to expand beyond these channels and the Board further notes the current </w:t>
      </w:r>
      <w:r w:rsidR="00154277">
        <w:t>g</w:t>
      </w:r>
      <w:r w:rsidR="00192339" w:rsidRPr="00FA1A19">
        <w:t xml:space="preserve">overnment </w:t>
      </w:r>
      <w:r w:rsidRPr="00FA1A19">
        <w:t>restrictions, particularly on the use of TikTok.</w:t>
      </w:r>
    </w:p>
    <w:p w14:paraId="7501EC68" w14:textId="504D5E4F" w:rsidR="00730A91" w:rsidRPr="00FA1A19" w:rsidRDefault="00730A91" w:rsidP="00791686">
      <w:r w:rsidRPr="00FA1A19">
        <w:t>While the Board agrees that it is necessary for ATO guidance to be broadly accessible to the community segment it is targeted at, it does not agree that it is the role of the ATO to engage through every available public platform</w:t>
      </w:r>
      <w:r w:rsidR="00DD7E85">
        <w:t xml:space="preserve">. </w:t>
      </w:r>
      <w:r w:rsidRPr="00FA1A19">
        <w:t xml:space="preserve">There is also a role for </w:t>
      </w:r>
      <w:r w:rsidR="00714596" w:rsidRPr="00FA1A19">
        <w:t xml:space="preserve">professional </w:t>
      </w:r>
      <w:r w:rsidR="007A18FD" w:rsidRPr="00FA1A19">
        <w:t xml:space="preserve">associations, </w:t>
      </w:r>
      <w:r w:rsidRPr="00FA1A19">
        <w:t xml:space="preserve">tax agents and crypto </w:t>
      </w:r>
      <w:r w:rsidR="00F7438B" w:rsidRPr="00FA1A19">
        <w:t>industry representatives</w:t>
      </w:r>
      <w:r w:rsidRPr="00FA1A19" w:rsidDel="00F7438B">
        <w:t xml:space="preserve"> </w:t>
      </w:r>
      <w:r w:rsidRPr="00FA1A19">
        <w:t>to assist in providing education and guidance.</w:t>
      </w:r>
      <w:r w:rsidR="004F0A51" w:rsidRPr="00FA1A19">
        <w:t xml:space="preserve"> </w:t>
      </w:r>
      <w:r w:rsidR="000961B1" w:rsidRPr="00FA1A19">
        <w:t xml:space="preserve">Furthermore, </w:t>
      </w:r>
      <w:r w:rsidR="00A87E48" w:rsidRPr="00FA1A19">
        <w:t xml:space="preserve">there </w:t>
      </w:r>
      <w:r w:rsidR="00CA77F6" w:rsidRPr="00FA1A19">
        <w:t xml:space="preserve">must be some responsibility </w:t>
      </w:r>
      <w:r w:rsidR="009A01F5" w:rsidRPr="00FA1A19">
        <w:t xml:space="preserve">on those transacting in this space to take steps to </w:t>
      </w:r>
      <w:r w:rsidR="00BC425D" w:rsidRPr="00FA1A19">
        <w:t>understand their taxation responsibilities</w:t>
      </w:r>
      <w:r w:rsidR="00A527D9" w:rsidRPr="00FA1A19">
        <w:t xml:space="preserve"> </w:t>
      </w:r>
      <w:r w:rsidR="00C06A98" w:rsidRPr="00FA1A19">
        <w:t>where it is reasonable to do so.</w:t>
      </w:r>
    </w:p>
    <w:p w14:paraId="65D74971" w14:textId="77777777" w:rsidR="00730A91" w:rsidRPr="00FA1A19" w:rsidRDefault="00730A91" w:rsidP="00471171">
      <w:pPr>
        <w:pStyle w:val="SingleParagraph"/>
      </w:pPr>
    </w:p>
    <w:tbl>
      <w:tblPr>
        <w:tblStyle w:val="GridTable4-Accent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84" w:type="dxa"/>
          <w:bottom w:w="113" w:type="dxa"/>
          <w:right w:w="284" w:type="dxa"/>
        </w:tblCellMar>
        <w:tblLook w:val="01E0" w:firstRow="1" w:lastRow="1" w:firstColumn="1" w:lastColumn="1" w:noHBand="0" w:noVBand="0"/>
      </w:tblPr>
      <w:tblGrid>
        <w:gridCol w:w="9641"/>
      </w:tblGrid>
      <w:tr w:rsidR="00730A91" w:rsidRPr="00FA1A19" w14:paraId="3F16B012"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F29510A" w14:textId="445D44CA" w:rsidR="00730A91" w:rsidRPr="00FA1A19" w:rsidRDefault="00372633" w:rsidP="003316D7">
            <w:pPr>
              <w:pStyle w:val="BoxHeading1"/>
            </w:pPr>
            <w:r>
              <w:t>Observation </w:t>
            </w:r>
            <w:r w:rsidR="00436A92" w:rsidRPr="00FA1A19">
              <w:t>6</w:t>
            </w:r>
            <w:r w:rsidR="00730A91" w:rsidRPr="00FA1A19">
              <w:t>.3</w:t>
            </w:r>
          </w:p>
        </w:tc>
      </w:tr>
      <w:tr w:rsidR="00730A91" w:rsidRPr="00FA1A19" w14:paraId="54470992" w14:textId="77777777" w:rsidTr="00EB09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EDE6DC" w:themeFill="accent3" w:themeFillTint="66"/>
          </w:tcPr>
          <w:p w14:paraId="646D684C" w14:textId="4C4F191E" w:rsidR="00730A91" w:rsidRPr="00FA1A19" w:rsidRDefault="00730A91" w:rsidP="00471171">
            <w:pPr>
              <w:pStyle w:val="BoxText"/>
            </w:pPr>
            <w:r w:rsidRPr="00FA1A19">
              <w:t>Crypto asset users are engaging through a variety of platforms and there is an opportunity for these platforms to be used to share crypto asset tax guidance</w:t>
            </w:r>
            <w:r w:rsidR="00DD7E85">
              <w:t>.</w:t>
            </w:r>
            <w:r w:rsidR="005B03FA">
              <w:t xml:space="preserve"> </w:t>
            </w:r>
          </w:p>
        </w:tc>
      </w:tr>
    </w:tbl>
    <w:p w14:paraId="718B7B27" w14:textId="77777777" w:rsidR="00730A91" w:rsidRPr="00FA1A19" w:rsidRDefault="00730A91" w:rsidP="00791686">
      <w:pPr>
        <w:pStyle w:val="Heading5"/>
      </w:pPr>
      <w:r w:rsidRPr="00FA1A19">
        <w:t>Publication of guidance</w:t>
      </w:r>
    </w:p>
    <w:p w14:paraId="0F006A00" w14:textId="53B5C117" w:rsidR="00730A91" w:rsidRPr="00FA1A19" w:rsidRDefault="00730A91" w:rsidP="00791686">
      <w:pPr>
        <w:tabs>
          <w:tab w:val="left" w:pos="7200"/>
        </w:tabs>
      </w:pPr>
      <w:r w:rsidRPr="00FA1A19">
        <w:t xml:space="preserve">The ATO has published </w:t>
      </w:r>
      <w:r w:rsidR="003A53D6" w:rsidRPr="00FA1A19">
        <w:t>around 30</w:t>
      </w:r>
      <w:r w:rsidRPr="00FA1A19">
        <w:t xml:space="preserve"> pages of crypto asset</w:t>
      </w:r>
      <w:r w:rsidR="00F75232">
        <w:noBreakHyphen/>
      </w:r>
      <w:r w:rsidRPr="00FA1A19">
        <w:t>related content across the ATO website. Many of these pages can be found through the ATO</w:t>
      </w:r>
      <w:r w:rsidR="00F75232">
        <w:t>’</w:t>
      </w:r>
      <w:r w:rsidRPr="00FA1A19">
        <w:t xml:space="preserve">s </w:t>
      </w:r>
      <w:r w:rsidR="00F75232">
        <w:t>‘</w:t>
      </w:r>
      <w:r w:rsidRPr="00FA1A19">
        <w:t>Crypto asset investments</w:t>
      </w:r>
      <w:r w:rsidR="00F75232">
        <w:t>’</w:t>
      </w:r>
      <w:r w:rsidRPr="00170ADC">
        <w:rPr>
          <w:rStyle w:val="FootnoteReference"/>
        </w:rPr>
        <w:footnoteReference w:id="319"/>
      </w:r>
      <w:r w:rsidRPr="00FA1A19">
        <w:t xml:space="preserve"> landing page, which provides links to the following:</w:t>
      </w:r>
    </w:p>
    <w:p w14:paraId="1DEF4BF5" w14:textId="77777777" w:rsidR="00730A91" w:rsidRPr="00FA1A19" w:rsidRDefault="00730A91" w:rsidP="00B86742">
      <w:pPr>
        <w:pStyle w:val="Bullet"/>
        <w:keepNext/>
      </w:pPr>
      <w:r w:rsidRPr="00FA1A19">
        <w:t xml:space="preserve">What are </w:t>
      </w:r>
      <w:r w:rsidRPr="00FA1A19">
        <w:rPr>
          <w:rFonts w:cstheme="minorBidi"/>
        </w:rPr>
        <w:t>crypto</w:t>
      </w:r>
      <w:r w:rsidRPr="00FA1A19">
        <w:t xml:space="preserve"> assets? </w:t>
      </w:r>
    </w:p>
    <w:p w14:paraId="0041B433" w14:textId="77777777" w:rsidR="00730A91" w:rsidRPr="00FA1A19" w:rsidRDefault="00730A91" w:rsidP="00471171">
      <w:pPr>
        <w:pStyle w:val="Bullet"/>
      </w:pPr>
      <w:r w:rsidRPr="00FA1A19">
        <w:t xml:space="preserve">Transactions – </w:t>
      </w:r>
      <w:r w:rsidRPr="00FA1A19">
        <w:rPr>
          <w:rFonts w:cstheme="minorBidi"/>
        </w:rPr>
        <w:t>acquiring</w:t>
      </w:r>
      <w:r w:rsidRPr="00FA1A19">
        <w:t xml:space="preserve"> and disposing of crypto assets.</w:t>
      </w:r>
    </w:p>
    <w:p w14:paraId="73AAB2DC" w14:textId="77777777" w:rsidR="00730A91" w:rsidRPr="00FA1A19" w:rsidRDefault="00730A91" w:rsidP="00471171">
      <w:pPr>
        <w:pStyle w:val="Bullet"/>
      </w:pPr>
      <w:r w:rsidRPr="00FA1A19">
        <w:t xml:space="preserve">How </w:t>
      </w:r>
      <w:r w:rsidRPr="00FA1A19">
        <w:rPr>
          <w:rFonts w:cstheme="minorBidi"/>
        </w:rPr>
        <w:t>to</w:t>
      </w:r>
      <w:r w:rsidRPr="00FA1A19">
        <w:t xml:space="preserve"> work out and report CGT on crypto.</w:t>
      </w:r>
    </w:p>
    <w:p w14:paraId="769C93D0" w14:textId="77777777" w:rsidR="00730A91" w:rsidRPr="00FA1A19" w:rsidRDefault="00730A91" w:rsidP="00471171">
      <w:pPr>
        <w:pStyle w:val="Bullet"/>
      </w:pPr>
      <w:r w:rsidRPr="00FA1A19">
        <w:t>Crypto chain splits.</w:t>
      </w:r>
    </w:p>
    <w:p w14:paraId="6FDF7E62" w14:textId="77777777" w:rsidR="00730A91" w:rsidRPr="00FA1A19" w:rsidRDefault="00730A91" w:rsidP="00471171">
      <w:pPr>
        <w:pStyle w:val="Bullet"/>
      </w:pPr>
      <w:r w:rsidRPr="00FA1A19">
        <w:t>Crypto as a personal use asset.</w:t>
      </w:r>
    </w:p>
    <w:p w14:paraId="6C005E20" w14:textId="77777777" w:rsidR="00730A91" w:rsidRPr="00FA1A19" w:rsidRDefault="00730A91" w:rsidP="00471171">
      <w:pPr>
        <w:pStyle w:val="Bullet"/>
      </w:pPr>
      <w:r w:rsidRPr="00FA1A19">
        <w:rPr>
          <w:rFonts w:cstheme="minorBidi"/>
        </w:rPr>
        <w:t>Decentralised</w:t>
      </w:r>
      <w:r w:rsidRPr="00FA1A19">
        <w:t xml:space="preserve"> finance and wrapping crypto.</w:t>
      </w:r>
    </w:p>
    <w:p w14:paraId="6527DA73" w14:textId="77777777" w:rsidR="00730A91" w:rsidRPr="00FA1A19" w:rsidRDefault="00730A91" w:rsidP="00471171">
      <w:pPr>
        <w:pStyle w:val="Bullet"/>
      </w:pPr>
      <w:r w:rsidRPr="00FA1A19">
        <w:t xml:space="preserve">Keeping </w:t>
      </w:r>
      <w:r w:rsidRPr="00FA1A19">
        <w:rPr>
          <w:rFonts w:cstheme="minorBidi"/>
        </w:rPr>
        <w:t>crypto</w:t>
      </w:r>
      <w:r w:rsidRPr="00FA1A19">
        <w:t xml:space="preserve"> records.</w:t>
      </w:r>
    </w:p>
    <w:p w14:paraId="44F44C1D" w14:textId="77777777" w:rsidR="00730A91" w:rsidRPr="00FA1A19" w:rsidRDefault="00730A91" w:rsidP="00471171">
      <w:pPr>
        <w:pStyle w:val="Bullet"/>
      </w:pPr>
      <w:r w:rsidRPr="00FA1A19">
        <w:t xml:space="preserve">Crypto </w:t>
      </w:r>
      <w:r w:rsidRPr="00FA1A19">
        <w:rPr>
          <w:rFonts w:cstheme="minorBidi"/>
        </w:rPr>
        <w:t>asset</w:t>
      </w:r>
      <w:r w:rsidRPr="00FA1A19">
        <w:t xml:space="preserve"> glossary. </w:t>
      </w:r>
    </w:p>
    <w:p w14:paraId="6B18C24F" w14:textId="2C2EE18D" w:rsidR="00730A91" w:rsidRPr="00FA1A19" w:rsidRDefault="00730A91" w:rsidP="006F0112">
      <w:r w:rsidRPr="00FA1A19">
        <w:t>These pages</w:t>
      </w:r>
      <w:r w:rsidR="00313E3D" w:rsidRPr="00FA1A19">
        <w:t>,</w:t>
      </w:r>
      <w:r w:rsidRPr="00FA1A19">
        <w:t xml:space="preserve"> however</w:t>
      </w:r>
      <w:r w:rsidR="00313E3D" w:rsidRPr="00FA1A19">
        <w:t>,</w:t>
      </w:r>
      <w:r w:rsidRPr="00FA1A19">
        <w:t xml:space="preserve"> only represent </w:t>
      </w:r>
      <w:r w:rsidR="00802802" w:rsidRPr="00FA1A19">
        <w:t>just over half of the</w:t>
      </w:r>
      <w:r w:rsidRPr="00FA1A19">
        <w:t xml:space="preserve"> total crypto related web guidance available on the ATO website. Additional content is included across the website including in relation to crypto assets used in business, GST, SMSF investments</w:t>
      </w:r>
      <w:r w:rsidR="000D38BD" w:rsidRPr="00FA1A19">
        <w:t xml:space="preserve"> and ATO data matching protocols for crypto assets.</w:t>
      </w:r>
      <w:r w:rsidR="004F0A51" w:rsidRPr="00FA1A19">
        <w:t xml:space="preserve"> </w:t>
      </w:r>
    </w:p>
    <w:p w14:paraId="7388CBA5" w14:textId="11595117" w:rsidR="0038603A" w:rsidRPr="00FA1A19" w:rsidRDefault="00730A91" w:rsidP="00471171">
      <w:r w:rsidRPr="00FA1A19">
        <w:rPr>
          <w:rFonts w:cs="Calibri"/>
        </w:rPr>
        <w:t xml:space="preserve">The ATO have also published a separate page titled </w:t>
      </w:r>
      <w:r w:rsidR="00F75232">
        <w:rPr>
          <w:rFonts w:cs="Calibri"/>
        </w:rPr>
        <w:t>‘</w:t>
      </w:r>
      <w:r w:rsidRPr="00FA1A19">
        <w:rPr>
          <w:rFonts w:cs="Calibri"/>
        </w:rPr>
        <w:t>Crypto asset investments and tax</w:t>
      </w:r>
      <w:r w:rsidR="00F75232">
        <w:rPr>
          <w:rFonts w:cs="Calibri"/>
        </w:rPr>
        <w:t>’</w:t>
      </w:r>
      <w:r w:rsidR="00313E3D" w:rsidRPr="00FA1A19">
        <w:rPr>
          <w:rFonts w:cs="Calibri"/>
        </w:rPr>
        <w:t>,</w:t>
      </w:r>
      <w:r w:rsidRPr="00170ADC">
        <w:rPr>
          <w:rStyle w:val="FootnoteReference"/>
        </w:rPr>
        <w:footnoteReference w:id="320"/>
      </w:r>
      <w:r w:rsidRPr="00FA1A19">
        <w:t xml:space="preserve"> located under the </w:t>
      </w:r>
      <w:r w:rsidR="00F75232">
        <w:t>‘</w:t>
      </w:r>
      <w:r w:rsidRPr="00471171">
        <w:t>Information</w:t>
      </w:r>
      <w:r w:rsidRPr="00FA1A19">
        <w:t xml:space="preserve"> in other languages</w:t>
      </w:r>
      <w:r w:rsidR="00F75232">
        <w:t>’</w:t>
      </w:r>
      <w:r w:rsidRPr="00FA1A19">
        <w:t xml:space="preserve"> section of the website. While the information contained on this page is relatively consistent with content on other areas of the website, some </w:t>
      </w:r>
      <w:r w:rsidR="00486AFB" w:rsidRPr="00FA1A19">
        <w:t xml:space="preserve">different </w:t>
      </w:r>
      <w:r w:rsidRPr="00FA1A19">
        <w:t xml:space="preserve">detail is provided. </w:t>
      </w:r>
    </w:p>
    <w:p w14:paraId="2FE33F5F" w14:textId="7B57D4BA" w:rsidR="00730A91" w:rsidRPr="00FA1A19" w:rsidRDefault="00730A91" w:rsidP="00471171">
      <w:r w:rsidRPr="00FA1A19">
        <w:t xml:space="preserve">The Board considers that separate content in different locations may create confusion for users of the ATO website seeking to understand their obligations and that guidance would be improved through the inclusion of a purpose statement on each page detailing the relevant audience and ensuring there are linkages to other relevant content. </w:t>
      </w:r>
    </w:p>
    <w:p w14:paraId="3C02DDED" w14:textId="56477219" w:rsidR="00730A91" w:rsidRPr="00FA1A19" w:rsidRDefault="00730A91" w:rsidP="00471171">
      <w:r w:rsidRPr="00FA1A19">
        <w:rPr>
          <w:rFonts w:cs="Calibri"/>
          <w:color w:val="000000" w:themeColor="text1"/>
        </w:rPr>
        <w:t>The Board understands that, in the interests of maintaining simple and accessible guidance, the ATO website will generally not include referencing to legislative or other materials that have been relied upon in determining the ATO</w:t>
      </w:r>
      <w:r w:rsidR="00F75232">
        <w:rPr>
          <w:rFonts w:cs="Calibri"/>
          <w:color w:val="000000" w:themeColor="text1"/>
        </w:rPr>
        <w:t>’</w:t>
      </w:r>
      <w:r w:rsidRPr="00FA1A19">
        <w:rPr>
          <w:rFonts w:cs="Calibri"/>
          <w:color w:val="000000" w:themeColor="text1"/>
        </w:rPr>
        <w:t>s tax positions. The Board has heard</w:t>
      </w:r>
      <w:r w:rsidR="0038603A" w:rsidRPr="00FA1A19">
        <w:rPr>
          <w:rFonts w:cs="Calibri"/>
          <w:color w:val="000000" w:themeColor="text1"/>
        </w:rPr>
        <w:t>, however,</w:t>
      </w:r>
      <w:r w:rsidRPr="00FA1A19">
        <w:rPr>
          <w:rFonts w:cs="Calibri"/>
          <w:color w:val="000000" w:themeColor="text1"/>
        </w:rPr>
        <w:t xml:space="preserve"> that due to the varied and emerging ways in which crypto assets may be transacted, </w:t>
      </w:r>
      <w:r w:rsidR="00940E25" w:rsidRPr="00FA1A19">
        <w:rPr>
          <w:rFonts w:cs="Calibri"/>
          <w:color w:val="000000" w:themeColor="text1"/>
        </w:rPr>
        <w:t xml:space="preserve">this </w:t>
      </w:r>
      <w:r w:rsidRPr="00FA1A19">
        <w:rPr>
          <w:rFonts w:cs="Calibri"/>
          <w:color w:val="000000" w:themeColor="text1"/>
        </w:rPr>
        <w:t>web guidance may be improved by</w:t>
      </w:r>
      <w:r w:rsidRPr="00FA1A19">
        <w:t xml:space="preserve"> including further detail and </w:t>
      </w:r>
      <w:r w:rsidR="00940E25" w:rsidRPr="00FA1A19">
        <w:t xml:space="preserve">references </w:t>
      </w:r>
      <w:r w:rsidRPr="00FA1A19">
        <w:t xml:space="preserve">to support the legal basis of the positions taken. </w:t>
      </w:r>
    </w:p>
    <w:p w14:paraId="63B4A6BE" w14:textId="66D3C7DF" w:rsidR="003A53D6" w:rsidRPr="00FA1A19" w:rsidRDefault="003A53D6" w:rsidP="00471171">
      <w:r w:rsidRPr="00FA1A19">
        <w:t xml:space="preserve">The Board has included a list of identified guidance as at the time of writing the Report in </w:t>
      </w:r>
      <w:r w:rsidRPr="00173636">
        <w:rPr>
          <w:b/>
          <w:bCs/>
        </w:rPr>
        <w:t xml:space="preserve">Appendix </w:t>
      </w:r>
      <w:r w:rsidR="00924777" w:rsidRPr="00173636">
        <w:rPr>
          <w:b/>
          <w:bCs/>
        </w:rPr>
        <w:t>C</w:t>
      </w:r>
      <w:r w:rsidRPr="00FA1A19">
        <w:t xml:space="preserve">. </w:t>
      </w:r>
    </w:p>
    <w:p w14:paraId="5508B2B3" w14:textId="2E917A16" w:rsidR="00730A91" w:rsidRPr="00FA1A19" w:rsidRDefault="00730A91" w:rsidP="00471171">
      <w:r w:rsidRPr="00FA1A19">
        <w:t xml:space="preserve">The Board has undertaken an analysis of the guidance available on the websites of various jurisdictions and notes that the guidance provided by </w:t>
      </w:r>
      <w:r w:rsidR="00173636">
        <w:t xml:space="preserve">the UK </w:t>
      </w:r>
      <w:r w:rsidR="003D07BC">
        <w:t>HM Revenue &amp; Customs (</w:t>
      </w:r>
      <w:r w:rsidRPr="00FA1A19">
        <w:t>HMRC</w:t>
      </w:r>
      <w:r w:rsidR="003D07BC">
        <w:t>)</w:t>
      </w:r>
      <w:r w:rsidRPr="00170ADC">
        <w:rPr>
          <w:rStyle w:val="FootnoteReference"/>
        </w:rPr>
        <w:footnoteReference w:id="321"/>
      </w:r>
      <w:r w:rsidRPr="00FA1A19">
        <w:t xml:space="preserve"> and </w:t>
      </w:r>
      <w:r w:rsidR="00173636">
        <w:t xml:space="preserve">NZ </w:t>
      </w:r>
      <w:r w:rsidR="00BC2E41">
        <w:t>I</w:t>
      </w:r>
      <w:r w:rsidR="000829CA">
        <w:t>nland Revenue (NZ I</w:t>
      </w:r>
      <w:r w:rsidR="00BC2E41">
        <w:t>R</w:t>
      </w:r>
      <w:r w:rsidR="000829CA">
        <w:t>)</w:t>
      </w:r>
      <w:r w:rsidRPr="00170ADC">
        <w:rPr>
          <w:rStyle w:val="FootnoteReference"/>
        </w:rPr>
        <w:footnoteReference w:id="322"/>
      </w:r>
      <w:r w:rsidRPr="00FA1A19">
        <w:t xml:space="preserve"> both consolidate crypto asset guidance into a single index, enabling the user to access the relevant content. The </w:t>
      </w:r>
      <w:r w:rsidR="00173636">
        <w:t xml:space="preserve">UK </w:t>
      </w:r>
      <w:r w:rsidRPr="00FA1A19">
        <w:t>HMRC manual was specifically mentioned</w:t>
      </w:r>
      <w:r w:rsidR="00173636">
        <w:t xml:space="preserve"> in submissions from </w:t>
      </w:r>
      <w:r w:rsidRPr="00FA1A19">
        <w:t>the Joint Bodies and K</w:t>
      </w:r>
      <w:r w:rsidR="001D5744">
        <w:t>ing &amp; Wood Mallesons</w:t>
      </w:r>
      <w:r w:rsidRPr="00FA1A19">
        <w:t xml:space="preserve"> as a high</w:t>
      </w:r>
      <w:r w:rsidR="00F75232">
        <w:noBreakHyphen/>
      </w:r>
      <w:r w:rsidRPr="00FA1A19">
        <w:t>quality model for revenue authority guidance.</w:t>
      </w:r>
      <w:r w:rsidRPr="00170ADC">
        <w:rPr>
          <w:rStyle w:val="FootnoteReference"/>
        </w:rPr>
        <w:footnoteReference w:id="323"/>
      </w:r>
      <w:r w:rsidRPr="00FA1A19">
        <w:t xml:space="preserve"> </w:t>
      </w:r>
    </w:p>
    <w:p w14:paraId="49BC628E" w14:textId="128220B1" w:rsidR="00730A91" w:rsidRPr="00FA1A19" w:rsidRDefault="00730A91" w:rsidP="00471171">
      <w:r w:rsidRPr="00FA1A19">
        <w:t xml:space="preserve">The Board has provided further analysis in relation to guidance provided by other jurisdictions in </w:t>
      </w:r>
      <w:r w:rsidR="00372633">
        <w:t>Chapter </w:t>
      </w:r>
      <w:r w:rsidRPr="00FA1A19">
        <w:t>12.</w:t>
      </w:r>
    </w:p>
    <w:p w14:paraId="4D3A49B0" w14:textId="77777777" w:rsidR="00F905E9" w:rsidRPr="00FA1A19" w:rsidRDefault="00F905E9" w:rsidP="00471171">
      <w:pPr>
        <w:pStyle w:val="SingleParagraph"/>
      </w:pPr>
    </w:p>
    <w:tbl>
      <w:tblPr>
        <w:tblStyle w:val="Style2"/>
        <w:tblW w:w="5000" w:type="pct"/>
        <w:tblLook w:val="0420" w:firstRow="1" w:lastRow="0" w:firstColumn="0" w:lastColumn="0" w:noHBand="0" w:noVBand="1"/>
      </w:tblPr>
      <w:tblGrid>
        <w:gridCol w:w="9641"/>
      </w:tblGrid>
      <w:tr w:rsidR="00730A91" w:rsidRPr="00FA1A19" w14:paraId="6E333D91"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F612E20" w14:textId="215B42B8" w:rsidR="00730A91" w:rsidRPr="00FA1A19" w:rsidRDefault="00372633" w:rsidP="003316D7">
            <w:pPr>
              <w:pStyle w:val="BoxHeading1"/>
            </w:pPr>
            <w:r>
              <w:t>Recommendation </w:t>
            </w:r>
            <w:r w:rsidR="00760F8E" w:rsidRPr="00FA1A19">
              <w:t>6</w:t>
            </w:r>
            <w:r w:rsidR="00730A91" w:rsidRPr="00FA1A19">
              <w:t>.1</w:t>
            </w:r>
          </w:p>
        </w:tc>
      </w:tr>
      <w:tr w:rsidR="00730A91" w:rsidRPr="00FA1A19" w14:paraId="6FC9DBE3"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3ECDC981" w14:textId="03592802" w:rsidR="00730A91" w:rsidRPr="00FA1A19" w:rsidRDefault="00730A91" w:rsidP="00471171">
            <w:pPr>
              <w:pStyle w:val="BoxText"/>
            </w:pPr>
            <w:r w:rsidRPr="00FA1A19">
              <w:t xml:space="preserve">The Board notes that since its </w:t>
            </w:r>
            <w:r w:rsidR="00FC2158" w:rsidRPr="00FA1A19">
              <w:t>initial</w:t>
            </w:r>
            <w:r w:rsidRPr="00FA1A19">
              <w:t xml:space="preserve"> consultation, the ATO has increased the content available through its </w:t>
            </w:r>
            <w:r w:rsidR="00F75232">
              <w:t>‘</w:t>
            </w:r>
            <w:r w:rsidRPr="00FA1A19">
              <w:t>Crypto asset investments</w:t>
            </w:r>
            <w:r w:rsidR="00F75232">
              <w:t>’</w:t>
            </w:r>
            <w:r w:rsidRPr="00FA1A19">
              <w:t xml:space="preserve"> landing page</w:t>
            </w:r>
            <w:r w:rsidR="00D14D9D">
              <w:t xml:space="preserve"> and </w:t>
            </w:r>
            <w:r w:rsidR="00747B46" w:rsidRPr="00FA1A19">
              <w:t xml:space="preserve">has </w:t>
            </w:r>
            <w:r w:rsidR="007D58F1" w:rsidRPr="00FA1A19">
              <w:t>recently updated its web</w:t>
            </w:r>
            <w:r w:rsidR="00981EE8">
              <w:t>site</w:t>
            </w:r>
            <w:r w:rsidR="006B56E9">
              <w:t>.</w:t>
            </w:r>
            <w:r w:rsidR="009B65EB">
              <w:t xml:space="preserve"> </w:t>
            </w:r>
            <w:r w:rsidR="006B56E9">
              <w:t>I</w:t>
            </w:r>
            <w:r w:rsidR="00FE5FB8" w:rsidRPr="00FA1A19">
              <w:t>n December</w:t>
            </w:r>
            <w:r w:rsidR="00B86742">
              <w:t> </w:t>
            </w:r>
            <w:r w:rsidR="00FE5FB8" w:rsidRPr="00FA1A19">
              <w:t>2023</w:t>
            </w:r>
            <w:r w:rsidR="006B56E9">
              <w:t xml:space="preserve"> the ATO</w:t>
            </w:r>
            <w:r w:rsidR="00FE5FB8" w:rsidRPr="00FA1A19">
              <w:t xml:space="preserve"> </w:t>
            </w:r>
            <w:r w:rsidR="009B65EB">
              <w:t xml:space="preserve">launched </w:t>
            </w:r>
            <w:r w:rsidR="00FE5FB8" w:rsidRPr="00FA1A19">
              <w:t>a new ato.gov.au content split into the three main taxpayer audience groups</w:t>
            </w:r>
            <w:r w:rsidR="007D58F1" w:rsidRPr="00FA1A19">
              <w:t>.</w:t>
            </w:r>
            <w:r w:rsidR="004F0A51" w:rsidRPr="00FA1A19">
              <w:t xml:space="preserve"> </w:t>
            </w:r>
            <w:r w:rsidR="007D58F1" w:rsidRPr="00FA1A19">
              <w:t xml:space="preserve">The Board </w:t>
            </w:r>
            <w:r w:rsidR="008D5F48" w:rsidRPr="00FA1A19">
              <w:t>commends the ATO for its work in this regard</w:t>
            </w:r>
            <w:r w:rsidRPr="00FA1A19">
              <w:t xml:space="preserve">. </w:t>
            </w:r>
          </w:p>
          <w:p w14:paraId="77B82E01" w14:textId="5B943941" w:rsidR="00730A91" w:rsidRPr="00FA1A19" w:rsidRDefault="00730A91" w:rsidP="00471171">
            <w:pPr>
              <w:pStyle w:val="BoxText"/>
            </w:pPr>
            <w:r w:rsidRPr="00FA1A19">
              <w:t xml:space="preserve">To ensure that users have access to all available information (including carrying on a crypto asset business and superannuation matters), the Board recommends that the ATO publish an index to all crypto asset related content on ato.gov.au, linking to the relevant guidance, similar to that utilised by </w:t>
            </w:r>
            <w:r w:rsidR="00051D0A">
              <w:t xml:space="preserve">the </w:t>
            </w:r>
            <w:r w:rsidR="006B56E9">
              <w:t>UK</w:t>
            </w:r>
            <w:r w:rsidR="00564224">
              <w:t xml:space="preserve"> </w:t>
            </w:r>
            <w:r w:rsidR="007A291A" w:rsidRPr="007A291A">
              <w:t>HMRC</w:t>
            </w:r>
            <w:r w:rsidRPr="00FA1A19">
              <w:t>.</w:t>
            </w:r>
          </w:p>
        </w:tc>
      </w:tr>
    </w:tbl>
    <w:p w14:paraId="2E0599AA" w14:textId="77777777" w:rsidR="00730A91" w:rsidRPr="00FA1A19" w:rsidRDefault="00730A91" w:rsidP="00471171">
      <w:pPr>
        <w:pStyle w:val="SingleParagraph"/>
      </w:pPr>
    </w:p>
    <w:tbl>
      <w:tblPr>
        <w:tblStyle w:val="Style2"/>
        <w:tblW w:w="5000" w:type="pct"/>
        <w:tblLook w:val="0420" w:firstRow="1" w:lastRow="0" w:firstColumn="0" w:lastColumn="0" w:noHBand="0" w:noVBand="1"/>
      </w:tblPr>
      <w:tblGrid>
        <w:gridCol w:w="9641"/>
      </w:tblGrid>
      <w:tr w:rsidR="00730A91" w:rsidRPr="00FA1A19" w14:paraId="0FD3B443"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27E4CE86" w14:textId="4356C640" w:rsidR="00730A91" w:rsidRPr="00FA1A19" w:rsidRDefault="00372633" w:rsidP="003316D7">
            <w:pPr>
              <w:pStyle w:val="BoxHeading1"/>
            </w:pPr>
            <w:r>
              <w:t>Recommendation </w:t>
            </w:r>
            <w:r w:rsidR="00760F8E" w:rsidRPr="00FA1A19">
              <w:t>6</w:t>
            </w:r>
            <w:r w:rsidR="00730A91" w:rsidRPr="00FA1A19">
              <w:t>.2</w:t>
            </w:r>
          </w:p>
        </w:tc>
      </w:tr>
      <w:tr w:rsidR="00730A91" w:rsidRPr="00FA1A19" w14:paraId="6D12B335"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0104C3EA" w14:textId="7225CB4F" w:rsidR="00ED3986" w:rsidRPr="00FA1A19" w:rsidRDefault="00ED3986" w:rsidP="00471171">
            <w:pPr>
              <w:pStyle w:val="BoxText"/>
            </w:pPr>
            <w:r w:rsidRPr="00FA1A19">
              <w:t>The Board understands that the ATO</w:t>
            </w:r>
            <w:r w:rsidR="00F75232">
              <w:t>’</w:t>
            </w:r>
            <w:r w:rsidRPr="00FA1A19">
              <w:t>s new website Information Architecture should prevent duplication of content across the site with linkages where required.</w:t>
            </w:r>
          </w:p>
          <w:p w14:paraId="47B7300D" w14:textId="21B8781D" w:rsidR="00730A91" w:rsidRPr="00FA1A19" w:rsidRDefault="00730A91" w:rsidP="00471171">
            <w:pPr>
              <w:pStyle w:val="BoxText"/>
            </w:pPr>
            <w:r w:rsidRPr="00FA1A19">
              <w:t xml:space="preserve">The Board recommends that </w:t>
            </w:r>
            <w:r w:rsidR="00ED3986" w:rsidRPr="00FA1A19">
              <w:t xml:space="preserve">if </w:t>
            </w:r>
            <w:r w:rsidRPr="00FA1A19">
              <w:t xml:space="preserve">similar guidance is </w:t>
            </w:r>
            <w:r w:rsidR="00ED3986" w:rsidRPr="00FA1A19">
              <w:t xml:space="preserve">still </w:t>
            </w:r>
            <w:r w:rsidRPr="00FA1A19">
              <w:t xml:space="preserve">provided across different pages on the ATO website: </w:t>
            </w:r>
          </w:p>
          <w:p w14:paraId="59BB4806" w14:textId="773C666C" w:rsidR="00730A91" w:rsidRPr="00FA1A19" w:rsidRDefault="00730A91" w:rsidP="00342121">
            <w:pPr>
              <w:pStyle w:val="BoxBullet"/>
            </w:pPr>
            <w:r w:rsidRPr="00FA1A19">
              <w:t xml:space="preserve">a statement </w:t>
            </w:r>
            <w:r w:rsidR="004E2584" w:rsidRPr="00FA1A19">
              <w:t>identifying</w:t>
            </w:r>
            <w:r w:rsidR="00396DB6" w:rsidRPr="00FA1A19">
              <w:t xml:space="preserve"> the</w:t>
            </w:r>
            <w:r w:rsidR="004E2584" w:rsidRPr="00FA1A19">
              <w:t xml:space="preserve"> target</w:t>
            </w:r>
            <w:r w:rsidR="00396DB6" w:rsidRPr="00FA1A19">
              <w:t xml:space="preserve"> audience </w:t>
            </w:r>
            <w:r w:rsidR="004E2584" w:rsidRPr="00FA1A19">
              <w:t>of the page</w:t>
            </w:r>
            <w:r w:rsidR="00396DB6" w:rsidRPr="00FA1A19">
              <w:t xml:space="preserve">, </w:t>
            </w:r>
            <w:r w:rsidR="00385F5D" w:rsidRPr="00FA1A19">
              <w:t xml:space="preserve">for example, that the page has been developed </w:t>
            </w:r>
            <w:r w:rsidR="00DB406C" w:rsidRPr="00FA1A19">
              <w:t xml:space="preserve">to support taxpayers that </w:t>
            </w:r>
            <w:r w:rsidR="002F1F64" w:rsidRPr="00FA1A19">
              <w:t>do not have English as a first language</w:t>
            </w:r>
          </w:p>
          <w:p w14:paraId="00C6FE34" w14:textId="29FF33B6" w:rsidR="003676A0" w:rsidRPr="00FA1A19" w:rsidRDefault="00730A91" w:rsidP="00B86742">
            <w:pPr>
              <w:pStyle w:val="BoxBullet"/>
              <w:spacing w:after="120"/>
            </w:pPr>
            <w:r w:rsidRPr="00FA1A19">
              <w:t>links are provided to other guidance on the same topic included on other pages on the website.</w:t>
            </w:r>
          </w:p>
        </w:tc>
      </w:tr>
    </w:tbl>
    <w:p w14:paraId="0171D971" w14:textId="77777777" w:rsidR="00730A91" w:rsidRPr="00FA1A19" w:rsidRDefault="00730A91" w:rsidP="00471171">
      <w:pPr>
        <w:pStyle w:val="SingleParagraph"/>
      </w:pPr>
    </w:p>
    <w:tbl>
      <w:tblPr>
        <w:tblStyle w:val="Style2"/>
        <w:tblW w:w="5000" w:type="pct"/>
        <w:tblLook w:val="0420" w:firstRow="1" w:lastRow="0" w:firstColumn="0" w:lastColumn="0" w:noHBand="0" w:noVBand="1"/>
      </w:tblPr>
      <w:tblGrid>
        <w:gridCol w:w="9641"/>
      </w:tblGrid>
      <w:tr w:rsidR="00730A91" w:rsidRPr="00FA1A19" w14:paraId="70E84EF5"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07AF7356" w14:textId="726EEE74" w:rsidR="00730A91" w:rsidRPr="00FA1A19" w:rsidRDefault="00372633" w:rsidP="003316D7">
            <w:pPr>
              <w:pStyle w:val="BoxHeading1"/>
            </w:pPr>
            <w:r>
              <w:t>Recommendation </w:t>
            </w:r>
            <w:r w:rsidR="00760F8E" w:rsidRPr="00FA1A19">
              <w:t>6</w:t>
            </w:r>
            <w:r w:rsidR="00730A91" w:rsidRPr="00FA1A19">
              <w:t>.3</w:t>
            </w:r>
          </w:p>
        </w:tc>
      </w:tr>
      <w:tr w:rsidR="00730A91" w:rsidRPr="00FA1A19" w14:paraId="3348BA25"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1B29F27F" w14:textId="1D9BBB38" w:rsidR="00730A91" w:rsidRPr="00FA1A19" w:rsidRDefault="00730A91" w:rsidP="00471171">
            <w:pPr>
              <w:pStyle w:val="BoxText"/>
            </w:pPr>
            <w:r w:rsidRPr="00FA1A19">
              <w:t>The Board recommends that where new and novel transactions or assets are being addressed through ATO web guidance</w:t>
            </w:r>
            <w:r w:rsidR="00624FF4" w:rsidRPr="00FA1A19">
              <w:t>,</w:t>
            </w:r>
            <w:r w:rsidRPr="00FA1A19">
              <w:t xml:space="preserve"> </w:t>
            </w:r>
            <w:r w:rsidR="00BA3626" w:rsidRPr="00FA1A19">
              <w:t xml:space="preserve">to the extent possible and without jeopardising the language appropriate to the particular targeted audience, </w:t>
            </w:r>
            <w:r w:rsidRPr="00FA1A19">
              <w:t xml:space="preserve">the ATO </w:t>
            </w:r>
            <w:r w:rsidR="00DA545A" w:rsidRPr="00FA1A19">
              <w:t>detail</w:t>
            </w:r>
            <w:r w:rsidRPr="00FA1A19">
              <w:t xml:space="preserve"> the </w:t>
            </w:r>
            <w:r w:rsidR="009C4E0A" w:rsidRPr="00FA1A19">
              <w:t xml:space="preserve">legislative or </w:t>
            </w:r>
            <w:r w:rsidR="00C83F04" w:rsidRPr="00FA1A19">
              <w:t>common law precedents</w:t>
            </w:r>
            <w:r w:rsidR="009A2F0E" w:rsidRPr="00FA1A19">
              <w:t xml:space="preserve"> </w:t>
            </w:r>
            <w:r w:rsidRPr="00FA1A19">
              <w:t xml:space="preserve">that have been </w:t>
            </w:r>
            <w:r w:rsidR="00C83F04" w:rsidRPr="00FA1A19">
              <w:t xml:space="preserve">relied upon </w:t>
            </w:r>
            <w:r w:rsidRPr="00FA1A19">
              <w:t xml:space="preserve">to arrive at </w:t>
            </w:r>
            <w:r w:rsidR="00C83F04" w:rsidRPr="00FA1A19">
              <w:t>th</w:t>
            </w:r>
            <w:r w:rsidR="0035721B" w:rsidRPr="00FA1A19">
              <w:t>e ATO</w:t>
            </w:r>
            <w:r w:rsidR="00F75232">
              <w:t>’</w:t>
            </w:r>
            <w:r w:rsidR="0035721B" w:rsidRPr="00FA1A19">
              <w:t xml:space="preserve">s </w:t>
            </w:r>
            <w:r w:rsidRPr="00FA1A19">
              <w:t xml:space="preserve">position. This is particularly relevant in the crypto asset space, where limited precedential interpretations are available to taxpayers. </w:t>
            </w:r>
          </w:p>
        </w:tc>
      </w:tr>
    </w:tbl>
    <w:p w14:paraId="0819E647" w14:textId="77777777" w:rsidR="00730A91" w:rsidRPr="00FA1A19" w:rsidRDefault="00730A91" w:rsidP="00471171">
      <w:pPr>
        <w:pStyle w:val="SingleParagraph"/>
      </w:pPr>
    </w:p>
    <w:p w14:paraId="64A3D42F" w14:textId="77777777" w:rsidR="00730A91" w:rsidRPr="00FA1A19" w:rsidRDefault="00730A91" w:rsidP="00791686">
      <w:pPr>
        <w:pStyle w:val="Heading5"/>
      </w:pPr>
      <w:r w:rsidRPr="00FA1A19">
        <w:t>Transitory nature of guidance</w:t>
      </w:r>
    </w:p>
    <w:p w14:paraId="2836C5D2" w14:textId="5ACB0A76" w:rsidR="00730A91" w:rsidRPr="00FA1A19" w:rsidRDefault="00730A91" w:rsidP="00791686">
      <w:r w:rsidRPr="00FA1A19">
        <w:t xml:space="preserve">The Board acknowledges that the ATO has made considerable efforts to update existing guidance and provide new guidance in relation to evolving positions on crypto assets and transactions. These updates have resulted in the provision of more detailed analysis, the inclusion of more examples, videos and updated positions. It has additionally resulted in the decommissioning of old content as it is replaced with new content. </w:t>
      </w:r>
      <w:r w:rsidR="2A684864" w:rsidRPr="00FA1A19">
        <w:t>As noted above, d</w:t>
      </w:r>
      <w:r w:rsidRPr="00FA1A19">
        <w:t>ue to the limited precedents in relation to the taxation of crypto asset transactions, taxpayers and advisers are heavily reliant upon the ATO</w:t>
      </w:r>
      <w:r w:rsidR="00F75232">
        <w:t>’</w:t>
      </w:r>
      <w:r w:rsidRPr="00FA1A19">
        <w:t xml:space="preserve">s published guidance. Taxpayers may take positions at a point in time based upon this guidance and in many instances will not retain a static copy of </w:t>
      </w:r>
      <w:r w:rsidR="001F2639" w:rsidRPr="00FA1A19">
        <w:t xml:space="preserve">that </w:t>
      </w:r>
      <w:r w:rsidRPr="00FA1A19">
        <w:t xml:space="preserve">guidance. When these materials are subsequently updated (as has been the case with a significant number of ATO crypto asset guidance pages), the earlier version is no longer available through the ATO website, and the only evidence that a change has occurred will be the </w:t>
      </w:r>
      <w:r w:rsidR="00F75232">
        <w:t>‘</w:t>
      </w:r>
      <w:r w:rsidRPr="00FA1A19">
        <w:t>Last modified</w:t>
      </w:r>
      <w:r w:rsidR="00F75232">
        <w:t>’</w:t>
      </w:r>
      <w:r w:rsidRPr="00FA1A19">
        <w:t xml:space="preserve"> date at the bottom of the page. As PwC highlighted in their submission to the Board</w:t>
      </w:r>
      <w:r w:rsidR="00F75232">
        <w:t>’</w:t>
      </w:r>
      <w:r w:rsidRPr="00FA1A19">
        <w:t>s review in relation to ATO guidance:</w:t>
      </w:r>
    </w:p>
    <w:p w14:paraId="584FE320" w14:textId="77777777" w:rsidR="00730A91" w:rsidRPr="00FA1A19" w:rsidRDefault="00730A91" w:rsidP="00991EBC">
      <w:pPr>
        <w:pStyle w:val="Quote"/>
      </w:pPr>
      <w:r w:rsidRPr="00FA1A19">
        <w:t>It is also frequently updated, and there is currently no mechanism for taxpayers and tax professionals alike to be notified of updates or to track the history of these changes.</w:t>
      </w:r>
      <w:r w:rsidRPr="00170ADC">
        <w:rPr>
          <w:rStyle w:val="FootnoteReference"/>
        </w:rPr>
        <w:footnoteReference w:id="324"/>
      </w:r>
      <w:r w:rsidRPr="00FA1A19">
        <w:t xml:space="preserve"> </w:t>
      </w:r>
    </w:p>
    <w:p w14:paraId="0BC93AAA" w14:textId="2A918009" w:rsidR="00730A91" w:rsidRPr="00FA1A19" w:rsidRDefault="00730A91" w:rsidP="00791686">
      <w:r w:rsidRPr="00FA1A19">
        <w:t xml:space="preserve">Again, the Board has looked to the </w:t>
      </w:r>
      <w:r w:rsidR="00146235">
        <w:t>UK</w:t>
      </w:r>
      <w:r w:rsidR="001E1E7A">
        <w:t xml:space="preserve"> </w:t>
      </w:r>
      <w:r w:rsidRPr="00FA1A19">
        <w:t>HMRC guidance which provides a published history of all updates made to the crypto guidance.</w:t>
      </w:r>
      <w:r w:rsidRPr="00170ADC">
        <w:rPr>
          <w:rStyle w:val="FootnoteReference"/>
        </w:rPr>
        <w:footnoteReference w:id="325"/>
      </w:r>
      <w:r w:rsidRPr="00FA1A19">
        <w:t xml:space="preserve"> This list enables users to understand how the interpretations may have changed since the advice was relied upon, which may support substantiation of any positions taken should they be subject to an ATO inquiry or review. </w:t>
      </w:r>
    </w:p>
    <w:p w14:paraId="41DC3EC9" w14:textId="25B496FA" w:rsidR="00730A91" w:rsidRPr="00FA1A19" w:rsidRDefault="00730A91" w:rsidP="00791686">
      <w:r w:rsidRPr="00FA1A19">
        <w:t>An example of this was presented in EY</w:t>
      </w:r>
      <w:r w:rsidR="00F75232">
        <w:t>’</w:t>
      </w:r>
      <w:r w:rsidRPr="00FA1A19">
        <w:t xml:space="preserve">s submission to the Review referencing the evolving position in relation to airdrops: </w:t>
      </w:r>
    </w:p>
    <w:p w14:paraId="3961733F" w14:textId="482065BE" w:rsidR="00730A91" w:rsidRPr="0047068D" w:rsidRDefault="00730A91" w:rsidP="0047068D">
      <w:pPr>
        <w:ind w:left="567"/>
        <w:rPr>
          <w:i/>
          <w:iCs/>
          <w:color w:val="000000" w:themeColor="text1"/>
        </w:rPr>
      </w:pPr>
      <w:r w:rsidRPr="0047068D">
        <w:rPr>
          <w:i/>
          <w:iCs/>
          <w:color w:val="000000" w:themeColor="text1"/>
        </w:rPr>
        <w:t>In March 2022 the ATO web guidance stated the market value of tokens received under an initial airdrop was ordinary income and required to be included in a taxpayer</w:t>
      </w:r>
      <w:r w:rsidR="00F75232">
        <w:rPr>
          <w:i/>
          <w:iCs/>
          <w:color w:val="000000" w:themeColor="text1"/>
        </w:rPr>
        <w:t>’</w:t>
      </w:r>
      <w:r w:rsidRPr="0047068D">
        <w:rPr>
          <w:i/>
          <w:iCs/>
          <w:color w:val="000000" w:themeColor="text1"/>
        </w:rPr>
        <w:t xml:space="preserve">s assessable income. </w:t>
      </w:r>
    </w:p>
    <w:p w14:paraId="0B8B768F" w14:textId="77777777" w:rsidR="00730A91" w:rsidRPr="00FA1A19" w:rsidRDefault="00730A91" w:rsidP="00991EBC">
      <w:pPr>
        <w:pStyle w:val="Quote"/>
      </w:pPr>
      <w:r w:rsidRPr="00FA1A19">
        <w:t xml:space="preserve">On 7 September 2022 the ATO updated the web guidance to state tokens receive in an initial airdrop are not ordinary income except where the airdrop is of an established token. </w:t>
      </w:r>
    </w:p>
    <w:p w14:paraId="00500679" w14:textId="77777777" w:rsidR="00730A91" w:rsidRPr="00FA1A19" w:rsidRDefault="00730A91" w:rsidP="00991EBC">
      <w:pPr>
        <w:pStyle w:val="Quote"/>
      </w:pPr>
      <w:r w:rsidRPr="00FA1A19">
        <w:t>The original published guidance has now been removed. Taxpayers who relied on the guidance that was available on the ATO website at 30 June 2022, and included the market value of tokens received under an initial airdrop of a new coin, may have overstated their taxable income and as a result, paid more tax than required under the current Australian tax law.</w:t>
      </w:r>
      <w:r w:rsidRPr="00170ADC">
        <w:rPr>
          <w:rStyle w:val="FootnoteReference"/>
        </w:rPr>
        <w:footnoteReference w:id="326"/>
      </w:r>
    </w:p>
    <w:p w14:paraId="1914FE1E" w14:textId="77777777" w:rsidR="00730A91" w:rsidRPr="00FA1A19" w:rsidRDefault="00730A91" w:rsidP="00471171">
      <w:pPr>
        <w:pStyle w:val="SingleParagraph"/>
      </w:pPr>
    </w:p>
    <w:tbl>
      <w:tblPr>
        <w:tblStyle w:val="Style2"/>
        <w:tblW w:w="5000" w:type="pct"/>
        <w:tblLook w:val="0420" w:firstRow="1" w:lastRow="0" w:firstColumn="0" w:lastColumn="0" w:noHBand="0" w:noVBand="1"/>
      </w:tblPr>
      <w:tblGrid>
        <w:gridCol w:w="9641"/>
      </w:tblGrid>
      <w:tr w:rsidR="00730A91" w:rsidRPr="00471171" w14:paraId="3026E228"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5565742E" w14:textId="461195A6" w:rsidR="00730A91" w:rsidRPr="00471171" w:rsidRDefault="00372633" w:rsidP="00471171">
            <w:pPr>
              <w:pStyle w:val="BoxHeading1"/>
            </w:pPr>
            <w:r>
              <w:t>Recommendation </w:t>
            </w:r>
            <w:r w:rsidR="00670155" w:rsidRPr="00471171">
              <w:t>6</w:t>
            </w:r>
            <w:r w:rsidR="00730A91" w:rsidRPr="00471171">
              <w:t>.4</w:t>
            </w:r>
          </w:p>
        </w:tc>
      </w:tr>
      <w:tr w:rsidR="00730A91" w:rsidRPr="00FA1A19" w14:paraId="5EE0929F"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3E6FD108" w14:textId="2AE9AE9D" w:rsidR="00005892" w:rsidRPr="00FA1A19" w:rsidRDefault="0047068D" w:rsidP="00471171">
            <w:pPr>
              <w:pStyle w:val="BoxText"/>
              <w:rPr>
                <w:bCs/>
              </w:rPr>
            </w:pPr>
            <w:r>
              <w:t>UK</w:t>
            </w:r>
            <w:r w:rsidR="005A6D76">
              <w:t xml:space="preserve"> </w:t>
            </w:r>
            <w:r w:rsidR="00005892" w:rsidRPr="00FA1A19">
              <w:t>HMRC guidance provides a published history of all updates made to their crypto guidance, so enabling users to</w:t>
            </w:r>
            <w:r w:rsidR="00FB5A43" w:rsidRPr="00FA1A19">
              <w:t xml:space="preserve"> </w:t>
            </w:r>
            <w:r w:rsidR="00196223" w:rsidRPr="00FA1A19">
              <w:t xml:space="preserve">identify </w:t>
            </w:r>
            <w:r w:rsidR="00553C28" w:rsidRPr="00FA1A19">
              <w:t>guidance</w:t>
            </w:r>
            <w:r w:rsidR="00196223" w:rsidRPr="00FA1A19">
              <w:t xml:space="preserve"> that may have changed and therefore positions that may require reconsideration, to </w:t>
            </w:r>
            <w:r w:rsidR="00005892" w:rsidRPr="00FA1A19">
              <w:t xml:space="preserve">understand how the </w:t>
            </w:r>
            <w:r w:rsidR="00553C28" w:rsidRPr="00FA1A19">
              <w:t>guidance</w:t>
            </w:r>
            <w:r w:rsidR="00005892" w:rsidRPr="00FA1A19">
              <w:t xml:space="preserve"> may </w:t>
            </w:r>
            <w:r w:rsidR="00FB5A43" w:rsidRPr="00FA1A19">
              <w:t>have changed over time, and to support substantiation of any positions taken should they be subject to an inquiry or review.</w:t>
            </w:r>
          </w:p>
          <w:p w14:paraId="5EBEF597" w14:textId="3B3DB7E1" w:rsidR="00730A91" w:rsidRPr="00FA1A19" w:rsidRDefault="00730A91" w:rsidP="00471171">
            <w:pPr>
              <w:pStyle w:val="BoxText"/>
            </w:pPr>
            <w:r w:rsidRPr="00FA1A19">
              <w:t>The Board recommends that the ATO develop a</w:t>
            </w:r>
            <w:r w:rsidR="00AC5D1C" w:rsidRPr="00FA1A19">
              <w:t xml:space="preserve"> similar capacity for taxpayers to be able to access earlier versions of </w:t>
            </w:r>
            <w:r w:rsidR="00196223" w:rsidRPr="00FA1A19">
              <w:t>the guidance and identify changes made</w:t>
            </w:r>
            <w:r w:rsidR="00553C28" w:rsidRPr="00FA1A19">
              <w:t>, for the same reasons</w:t>
            </w:r>
            <w:r w:rsidR="00196223" w:rsidRPr="00FA1A19">
              <w:t>.</w:t>
            </w:r>
          </w:p>
        </w:tc>
      </w:tr>
    </w:tbl>
    <w:p w14:paraId="2360A82D" w14:textId="6D0D2A94" w:rsidR="00730A91" w:rsidRPr="00FA1A19" w:rsidRDefault="00730A91" w:rsidP="00791686">
      <w:pPr>
        <w:pStyle w:val="Heading5"/>
      </w:pPr>
      <w:r w:rsidRPr="00FA1A19">
        <w:t>Taxpayer protection for relying on guidance</w:t>
      </w:r>
    </w:p>
    <w:p w14:paraId="4E20941F" w14:textId="15DA8AFE" w:rsidR="00730A91" w:rsidRPr="00FA1A19" w:rsidRDefault="00730A91" w:rsidP="00791686">
      <w:r w:rsidRPr="00FA1A19">
        <w:t xml:space="preserve">Taxpayers are provided with varying degrees of protection and certainty depending on the type of ATO advice and guidance relied upon in arriving at a tax position. These protections are set out in Practice Statement Law Administration </w:t>
      </w:r>
      <w:hyperlink r:id="rId50" w:history="1">
        <w:r w:rsidRPr="00813896">
          <w:rPr>
            <w:rStyle w:val="Emphasis"/>
          </w:rPr>
          <w:t>PS LA 2008/3</w:t>
        </w:r>
      </w:hyperlink>
      <w:r w:rsidRPr="00813896">
        <w:rPr>
          <w:rStyle w:val="Emphasis"/>
        </w:rPr>
        <w:t xml:space="preserve"> Provision of advice and guidance by the ATO. </w:t>
      </w:r>
      <w:r w:rsidR="00B941E8" w:rsidRPr="00FA1A19">
        <w:t>In the following, t</w:t>
      </w:r>
      <w:r w:rsidR="00BD46F1" w:rsidRPr="00FA1A19">
        <w:t>he</w:t>
      </w:r>
      <w:r w:rsidR="00A701C8" w:rsidRPr="00FA1A19">
        <w:t xml:space="preserve"> Board</w:t>
      </w:r>
      <w:r w:rsidR="003D4182" w:rsidRPr="00FA1A19">
        <w:t xml:space="preserve"> </w:t>
      </w:r>
      <w:r w:rsidR="004E45A6" w:rsidRPr="00FA1A19">
        <w:t>set</w:t>
      </w:r>
      <w:r w:rsidR="00B941E8" w:rsidRPr="00FA1A19">
        <w:t>s</w:t>
      </w:r>
      <w:r w:rsidR="004E45A6" w:rsidRPr="00FA1A19">
        <w:t xml:space="preserve"> out the</w:t>
      </w:r>
      <w:r w:rsidR="00EF6D95" w:rsidRPr="00FA1A19">
        <w:t xml:space="preserve"> different guidance products and how they are used within the crypto asset space.</w:t>
      </w:r>
      <w:r w:rsidR="004F0A51" w:rsidRPr="00FA1A19">
        <w:t xml:space="preserve"> </w:t>
      </w:r>
    </w:p>
    <w:p w14:paraId="52DF57EE" w14:textId="77777777" w:rsidR="00730A91" w:rsidRPr="00471171" w:rsidRDefault="00730A91" w:rsidP="00471171">
      <w:pPr>
        <w:pStyle w:val="Heading6"/>
      </w:pPr>
      <w:r w:rsidRPr="00FA1A19">
        <w:t>Public rulings</w:t>
      </w:r>
    </w:p>
    <w:p w14:paraId="5D3D2A2A" w14:textId="6A46F1A1" w:rsidR="00730A91" w:rsidRPr="00FA1A19" w:rsidRDefault="00730A91" w:rsidP="00791686">
      <w:r w:rsidRPr="00FA1A19">
        <w:t>Public rulings are binding on the Commissioner</w:t>
      </w:r>
      <w:r w:rsidR="0050379F" w:rsidRPr="00FA1A19">
        <w:t xml:space="preserve"> in that</w:t>
      </w:r>
      <w:r w:rsidR="00B941E8" w:rsidRPr="00FA1A19">
        <w:t xml:space="preserve"> taxpayer</w:t>
      </w:r>
      <w:r w:rsidR="0050379F" w:rsidRPr="00FA1A19">
        <w:t>s</w:t>
      </w:r>
      <w:r w:rsidR="00B941E8" w:rsidRPr="00FA1A19">
        <w:t xml:space="preserve"> can rely on the ruling and so avoid assessment for any</w:t>
      </w:r>
      <w:r w:rsidRPr="00FA1A19">
        <w:t xml:space="preserve"> tax shortfall, even if the ruling is incorrect.</w:t>
      </w:r>
      <w:r w:rsidRPr="00170ADC">
        <w:rPr>
          <w:rStyle w:val="FootnoteReference"/>
        </w:rPr>
        <w:footnoteReference w:id="327"/>
      </w:r>
      <w:r w:rsidRPr="00FA1A19">
        <w:t xml:space="preserve"> The ATO issued limited binding guidance in 2014 in relation to crypto assets addressing questions of whether bitcoin is foreign currency</w:t>
      </w:r>
      <w:r w:rsidRPr="00170ADC">
        <w:rPr>
          <w:rStyle w:val="FootnoteReference"/>
        </w:rPr>
        <w:footnoteReference w:id="328"/>
      </w:r>
      <w:r w:rsidRPr="00FA1A19">
        <w:t>, a CGT asset</w:t>
      </w:r>
      <w:r w:rsidRPr="00170ADC">
        <w:rPr>
          <w:rStyle w:val="FootnoteReference"/>
        </w:rPr>
        <w:footnoteReference w:id="329"/>
      </w:r>
      <w:r w:rsidRPr="00FA1A19">
        <w:t xml:space="preserve">, </w:t>
      </w:r>
      <w:r w:rsidR="004E67CE" w:rsidRPr="00FA1A19">
        <w:t>and</w:t>
      </w:r>
      <w:r w:rsidRPr="00FA1A19">
        <w:t xml:space="preserve"> trading stock</w:t>
      </w:r>
      <w:r w:rsidR="004E67CE" w:rsidRPr="00FA1A19">
        <w:t>,</w:t>
      </w:r>
      <w:r w:rsidRPr="00170ADC">
        <w:rPr>
          <w:rStyle w:val="FootnoteReference"/>
        </w:rPr>
        <w:footnoteReference w:id="330"/>
      </w:r>
      <w:r w:rsidRPr="00FA1A19">
        <w:t xml:space="preserve"> and whether the provision of bitcoin to an employee in respect of employment is a property fringe benefit</w:t>
      </w:r>
      <w:r w:rsidRPr="00170ADC">
        <w:rPr>
          <w:rStyle w:val="FootnoteReference"/>
        </w:rPr>
        <w:footnoteReference w:id="331"/>
      </w:r>
      <w:r w:rsidRPr="00FA1A19">
        <w:t xml:space="preserve">. </w:t>
      </w:r>
    </w:p>
    <w:p w14:paraId="0E876BE5" w14:textId="04E0E9FE" w:rsidR="00730A91" w:rsidRDefault="00730A91" w:rsidP="00791686">
      <w:r w:rsidRPr="00FA1A19">
        <w:t xml:space="preserve">This is the only binding guidance that has been issued by the ATO specifically directed at crypto assets. There are, however, a number of other public rulings that concern more general subject matter which </w:t>
      </w:r>
      <w:r w:rsidR="0050379F" w:rsidRPr="00FA1A19">
        <w:t xml:space="preserve">may be </w:t>
      </w:r>
      <w:r w:rsidRPr="00FA1A19">
        <w:t xml:space="preserve">relevant to </w:t>
      </w:r>
      <w:r w:rsidR="0050379F" w:rsidRPr="00FA1A19">
        <w:t xml:space="preserve">determining </w:t>
      </w:r>
      <w:r w:rsidRPr="00FA1A19">
        <w:t>the Commissioner</w:t>
      </w:r>
      <w:r w:rsidR="00F75232">
        <w:t>’</w:t>
      </w:r>
      <w:r w:rsidRPr="00FA1A19">
        <w:t xml:space="preserve">s views regarding the taxation of crypto transactions. An example is Taxation Ruling </w:t>
      </w:r>
      <w:hyperlink r:id="rId51" w:history="1">
        <w:r w:rsidRPr="00813896">
          <w:rPr>
            <w:rStyle w:val="Emphasis"/>
          </w:rPr>
          <w:t>TR 92/3</w:t>
        </w:r>
      </w:hyperlink>
      <w:r w:rsidRPr="00813896">
        <w:rPr>
          <w:rStyle w:val="Emphasis"/>
        </w:rPr>
        <w:t xml:space="preserve"> Income tax: whether profits on isolated transactions are income </w:t>
      </w:r>
      <w:r w:rsidRPr="00813896">
        <w:t>(TR</w:t>
      </w:r>
      <w:r w:rsidR="009665F9">
        <w:t> </w:t>
      </w:r>
      <w:r w:rsidRPr="00FA1A19">
        <w:t>92/3).</w:t>
      </w:r>
    </w:p>
    <w:p w14:paraId="62467941" w14:textId="0F0228E7" w:rsidR="00E23A01" w:rsidRPr="00FA1A19" w:rsidRDefault="00A57A70" w:rsidP="00791686">
      <w:r>
        <w:t>Th</w:t>
      </w:r>
      <w:r w:rsidR="00144F54">
        <w:t>e</w:t>
      </w:r>
      <w:r w:rsidR="005C54F6">
        <w:t xml:space="preserve"> ATO issues a variety of types of public rulings, including </w:t>
      </w:r>
      <w:r w:rsidR="002B2D66">
        <w:t>t</w:t>
      </w:r>
      <w:r w:rsidR="005C54F6">
        <w:t xml:space="preserve">axation </w:t>
      </w:r>
      <w:r w:rsidR="002B2D66">
        <w:t>r</w:t>
      </w:r>
      <w:r w:rsidR="005C54F6">
        <w:t xml:space="preserve">ulings, </w:t>
      </w:r>
      <w:r w:rsidR="002B2D66">
        <w:t>t</w:t>
      </w:r>
      <w:r w:rsidR="005C54F6">
        <w:t xml:space="preserve">axation </w:t>
      </w:r>
      <w:r w:rsidR="002B2D66">
        <w:t>d</w:t>
      </w:r>
      <w:r w:rsidR="005C54F6">
        <w:t xml:space="preserve">eterminations (short form rulings), </w:t>
      </w:r>
      <w:r w:rsidR="002B2D66">
        <w:t>l</w:t>
      </w:r>
      <w:r w:rsidR="008E42DA">
        <w:t xml:space="preserve">aw </w:t>
      </w:r>
      <w:r w:rsidR="002B2D66">
        <w:t>c</w:t>
      </w:r>
      <w:r w:rsidR="008E42DA">
        <w:t xml:space="preserve">ompanion </w:t>
      </w:r>
      <w:r w:rsidR="002B2D66">
        <w:t>r</w:t>
      </w:r>
      <w:r w:rsidR="008E42DA">
        <w:t>ulings</w:t>
      </w:r>
      <w:r w:rsidR="002B2D66">
        <w:t xml:space="preserve">, GST rulings, miscellaneous taxation rulings, class rulings and product rulings. </w:t>
      </w:r>
      <w:r w:rsidR="001E450C">
        <w:t>With the exception of product and class rulings, the ATO generally publish public rulings as drafts for comment prior to finalisation.</w:t>
      </w:r>
      <w:r w:rsidR="001E450C" w:rsidRPr="00170ADC">
        <w:rPr>
          <w:rStyle w:val="FootnoteReference"/>
        </w:rPr>
        <w:footnoteReference w:id="332"/>
      </w:r>
      <w:r w:rsidR="00FD0193">
        <w:t xml:space="preserve"> </w:t>
      </w:r>
    </w:p>
    <w:p w14:paraId="20AC970F" w14:textId="7C7D0550" w:rsidR="00D90E18" w:rsidRDefault="00E9529A" w:rsidP="00E640D6">
      <w:pPr>
        <w:pStyle w:val="Heading6"/>
      </w:pPr>
      <w:r>
        <w:t xml:space="preserve">Product </w:t>
      </w:r>
      <w:r w:rsidR="00BA6616">
        <w:t>rulings</w:t>
      </w:r>
      <w:r>
        <w:t xml:space="preserve"> </w:t>
      </w:r>
      <w:r w:rsidR="00E54E51">
        <w:t xml:space="preserve">and class </w:t>
      </w:r>
      <w:r w:rsidR="00D90E18">
        <w:t>rulings</w:t>
      </w:r>
    </w:p>
    <w:p w14:paraId="04108076" w14:textId="1F3510D0" w:rsidR="00E54E51" w:rsidRPr="00E54E51" w:rsidRDefault="00451E20" w:rsidP="00E54E51">
      <w:r>
        <w:t xml:space="preserve">Product rulings </w:t>
      </w:r>
      <w:r w:rsidR="00E54E51">
        <w:t xml:space="preserve">and class rulings </w:t>
      </w:r>
      <w:r w:rsidR="00AB302A">
        <w:t xml:space="preserve">are </w:t>
      </w:r>
      <w:r w:rsidR="00E54E51">
        <w:t>two types</w:t>
      </w:r>
      <w:r w:rsidR="00AB302A">
        <w:t xml:space="preserve"> of binding </w:t>
      </w:r>
      <w:r w:rsidR="00E54E51">
        <w:t>rulings</w:t>
      </w:r>
      <w:r w:rsidR="00AB302A">
        <w:t xml:space="preserve"> that </w:t>
      </w:r>
      <w:r w:rsidR="00E54E51">
        <w:t>may be issued by the Commissioner following an application from an entity.</w:t>
      </w:r>
    </w:p>
    <w:p w14:paraId="01DFB300" w14:textId="3CBB2456" w:rsidR="000D7C35" w:rsidRDefault="00451E20" w:rsidP="00D90E18">
      <w:r>
        <w:t xml:space="preserve">Product rulings </w:t>
      </w:r>
      <w:r w:rsidR="00E54E51">
        <w:t>provide</w:t>
      </w:r>
      <w:r w:rsidR="001B2F2A">
        <w:t xml:space="preserve"> the</w:t>
      </w:r>
      <w:r w:rsidR="00EE5C98">
        <w:t xml:space="preserve"> ATO</w:t>
      </w:r>
      <w:r w:rsidR="00F75232">
        <w:t>’</w:t>
      </w:r>
      <w:r w:rsidR="00EE5C98">
        <w:t xml:space="preserve">s opinion on the tax treatment of </w:t>
      </w:r>
      <w:r w:rsidR="006764B0">
        <w:t xml:space="preserve">a </w:t>
      </w:r>
      <w:r w:rsidR="00EE5C98">
        <w:t>specific arrangement</w:t>
      </w:r>
      <w:r w:rsidR="00861285">
        <w:t xml:space="preserve"> (scheme)</w:t>
      </w:r>
      <w:r w:rsidR="00E54E51">
        <w:t xml:space="preserve"> and generally relate to an investment scheme or similar product.</w:t>
      </w:r>
      <w:r w:rsidR="00775054">
        <w:t xml:space="preserve"> </w:t>
      </w:r>
      <w:r w:rsidR="001B2F2A">
        <w:t xml:space="preserve">These rulings </w:t>
      </w:r>
      <w:r w:rsidR="000D7C35">
        <w:t>are:</w:t>
      </w:r>
    </w:p>
    <w:p w14:paraId="13206511" w14:textId="14E506B1" w:rsidR="00D90E18" w:rsidRDefault="00A60ADC" w:rsidP="000D7C35">
      <w:pPr>
        <w:pStyle w:val="Bullet"/>
      </w:pPr>
      <w:r>
        <w:t>issued to</w:t>
      </w:r>
      <w:r w:rsidR="00ED14BD">
        <w:t xml:space="preserve">, or on behalf of, </w:t>
      </w:r>
      <w:r w:rsidR="00861285">
        <w:t>the</w:t>
      </w:r>
      <w:r w:rsidR="00ED14BD">
        <w:t xml:space="preserve"> entity that is the promotor of </w:t>
      </w:r>
      <w:r w:rsidR="00861285">
        <w:t>the</w:t>
      </w:r>
      <w:r w:rsidR="00ED14BD">
        <w:t xml:space="preserve"> </w:t>
      </w:r>
      <w:r w:rsidR="002D7B36">
        <w:t>arrange</w:t>
      </w:r>
      <w:r w:rsidR="00424073">
        <w:t>ment</w:t>
      </w:r>
    </w:p>
    <w:p w14:paraId="6430FBE6" w14:textId="4BB94C62" w:rsidR="00F460BA" w:rsidRDefault="00F460BA" w:rsidP="000D7C35">
      <w:pPr>
        <w:pStyle w:val="Bullet"/>
      </w:pPr>
      <w:r>
        <w:t>for a class of entities – those who invest in the product</w:t>
      </w:r>
    </w:p>
    <w:p w14:paraId="0EAEEB70" w14:textId="2693095F" w:rsidR="00F460BA" w:rsidRPr="00D90E18" w:rsidRDefault="00F460BA" w:rsidP="000D7C35">
      <w:pPr>
        <w:pStyle w:val="Bullet"/>
      </w:pPr>
      <w:r>
        <w:t xml:space="preserve">for a specified </w:t>
      </w:r>
      <w:r w:rsidR="00AD177B">
        <w:t xml:space="preserve">arrangement – the details and agreements constituting the product </w:t>
      </w:r>
    </w:p>
    <w:p w14:paraId="384AC07B" w14:textId="26785CCB" w:rsidR="009A5CE4" w:rsidRPr="00D90E18" w:rsidRDefault="009A5CE4" w:rsidP="000D7C35">
      <w:pPr>
        <w:pStyle w:val="Bullet"/>
      </w:pPr>
      <w:r>
        <w:t xml:space="preserve">on specified tax </w:t>
      </w:r>
      <w:r w:rsidR="00E21ABB">
        <w:t>laws.</w:t>
      </w:r>
      <w:r w:rsidR="00E21ABB" w:rsidRPr="00170ADC">
        <w:rPr>
          <w:rStyle w:val="FootnoteReference"/>
        </w:rPr>
        <w:footnoteReference w:id="333"/>
      </w:r>
      <w:r>
        <w:t xml:space="preserve"> </w:t>
      </w:r>
    </w:p>
    <w:p w14:paraId="5485230B" w14:textId="3CAFE4FE" w:rsidR="00FE6036" w:rsidRPr="00FE6036" w:rsidRDefault="00FE6036" w:rsidP="00FE6036">
      <w:r>
        <w:t>Class rulings</w:t>
      </w:r>
      <w:r w:rsidR="00E54E51">
        <w:t xml:space="preserve"> provide</w:t>
      </w:r>
      <w:r w:rsidR="00E160D2">
        <w:t xml:space="preserve"> </w:t>
      </w:r>
      <w:r w:rsidR="006F60AD">
        <w:t>advice on the tax consequences of a scheme for a specific class of people</w:t>
      </w:r>
      <w:r w:rsidR="001A1A15">
        <w:t xml:space="preserve">. A class ruling </w:t>
      </w:r>
      <w:r w:rsidR="005B1D55">
        <w:t xml:space="preserve">may be issued in circumstances such as an employer seeking advice on </w:t>
      </w:r>
      <w:r w:rsidR="002E2AE0">
        <w:t>events relating to a class of employees</w:t>
      </w:r>
      <w:r w:rsidR="00464134">
        <w:t>, however will not be</w:t>
      </w:r>
      <w:r w:rsidR="001A1A15">
        <w:t xml:space="preserve"> provided in relation to investment schemes and similar products </w:t>
      </w:r>
      <w:r w:rsidR="00464134">
        <w:t>as</w:t>
      </w:r>
      <w:r w:rsidR="001A1A15">
        <w:t xml:space="preserve"> product rulings are issued for this purpose.</w:t>
      </w:r>
      <w:r w:rsidR="001A1A15" w:rsidRPr="00170ADC">
        <w:rPr>
          <w:rStyle w:val="FootnoteReference"/>
        </w:rPr>
        <w:footnoteReference w:id="334"/>
      </w:r>
      <w:r w:rsidR="001A1A15">
        <w:t xml:space="preserve"> </w:t>
      </w:r>
    </w:p>
    <w:p w14:paraId="3DD3502C" w14:textId="31DE7514" w:rsidR="00E54E51" w:rsidRPr="00FE6036" w:rsidRDefault="00330BF2" w:rsidP="00FE6036">
      <w:r>
        <w:t xml:space="preserve">The Board </w:t>
      </w:r>
      <w:r w:rsidR="002A3D77">
        <w:t xml:space="preserve">has not examined the role of these particular </w:t>
      </w:r>
      <w:r w:rsidR="008A0EAE">
        <w:t>ruling types</w:t>
      </w:r>
      <w:r w:rsidR="001B49BB">
        <w:t xml:space="preserve">, however notes that they may play a more significant role once regulatory reform has taken place in the crypto asset space. </w:t>
      </w:r>
    </w:p>
    <w:p w14:paraId="2F836D82" w14:textId="597961DF" w:rsidR="00730A91" w:rsidRPr="00FA1A19" w:rsidRDefault="00730A91" w:rsidP="00791686">
      <w:pPr>
        <w:pStyle w:val="Heading6"/>
      </w:pPr>
      <w:r w:rsidRPr="00FA1A19">
        <w:t>Private rulings</w:t>
      </w:r>
    </w:p>
    <w:p w14:paraId="600CD424" w14:textId="612F2D8F" w:rsidR="00730A91" w:rsidRPr="00FA1A19" w:rsidRDefault="00730A91" w:rsidP="00791686">
      <w:r w:rsidRPr="00FA1A19">
        <w:t xml:space="preserve">The ATO provides a Private Binding Ruling (PBR) to a taxpayer </w:t>
      </w:r>
      <w:r w:rsidR="5C3A431B" w:rsidRPr="00FA1A19">
        <w:t xml:space="preserve">who applies for a PBR </w:t>
      </w:r>
      <w:r w:rsidRPr="00FA1A19">
        <w:t>in relation to a specific set of facts. PBRs bind the Commissioner if the ruling applies to an entity (i.e. is given in response to an application by, or behalf of, that entity), and that entity relies on the ruling.</w:t>
      </w:r>
      <w:r w:rsidRPr="00170ADC">
        <w:rPr>
          <w:rStyle w:val="FootnoteReference"/>
        </w:rPr>
        <w:footnoteReference w:id="335"/>
      </w:r>
      <w:r w:rsidRPr="00FA1A19">
        <w:t xml:space="preserve"> </w:t>
      </w:r>
    </w:p>
    <w:p w14:paraId="67334098" w14:textId="676F4EF7" w:rsidR="00730A91" w:rsidRPr="00FA1A19" w:rsidRDefault="00730A91" w:rsidP="00791686">
      <w:r w:rsidRPr="00FA1A19">
        <w:t xml:space="preserve">The ATO will often publish an edited version of </w:t>
      </w:r>
      <w:r w:rsidR="00B94BDD" w:rsidRPr="00FA1A19">
        <w:t xml:space="preserve">a </w:t>
      </w:r>
      <w:r w:rsidRPr="00FA1A19">
        <w:t>PBR through the ATO Legal Database. While the edited versions of PBRs may indicate the ATO view in respect of a relevant matter, the extracts are edited, do not necessarily disclose all relevant facts, and cannot be relied on. The ATO states:</w:t>
      </w:r>
    </w:p>
    <w:p w14:paraId="3AA15AC1" w14:textId="7A625FA4" w:rsidR="00471171" w:rsidRDefault="00730A91" w:rsidP="00722D65">
      <w:pPr>
        <w:pStyle w:val="Quote"/>
      </w:pPr>
      <w:r w:rsidRPr="00FA1A19">
        <w:t xml:space="preserve">The edited versions </w:t>
      </w:r>
      <w:r w:rsidRPr="00FA1A19">
        <w:rPr>
          <w:rFonts w:asciiTheme="minorHAnsi" w:hAnsiTheme="minorHAnsi" w:cstheme="minorHAnsi"/>
        </w:rPr>
        <w:t>of</w:t>
      </w:r>
      <w:r w:rsidRPr="00FA1A19">
        <w:t xml:space="preserve"> written binding advice we publish can</w:t>
      </w:r>
      <w:r w:rsidR="00F75232">
        <w:t>’</w:t>
      </w:r>
      <w:r w:rsidRPr="00FA1A19">
        <w:t>t be relied on by taxpayers or their advisers in any way.</w:t>
      </w:r>
    </w:p>
    <w:p w14:paraId="190C73C4" w14:textId="265C3671" w:rsidR="00471171" w:rsidRDefault="00730A91" w:rsidP="00722D65">
      <w:pPr>
        <w:pStyle w:val="Quote"/>
      </w:pPr>
      <w:r w:rsidRPr="00FA1A19">
        <w:t>We do not update edited versions for changes in the law or changes in the way we apply the law.</w:t>
      </w:r>
    </w:p>
    <w:p w14:paraId="3441E70E" w14:textId="24BAC021" w:rsidR="00730A91" w:rsidRPr="00FA1A19" w:rsidRDefault="00730A91" w:rsidP="00722D65">
      <w:pPr>
        <w:pStyle w:val="Quote"/>
      </w:pPr>
      <w:r w:rsidRPr="00FA1A19">
        <w:t>They can</w:t>
      </w:r>
      <w:r w:rsidR="00F75232">
        <w:t>’</w:t>
      </w:r>
      <w:r w:rsidRPr="00FA1A19">
        <w:t xml:space="preserve">t be relied upon as precedent or used for determining how we will apply the law. The records are not binding and provide no protection (from having to pay underpaid tax, penalty or </w:t>
      </w:r>
      <w:r w:rsidRPr="00FA1A19">
        <w:rPr>
          <w:rFonts w:asciiTheme="minorHAnsi" w:hAnsiTheme="minorHAnsi" w:cstheme="minorHAnsi"/>
        </w:rPr>
        <w:t>interest</w:t>
      </w:r>
      <w:r w:rsidRPr="00FA1A19">
        <w:t>).</w:t>
      </w:r>
    </w:p>
    <w:p w14:paraId="5F49C3C6" w14:textId="34353E0F" w:rsidR="00730A91" w:rsidRPr="00FA1A19" w:rsidRDefault="00730A91" w:rsidP="00991EBC">
      <w:pPr>
        <w:pStyle w:val="Quote"/>
      </w:pPr>
      <w:r w:rsidRPr="00FA1A19">
        <w:t xml:space="preserve">In </w:t>
      </w:r>
      <w:r w:rsidRPr="00FA1A19">
        <w:rPr>
          <w:rFonts w:asciiTheme="minorHAnsi" w:hAnsiTheme="minorHAnsi" w:cstheme="minorHAnsi"/>
        </w:rPr>
        <w:t>addition</w:t>
      </w:r>
      <w:r w:rsidRPr="00FA1A19">
        <w:t>, an edited version of binding advice is not an authority for the purposes of establishing a reasonably arguable position.</w:t>
      </w:r>
      <w:r w:rsidRPr="00170ADC">
        <w:rPr>
          <w:rStyle w:val="FootnoteReference"/>
        </w:rPr>
        <w:footnoteReference w:id="336"/>
      </w:r>
    </w:p>
    <w:p w14:paraId="2BE86BE8" w14:textId="56D2353B" w:rsidR="00730A91" w:rsidRPr="00FA1A19" w:rsidRDefault="00730A91" w:rsidP="00791686">
      <w:r w:rsidRPr="00FA1A19">
        <w:t xml:space="preserve">Notwithstanding this, stakeholders to the Review have highlighted that the information in these PBRs provide specific details of transactions and the application of law and are often more useful to advisers than the generic web guidance. Swyftx noted: </w:t>
      </w:r>
    </w:p>
    <w:p w14:paraId="0E80691E" w14:textId="07186461" w:rsidR="00730A91" w:rsidRPr="00FA1A19" w:rsidRDefault="00730A91" w:rsidP="00722D65">
      <w:pPr>
        <w:pStyle w:val="Quote"/>
      </w:pPr>
      <w:r w:rsidRPr="00FA1A19">
        <w:t>… a majority of in</w:t>
      </w:r>
      <w:r w:rsidR="00F75232">
        <w:noBreakHyphen/>
      </w:r>
      <w:r w:rsidRPr="00FA1A19">
        <w:t>depth analysis is presented in the ATO</w:t>
      </w:r>
      <w:r w:rsidR="00F75232">
        <w:t>’</w:t>
      </w:r>
      <w:r w:rsidRPr="00FA1A19">
        <w:t xml:space="preserve">s legal database which includes exceptionally useful insights in forms ranging from public rulings to edited private advice. We think retail </w:t>
      </w:r>
      <w:r w:rsidRPr="00FA1A19">
        <w:rPr>
          <w:rFonts w:asciiTheme="minorHAnsi" w:hAnsiTheme="minorHAnsi" w:cstheme="minorHAnsi"/>
        </w:rPr>
        <w:t>consumers</w:t>
      </w:r>
      <w:r w:rsidRPr="00FA1A19">
        <w:t xml:space="preserve"> would benefit from the transposing of key insights in this database to a more easily digestible form.</w:t>
      </w:r>
      <w:r w:rsidRPr="00170ADC">
        <w:rPr>
          <w:rStyle w:val="FootnoteReference"/>
        </w:rPr>
        <w:footnoteReference w:id="337"/>
      </w:r>
    </w:p>
    <w:p w14:paraId="6F4D6276" w14:textId="3D1CBD33" w:rsidR="00730A91" w:rsidRPr="00FA1A19" w:rsidRDefault="00730A91" w:rsidP="00791686">
      <w:r w:rsidRPr="00FA1A19">
        <w:t xml:space="preserve">The </w:t>
      </w:r>
      <w:r w:rsidR="00762E0A" w:rsidRPr="00FA1A19">
        <w:t>Board has identified</w:t>
      </w:r>
      <w:r w:rsidRPr="00FA1A19">
        <w:t xml:space="preserve"> over </w:t>
      </w:r>
      <w:r w:rsidR="00794545" w:rsidRPr="00FA1A19">
        <w:t xml:space="preserve">100 </w:t>
      </w:r>
      <w:r w:rsidRPr="00FA1A19">
        <w:t xml:space="preserve">edited versions of private advice </w:t>
      </w:r>
      <w:r w:rsidR="00762E0A" w:rsidRPr="00FA1A19">
        <w:t>published by the ATO</w:t>
      </w:r>
      <w:r w:rsidRPr="00FA1A19">
        <w:t xml:space="preserve"> in relation to crypto assets, covering a variety of topics including capital/revenue treatment of crypto asset transactions, CGT exemptions, specific transactions and arrangements, TOFA and GST issues. Some of these PBR decisions cover areas of crypto taxation that are not addressed in publicly available guidance, such as TOFA. </w:t>
      </w:r>
      <w:r w:rsidR="00762E0A" w:rsidRPr="00FA1A19">
        <w:t xml:space="preserve">The Board has provided a listing of the identified published edited advice in </w:t>
      </w:r>
      <w:r w:rsidR="00762E0A" w:rsidRPr="005E012C">
        <w:rPr>
          <w:b/>
          <w:bCs/>
        </w:rPr>
        <w:t xml:space="preserve">Appendix </w:t>
      </w:r>
      <w:r w:rsidR="00924777" w:rsidRPr="005E012C">
        <w:rPr>
          <w:b/>
          <w:bCs/>
        </w:rPr>
        <w:t>C</w:t>
      </w:r>
      <w:r w:rsidR="00762E0A" w:rsidRPr="00FA1A19">
        <w:t>.</w:t>
      </w:r>
    </w:p>
    <w:p w14:paraId="06C73C69" w14:textId="2F1772C2" w:rsidR="00730A91" w:rsidRPr="00FA1A19" w:rsidRDefault="00730A91" w:rsidP="00791686">
      <w:pPr>
        <w:pStyle w:val="Heading6"/>
      </w:pPr>
      <w:r w:rsidRPr="00FA1A19">
        <w:t>Web</w:t>
      </w:r>
      <w:r w:rsidR="00F75232">
        <w:noBreakHyphen/>
      </w:r>
      <w:r w:rsidRPr="00FA1A19">
        <w:t>based content</w:t>
      </w:r>
    </w:p>
    <w:p w14:paraId="24653F38" w14:textId="06D4AB49" w:rsidR="00730A91" w:rsidRPr="00FA1A19" w:rsidRDefault="00730A91" w:rsidP="00791686">
      <w:r w:rsidRPr="00FA1A19">
        <w:t>The ATO has issued extensive further guidance in the form of web</w:t>
      </w:r>
      <w:r w:rsidR="00F75232">
        <w:noBreakHyphen/>
      </w:r>
      <w:r w:rsidRPr="00FA1A19">
        <w:t xml:space="preserve">based content which has been expanded and modified over time. Where this guidance has been relied upon and is later found to be incorrect or misleading, </w:t>
      </w:r>
      <w:r w:rsidR="004B084F" w:rsidRPr="00FA1A19">
        <w:t xml:space="preserve">the ATO has indicated that </w:t>
      </w:r>
      <w:r w:rsidRPr="00FA1A19">
        <w:t xml:space="preserve">a taxpayer will be </w:t>
      </w:r>
      <w:r w:rsidR="00E04FEF" w:rsidRPr="00FA1A19">
        <w:t>held</w:t>
      </w:r>
      <w:r w:rsidRPr="00FA1A19">
        <w:t xml:space="preserve"> liable for the tax, but protected from any false or misleading statement penalty that may apply.</w:t>
      </w:r>
      <w:r w:rsidRPr="00170ADC">
        <w:rPr>
          <w:rStyle w:val="FootnoteReference"/>
        </w:rPr>
        <w:footnoteReference w:id="338"/>
      </w:r>
      <w:r w:rsidRPr="00FA1A19">
        <w:t xml:space="preserve"> </w:t>
      </w:r>
    </w:p>
    <w:p w14:paraId="5B370E39" w14:textId="69A49D43" w:rsidR="00730A91" w:rsidRPr="00FA1A19" w:rsidRDefault="00730A91" w:rsidP="00791686">
      <w:r w:rsidRPr="00FA1A19">
        <w:t>The Board understands that the ATO can issue web</w:t>
      </w:r>
      <w:r w:rsidR="00F75232">
        <w:noBreakHyphen/>
      </w:r>
      <w:r w:rsidRPr="00FA1A19">
        <w:t xml:space="preserve">based guidance much faster than binding forms of guidance, and easier language and examples can be used through these products. </w:t>
      </w:r>
      <w:r w:rsidR="002821D2" w:rsidRPr="00FA1A19">
        <w:t xml:space="preserve">Additionally, the Board notes that the use of examples and video content </w:t>
      </w:r>
      <w:r w:rsidR="004E1775" w:rsidRPr="00FA1A19">
        <w:t xml:space="preserve">throughout the website </w:t>
      </w:r>
      <w:r w:rsidR="002821D2" w:rsidRPr="00FA1A19">
        <w:t>are valuable tools in delivering guidance products to the community.</w:t>
      </w:r>
      <w:r w:rsidR="004E1775" w:rsidRPr="00FA1A19">
        <w:t xml:space="preserve"> </w:t>
      </w:r>
      <w:r w:rsidRPr="00FA1A19">
        <w:t>The ATO has advised that web guidance is the main way they can quickly get messaging out to the market about emerging crypto asset tax positions. Additionally, the ATO have advised that it would only be in extraordinary circumstances that an officer would not follow website guidance, in other words the ATO will in most instances stand by the positions taken in this guidance, however the Board notes that this default position does not appear to be explicitly published or stated by the ATO.</w:t>
      </w:r>
    </w:p>
    <w:p w14:paraId="6A299A77" w14:textId="79FC7A7C" w:rsidR="00730A91" w:rsidRPr="00FA1A19" w:rsidRDefault="00730A91" w:rsidP="00791686">
      <w:pPr>
        <w:pStyle w:val="Heading6"/>
      </w:pPr>
      <w:r w:rsidRPr="00FA1A19">
        <w:t>Binding versus non</w:t>
      </w:r>
      <w:r w:rsidR="00F75232">
        <w:noBreakHyphen/>
      </w:r>
      <w:r w:rsidRPr="00FA1A19">
        <w:t>binding guidance</w:t>
      </w:r>
    </w:p>
    <w:p w14:paraId="5917A770" w14:textId="2D997D8B" w:rsidR="00730A91" w:rsidRPr="00FA1A19" w:rsidRDefault="00730A91" w:rsidP="00791686">
      <w:r w:rsidRPr="00FA1A19">
        <w:t>The Board has received various feedback in relation to the ATO</w:t>
      </w:r>
      <w:r w:rsidR="00F75232">
        <w:t>’</w:t>
      </w:r>
      <w:r w:rsidRPr="00FA1A19">
        <w:t>s approach to predominately delivering guidance in the form of non</w:t>
      </w:r>
      <w:r w:rsidR="00F75232">
        <w:noBreakHyphen/>
      </w:r>
      <w:r w:rsidRPr="00FA1A19">
        <w:t>binding website guidance. The Joint Bodies (for example) stated in their submission to the Review:</w:t>
      </w:r>
    </w:p>
    <w:p w14:paraId="7B7F5637" w14:textId="38404B93" w:rsidR="00730A91" w:rsidRPr="00FA1A19" w:rsidRDefault="00730A91" w:rsidP="00991EBC">
      <w:pPr>
        <w:pStyle w:val="Quote"/>
      </w:pPr>
      <w:r w:rsidRPr="00FA1A19">
        <w:t>Given the general lack of understanding around the taxation of digital assets and transactions in the community, it is all the more crucial that taxpayers and tax practitioners have access to binding ATO guidance on which they can rely to ensure they are afforded certainty and can appropriately manage their tax affairs.</w:t>
      </w:r>
      <w:r w:rsidR="00832DB2" w:rsidRPr="00170ADC">
        <w:rPr>
          <w:rStyle w:val="FootnoteReference"/>
        </w:rPr>
        <w:footnoteReference w:id="339"/>
      </w:r>
      <w:r w:rsidRPr="00FA1A19">
        <w:t xml:space="preserve"> </w:t>
      </w:r>
    </w:p>
    <w:p w14:paraId="5F1B76B6" w14:textId="77777777" w:rsidR="00730A91" w:rsidRPr="00FA1A19" w:rsidRDefault="00730A91" w:rsidP="00791686">
      <w:r w:rsidRPr="00FA1A19">
        <w:t>KPMG similarly recommended that the ATO must be sufficiently resourced to be able to provide guidance in the form of binding rulings and that:</w:t>
      </w:r>
    </w:p>
    <w:p w14:paraId="3BA61256" w14:textId="77777777" w:rsidR="00730A91" w:rsidRPr="00FA1A19" w:rsidRDefault="00730A91" w:rsidP="00991EBC">
      <w:pPr>
        <w:pStyle w:val="Quote"/>
      </w:pPr>
      <w:r w:rsidRPr="00FA1A19">
        <w:t>The ATO should provide detailed guidance to taxpayers and tax advisors in the form of binding rulings. The publication of website guidance is not conducive to taxpayer compliance and does not give certainty of tax outcomes.</w:t>
      </w:r>
      <w:r w:rsidRPr="00170ADC">
        <w:rPr>
          <w:rStyle w:val="FootnoteReference"/>
        </w:rPr>
        <w:footnoteReference w:id="340"/>
      </w:r>
      <w:r w:rsidRPr="00FA1A19">
        <w:t xml:space="preserve"> </w:t>
      </w:r>
    </w:p>
    <w:p w14:paraId="6D1A4E7F" w14:textId="56A5BF0B" w:rsidR="00730A91" w:rsidRPr="00FA1A19" w:rsidRDefault="0058684A" w:rsidP="00791686">
      <w:r w:rsidRPr="00FA1A19">
        <w:t>From</w:t>
      </w:r>
      <w:r w:rsidR="00730A91" w:rsidRPr="00FA1A19">
        <w:t xml:space="preserve"> discussions with international jurisdictions, including </w:t>
      </w:r>
      <w:r w:rsidR="007F1D12">
        <w:t xml:space="preserve">NZ, UK and </w:t>
      </w:r>
      <w:r w:rsidR="00730A91" w:rsidRPr="00FA1A19">
        <w:t xml:space="preserve">US, </w:t>
      </w:r>
      <w:r w:rsidR="009A4857" w:rsidRPr="00FA1A19">
        <w:t xml:space="preserve">the Board understands that </w:t>
      </w:r>
      <w:r w:rsidR="00730A91" w:rsidRPr="00FA1A19">
        <w:t xml:space="preserve">it is common practice </w:t>
      </w:r>
      <w:r w:rsidR="009A4857" w:rsidRPr="00FA1A19">
        <w:t xml:space="preserve">for revenue authorities </w:t>
      </w:r>
      <w:r w:rsidR="00730A91" w:rsidRPr="00FA1A19">
        <w:t>to utilise web</w:t>
      </w:r>
      <w:r w:rsidR="00F75232">
        <w:noBreakHyphen/>
      </w:r>
      <w:r w:rsidR="00730A91" w:rsidRPr="00FA1A19">
        <w:t xml:space="preserve">based guidance. While this does not formally bind the revenue authority, the default presumption of the authority is that the positions in the guidance are upheld. </w:t>
      </w:r>
      <w:r w:rsidR="00770626" w:rsidRPr="00FA1A19">
        <w:t>The ATO</w:t>
      </w:r>
      <w:r w:rsidR="00F75232">
        <w:t>’</w:t>
      </w:r>
      <w:r w:rsidR="00770626" w:rsidRPr="00FA1A19">
        <w:t xml:space="preserve">s approach is therefore </w:t>
      </w:r>
      <w:r w:rsidR="00D43F8C" w:rsidRPr="00FA1A19">
        <w:t>consistent with international practice.</w:t>
      </w:r>
    </w:p>
    <w:p w14:paraId="25425580" w14:textId="3D4C3401" w:rsidR="00730A91" w:rsidRPr="00FA1A19" w:rsidRDefault="00730A91" w:rsidP="00791686">
      <w:r w:rsidRPr="00FA1A19">
        <w:t>The Board explored the use of binding and non</w:t>
      </w:r>
      <w:r w:rsidR="00F75232">
        <w:noBreakHyphen/>
      </w:r>
      <w:r w:rsidRPr="00FA1A19">
        <w:t>binding guidance with its Working Group and concluded that significant factors driving the stakeholder push for greater binding guidance to be issued by the ATO are:</w:t>
      </w:r>
    </w:p>
    <w:p w14:paraId="7CD6D09C" w14:textId="013923AC" w:rsidR="00730A91" w:rsidRPr="00FA1A19" w:rsidRDefault="00730A91" w:rsidP="00471171">
      <w:pPr>
        <w:pStyle w:val="Bullet"/>
      </w:pPr>
      <w:r w:rsidRPr="00FA1A19">
        <w:t xml:space="preserve">the transitory </w:t>
      </w:r>
      <w:r w:rsidRPr="00FA1A19">
        <w:rPr>
          <w:rFonts w:cstheme="minorBidi"/>
        </w:rPr>
        <w:t>nature</w:t>
      </w:r>
      <w:r w:rsidRPr="00FA1A19">
        <w:t xml:space="preserve"> of the existing guidance</w:t>
      </w:r>
    </w:p>
    <w:p w14:paraId="580DEAF4" w14:textId="106A3F0E" w:rsidR="00730A91" w:rsidRPr="00FA1A19" w:rsidRDefault="00730A91" w:rsidP="00471171">
      <w:pPr>
        <w:pStyle w:val="Bullet"/>
      </w:pPr>
      <w:r w:rsidRPr="00FA1A19">
        <w:t xml:space="preserve">the inability of </w:t>
      </w:r>
      <w:r w:rsidRPr="00FA1A19">
        <w:rPr>
          <w:rFonts w:cstheme="minorBidi"/>
        </w:rPr>
        <w:t>taxpayers</w:t>
      </w:r>
      <w:r w:rsidRPr="00FA1A19">
        <w:t xml:space="preserve"> to access earlier versions of guidance</w:t>
      </w:r>
    </w:p>
    <w:p w14:paraId="28FB7D44" w14:textId="7FE19BEE" w:rsidR="00730A91" w:rsidRPr="00FA1A19" w:rsidRDefault="00730A91" w:rsidP="00471171">
      <w:pPr>
        <w:pStyle w:val="Bullet"/>
      </w:pPr>
      <w:r w:rsidRPr="00FA1A19">
        <w:t xml:space="preserve">the absence of </w:t>
      </w:r>
      <w:r w:rsidRPr="00FA1A19">
        <w:rPr>
          <w:rFonts w:cstheme="minorBidi"/>
        </w:rPr>
        <w:t>legislative</w:t>
      </w:r>
      <w:r w:rsidRPr="00FA1A19">
        <w:t xml:space="preserve"> or other precedential references provided in website guidance.</w:t>
      </w:r>
      <w:r w:rsidR="004F0A51" w:rsidRPr="00FA1A19">
        <w:t xml:space="preserve"> </w:t>
      </w:r>
    </w:p>
    <w:p w14:paraId="53015F63" w14:textId="0C1A8FA9" w:rsidR="00730A91" w:rsidRPr="00FA1A19" w:rsidRDefault="00730A91" w:rsidP="00471171">
      <w:r w:rsidRPr="00FA1A19">
        <w:t xml:space="preserve">These issues have been explored and addressed in </w:t>
      </w:r>
      <w:r w:rsidRPr="00471171">
        <w:t>recommendations</w:t>
      </w:r>
      <w:r w:rsidRPr="00FA1A19">
        <w:t xml:space="preserve"> throughout this </w:t>
      </w:r>
      <w:r w:rsidR="002C78F7" w:rsidRPr="00FA1A19">
        <w:t>c</w:t>
      </w:r>
      <w:r w:rsidR="00E90252" w:rsidRPr="00FA1A19">
        <w:t>hapter</w:t>
      </w:r>
      <w:r w:rsidRPr="00FA1A19">
        <w:t>. The Board understands the need for the ATO to be able to issue and develop guidance in a timely manner in relation to this dynamic industry through the use of web</w:t>
      </w:r>
      <w:r w:rsidR="00F75232">
        <w:noBreakHyphen/>
      </w:r>
      <w:r w:rsidRPr="00FA1A19">
        <w:t>based guidance.</w:t>
      </w:r>
    </w:p>
    <w:p w14:paraId="76B52FF4" w14:textId="77777777" w:rsidR="00730A91" w:rsidRPr="00FA1A19" w:rsidRDefault="00730A91" w:rsidP="00791686">
      <w:pPr>
        <w:pStyle w:val="Heading5"/>
      </w:pPr>
      <w:r w:rsidRPr="00FA1A19">
        <w:t>Scope and depth of guidance</w:t>
      </w:r>
    </w:p>
    <w:p w14:paraId="1FFD9F6D" w14:textId="15E25B5E" w:rsidR="00730A91" w:rsidRPr="00FA1A19" w:rsidRDefault="00730A91" w:rsidP="009F5D35">
      <w:r w:rsidRPr="00FA1A19">
        <w:t>The Board received both general and specific feedback in relation to areas of ATO guidance that should be improved or developed to support taxpayers in meeting their tax obligations. A common theme in relation to areas where guidance could be improved related to specific crypto events and at the protocol or crypto asset category level.</w:t>
      </w:r>
      <w:r w:rsidR="00E37FB0" w:rsidRPr="00170ADC">
        <w:rPr>
          <w:rStyle w:val="FootnoteReference"/>
        </w:rPr>
        <w:footnoteReference w:id="341"/>
      </w:r>
    </w:p>
    <w:p w14:paraId="5FD9CEC5" w14:textId="77777777" w:rsidR="00730A91" w:rsidRPr="00FA1A19" w:rsidRDefault="00730A91" w:rsidP="009F5D35">
      <w:r w:rsidRPr="00FA1A19">
        <w:t>The Joint Bodies noted:</w:t>
      </w:r>
    </w:p>
    <w:p w14:paraId="41DE41EB" w14:textId="1D92429D" w:rsidR="00730A91" w:rsidRPr="00FA1A19" w:rsidRDefault="00730A91" w:rsidP="00991EBC">
      <w:pPr>
        <w:pStyle w:val="Quote"/>
      </w:pPr>
      <w:r w:rsidRPr="00FA1A19">
        <w:t>Some members of the Joint Bodies have suggested that the ATO could provide guidance on the tax implications of the 50 most common digital asset transactions. This could serve as a starting point for taxpayers with questions about frequent and common transactions in the blockchain space.</w:t>
      </w:r>
      <w:r w:rsidR="00E37FB0" w:rsidRPr="00170ADC">
        <w:rPr>
          <w:rStyle w:val="FootnoteReference"/>
        </w:rPr>
        <w:footnoteReference w:id="342"/>
      </w:r>
    </w:p>
    <w:p w14:paraId="0693B2DC" w14:textId="00A7186E" w:rsidR="00730A91" w:rsidRPr="00FA1A19" w:rsidRDefault="00730A91" w:rsidP="009F5D35">
      <w:r w:rsidRPr="00FA1A19">
        <w:t>The Board</w:t>
      </w:r>
      <w:r w:rsidR="00F75232">
        <w:t>’</w:t>
      </w:r>
      <w:r w:rsidRPr="00FA1A19">
        <w:t xml:space="preserve">s Report highlights various areas where a lack of certainty exists in relation to the application of the tax law to crypto asset transactions. The relative priority of these issues will have shifted throughout the period that the Review has been undertaken and </w:t>
      </w:r>
      <w:r w:rsidR="00682085" w:rsidRPr="00FA1A19">
        <w:t xml:space="preserve">continue to </w:t>
      </w:r>
      <w:r w:rsidR="00C54AAD" w:rsidRPr="00FA1A19">
        <w:t xml:space="preserve">change with the rapid evolution of the crypto asset ecosystem. </w:t>
      </w:r>
      <w:r w:rsidR="1A010545" w:rsidRPr="00FA1A19">
        <w:t xml:space="preserve">Importantly, </w:t>
      </w:r>
      <w:r w:rsidR="0A1A53CC" w:rsidRPr="00FA1A19">
        <w:t>t</w:t>
      </w:r>
      <w:r w:rsidR="00915979" w:rsidRPr="00FA1A19">
        <w:t xml:space="preserve">he Board notes the </w:t>
      </w:r>
      <w:r w:rsidR="00542B1D" w:rsidRPr="00FA1A19">
        <w:t xml:space="preserve">additional content that has been added to the ATO website throughout </w:t>
      </w:r>
      <w:r w:rsidR="00682085" w:rsidRPr="00FA1A19">
        <w:t>this period</w:t>
      </w:r>
      <w:r w:rsidR="00542B1D" w:rsidRPr="00FA1A19">
        <w:t xml:space="preserve">. </w:t>
      </w:r>
    </w:p>
    <w:p w14:paraId="6B415745" w14:textId="09751884" w:rsidR="00730A91" w:rsidRPr="00FA1A19" w:rsidRDefault="00730A91" w:rsidP="009F5D35">
      <w:r w:rsidRPr="00FA1A19">
        <w:t>The Board considers that there is a need for the crypto asset community and tax profession to engage with the ATO to identify areas for prioritisation in relation to development of crypto asset guidance</w:t>
      </w:r>
      <w:r w:rsidR="00A2631B" w:rsidRPr="00FA1A19">
        <w:t xml:space="preserve"> (see </w:t>
      </w:r>
      <w:r w:rsidR="00F75232">
        <w:t>‘</w:t>
      </w:r>
      <w:r w:rsidR="00A2631B" w:rsidRPr="00FA1A19">
        <w:t>Crypto Industry Working Group</w:t>
      </w:r>
      <w:r w:rsidR="00F75232">
        <w:t>’</w:t>
      </w:r>
      <w:r w:rsidR="00A2631B" w:rsidRPr="00FA1A19">
        <w:t xml:space="preserve"> in next section)</w:t>
      </w:r>
      <w:r w:rsidRPr="00FA1A19">
        <w:t xml:space="preserve">. </w:t>
      </w:r>
    </w:p>
    <w:p w14:paraId="44BDD87E" w14:textId="77777777" w:rsidR="00730A91" w:rsidRPr="00FA1A19" w:rsidRDefault="00730A91" w:rsidP="00342121">
      <w:pPr>
        <w:pStyle w:val="Heading3"/>
      </w:pPr>
      <w:r w:rsidRPr="00FA1A19">
        <w:t>Support and resourcing</w:t>
      </w:r>
    </w:p>
    <w:p w14:paraId="42273F4D" w14:textId="10BE1A19" w:rsidR="00730A91" w:rsidRPr="00FA1A19" w:rsidRDefault="00730A91" w:rsidP="00471171">
      <w:r w:rsidRPr="00FA1A19">
        <w:t xml:space="preserve">As has been set out through this </w:t>
      </w:r>
      <w:r w:rsidR="002C78F7" w:rsidRPr="00FA1A19">
        <w:t>c</w:t>
      </w:r>
      <w:r w:rsidR="00FC7A17" w:rsidRPr="00FA1A19">
        <w:t>hapter</w:t>
      </w:r>
      <w:r w:rsidRPr="00FA1A19">
        <w:t xml:space="preserve">, the Board notes the important role that the tax profession and crypto asset community play in in ensuring that tax </w:t>
      </w:r>
      <w:r w:rsidRPr="00471171">
        <w:t>obligations</w:t>
      </w:r>
      <w:r w:rsidRPr="00FA1A19">
        <w:t xml:space="preserve"> are understood and met by crypto asset users. The engagement of these groups throughout the Board</w:t>
      </w:r>
      <w:r w:rsidR="00F75232">
        <w:t>’</w:t>
      </w:r>
      <w:r w:rsidRPr="00FA1A19">
        <w:t xml:space="preserve">s Review has highlighted the value and importance of their role within the tax system. </w:t>
      </w:r>
    </w:p>
    <w:p w14:paraId="76B44B87" w14:textId="77777777" w:rsidR="00730A91" w:rsidRPr="00FA1A19" w:rsidRDefault="00730A91" w:rsidP="00471171">
      <w:r w:rsidRPr="00FA1A19">
        <w:t>The role of these various groups featured heavily throughout submissions, with many submissions proposing the establishment of a consultative working group to support the ATO in appropriately developing and targeting education and compliance resources in the crypto asset space.</w:t>
      </w:r>
    </w:p>
    <w:p w14:paraId="7DC28315" w14:textId="7F71010A" w:rsidR="00730A91" w:rsidRPr="00FA1A19" w:rsidRDefault="00730A91" w:rsidP="00471171">
      <w:r w:rsidRPr="00FA1A19">
        <w:t>In the</w:t>
      </w:r>
      <w:r w:rsidR="008A1040" w:rsidRPr="00FA1A19">
        <w:t>ir</w:t>
      </w:r>
      <w:r w:rsidRPr="00FA1A19">
        <w:t xml:space="preserve"> submission</w:t>
      </w:r>
      <w:r w:rsidR="008A1040" w:rsidRPr="00FA1A19">
        <w:t>,</w:t>
      </w:r>
      <w:r w:rsidRPr="00FA1A19">
        <w:t xml:space="preserve"> the Joint Bodies proposed that implementation of their recommendations:</w:t>
      </w:r>
    </w:p>
    <w:p w14:paraId="2A2BC560" w14:textId="77777777" w:rsidR="00730A91" w:rsidRPr="00FA1A19" w:rsidRDefault="00730A91" w:rsidP="00722D65">
      <w:pPr>
        <w:pStyle w:val="Quote"/>
      </w:pPr>
      <w:r w:rsidRPr="00FA1A19">
        <w:t xml:space="preserve">… must be undertaken as a coordinated response involving Treasury, relevant government bodies (such as the ATO, ASIC and Austrac), in consultation with external stakeholders. For this reason, we consider that a consultative forum should be established to review and discuss the administrative approaches and needed legislative reform on an ongoing basis. We envisage that this forum would consist of the Board, relevant government bodies (such as the ATO, ASIC and Austrac), Treasury, industry </w:t>
      </w:r>
      <w:r w:rsidRPr="00FA1A19">
        <w:rPr>
          <w:rFonts w:asciiTheme="minorHAnsi" w:hAnsiTheme="minorHAnsi" w:cstheme="minorHAnsi"/>
        </w:rPr>
        <w:t>experts</w:t>
      </w:r>
      <w:r w:rsidRPr="00FA1A19">
        <w:t xml:space="preserve"> and representatives of the professional bodies. Noting that substantive legislative changes may be needed, a forum which holistically considers issues and potential solutions will ensure that a cohesive and collaborative approach is taken.</w:t>
      </w:r>
      <w:r w:rsidRPr="00170ADC">
        <w:rPr>
          <w:rStyle w:val="FootnoteReference"/>
        </w:rPr>
        <w:footnoteReference w:id="343"/>
      </w:r>
    </w:p>
    <w:p w14:paraId="6C3FBA61" w14:textId="620CC094" w:rsidR="00730A91" w:rsidRPr="00FA1A19" w:rsidRDefault="00730A91" w:rsidP="00471171">
      <w:pPr>
        <w:rPr>
          <w:rFonts w:asciiTheme="minorHAnsi" w:hAnsiTheme="minorHAnsi" w:cstheme="minorHAnsi"/>
        </w:rPr>
      </w:pPr>
      <w:r w:rsidRPr="00FA1A19">
        <w:t>Similar feedback in relation to engagement with this community was echoed in submissions from KPMG</w:t>
      </w:r>
      <w:r w:rsidRPr="00C77F3F">
        <w:t xml:space="preserve">, </w:t>
      </w:r>
      <w:r w:rsidR="00592D79">
        <w:t>K</w:t>
      </w:r>
      <w:r w:rsidR="00592D79">
        <w:rPr>
          <w:rFonts w:asciiTheme="minorHAnsi" w:hAnsiTheme="minorHAnsi" w:cstheme="minorBidi"/>
          <w:color w:val="000000"/>
        </w:rPr>
        <w:t>ing &amp; Wood Mallesons</w:t>
      </w:r>
      <w:r w:rsidR="00592D79">
        <w:t>, C</w:t>
      </w:r>
      <w:r w:rsidRPr="00FA1A19">
        <w:t>adena Legal</w:t>
      </w:r>
      <w:r w:rsidRPr="00FA1A19">
        <w:rPr>
          <w:rFonts w:ascii="Montserrat" w:hAnsi="Montserrat" w:cs="Montserrat"/>
          <w:color w:val="000000"/>
          <w:sz w:val="20"/>
          <w:szCs w:val="20"/>
        </w:rPr>
        <w:t xml:space="preserve">, </w:t>
      </w:r>
      <w:r w:rsidRPr="00FA1A19">
        <w:t>The Law Council</w:t>
      </w:r>
      <w:r w:rsidR="00592D79">
        <w:t xml:space="preserve"> of Australia</w:t>
      </w:r>
      <w:r w:rsidRPr="00FA1A19">
        <w:t xml:space="preserve">, </w:t>
      </w:r>
      <w:r w:rsidRPr="00FA1A19">
        <w:rPr>
          <w:rFonts w:asciiTheme="minorHAnsi" w:hAnsiTheme="minorHAnsi" w:cstheme="minorBidi"/>
        </w:rPr>
        <w:t>B</w:t>
      </w:r>
      <w:r w:rsidR="00592D79">
        <w:rPr>
          <w:rFonts w:asciiTheme="minorHAnsi" w:hAnsiTheme="minorHAnsi" w:cstheme="minorBidi"/>
        </w:rPr>
        <w:t>lockchain &amp; Digital Assets – Services + Law</w:t>
      </w:r>
      <w:r w:rsidRPr="00FA1A19">
        <w:rPr>
          <w:rFonts w:asciiTheme="minorHAnsi" w:hAnsiTheme="minorHAnsi" w:cstheme="minorBidi"/>
        </w:rPr>
        <w:t xml:space="preserve"> and FinTech Australia.</w:t>
      </w:r>
      <w:r w:rsidRPr="00170ADC">
        <w:rPr>
          <w:rStyle w:val="FootnoteReference"/>
        </w:rPr>
        <w:footnoteReference w:id="344"/>
      </w:r>
    </w:p>
    <w:p w14:paraId="2A0E9A59" w14:textId="0482E147" w:rsidR="008E7D08" w:rsidRPr="00FA1A19" w:rsidRDefault="00730A91" w:rsidP="00471171">
      <w:pPr>
        <w:rPr>
          <w:rFonts w:asciiTheme="minorHAnsi" w:hAnsiTheme="minorHAnsi" w:cstheme="minorHAnsi"/>
        </w:rPr>
      </w:pPr>
      <w:r w:rsidRPr="00FA1A19">
        <w:rPr>
          <w:rFonts w:asciiTheme="minorHAnsi" w:hAnsiTheme="minorHAnsi" w:cstheme="minorHAnsi"/>
        </w:rPr>
        <w:t xml:space="preserve">The Board has highlighted a number of areas that require development and </w:t>
      </w:r>
      <w:r w:rsidR="00D47014" w:rsidRPr="00FA1A19">
        <w:rPr>
          <w:rFonts w:asciiTheme="minorHAnsi" w:hAnsiTheme="minorHAnsi" w:cstheme="minorHAnsi"/>
        </w:rPr>
        <w:t xml:space="preserve">consider </w:t>
      </w:r>
      <w:r w:rsidRPr="00FA1A19">
        <w:rPr>
          <w:rFonts w:asciiTheme="minorHAnsi" w:hAnsiTheme="minorHAnsi" w:cstheme="minorHAnsi"/>
        </w:rPr>
        <w:t>that consultative engagement with the tax profession</w:t>
      </w:r>
      <w:r w:rsidR="00E63DD9" w:rsidRPr="00FA1A19">
        <w:rPr>
          <w:rFonts w:asciiTheme="minorHAnsi" w:hAnsiTheme="minorHAnsi" w:cstheme="minorHAnsi"/>
        </w:rPr>
        <w:t xml:space="preserve">, </w:t>
      </w:r>
      <w:r w:rsidRPr="00FA1A19">
        <w:rPr>
          <w:rFonts w:asciiTheme="minorHAnsi" w:hAnsiTheme="minorHAnsi" w:cstheme="minorHAnsi"/>
        </w:rPr>
        <w:t xml:space="preserve">industry </w:t>
      </w:r>
      <w:r w:rsidR="00E63DD9" w:rsidRPr="00FA1A19">
        <w:rPr>
          <w:rFonts w:asciiTheme="minorHAnsi" w:hAnsiTheme="minorHAnsi" w:cstheme="minorHAnsi"/>
        </w:rPr>
        <w:t xml:space="preserve">and relevant </w:t>
      </w:r>
      <w:r w:rsidR="00154277">
        <w:rPr>
          <w:rFonts w:asciiTheme="minorHAnsi" w:hAnsiTheme="minorHAnsi" w:cstheme="minorHAnsi"/>
        </w:rPr>
        <w:t>g</w:t>
      </w:r>
      <w:r w:rsidR="005471CB" w:rsidRPr="00FA1A19">
        <w:rPr>
          <w:rFonts w:asciiTheme="minorHAnsi" w:hAnsiTheme="minorHAnsi" w:cstheme="minorHAnsi"/>
        </w:rPr>
        <w:t>overnment</w:t>
      </w:r>
      <w:r w:rsidR="00F75232">
        <w:rPr>
          <w:rFonts w:asciiTheme="minorHAnsi" w:hAnsiTheme="minorHAnsi" w:cstheme="minorHAnsi"/>
        </w:rPr>
        <w:noBreakHyphen/>
      </w:r>
      <w:r w:rsidR="00E63DD9" w:rsidRPr="00FA1A19">
        <w:rPr>
          <w:rFonts w:asciiTheme="minorHAnsi" w:hAnsiTheme="minorHAnsi" w:cstheme="minorHAnsi"/>
        </w:rPr>
        <w:t xml:space="preserve">related participants </w:t>
      </w:r>
      <w:r w:rsidR="00773648" w:rsidRPr="00FA1A19">
        <w:rPr>
          <w:rFonts w:asciiTheme="minorHAnsi" w:hAnsiTheme="minorHAnsi" w:cstheme="minorHAnsi"/>
        </w:rPr>
        <w:t xml:space="preserve">(potentially including </w:t>
      </w:r>
      <w:r w:rsidR="00D47014" w:rsidRPr="00FA1A19">
        <w:rPr>
          <w:rFonts w:asciiTheme="minorHAnsi" w:hAnsiTheme="minorHAnsi" w:cstheme="minorHAnsi"/>
        </w:rPr>
        <w:t xml:space="preserve">ASIC, </w:t>
      </w:r>
      <w:r w:rsidR="00773648" w:rsidRPr="00FA1A19">
        <w:rPr>
          <w:rFonts w:asciiTheme="minorHAnsi" w:hAnsiTheme="minorHAnsi" w:cstheme="minorHAnsi"/>
        </w:rPr>
        <w:t xml:space="preserve">Treasury and/or AUSTRAC) </w:t>
      </w:r>
      <w:r w:rsidRPr="00FA1A19">
        <w:rPr>
          <w:rFonts w:asciiTheme="minorHAnsi" w:hAnsiTheme="minorHAnsi" w:cstheme="minorHAnsi"/>
        </w:rPr>
        <w:t xml:space="preserve">will ensure that the ATO is supported in appropriately targeting the needs of the crypto asset community and tax profession. </w:t>
      </w:r>
    </w:p>
    <w:p w14:paraId="5E49B989" w14:textId="6ADCCEFB" w:rsidR="00B81B8B" w:rsidRPr="00FA1A19" w:rsidRDefault="008E7D08" w:rsidP="00471171">
      <w:pPr>
        <w:rPr>
          <w:rFonts w:asciiTheme="minorHAnsi" w:hAnsiTheme="minorHAnsi" w:cstheme="minorHAnsi"/>
        </w:rPr>
      </w:pPr>
      <w:r w:rsidRPr="00FA1A19">
        <w:rPr>
          <w:rFonts w:asciiTheme="minorHAnsi" w:hAnsiTheme="minorHAnsi" w:cstheme="minorHAnsi"/>
        </w:rPr>
        <w:t xml:space="preserve">To facilitate such consultative engagement, the Board recommends that the ATO </w:t>
      </w:r>
      <w:r w:rsidR="008778F2" w:rsidRPr="00FA1A19">
        <w:rPr>
          <w:rFonts w:asciiTheme="minorHAnsi" w:hAnsiTheme="minorHAnsi" w:cstheme="minorHAnsi"/>
        </w:rPr>
        <w:t>arrange</w:t>
      </w:r>
      <w:r w:rsidRPr="00FA1A19">
        <w:rPr>
          <w:rFonts w:asciiTheme="minorHAnsi" w:hAnsiTheme="minorHAnsi" w:cstheme="minorHAnsi"/>
        </w:rPr>
        <w:t xml:space="preserve"> a </w:t>
      </w:r>
      <w:r w:rsidR="008778F2" w:rsidRPr="00FA1A19">
        <w:rPr>
          <w:rFonts w:asciiTheme="minorHAnsi" w:hAnsiTheme="minorHAnsi" w:cstheme="minorHAnsi"/>
        </w:rPr>
        <w:t>forum</w:t>
      </w:r>
      <w:r w:rsidRPr="00FA1A19">
        <w:rPr>
          <w:rFonts w:asciiTheme="minorHAnsi" w:hAnsiTheme="minorHAnsi" w:cstheme="minorHAnsi"/>
        </w:rPr>
        <w:t xml:space="preserve"> for a regular consultation with </w:t>
      </w:r>
      <w:r w:rsidR="00151E34" w:rsidRPr="00FA1A19">
        <w:rPr>
          <w:rFonts w:asciiTheme="minorHAnsi" w:hAnsiTheme="minorHAnsi" w:cstheme="minorHAnsi"/>
        </w:rPr>
        <w:t xml:space="preserve">relevant </w:t>
      </w:r>
      <w:r w:rsidR="00AE26D7" w:rsidRPr="00FA1A19">
        <w:rPr>
          <w:rFonts w:asciiTheme="minorHAnsi" w:hAnsiTheme="minorHAnsi" w:cstheme="minorHAnsi"/>
        </w:rPr>
        <w:t>stakeholders</w:t>
      </w:r>
      <w:r w:rsidR="00151E34" w:rsidRPr="00FA1A19">
        <w:rPr>
          <w:rFonts w:asciiTheme="minorHAnsi" w:hAnsiTheme="minorHAnsi" w:cstheme="minorHAnsi"/>
        </w:rPr>
        <w:t>.</w:t>
      </w:r>
      <w:r w:rsidR="004F0A51" w:rsidRPr="00FA1A19">
        <w:rPr>
          <w:rFonts w:asciiTheme="minorHAnsi" w:hAnsiTheme="minorHAnsi" w:cstheme="minorHAnsi"/>
        </w:rPr>
        <w:t xml:space="preserve"> </w:t>
      </w:r>
      <w:r w:rsidR="00151E34" w:rsidRPr="00FA1A19">
        <w:rPr>
          <w:rFonts w:asciiTheme="minorHAnsi" w:hAnsiTheme="minorHAnsi" w:cstheme="minorHAnsi"/>
        </w:rPr>
        <w:t xml:space="preserve">The </w:t>
      </w:r>
      <w:r w:rsidR="00042A59" w:rsidRPr="00FA1A19">
        <w:rPr>
          <w:rFonts w:asciiTheme="minorHAnsi" w:hAnsiTheme="minorHAnsi" w:cstheme="minorHAnsi"/>
        </w:rPr>
        <w:t>detail</w:t>
      </w:r>
      <w:r w:rsidR="00151E34" w:rsidRPr="00FA1A19">
        <w:rPr>
          <w:rFonts w:asciiTheme="minorHAnsi" w:hAnsiTheme="minorHAnsi" w:cstheme="minorHAnsi"/>
        </w:rPr>
        <w:t xml:space="preserve"> of the consultation </w:t>
      </w:r>
      <w:r w:rsidR="00042A59" w:rsidRPr="00FA1A19">
        <w:rPr>
          <w:rFonts w:asciiTheme="minorHAnsi" w:hAnsiTheme="minorHAnsi" w:cstheme="minorHAnsi"/>
        </w:rPr>
        <w:t xml:space="preserve">format would best be determined by the ATO having regard to its other consultative </w:t>
      </w:r>
      <w:r w:rsidR="00145DF0" w:rsidRPr="00FA1A19">
        <w:rPr>
          <w:rFonts w:asciiTheme="minorHAnsi" w:hAnsiTheme="minorHAnsi" w:cstheme="minorHAnsi"/>
        </w:rPr>
        <w:t xml:space="preserve">formats and </w:t>
      </w:r>
      <w:r w:rsidR="00042A59" w:rsidRPr="00FA1A19">
        <w:rPr>
          <w:rFonts w:asciiTheme="minorHAnsi" w:hAnsiTheme="minorHAnsi" w:cstheme="minorHAnsi"/>
        </w:rPr>
        <w:t>forums</w:t>
      </w:r>
      <w:r w:rsidR="00145DF0" w:rsidRPr="00FA1A19">
        <w:rPr>
          <w:rFonts w:asciiTheme="minorHAnsi" w:hAnsiTheme="minorHAnsi" w:cstheme="minorHAnsi"/>
        </w:rPr>
        <w:t xml:space="preserve">, but the Board recommends that the consultation </w:t>
      </w:r>
      <w:r w:rsidR="0079020E" w:rsidRPr="00FA1A19">
        <w:rPr>
          <w:rFonts w:asciiTheme="minorHAnsi" w:hAnsiTheme="minorHAnsi" w:cstheme="minorHAnsi"/>
        </w:rPr>
        <w:t xml:space="preserve">be timetabled regularly, and involve </w:t>
      </w:r>
      <w:r w:rsidR="00467290" w:rsidRPr="00FA1A19">
        <w:rPr>
          <w:rFonts w:asciiTheme="minorHAnsi" w:hAnsiTheme="minorHAnsi" w:cstheme="minorHAnsi"/>
        </w:rPr>
        <w:t>a constant membership</w:t>
      </w:r>
      <w:r w:rsidR="00FA4084" w:rsidRPr="00FA1A19">
        <w:rPr>
          <w:rFonts w:asciiTheme="minorHAnsi" w:hAnsiTheme="minorHAnsi" w:cstheme="minorHAnsi"/>
        </w:rPr>
        <w:t>.</w:t>
      </w:r>
      <w:r w:rsidR="004F0A51" w:rsidRPr="00FA1A19">
        <w:rPr>
          <w:rFonts w:asciiTheme="minorHAnsi" w:hAnsiTheme="minorHAnsi" w:cstheme="minorHAnsi"/>
        </w:rPr>
        <w:t xml:space="preserve"> </w:t>
      </w:r>
    </w:p>
    <w:p w14:paraId="57011E99" w14:textId="70E100E2" w:rsidR="00B81B8B" w:rsidRPr="00FA1A19" w:rsidRDefault="00FA4084" w:rsidP="00471171">
      <w:r w:rsidRPr="00FA1A19">
        <w:rPr>
          <w:rFonts w:asciiTheme="minorHAnsi" w:hAnsiTheme="minorHAnsi" w:cstheme="minorHAnsi"/>
        </w:rPr>
        <w:t xml:space="preserve">The Board </w:t>
      </w:r>
      <w:r w:rsidR="009A23D4" w:rsidRPr="00FA1A19">
        <w:rPr>
          <w:rFonts w:asciiTheme="minorHAnsi" w:hAnsiTheme="minorHAnsi" w:cstheme="minorHAnsi"/>
        </w:rPr>
        <w:t>has referred</w:t>
      </w:r>
      <w:r w:rsidRPr="00FA1A19">
        <w:rPr>
          <w:rFonts w:asciiTheme="minorHAnsi" w:hAnsiTheme="minorHAnsi" w:cstheme="minorHAnsi"/>
        </w:rPr>
        <w:t xml:space="preserve"> to this proposed consultative forum as the </w:t>
      </w:r>
      <w:r w:rsidR="00730A91" w:rsidRPr="00813896">
        <w:rPr>
          <w:rStyle w:val="Emphasis"/>
        </w:rPr>
        <w:t>Crypto Industry Working Group</w:t>
      </w:r>
      <w:r w:rsidRPr="00FA1A19">
        <w:t>.</w:t>
      </w:r>
      <w:r w:rsidR="004F0A51" w:rsidRPr="00FA1A19">
        <w:t xml:space="preserve"> </w:t>
      </w:r>
    </w:p>
    <w:p w14:paraId="63DE1884" w14:textId="7DFACED0" w:rsidR="00730A91" w:rsidRPr="00FA1A19" w:rsidRDefault="00FA4084" w:rsidP="00471171">
      <w:r w:rsidRPr="00FA1A19">
        <w:t xml:space="preserve">The Crypto Industry Working Group would </w:t>
      </w:r>
      <w:r w:rsidR="00730A91" w:rsidRPr="00FA1A19">
        <w:t xml:space="preserve">be tasked with working with and supporting the ATO in identifying the priority needs of the crypto asset community in relation to guidance and administration matters. </w:t>
      </w:r>
      <w:r w:rsidR="004E283E" w:rsidRPr="00FA1A19">
        <w:t>It would be</w:t>
      </w:r>
      <w:r w:rsidR="00E42A54" w:rsidRPr="00FA1A19">
        <w:t xml:space="preserve"> a consultative body to provide specialist support to the ATO in relation to this e</w:t>
      </w:r>
      <w:r w:rsidR="00DA1811" w:rsidRPr="00FA1A19">
        <w:t>volving</w:t>
      </w:r>
      <w:r w:rsidR="00E42A54" w:rsidRPr="00FA1A19">
        <w:t xml:space="preserve"> space.</w:t>
      </w:r>
      <w:r w:rsidR="004F0A51" w:rsidRPr="00FA1A19">
        <w:t xml:space="preserve"> </w:t>
      </w:r>
      <w:r w:rsidR="004E283E" w:rsidRPr="00FA1A19">
        <w:t xml:space="preserve">It would not have any authority or </w:t>
      </w:r>
      <w:r w:rsidR="002303CE" w:rsidRPr="00FA1A19">
        <w:t xml:space="preserve">any </w:t>
      </w:r>
      <w:r w:rsidR="004A78DA" w:rsidRPr="00FA1A19">
        <w:t>decision</w:t>
      </w:r>
      <w:r w:rsidR="00F75232">
        <w:noBreakHyphen/>
      </w:r>
      <w:r w:rsidR="004A78DA" w:rsidRPr="00FA1A19">
        <w:t>making</w:t>
      </w:r>
      <w:r w:rsidR="002303CE" w:rsidRPr="00FA1A19">
        <w:t xml:space="preserve"> power, but rather </w:t>
      </w:r>
      <w:r w:rsidR="00B81B8B" w:rsidRPr="00FA1A19">
        <w:t xml:space="preserve">would </w:t>
      </w:r>
      <w:r w:rsidR="00BF618F" w:rsidRPr="00FA1A19">
        <w:t>provide the ATO with access to a group of industry stakeholders</w:t>
      </w:r>
      <w:r w:rsidR="007E63CA" w:rsidRPr="00FA1A19">
        <w:t xml:space="preserve"> to assist the ATO to become aware of emerging </w:t>
      </w:r>
      <w:r w:rsidR="00AE4FD9" w:rsidRPr="00FA1A19">
        <w:t xml:space="preserve">crypto developments and </w:t>
      </w:r>
      <w:r w:rsidR="007E63CA" w:rsidRPr="00FA1A19">
        <w:t xml:space="preserve">issues </w:t>
      </w:r>
      <w:r w:rsidR="00AE4FD9" w:rsidRPr="00FA1A19">
        <w:t xml:space="preserve">(including tax issues) </w:t>
      </w:r>
      <w:r w:rsidR="007E63CA" w:rsidRPr="00FA1A19">
        <w:t xml:space="preserve">in </w:t>
      </w:r>
      <w:r w:rsidR="00F75232">
        <w:t>‘</w:t>
      </w:r>
      <w:r w:rsidR="007E63CA" w:rsidRPr="00FA1A19">
        <w:t>real time</w:t>
      </w:r>
      <w:r w:rsidR="00F75232">
        <w:t>’</w:t>
      </w:r>
      <w:r w:rsidR="00BF618F" w:rsidRPr="00FA1A19">
        <w:t>.</w:t>
      </w:r>
    </w:p>
    <w:p w14:paraId="5A5F74C4" w14:textId="77777777" w:rsidR="00730A91" w:rsidRPr="00FA1A19" w:rsidRDefault="00730A91" w:rsidP="00471171">
      <w:pPr>
        <w:pStyle w:val="SingleParagraph"/>
      </w:pPr>
    </w:p>
    <w:tbl>
      <w:tblPr>
        <w:tblStyle w:val="Style2"/>
        <w:tblW w:w="5000" w:type="pct"/>
        <w:tblLook w:val="0420" w:firstRow="1" w:lastRow="0" w:firstColumn="0" w:lastColumn="0" w:noHBand="0" w:noVBand="1"/>
      </w:tblPr>
      <w:tblGrid>
        <w:gridCol w:w="9641"/>
      </w:tblGrid>
      <w:tr w:rsidR="00730A91" w:rsidRPr="00FA1A19" w14:paraId="3876D4E6"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B0F63DD" w14:textId="3D56F36A" w:rsidR="00730A91" w:rsidRPr="00FA1A19" w:rsidRDefault="00372633" w:rsidP="003316D7">
            <w:pPr>
              <w:pStyle w:val="BoxHeading1"/>
            </w:pPr>
            <w:r>
              <w:t>Recommendation </w:t>
            </w:r>
            <w:r w:rsidR="002B0378" w:rsidRPr="00FA1A19">
              <w:t>6</w:t>
            </w:r>
            <w:r w:rsidR="00730A91" w:rsidRPr="00FA1A19">
              <w:t>.5</w:t>
            </w:r>
          </w:p>
        </w:tc>
      </w:tr>
      <w:tr w:rsidR="00730A91" w:rsidRPr="00FA1A19" w14:paraId="705B4041"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3E5C2744" w14:textId="199DC878" w:rsidR="00730A91" w:rsidRPr="00FA1A19" w:rsidRDefault="002D2FB3" w:rsidP="00471171">
            <w:pPr>
              <w:pStyle w:val="BoxText"/>
            </w:pPr>
            <w:r w:rsidRPr="00FA1A19">
              <w:t xml:space="preserve">In view of the constantly </w:t>
            </w:r>
            <w:r w:rsidR="00FB3309" w:rsidRPr="00FA1A19">
              <w:t xml:space="preserve">and quickly </w:t>
            </w:r>
            <w:r w:rsidRPr="00FA1A19">
              <w:t>changing and developing nature of the crypto ecosystem, the</w:t>
            </w:r>
            <w:r w:rsidR="005763F2" w:rsidRPr="00FA1A19">
              <w:t xml:space="preserve"> Board recommends </w:t>
            </w:r>
            <w:r w:rsidR="00927CFE" w:rsidRPr="00FA1A19">
              <w:t xml:space="preserve">the </w:t>
            </w:r>
            <w:r w:rsidR="001571A9" w:rsidRPr="00FA1A19">
              <w:t xml:space="preserve">ATO establish </w:t>
            </w:r>
            <w:r w:rsidR="002F0730" w:rsidRPr="00FA1A19">
              <w:t xml:space="preserve">regular consultative engagement on crypto with participants from the tax profession, industry, and potentially relevant </w:t>
            </w:r>
            <w:r w:rsidR="00154277">
              <w:t>g</w:t>
            </w:r>
            <w:r w:rsidR="005471CB" w:rsidRPr="00FA1A19">
              <w:t xml:space="preserve">overnment </w:t>
            </w:r>
            <w:r w:rsidR="006F62C1" w:rsidRPr="00FA1A19">
              <w:t>departments and/or entities.</w:t>
            </w:r>
            <w:r w:rsidR="004F0A51" w:rsidRPr="00FA1A19">
              <w:t xml:space="preserve"> </w:t>
            </w:r>
            <w:r w:rsidR="006F62C1" w:rsidRPr="00FA1A19">
              <w:t xml:space="preserve">The Board has referred to this engagement as the </w:t>
            </w:r>
            <w:r w:rsidR="00F75232">
              <w:t>‘</w:t>
            </w:r>
            <w:r w:rsidR="006F62C1" w:rsidRPr="00FA1A19">
              <w:t>Crypto Industry Working Group</w:t>
            </w:r>
            <w:r w:rsidR="00F75232">
              <w:t>’</w:t>
            </w:r>
            <w:r w:rsidR="006F62C1" w:rsidRPr="00FA1A19">
              <w:t xml:space="preserve">, but </w:t>
            </w:r>
            <w:r w:rsidR="009E2345" w:rsidRPr="00FA1A19">
              <w:t>t</w:t>
            </w:r>
            <w:r w:rsidR="006F62C1" w:rsidRPr="00FA1A19">
              <w:t>he</w:t>
            </w:r>
            <w:r w:rsidR="009E2345" w:rsidRPr="00FA1A19">
              <w:t xml:space="preserve"> specific</w:t>
            </w:r>
            <w:r w:rsidR="006F62C1" w:rsidRPr="00FA1A19">
              <w:t xml:space="preserve"> arrangements would be </w:t>
            </w:r>
            <w:r w:rsidR="008516FF" w:rsidRPr="00FA1A19">
              <w:t xml:space="preserve">a </w:t>
            </w:r>
            <w:r w:rsidR="006F62C1" w:rsidRPr="00FA1A19">
              <w:t>matter for the ATO.</w:t>
            </w:r>
            <w:r w:rsidR="004F0A51" w:rsidRPr="00FA1A19">
              <w:t xml:space="preserve"> </w:t>
            </w:r>
            <w:r w:rsidR="006F62C1" w:rsidRPr="00FA1A19">
              <w:t>The Crypto Industry Working Group would be advisory only, with no formal authority.</w:t>
            </w:r>
            <w:r w:rsidR="004F0A51" w:rsidRPr="00FA1A19">
              <w:t xml:space="preserve"> </w:t>
            </w:r>
          </w:p>
        </w:tc>
      </w:tr>
    </w:tbl>
    <w:p w14:paraId="289BF808" w14:textId="77777777" w:rsidR="00471171" w:rsidRDefault="00471171" w:rsidP="00471171">
      <w:pPr>
        <w:sectPr w:rsidR="00471171" w:rsidSect="00320772">
          <w:pgSz w:w="11909" w:h="16834" w:code="9"/>
          <w:pgMar w:top="1985" w:right="1134" w:bottom="1985" w:left="1134" w:header="1134" w:footer="1134" w:gutter="0"/>
          <w:cols w:space="708"/>
          <w:docGrid w:linePitch="360"/>
        </w:sectPr>
      </w:pPr>
    </w:p>
    <w:p w14:paraId="46B95F14" w14:textId="45B9ACCF" w:rsidR="00185727" w:rsidRPr="00FA1A19" w:rsidRDefault="00372633" w:rsidP="0069352C">
      <w:pPr>
        <w:pStyle w:val="Heading1"/>
      </w:pPr>
      <w:bookmarkStart w:id="85" w:name="_Toc159513602"/>
      <w:r>
        <w:t>Chapter </w:t>
      </w:r>
      <w:r w:rsidR="004109EE" w:rsidRPr="00FA1A19">
        <w:t>7</w:t>
      </w:r>
      <w:r w:rsidR="00185727" w:rsidRPr="00FA1A19">
        <w:t xml:space="preserve">: </w:t>
      </w:r>
      <w:r w:rsidR="00B744B1" w:rsidRPr="00FA1A19">
        <w:t xml:space="preserve">Income Tax – </w:t>
      </w:r>
      <w:r w:rsidR="001965A9" w:rsidRPr="00FA1A19">
        <w:t xml:space="preserve">General </w:t>
      </w:r>
      <w:r w:rsidR="00DD0C69" w:rsidRPr="00FA1A19">
        <w:t>Principles</w:t>
      </w:r>
      <w:bookmarkEnd w:id="85"/>
    </w:p>
    <w:p w14:paraId="50816A7D" w14:textId="0479D89F" w:rsidR="00185727" w:rsidRPr="00FA1A19" w:rsidRDefault="00185727" w:rsidP="0069352C">
      <w:pPr>
        <w:pStyle w:val="Heading2"/>
        <w:rPr>
          <w:rStyle w:val="Emphasis"/>
        </w:rPr>
      </w:pPr>
      <w:bookmarkStart w:id="86" w:name="_Toc159513603"/>
      <w:r w:rsidRPr="00FA1A19">
        <w:rPr>
          <w:rStyle w:val="Emphasis"/>
        </w:rPr>
        <w:t>Key Points</w:t>
      </w:r>
      <w:bookmarkEnd w:id="86"/>
      <w:r w:rsidRPr="00FA1A19">
        <w:rPr>
          <w:rStyle w:val="Emphasis"/>
        </w:rPr>
        <w:t xml:space="preserve"> </w:t>
      </w:r>
      <w:r w:rsidR="006A46F4" w:rsidRPr="00FA1A19">
        <w:rPr>
          <w:rStyle w:val="Emphasis"/>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2147" w:themeFill="accent1"/>
        <w:tblCellMar>
          <w:top w:w="397" w:type="dxa"/>
          <w:left w:w="454" w:type="dxa"/>
          <w:bottom w:w="397" w:type="dxa"/>
          <w:right w:w="454" w:type="dxa"/>
        </w:tblCellMar>
        <w:tblLook w:val="04A0" w:firstRow="1" w:lastRow="0" w:firstColumn="1" w:lastColumn="0" w:noHBand="0" w:noVBand="1"/>
      </w:tblPr>
      <w:tblGrid>
        <w:gridCol w:w="9641"/>
      </w:tblGrid>
      <w:tr w:rsidR="00185727" w:rsidRPr="00FA1A19" w14:paraId="26CE4A6D" w14:textId="77777777" w:rsidTr="00A65360">
        <w:tc>
          <w:tcPr>
            <w:tcW w:w="5000" w:type="pct"/>
            <w:shd w:val="clear" w:color="auto" w:fill="701F4D" w:themeFill="accent2"/>
          </w:tcPr>
          <w:p w14:paraId="361E3770" w14:textId="0F0C58F4" w:rsidR="00B656CE" w:rsidRPr="00FA1A19" w:rsidRDefault="0055737D" w:rsidP="000E72DD">
            <w:pPr>
              <w:pStyle w:val="BoxBulletWhite"/>
            </w:pPr>
            <w:r w:rsidRPr="00FA1A19">
              <w:t xml:space="preserve">The capital/revenue characterisation of crypto asset </w:t>
            </w:r>
            <w:r w:rsidR="00391A96" w:rsidRPr="00FA1A19">
              <w:t>profits and gains should be determinable by c</w:t>
            </w:r>
            <w:r w:rsidR="00185727" w:rsidRPr="00FA1A19">
              <w:t>ommon law principles</w:t>
            </w:r>
            <w:r w:rsidR="009F3891" w:rsidRPr="00FA1A19">
              <w:t>.</w:t>
            </w:r>
            <w:r w:rsidR="004F0A51" w:rsidRPr="00FA1A19">
              <w:t xml:space="preserve"> </w:t>
            </w:r>
            <w:r w:rsidR="009F3891" w:rsidRPr="00FA1A19">
              <w:t>H</w:t>
            </w:r>
            <w:r w:rsidR="00185727" w:rsidRPr="00FA1A19">
              <w:t>owever</w:t>
            </w:r>
            <w:r w:rsidR="009F3891" w:rsidRPr="00FA1A19">
              <w:t>,</w:t>
            </w:r>
            <w:r w:rsidR="00695E3A" w:rsidRPr="00FA1A19">
              <w:t xml:space="preserve"> </w:t>
            </w:r>
            <w:r w:rsidR="00CC640D" w:rsidRPr="00FA1A19">
              <w:t>th</w:t>
            </w:r>
            <w:r w:rsidR="00BD44E6" w:rsidRPr="00FA1A19">
              <w:t xml:space="preserve">ere is </w:t>
            </w:r>
            <w:r w:rsidR="000D3AEF" w:rsidRPr="00FA1A19">
              <w:t xml:space="preserve">currently </w:t>
            </w:r>
            <w:r w:rsidR="004B5E47" w:rsidRPr="00FA1A19">
              <w:t xml:space="preserve">some </w:t>
            </w:r>
            <w:r w:rsidR="00BD44E6" w:rsidRPr="00FA1A19">
              <w:t>uncertainty as to how the</w:t>
            </w:r>
            <w:r w:rsidR="00D70E1B" w:rsidRPr="00FA1A19">
              <w:t>se principles</w:t>
            </w:r>
            <w:r w:rsidR="00BD44E6" w:rsidRPr="00FA1A19">
              <w:t xml:space="preserve"> will apply</w:t>
            </w:r>
            <w:r w:rsidR="0090398F" w:rsidRPr="00FA1A19">
              <w:t xml:space="preserve"> in some </w:t>
            </w:r>
            <w:r w:rsidR="0090398F" w:rsidRPr="00471171">
              <w:t>circumstances</w:t>
            </w:r>
            <w:r w:rsidR="00905CBE" w:rsidRPr="00FA1A19">
              <w:t>,</w:t>
            </w:r>
            <w:r w:rsidR="00CF173E" w:rsidRPr="00FA1A19">
              <w:t xml:space="preserve"> due to </w:t>
            </w:r>
            <w:r w:rsidR="009B4B45" w:rsidRPr="00FA1A19">
              <w:t>the</w:t>
            </w:r>
            <w:r w:rsidR="008B38C1" w:rsidRPr="00FA1A19">
              <w:t xml:space="preserve"> unique features</w:t>
            </w:r>
            <w:r w:rsidR="008F45DD" w:rsidRPr="00FA1A19">
              <w:t xml:space="preserve"> </w:t>
            </w:r>
            <w:r w:rsidR="009B4B45" w:rsidRPr="00FA1A19">
              <w:t>of crypto asset</w:t>
            </w:r>
            <w:r w:rsidR="00CF173E" w:rsidRPr="00FA1A19">
              <w:t xml:space="preserve">s and </w:t>
            </w:r>
            <w:r w:rsidR="009B4B45" w:rsidRPr="00FA1A19">
              <w:t>transactions and</w:t>
            </w:r>
            <w:r w:rsidR="008F45DD" w:rsidRPr="00FA1A19">
              <w:t xml:space="preserve"> </w:t>
            </w:r>
            <w:r w:rsidR="00CF173E" w:rsidRPr="00FA1A19">
              <w:t xml:space="preserve">the fact that </w:t>
            </w:r>
            <w:r w:rsidR="008F6DB2" w:rsidRPr="00FA1A19">
              <w:t>th</w:t>
            </w:r>
            <w:r w:rsidR="00480BA2" w:rsidRPr="00FA1A19">
              <w:t>e crypto ecosystem</w:t>
            </w:r>
            <w:r w:rsidR="00F11EEE" w:rsidRPr="00FA1A19">
              <w:t xml:space="preserve"> is new and </w:t>
            </w:r>
            <w:r w:rsidR="00480BA2" w:rsidRPr="00FA1A19">
              <w:t xml:space="preserve">continually </w:t>
            </w:r>
            <w:r w:rsidR="00F11EEE" w:rsidRPr="00FA1A19">
              <w:t xml:space="preserve">developing with </w:t>
            </w:r>
            <w:r w:rsidR="00E71047" w:rsidRPr="00FA1A19">
              <w:t xml:space="preserve">currently no or </w:t>
            </w:r>
            <w:r w:rsidR="008F45DD" w:rsidRPr="00FA1A19">
              <w:t>limited</w:t>
            </w:r>
            <w:r w:rsidR="0023032C" w:rsidRPr="00FA1A19">
              <w:t xml:space="preserve"> </w:t>
            </w:r>
            <w:r w:rsidR="00F11EEE" w:rsidRPr="00FA1A19">
              <w:t>specific</w:t>
            </w:r>
            <w:r w:rsidR="008F45DD" w:rsidRPr="00FA1A19">
              <w:t xml:space="preserve"> judicial guidance.</w:t>
            </w:r>
            <w:r w:rsidR="00F3571C" w:rsidRPr="00FA1A19">
              <w:t xml:space="preserve"> </w:t>
            </w:r>
          </w:p>
          <w:p w14:paraId="4DF37869" w14:textId="60790AEC" w:rsidR="000C42CE" w:rsidRPr="00FA1A19" w:rsidRDefault="000C42CE" w:rsidP="000E72DD">
            <w:pPr>
              <w:pStyle w:val="BoxBulletWhite"/>
            </w:pPr>
            <w:r w:rsidRPr="00FA1A19">
              <w:t xml:space="preserve">Losses from </w:t>
            </w:r>
            <w:r w:rsidR="00157B99" w:rsidRPr="00FA1A19">
              <w:t xml:space="preserve">crypto transactions on revenue account may be offset against </w:t>
            </w:r>
            <w:r w:rsidR="009368E3" w:rsidRPr="00FA1A19">
              <w:t>other, unrelated, income (such as salary income) whereas capital losses can only be offset against capital gains.</w:t>
            </w:r>
            <w:r w:rsidR="004F0A51" w:rsidRPr="00FA1A19">
              <w:t xml:space="preserve"> </w:t>
            </w:r>
            <w:r w:rsidR="009368E3" w:rsidRPr="00FA1A19">
              <w:t xml:space="preserve">Whether </w:t>
            </w:r>
            <w:r w:rsidR="007C6DA5" w:rsidRPr="00FA1A19">
              <w:t xml:space="preserve">revenue losses from crypto transactions should be quarantined </w:t>
            </w:r>
            <w:r w:rsidR="00CF2D2E" w:rsidRPr="00FA1A19">
              <w:t>by changing the legislation is a matter of policy for the Government.</w:t>
            </w:r>
          </w:p>
          <w:p w14:paraId="66785800" w14:textId="38AD2831" w:rsidR="006C2B96" w:rsidRPr="00FA1A19" w:rsidRDefault="5A1124C6" w:rsidP="000E72DD">
            <w:pPr>
              <w:pStyle w:val="BoxBulletWhite"/>
            </w:pPr>
            <w:r w:rsidRPr="00FA1A19">
              <w:t>Current t</w:t>
            </w:r>
            <w:r w:rsidR="006C2B96" w:rsidRPr="00FA1A19">
              <w:t xml:space="preserve">ax law </w:t>
            </w:r>
            <w:r w:rsidR="00402238" w:rsidRPr="00FA1A19">
              <w:t xml:space="preserve">in </w:t>
            </w:r>
            <w:r w:rsidR="00A45A0B" w:rsidRPr="00FA1A19">
              <w:t xml:space="preserve">the </w:t>
            </w:r>
            <w:r w:rsidR="006C2B96" w:rsidRPr="00FA1A19">
              <w:t xml:space="preserve">areas </w:t>
            </w:r>
            <w:r w:rsidR="00A45A0B" w:rsidRPr="00FA1A19">
              <w:t>of</w:t>
            </w:r>
            <w:r w:rsidR="00266BCA" w:rsidRPr="00FA1A19">
              <w:t xml:space="preserve"> </w:t>
            </w:r>
            <w:r w:rsidR="006C2B96" w:rsidRPr="00FA1A19">
              <w:t>capital gains tax</w:t>
            </w:r>
            <w:r w:rsidR="00266BCA" w:rsidRPr="00FA1A19">
              <w:t>, source</w:t>
            </w:r>
            <w:r w:rsidR="00A45A0B" w:rsidRPr="00FA1A19">
              <w:t xml:space="preserve"> and valuation</w:t>
            </w:r>
            <w:r w:rsidR="00266BCA" w:rsidRPr="00FA1A19">
              <w:t xml:space="preserve"> </w:t>
            </w:r>
            <w:r w:rsidR="00D3204E" w:rsidRPr="00FA1A19">
              <w:t>should also be sufficient to address crypto transactions, however once again there is</w:t>
            </w:r>
            <w:r w:rsidR="004B5E47" w:rsidRPr="00FA1A19">
              <w:t xml:space="preserve"> some </w:t>
            </w:r>
            <w:r w:rsidR="00D3204E" w:rsidRPr="00FA1A19">
              <w:t>uncertainty at this stage as to how they will apply</w:t>
            </w:r>
            <w:r w:rsidR="0023032C" w:rsidRPr="00FA1A19">
              <w:t xml:space="preserve"> with </w:t>
            </w:r>
            <w:r w:rsidR="00175710" w:rsidRPr="00FA1A19">
              <w:t xml:space="preserve">currently </w:t>
            </w:r>
            <w:r w:rsidR="0023032C" w:rsidRPr="00FA1A19">
              <w:t>limited or no judicial guidance</w:t>
            </w:r>
            <w:r w:rsidR="00175710" w:rsidRPr="00FA1A19">
              <w:t>.</w:t>
            </w:r>
          </w:p>
          <w:p w14:paraId="7780E496" w14:textId="3A7A11AE" w:rsidR="00185727" w:rsidRPr="00FA1A19" w:rsidRDefault="00F3571C" w:rsidP="000E72DD">
            <w:pPr>
              <w:pStyle w:val="BoxBulletWhite"/>
            </w:pPr>
            <w:r w:rsidRPr="00FA1A19">
              <w:t xml:space="preserve">In these circumstances, </w:t>
            </w:r>
            <w:r w:rsidR="008F45DD" w:rsidRPr="00FA1A19">
              <w:t>it is appropriate that the ATO give detailed</w:t>
            </w:r>
            <w:r w:rsidR="00122E95" w:rsidRPr="00FA1A19">
              <w:t xml:space="preserve"> guidance </w:t>
            </w:r>
            <w:r w:rsidR="002F01B7" w:rsidRPr="00FA1A19">
              <w:t xml:space="preserve">upon which taxpayers can rely </w:t>
            </w:r>
            <w:r w:rsidR="008F45DD" w:rsidRPr="00FA1A19">
              <w:t xml:space="preserve">so that </w:t>
            </w:r>
            <w:r w:rsidR="00266BCA" w:rsidRPr="00FA1A19">
              <w:t>taxpayers</w:t>
            </w:r>
            <w:r w:rsidR="002F01B7" w:rsidRPr="00FA1A19">
              <w:t xml:space="preserve"> can ensure that their tax discl</w:t>
            </w:r>
            <w:r w:rsidR="00B656CE" w:rsidRPr="00FA1A19">
              <w:t>osures will be acceptable to the ATO.</w:t>
            </w:r>
            <w:r w:rsidR="004F0A51" w:rsidRPr="00FA1A19">
              <w:t xml:space="preserve"> </w:t>
            </w:r>
          </w:p>
        </w:tc>
      </w:tr>
    </w:tbl>
    <w:p w14:paraId="410FEC9B" w14:textId="77777777" w:rsidR="00185727" w:rsidRPr="00FA1A19" w:rsidRDefault="00185727" w:rsidP="0069352C">
      <w:pPr>
        <w:pStyle w:val="Heading2"/>
      </w:pPr>
      <w:bookmarkStart w:id="87" w:name="_Toc159513604"/>
      <w:r w:rsidRPr="00FA1A19">
        <w:t>Introduction</w:t>
      </w:r>
      <w:bookmarkEnd w:id="87"/>
    </w:p>
    <w:p w14:paraId="1653F4FD" w14:textId="12130D37" w:rsidR="003C0B7B" w:rsidRPr="00FA1A19" w:rsidRDefault="00F611B0" w:rsidP="00863EF2">
      <w:r w:rsidRPr="00FA1A19">
        <w:t>Chapters 7</w:t>
      </w:r>
      <w:r w:rsidR="00D70881" w:rsidRPr="00FA1A19">
        <w:t>, 8 and 9</w:t>
      </w:r>
      <w:r w:rsidRPr="00FA1A19">
        <w:t xml:space="preserve"> of this Report contain the Board</w:t>
      </w:r>
      <w:r w:rsidR="00F75232">
        <w:t>’</w:t>
      </w:r>
      <w:r w:rsidRPr="00FA1A19">
        <w:t xml:space="preserve">s </w:t>
      </w:r>
      <w:r w:rsidR="00180699" w:rsidRPr="00FA1A19">
        <w:t>c</w:t>
      </w:r>
      <w:r w:rsidR="00360E04" w:rsidRPr="00FA1A19">
        <w:t>onsideration of the current Australian taxation treatment of digital assets and transactions</w:t>
      </w:r>
      <w:r w:rsidR="007F487E" w:rsidRPr="00FA1A19">
        <w:t>,</w:t>
      </w:r>
      <w:r w:rsidR="00360E04" w:rsidRPr="00FA1A19">
        <w:t xml:space="preserve"> and emerging</w:t>
      </w:r>
      <w:r w:rsidR="007F487E" w:rsidRPr="00FA1A19">
        <w:t xml:space="preserve"> tax policy</w:t>
      </w:r>
      <w:r w:rsidR="00360E04" w:rsidRPr="00FA1A19">
        <w:t xml:space="preserve"> issues.</w:t>
      </w:r>
    </w:p>
    <w:p w14:paraId="132BBE26" w14:textId="65071A9C" w:rsidR="00E878F5" w:rsidRPr="00FA1A19" w:rsidRDefault="00180699" w:rsidP="00863EF2">
      <w:r w:rsidRPr="00FA1A19">
        <w:t xml:space="preserve">In this </w:t>
      </w:r>
      <w:r w:rsidR="00372633">
        <w:t>Chapter </w:t>
      </w:r>
      <w:r w:rsidR="00271344" w:rsidRPr="00FA1A19">
        <w:t>7</w:t>
      </w:r>
      <w:r w:rsidRPr="00FA1A19">
        <w:t xml:space="preserve">, the Board </w:t>
      </w:r>
      <w:r w:rsidR="00A36C72" w:rsidRPr="00FA1A19">
        <w:t>considers taxation treatment of digital assets and transactions</w:t>
      </w:r>
      <w:r w:rsidR="003245E6" w:rsidRPr="00FA1A19">
        <w:t xml:space="preserve"> </w:t>
      </w:r>
      <w:r w:rsidR="001C33AF" w:rsidRPr="00FA1A19">
        <w:t xml:space="preserve">under </w:t>
      </w:r>
      <w:r w:rsidR="00D13CC8" w:rsidRPr="00FA1A19">
        <w:t>general</w:t>
      </w:r>
      <w:r w:rsidR="008E7EB2" w:rsidRPr="00FA1A19">
        <w:t xml:space="preserve"> income</w:t>
      </w:r>
      <w:r w:rsidR="00D13CC8" w:rsidRPr="00FA1A19">
        <w:t xml:space="preserve"> tax </w:t>
      </w:r>
      <w:r w:rsidR="00F21CBC" w:rsidRPr="00FA1A19">
        <w:t>law principles</w:t>
      </w:r>
      <w:r w:rsidR="00D13CC8" w:rsidRPr="00FA1A19">
        <w:t>.</w:t>
      </w:r>
      <w:r w:rsidR="004F0A51" w:rsidRPr="00FA1A19">
        <w:t xml:space="preserve"> </w:t>
      </w:r>
      <w:r w:rsidR="0079242B" w:rsidRPr="00FA1A19">
        <w:t xml:space="preserve">These cover </w:t>
      </w:r>
      <w:r w:rsidR="00F21CBC" w:rsidRPr="00FA1A19">
        <w:t xml:space="preserve">the </w:t>
      </w:r>
      <w:r w:rsidR="008E7EB2" w:rsidRPr="00FA1A19">
        <w:t>characterisation</w:t>
      </w:r>
      <w:r w:rsidR="0079242B" w:rsidRPr="00FA1A19">
        <w:t xml:space="preserve"> </w:t>
      </w:r>
      <w:r w:rsidR="00F9500E">
        <w:t xml:space="preserve">of </w:t>
      </w:r>
      <w:r w:rsidR="0079242B" w:rsidRPr="00FA1A19">
        <w:t xml:space="preserve">profits and gains as </w:t>
      </w:r>
      <w:r w:rsidR="00F21CBC" w:rsidRPr="00FA1A19">
        <w:t xml:space="preserve">either </w:t>
      </w:r>
      <w:r w:rsidR="0079242B" w:rsidRPr="00FA1A19">
        <w:t>ordinary income or capital,</w:t>
      </w:r>
      <w:r w:rsidR="00590BEB" w:rsidRPr="00FA1A19">
        <w:t xml:space="preserve"> trading stock issues, Australia</w:t>
      </w:r>
      <w:r w:rsidR="00F75232">
        <w:t>’</w:t>
      </w:r>
      <w:r w:rsidR="00590BEB" w:rsidRPr="00FA1A19">
        <w:t>s capital gains tax, and issues relating to source and valuation.</w:t>
      </w:r>
      <w:r w:rsidR="004F0A51" w:rsidRPr="00FA1A19">
        <w:t xml:space="preserve"> </w:t>
      </w:r>
      <w:r w:rsidR="00F21CBC" w:rsidRPr="00FA1A19">
        <w:t xml:space="preserve">This </w:t>
      </w:r>
      <w:r w:rsidR="00E878F5" w:rsidRPr="00FA1A19">
        <w:t>analysis is undertaken by first explaining these general income tax law principles, and then considering how they apply to digital assets and transactions.</w:t>
      </w:r>
      <w:r w:rsidR="004F0A51" w:rsidRPr="00FA1A19">
        <w:t xml:space="preserve"> </w:t>
      </w:r>
      <w:r w:rsidR="00E878F5" w:rsidRPr="00FA1A19">
        <w:t>Observations and recommendations are made throughout the chapter.</w:t>
      </w:r>
    </w:p>
    <w:p w14:paraId="043A6545" w14:textId="4EED0C49" w:rsidR="00A36C72" w:rsidRPr="00FA1A19" w:rsidRDefault="00372633" w:rsidP="00863EF2">
      <w:r>
        <w:t>Chapter </w:t>
      </w:r>
      <w:r w:rsidR="00D52636" w:rsidRPr="00FA1A19">
        <w:t xml:space="preserve">8 then </w:t>
      </w:r>
      <w:r w:rsidR="00465236" w:rsidRPr="00FA1A19">
        <w:t>considers the application of some specific taxation regimes to digital assets and transactions</w:t>
      </w:r>
      <w:r w:rsidR="00A36C72" w:rsidRPr="00FA1A19">
        <w:t>.</w:t>
      </w:r>
      <w:r w:rsidR="004F0A51" w:rsidRPr="00FA1A19">
        <w:t xml:space="preserve"> </w:t>
      </w:r>
    </w:p>
    <w:p w14:paraId="5B181FC3" w14:textId="46ECC113" w:rsidR="000F1D18" w:rsidRPr="00FA1A19" w:rsidRDefault="00372633" w:rsidP="00863EF2">
      <w:r>
        <w:t>Chapter </w:t>
      </w:r>
      <w:r w:rsidR="00465236" w:rsidRPr="00FA1A19">
        <w:t>9</w:t>
      </w:r>
      <w:r w:rsidR="00C906EA" w:rsidRPr="00FA1A19">
        <w:t xml:space="preserve"> </w:t>
      </w:r>
      <w:r w:rsidR="00CD6271" w:rsidRPr="00FA1A19">
        <w:t>furthers the Board</w:t>
      </w:r>
      <w:r w:rsidR="00F75232">
        <w:t>’</w:t>
      </w:r>
      <w:r w:rsidR="00CD6271" w:rsidRPr="00FA1A19">
        <w:t xml:space="preserve">s consideration of the </w:t>
      </w:r>
      <w:r w:rsidR="00C906EA" w:rsidRPr="00FA1A19">
        <w:t xml:space="preserve">current Australian taxation treatment of digital assets and transactions by </w:t>
      </w:r>
      <w:r w:rsidR="00CF1AEE" w:rsidRPr="00FA1A19">
        <w:t xml:space="preserve">focussing on </w:t>
      </w:r>
      <w:r w:rsidR="00883A16" w:rsidRPr="00FA1A19">
        <w:t xml:space="preserve">common </w:t>
      </w:r>
      <w:r w:rsidR="00F318C4" w:rsidRPr="00FA1A19">
        <w:t>digital asset transactions and how these are taxed under Australia</w:t>
      </w:r>
      <w:r w:rsidR="00F75232">
        <w:t>’</w:t>
      </w:r>
      <w:r w:rsidR="00F318C4" w:rsidRPr="00FA1A19">
        <w:t xml:space="preserve">s current tax law, and then considering whether this is appropriate or whether </w:t>
      </w:r>
      <w:r w:rsidR="002C79D0" w:rsidRPr="00FA1A19">
        <w:t>change is required.</w:t>
      </w:r>
      <w:r w:rsidR="004F0A51" w:rsidRPr="00FA1A19">
        <w:t xml:space="preserve"> </w:t>
      </w:r>
      <w:r>
        <w:t>Chapter </w:t>
      </w:r>
      <w:r w:rsidR="002D3E21" w:rsidRPr="00FA1A19">
        <w:t>9</w:t>
      </w:r>
      <w:r w:rsidR="00DA5E1D" w:rsidRPr="00FA1A19">
        <w:t xml:space="preserve"> </w:t>
      </w:r>
      <w:r w:rsidR="000D5D01" w:rsidRPr="00FA1A19">
        <w:t>identifies</w:t>
      </w:r>
      <w:r w:rsidR="001F2174" w:rsidRPr="00FA1A19">
        <w:t xml:space="preserve"> these common digital asset transactions </w:t>
      </w:r>
      <w:r w:rsidR="00517DDB" w:rsidRPr="00FA1A19">
        <w:t xml:space="preserve">by reference to the typical </w:t>
      </w:r>
      <w:r w:rsidR="009F281B" w:rsidRPr="00FA1A19">
        <w:t>lifecycle of digital assets.</w:t>
      </w:r>
      <w:r w:rsidR="004F0A51" w:rsidRPr="00FA1A19">
        <w:t xml:space="preserve"> </w:t>
      </w:r>
    </w:p>
    <w:p w14:paraId="3DFB27D2" w14:textId="77FCD703" w:rsidR="000D5D01" w:rsidRPr="00FA1A19" w:rsidRDefault="000D5D01" w:rsidP="0069352C">
      <w:pPr>
        <w:pStyle w:val="Heading2"/>
      </w:pPr>
      <w:bookmarkStart w:id="88" w:name="_Toc159513605"/>
      <w:r w:rsidRPr="00FA1A19">
        <w:t>Background</w:t>
      </w:r>
      <w:bookmarkEnd w:id="88"/>
    </w:p>
    <w:p w14:paraId="403E5ACE" w14:textId="67E23395" w:rsidR="009D3608" w:rsidRPr="00FA1A19" w:rsidRDefault="002C79D0" w:rsidP="00863EF2">
      <w:pPr>
        <w:rPr>
          <w:rFonts w:asciiTheme="minorHAnsi" w:hAnsiTheme="minorHAnsi" w:cstheme="minorBidi"/>
        </w:rPr>
      </w:pPr>
      <w:r w:rsidRPr="00FA1A19">
        <w:rPr>
          <w:rFonts w:asciiTheme="minorHAnsi" w:hAnsiTheme="minorHAnsi" w:cstheme="minorBidi"/>
        </w:rPr>
        <w:t>T</w:t>
      </w:r>
      <w:r w:rsidR="00881594" w:rsidRPr="00FA1A19">
        <w:rPr>
          <w:rFonts w:asciiTheme="minorHAnsi" w:hAnsiTheme="minorHAnsi" w:cstheme="minorBidi"/>
        </w:rPr>
        <w:t>here currently</w:t>
      </w:r>
      <w:r w:rsidR="007622D8" w:rsidRPr="00FA1A19">
        <w:rPr>
          <w:rFonts w:asciiTheme="minorHAnsi" w:hAnsiTheme="minorHAnsi" w:cstheme="minorBidi"/>
        </w:rPr>
        <w:t xml:space="preserve"> are no </w:t>
      </w:r>
      <w:r w:rsidR="00881594" w:rsidRPr="00FA1A19">
        <w:rPr>
          <w:rFonts w:asciiTheme="minorHAnsi" w:hAnsiTheme="minorHAnsi" w:cstheme="minorBidi"/>
        </w:rPr>
        <w:t xml:space="preserve">legislative </w:t>
      </w:r>
      <w:r w:rsidR="007622D8" w:rsidRPr="00FA1A19">
        <w:rPr>
          <w:rFonts w:asciiTheme="minorHAnsi" w:hAnsiTheme="minorHAnsi" w:cstheme="minorBidi"/>
        </w:rPr>
        <w:t>provisions dealing</w:t>
      </w:r>
      <w:r w:rsidR="00EC29BB" w:rsidRPr="00FA1A19">
        <w:rPr>
          <w:rFonts w:asciiTheme="minorHAnsi" w:hAnsiTheme="minorHAnsi" w:cstheme="minorBidi"/>
        </w:rPr>
        <w:t xml:space="preserve"> specifically with the taxation of crypto assets</w:t>
      </w:r>
      <w:r w:rsidR="00993010" w:rsidRPr="00FA1A19">
        <w:rPr>
          <w:rFonts w:asciiTheme="minorHAnsi" w:hAnsiTheme="minorHAnsi" w:cstheme="minorBidi"/>
        </w:rPr>
        <w:t>,</w:t>
      </w:r>
      <w:r w:rsidR="00FE6E5E" w:rsidRPr="00170ADC">
        <w:rPr>
          <w:rStyle w:val="FootnoteReference"/>
        </w:rPr>
        <w:footnoteReference w:id="345"/>
      </w:r>
      <w:r w:rsidR="00D4517E" w:rsidRPr="00FA1A19">
        <w:rPr>
          <w:rFonts w:asciiTheme="minorHAnsi" w:hAnsiTheme="minorHAnsi" w:cstheme="minorBidi"/>
        </w:rPr>
        <w:t xml:space="preserve"> </w:t>
      </w:r>
      <w:r w:rsidR="00993010" w:rsidRPr="00FA1A19">
        <w:rPr>
          <w:rFonts w:asciiTheme="minorHAnsi" w:hAnsiTheme="minorHAnsi" w:cstheme="minorBidi"/>
        </w:rPr>
        <w:t>as noted in a n</w:t>
      </w:r>
      <w:r w:rsidR="00D4517E" w:rsidRPr="00FA1A19">
        <w:rPr>
          <w:rFonts w:asciiTheme="minorHAnsi" w:hAnsiTheme="minorHAnsi" w:cstheme="minorBidi"/>
        </w:rPr>
        <w:t>umber of submissions to the Board.</w:t>
      </w:r>
      <w:r w:rsidR="00D4517E" w:rsidRPr="00170ADC">
        <w:rPr>
          <w:rStyle w:val="FootnoteReference"/>
        </w:rPr>
        <w:footnoteReference w:id="346"/>
      </w:r>
      <w:r w:rsidR="004F0A51" w:rsidRPr="00FA1A19">
        <w:rPr>
          <w:rFonts w:asciiTheme="minorHAnsi" w:hAnsiTheme="minorHAnsi" w:cstheme="minorBidi"/>
        </w:rPr>
        <w:t xml:space="preserve"> </w:t>
      </w:r>
    </w:p>
    <w:p w14:paraId="05A89EF2" w14:textId="2FFC54FA" w:rsidR="008666CC" w:rsidRPr="00FA1A19" w:rsidRDefault="00993010" w:rsidP="00B7278A">
      <w:pPr>
        <w:rPr>
          <w:rFonts w:asciiTheme="minorHAnsi" w:hAnsiTheme="minorHAnsi" w:cstheme="minorBidi"/>
        </w:rPr>
      </w:pPr>
      <w:r w:rsidRPr="00FA1A19">
        <w:rPr>
          <w:rFonts w:asciiTheme="minorHAnsi" w:hAnsiTheme="minorHAnsi" w:cstheme="minorBidi"/>
        </w:rPr>
        <w:t>It</w:t>
      </w:r>
      <w:r w:rsidR="00D4517E" w:rsidRPr="00FA1A19">
        <w:rPr>
          <w:rFonts w:asciiTheme="minorHAnsi" w:hAnsiTheme="minorHAnsi" w:cstheme="minorBidi"/>
        </w:rPr>
        <w:t xml:space="preserve"> follows</w:t>
      </w:r>
      <w:r w:rsidR="00091DCD" w:rsidRPr="00FA1A19">
        <w:rPr>
          <w:rFonts w:asciiTheme="minorHAnsi" w:hAnsiTheme="minorHAnsi" w:cstheme="minorBidi"/>
        </w:rPr>
        <w:t xml:space="preserve"> from </w:t>
      </w:r>
      <w:r w:rsidR="00EB79D5" w:rsidRPr="00FA1A19">
        <w:rPr>
          <w:rFonts w:asciiTheme="minorHAnsi" w:hAnsiTheme="minorHAnsi" w:cstheme="minorBidi"/>
        </w:rPr>
        <w:t>this</w:t>
      </w:r>
      <w:r w:rsidR="00D4517E" w:rsidRPr="00FA1A19">
        <w:rPr>
          <w:rFonts w:asciiTheme="minorHAnsi" w:hAnsiTheme="minorHAnsi" w:cstheme="minorBidi"/>
        </w:rPr>
        <w:t xml:space="preserve"> that </w:t>
      </w:r>
      <w:r w:rsidR="00881594" w:rsidRPr="00FA1A19">
        <w:t xml:space="preserve">the </w:t>
      </w:r>
      <w:r w:rsidR="00881594" w:rsidRPr="00FA1A19">
        <w:rPr>
          <w:rFonts w:asciiTheme="minorHAnsi" w:hAnsiTheme="minorHAnsi" w:cstheme="minorBidi"/>
        </w:rPr>
        <w:t xml:space="preserve">taxation of crypto assets and transactions </w:t>
      </w:r>
      <w:r w:rsidR="008F4098" w:rsidRPr="00FA1A19">
        <w:rPr>
          <w:rFonts w:asciiTheme="minorHAnsi" w:hAnsiTheme="minorHAnsi" w:cstheme="minorBidi"/>
        </w:rPr>
        <w:t>is determined</w:t>
      </w:r>
      <w:r w:rsidR="00881594" w:rsidRPr="00FA1A19">
        <w:rPr>
          <w:rFonts w:asciiTheme="minorHAnsi" w:hAnsiTheme="minorHAnsi" w:cstheme="minorBidi"/>
        </w:rPr>
        <w:t xml:space="preserve"> by </w:t>
      </w:r>
      <w:r w:rsidR="00B16C31" w:rsidRPr="00FA1A19">
        <w:rPr>
          <w:rFonts w:asciiTheme="minorHAnsi" w:hAnsiTheme="minorHAnsi" w:cstheme="minorBidi"/>
        </w:rPr>
        <w:t xml:space="preserve">legislation that was designed and </w:t>
      </w:r>
      <w:r w:rsidR="005245D9" w:rsidRPr="00FA1A19">
        <w:rPr>
          <w:rFonts w:asciiTheme="minorHAnsi" w:hAnsiTheme="minorHAnsi" w:cstheme="minorBidi"/>
        </w:rPr>
        <w:t>implemented without particular regard to</w:t>
      </w:r>
      <w:r w:rsidR="00D76981" w:rsidRPr="00FA1A19">
        <w:rPr>
          <w:rFonts w:asciiTheme="minorHAnsi" w:hAnsiTheme="minorHAnsi" w:cstheme="minorBidi"/>
        </w:rPr>
        <w:t xml:space="preserve"> crypto</w:t>
      </w:r>
      <w:r w:rsidR="005245D9" w:rsidRPr="00FA1A19">
        <w:rPr>
          <w:rFonts w:asciiTheme="minorHAnsi" w:hAnsiTheme="minorHAnsi" w:cstheme="minorBidi"/>
        </w:rPr>
        <w:t xml:space="preserve"> assets (and in most cases before crypto assets were developed).</w:t>
      </w:r>
      <w:r w:rsidR="004F0A51" w:rsidRPr="00FA1A19">
        <w:rPr>
          <w:rFonts w:asciiTheme="minorHAnsi" w:hAnsiTheme="minorHAnsi" w:cstheme="minorBidi"/>
        </w:rPr>
        <w:t xml:space="preserve"> </w:t>
      </w:r>
      <w:r w:rsidR="00B27764" w:rsidRPr="00FA1A19">
        <w:rPr>
          <w:rFonts w:asciiTheme="minorHAnsi" w:hAnsiTheme="minorHAnsi" w:cstheme="minorBidi"/>
        </w:rPr>
        <w:t xml:space="preserve">A consideration for the Board is, therefore, whether the </w:t>
      </w:r>
      <w:r w:rsidR="00D76981" w:rsidRPr="00FA1A19">
        <w:rPr>
          <w:rFonts w:asciiTheme="minorHAnsi" w:hAnsiTheme="minorHAnsi" w:cstheme="minorBidi"/>
        </w:rPr>
        <w:t>existing</w:t>
      </w:r>
      <w:r w:rsidR="00B27764" w:rsidRPr="00FA1A19">
        <w:rPr>
          <w:rFonts w:asciiTheme="minorHAnsi" w:hAnsiTheme="minorHAnsi" w:cstheme="minorBidi"/>
        </w:rPr>
        <w:t xml:space="preserve"> framework is </w:t>
      </w:r>
      <w:r w:rsidR="00F75232">
        <w:rPr>
          <w:rFonts w:asciiTheme="minorHAnsi" w:hAnsiTheme="minorHAnsi" w:cstheme="minorBidi"/>
        </w:rPr>
        <w:t>‘</w:t>
      </w:r>
      <w:r w:rsidR="00B27764" w:rsidRPr="00FA1A19">
        <w:rPr>
          <w:rFonts w:asciiTheme="minorHAnsi" w:hAnsiTheme="minorHAnsi" w:cstheme="minorBidi"/>
        </w:rPr>
        <w:t>fit for purpose</w:t>
      </w:r>
      <w:r w:rsidR="00F75232">
        <w:rPr>
          <w:rFonts w:asciiTheme="minorHAnsi" w:hAnsiTheme="minorHAnsi" w:cstheme="minorBidi"/>
        </w:rPr>
        <w:t>’</w:t>
      </w:r>
      <w:r w:rsidR="00B27764" w:rsidRPr="00FA1A19">
        <w:rPr>
          <w:rFonts w:asciiTheme="minorHAnsi" w:hAnsiTheme="minorHAnsi" w:cstheme="minorBidi"/>
        </w:rPr>
        <w:t xml:space="preserve"> where </w:t>
      </w:r>
      <w:r w:rsidR="00D76981" w:rsidRPr="00FA1A19">
        <w:rPr>
          <w:rFonts w:asciiTheme="minorHAnsi" w:hAnsiTheme="minorHAnsi" w:cstheme="minorBidi"/>
        </w:rPr>
        <w:t>crypto</w:t>
      </w:r>
      <w:r w:rsidR="00B27764" w:rsidRPr="00FA1A19">
        <w:rPr>
          <w:rFonts w:asciiTheme="minorHAnsi" w:hAnsiTheme="minorHAnsi" w:cstheme="minorBidi"/>
        </w:rPr>
        <w:t xml:space="preserve"> assets and transactions are </w:t>
      </w:r>
      <w:r w:rsidR="00E50F8A" w:rsidRPr="00FA1A19">
        <w:rPr>
          <w:rFonts w:asciiTheme="minorHAnsi" w:hAnsiTheme="minorHAnsi" w:cstheme="minorBidi"/>
        </w:rPr>
        <w:t>concerned.</w:t>
      </w:r>
      <w:r w:rsidR="004F0A51" w:rsidRPr="00FA1A19">
        <w:rPr>
          <w:rFonts w:asciiTheme="minorHAnsi" w:hAnsiTheme="minorHAnsi" w:cstheme="minorBidi"/>
        </w:rPr>
        <w:t xml:space="preserve"> </w:t>
      </w:r>
      <w:r w:rsidR="00E50F8A" w:rsidRPr="00FA1A19">
        <w:rPr>
          <w:rFonts w:asciiTheme="minorHAnsi" w:hAnsiTheme="minorHAnsi" w:cstheme="minorBidi"/>
        </w:rPr>
        <w:t>This requires an understanding of the existing general tax framework</w:t>
      </w:r>
      <w:r w:rsidR="00B27764" w:rsidRPr="00FA1A19">
        <w:rPr>
          <w:rFonts w:asciiTheme="minorHAnsi" w:hAnsiTheme="minorHAnsi" w:cstheme="minorBidi"/>
        </w:rPr>
        <w:t>.</w:t>
      </w:r>
      <w:r w:rsidR="004F0A51" w:rsidRPr="00FA1A19">
        <w:rPr>
          <w:rFonts w:asciiTheme="minorHAnsi" w:hAnsiTheme="minorHAnsi" w:cstheme="minorBidi"/>
        </w:rPr>
        <w:t xml:space="preserve"> </w:t>
      </w:r>
    </w:p>
    <w:p w14:paraId="6E52AF6F" w14:textId="3A5BF106" w:rsidR="00BF1CD6" w:rsidRPr="00FA1A19" w:rsidRDefault="00EF0292" w:rsidP="00BF1CD6">
      <w:r w:rsidRPr="00FA1A19">
        <w:rPr>
          <w:rFonts w:asciiTheme="minorHAnsi" w:hAnsiTheme="minorHAnsi" w:cstheme="minorBidi"/>
        </w:rPr>
        <w:t xml:space="preserve">This </w:t>
      </w:r>
      <w:r w:rsidR="002C78F7" w:rsidRPr="00FA1A19">
        <w:rPr>
          <w:rFonts w:asciiTheme="minorHAnsi" w:hAnsiTheme="minorHAnsi" w:cstheme="minorBidi"/>
        </w:rPr>
        <w:t>c</w:t>
      </w:r>
      <w:r w:rsidRPr="00FA1A19">
        <w:rPr>
          <w:rFonts w:asciiTheme="minorHAnsi" w:hAnsiTheme="minorHAnsi" w:cstheme="minorBidi"/>
        </w:rPr>
        <w:t xml:space="preserve">hapter, therefore, commences with an overview </w:t>
      </w:r>
      <w:r w:rsidR="00613242" w:rsidRPr="00FA1A19">
        <w:t xml:space="preserve">of the </w:t>
      </w:r>
      <w:r w:rsidR="00B76336" w:rsidRPr="00FA1A19">
        <w:t>foundational</w:t>
      </w:r>
      <w:r w:rsidR="00613242" w:rsidRPr="00FA1A19">
        <w:t xml:space="preserve"> </w:t>
      </w:r>
      <w:r w:rsidR="00121707" w:rsidRPr="00FA1A19">
        <w:t>issues</w:t>
      </w:r>
      <w:r w:rsidR="00440085" w:rsidRPr="00FA1A19">
        <w:t xml:space="preserve"> </w:t>
      </w:r>
      <w:r w:rsidR="00DB5B19" w:rsidRPr="00FA1A19">
        <w:t>relevant to Australia</w:t>
      </w:r>
      <w:r w:rsidR="00F75232">
        <w:t>’</w:t>
      </w:r>
      <w:r w:rsidR="00DB5B19" w:rsidRPr="00FA1A19">
        <w:t>s tax framewor</w:t>
      </w:r>
      <w:r w:rsidR="00EB3EF4" w:rsidRPr="00FA1A19">
        <w:t>k</w:t>
      </w:r>
      <w:r w:rsidR="008F665F" w:rsidRPr="00FA1A19">
        <w:t xml:space="preserve">, </w:t>
      </w:r>
      <w:r w:rsidR="001836FE" w:rsidRPr="00FA1A19">
        <w:t>before considering how</w:t>
      </w:r>
      <w:r w:rsidR="008C2C67" w:rsidRPr="00FA1A19">
        <w:t xml:space="preserve"> these </w:t>
      </w:r>
      <w:r w:rsidR="00126A25" w:rsidRPr="00FA1A19">
        <w:t xml:space="preserve">operate </w:t>
      </w:r>
      <w:r w:rsidR="00C150AE" w:rsidRPr="00FA1A19">
        <w:t>in relation to</w:t>
      </w:r>
      <w:r w:rsidR="00126A25" w:rsidRPr="00FA1A19">
        <w:t xml:space="preserve"> crypto assets</w:t>
      </w:r>
      <w:r w:rsidR="008F665F" w:rsidRPr="00FA1A19">
        <w:t xml:space="preserve">, and particular issues that are currently </w:t>
      </w:r>
      <w:r w:rsidR="00C150AE" w:rsidRPr="00FA1A19">
        <w:t>being faced by</w:t>
      </w:r>
      <w:r w:rsidR="00973AD3" w:rsidRPr="00FA1A19">
        <w:t xml:space="preserve"> taxpayers and their advisers</w:t>
      </w:r>
      <w:r w:rsidR="001C10B7" w:rsidRPr="00FA1A19">
        <w:t xml:space="preserve"> in this context</w:t>
      </w:r>
      <w:r w:rsidR="00BA25CC" w:rsidRPr="00FA1A19">
        <w:t xml:space="preserve">. </w:t>
      </w:r>
    </w:p>
    <w:p w14:paraId="3E8F1549" w14:textId="5A3DF219" w:rsidR="00BF1CD6" w:rsidRPr="00FA1A19" w:rsidRDefault="00BF1CD6" w:rsidP="00BF1CD6">
      <w:r w:rsidRPr="00FA1A19">
        <w:t>The conclusion of the Board</w:t>
      </w:r>
      <w:r w:rsidR="002B345F" w:rsidRPr="00FA1A19">
        <w:t xml:space="preserve"> in this chapter</w:t>
      </w:r>
      <w:r w:rsidRPr="00FA1A19">
        <w:t xml:space="preserve"> is that the current general framework is broadly </w:t>
      </w:r>
      <w:r w:rsidR="00F75232">
        <w:t>‘</w:t>
      </w:r>
      <w:r w:rsidRPr="00FA1A19">
        <w:t>fit for purpose</w:t>
      </w:r>
      <w:r w:rsidR="00F75232">
        <w:t>’</w:t>
      </w:r>
      <w:r w:rsidRPr="00FA1A19">
        <w:t xml:space="preserve"> in that </w:t>
      </w:r>
      <w:r w:rsidR="00E04A2D" w:rsidRPr="00FA1A19">
        <w:t xml:space="preserve">it has not been shown that the </w:t>
      </w:r>
      <w:r w:rsidRPr="00FA1A19">
        <w:t xml:space="preserve">existing law </w:t>
      </w:r>
      <w:r w:rsidR="00513017">
        <w:t>is not c</w:t>
      </w:r>
      <w:r w:rsidR="0078108B">
        <w:t>a</w:t>
      </w:r>
      <w:r w:rsidR="00513017">
        <w:t xml:space="preserve">pable of </w:t>
      </w:r>
      <w:r w:rsidR="0078108B">
        <w:t>applying</w:t>
      </w:r>
      <w:r w:rsidRPr="00FA1A19">
        <w:t xml:space="preserve"> to digital assets and transactions.</w:t>
      </w:r>
      <w:r w:rsidR="004F0A51" w:rsidRPr="00FA1A19">
        <w:t xml:space="preserve"> </w:t>
      </w:r>
      <w:r w:rsidRPr="00FA1A19">
        <w:t xml:space="preserve">Rather than an inability of the existing </w:t>
      </w:r>
      <w:r w:rsidR="002B345F" w:rsidRPr="00FA1A19">
        <w:t xml:space="preserve">general </w:t>
      </w:r>
      <w:r w:rsidRPr="00FA1A19">
        <w:t xml:space="preserve">framework to apply to crypto assets and transactions, the issues faced by </w:t>
      </w:r>
      <w:r w:rsidR="0511E330" w:rsidRPr="00FA1A19">
        <w:t xml:space="preserve">many </w:t>
      </w:r>
      <w:r w:rsidRPr="00FA1A19">
        <w:t xml:space="preserve">taxpayers are largely attributable to the lack of </w:t>
      </w:r>
      <w:r w:rsidR="561A35D8" w:rsidRPr="00FA1A19">
        <w:t xml:space="preserve">understanding as to how </w:t>
      </w:r>
      <w:r w:rsidR="2419ABA9" w:rsidRPr="00FA1A19">
        <w:t xml:space="preserve">existing </w:t>
      </w:r>
      <w:r w:rsidR="561A35D8" w:rsidRPr="00FA1A19">
        <w:t xml:space="preserve">legislation and </w:t>
      </w:r>
      <w:r w:rsidRPr="00FA1A19">
        <w:t xml:space="preserve">judicial precedent </w:t>
      </w:r>
      <w:r w:rsidR="134E62E7" w:rsidRPr="00FA1A19">
        <w:t>apply</w:t>
      </w:r>
      <w:r w:rsidRPr="00FA1A19">
        <w:t xml:space="preserve"> in this newly</w:t>
      </w:r>
      <w:r w:rsidR="00F75232">
        <w:noBreakHyphen/>
      </w:r>
      <w:r w:rsidRPr="00FA1A19">
        <w:t>developing area.</w:t>
      </w:r>
      <w:r w:rsidR="004F0A51" w:rsidRPr="00FA1A19">
        <w:t xml:space="preserve"> </w:t>
      </w:r>
      <w:r w:rsidRPr="00FA1A19">
        <w:t>In these circumstances, the Board has noted taxpayers</w:t>
      </w:r>
      <w:r w:rsidR="00F75232">
        <w:t>’</w:t>
      </w:r>
      <w:r w:rsidRPr="00FA1A19">
        <w:t xml:space="preserve"> need for ATO guidance upon which they can rely for the purposes of making taxation disclosures that taxpayers can be confident will be acceptable to the ATO.</w:t>
      </w:r>
    </w:p>
    <w:p w14:paraId="5D8695F5" w14:textId="4BDAE5D2" w:rsidR="00185727" w:rsidRPr="00FA1A19" w:rsidRDefault="00C9048F" w:rsidP="0069352C">
      <w:pPr>
        <w:pStyle w:val="Heading2"/>
      </w:pPr>
      <w:bookmarkStart w:id="89" w:name="_Toc159513606"/>
      <w:r w:rsidRPr="00FA1A19">
        <w:t>E</w:t>
      </w:r>
      <w:r w:rsidR="00185727" w:rsidRPr="00FA1A19">
        <w:t>xisting tax</w:t>
      </w:r>
      <w:r w:rsidRPr="00FA1A19">
        <w:t>ation</w:t>
      </w:r>
      <w:r w:rsidR="00185727" w:rsidRPr="00FA1A19">
        <w:t xml:space="preserve"> framework</w:t>
      </w:r>
      <w:bookmarkEnd w:id="89"/>
    </w:p>
    <w:p w14:paraId="6AFB72D1" w14:textId="7CD0DDCE" w:rsidR="00F1766C" w:rsidRPr="00FA1A19" w:rsidRDefault="00F1766C" w:rsidP="00F1766C">
      <w:r w:rsidRPr="00FA1A19">
        <w:t>A taxpayer</w:t>
      </w:r>
      <w:r w:rsidR="00F75232">
        <w:t>’</w:t>
      </w:r>
      <w:r w:rsidRPr="00FA1A19">
        <w:t>s tax payable is calculated on the basis of their taxable income, which is their assessable income (including capital gains, where applicable) less allowable deductions.</w:t>
      </w:r>
      <w:r w:rsidR="004F0A51" w:rsidRPr="00FA1A19">
        <w:t xml:space="preserve"> </w:t>
      </w:r>
      <w:r w:rsidR="00922A8F" w:rsidRPr="00FA1A19">
        <w:t>Australia</w:t>
      </w:r>
      <w:r w:rsidR="00F75232">
        <w:t>’</w:t>
      </w:r>
      <w:r w:rsidR="00922A8F" w:rsidRPr="00FA1A19">
        <w:t xml:space="preserve">s taxation laws </w:t>
      </w:r>
      <w:r w:rsidR="00917E26" w:rsidRPr="00FA1A19">
        <w:t xml:space="preserve">contain the provisions that establish what is assessable income and what are allowable </w:t>
      </w:r>
      <w:r w:rsidR="001A57E3" w:rsidRPr="00FA1A19">
        <w:t>deductions</w:t>
      </w:r>
      <w:r w:rsidR="00917E26" w:rsidRPr="00FA1A19">
        <w:t>.</w:t>
      </w:r>
    </w:p>
    <w:p w14:paraId="0F33B957" w14:textId="11928CBA" w:rsidR="00185727" w:rsidRPr="00FA1A19" w:rsidRDefault="00C9048F" w:rsidP="00185727">
      <w:r w:rsidRPr="00FA1A19">
        <w:t>Different</w:t>
      </w:r>
      <w:r w:rsidR="00185727" w:rsidRPr="00FA1A19" w:rsidDel="0021617F">
        <w:t xml:space="preserve"> </w:t>
      </w:r>
      <w:r w:rsidR="0021617F" w:rsidRPr="00FA1A19">
        <w:t xml:space="preserve">provisions </w:t>
      </w:r>
      <w:r w:rsidRPr="00FA1A19">
        <w:t>in Australia</w:t>
      </w:r>
      <w:r w:rsidR="00F75232">
        <w:t>’</w:t>
      </w:r>
      <w:r w:rsidRPr="00FA1A19">
        <w:t>s existing taxation framework</w:t>
      </w:r>
      <w:r w:rsidR="0021617F" w:rsidRPr="00FA1A19">
        <w:t xml:space="preserve"> </w:t>
      </w:r>
      <w:r w:rsidR="00185727" w:rsidRPr="00FA1A19">
        <w:t xml:space="preserve">have potential application to the taxation of crypto assets. Without intending to be exhaustive of the range of potential taxation </w:t>
      </w:r>
      <w:r w:rsidR="002B3484" w:rsidRPr="00FA1A19">
        <w:t xml:space="preserve">provisions </w:t>
      </w:r>
      <w:r w:rsidR="00185727" w:rsidRPr="00FA1A19">
        <w:t xml:space="preserve">that may apply, the Board </w:t>
      </w:r>
      <w:r w:rsidR="00AB34B4" w:rsidRPr="00FA1A19">
        <w:t xml:space="preserve">(consistent with submissions to it) considers </w:t>
      </w:r>
      <w:r w:rsidR="0024087C" w:rsidRPr="00FA1A19">
        <w:t xml:space="preserve">the general </w:t>
      </w:r>
      <w:r w:rsidR="00265169" w:rsidRPr="00FA1A19">
        <w:t xml:space="preserve">provisions dealing with the following </w:t>
      </w:r>
      <w:r w:rsidR="00185727" w:rsidRPr="00FA1A19">
        <w:t>as being particularly relevant to the taxation of crypto assets:</w:t>
      </w:r>
    </w:p>
    <w:p w14:paraId="1CC8667F" w14:textId="47F4CF27" w:rsidR="00AF7EAD" w:rsidRPr="00FA1A19" w:rsidRDefault="002B489B" w:rsidP="007E6816">
      <w:pPr>
        <w:pStyle w:val="Bullet"/>
        <w:rPr>
          <w:rFonts w:cstheme="minorHAnsi"/>
        </w:rPr>
      </w:pPr>
      <w:r>
        <w:t>o</w:t>
      </w:r>
      <w:r w:rsidR="00AF7EAD" w:rsidRPr="00FA1A19">
        <w:t xml:space="preserve">rdinary </w:t>
      </w:r>
      <w:r>
        <w:t>i</w:t>
      </w:r>
      <w:r w:rsidR="00AF7EAD" w:rsidRPr="00FA1A19">
        <w:t>ncome</w:t>
      </w:r>
    </w:p>
    <w:p w14:paraId="3D97B167" w14:textId="15FAB131" w:rsidR="00544C90" w:rsidRPr="00FA1A19" w:rsidRDefault="002B489B" w:rsidP="007E6816">
      <w:pPr>
        <w:pStyle w:val="Bullet"/>
        <w:rPr>
          <w:rFonts w:cstheme="minorHAnsi"/>
        </w:rPr>
      </w:pPr>
      <w:r>
        <w:t>t</w:t>
      </w:r>
      <w:r w:rsidR="00544C90" w:rsidRPr="00FA1A19">
        <w:t xml:space="preserve">rading </w:t>
      </w:r>
      <w:r>
        <w:t>s</w:t>
      </w:r>
      <w:r w:rsidR="00544C90" w:rsidRPr="00FA1A19">
        <w:t>tock</w:t>
      </w:r>
    </w:p>
    <w:p w14:paraId="24ED712A" w14:textId="73B6B451" w:rsidR="00544C90" w:rsidRDefault="002B489B" w:rsidP="007E6816">
      <w:pPr>
        <w:pStyle w:val="Bullet"/>
        <w:rPr>
          <w:rFonts w:cstheme="minorHAnsi"/>
        </w:rPr>
      </w:pPr>
      <w:r>
        <w:rPr>
          <w:rFonts w:cstheme="minorHAnsi"/>
        </w:rPr>
        <w:t>c</w:t>
      </w:r>
      <w:r w:rsidR="00544C90" w:rsidRPr="00FA1A19">
        <w:rPr>
          <w:rFonts w:cstheme="minorHAnsi"/>
        </w:rPr>
        <w:t xml:space="preserve">apital </w:t>
      </w:r>
      <w:r>
        <w:rPr>
          <w:rFonts w:cstheme="minorHAnsi"/>
        </w:rPr>
        <w:t>g</w:t>
      </w:r>
      <w:r w:rsidR="00544C90" w:rsidRPr="00FA1A19">
        <w:rPr>
          <w:rFonts w:cstheme="minorHAnsi"/>
        </w:rPr>
        <w:t xml:space="preserve">ains </w:t>
      </w:r>
      <w:r>
        <w:rPr>
          <w:rFonts w:cstheme="minorHAnsi"/>
        </w:rPr>
        <w:t>t</w:t>
      </w:r>
      <w:r w:rsidR="00544C90" w:rsidRPr="00FA1A19">
        <w:rPr>
          <w:rFonts w:cstheme="minorHAnsi"/>
        </w:rPr>
        <w:t>ax</w:t>
      </w:r>
    </w:p>
    <w:p w14:paraId="7695354C" w14:textId="13FB98F8" w:rsidR="00C20BA8" w:rsidRPr="00FA1A19" w:rsidRDefault="00C20BA8" w:rsidP="007E6816">
      <w:pPr>
        <w:pStyle w:val="Bullet"/>
        <w:rPr>
          <w:rFonts w:cstheme="minorHAnsi"/>
        </w:rPr>
      </w:pPr>
      <w:r w:rsidRPr="72F4777C">
        <w:rPr>
          <w:rFonts w:cstheme="minorBidi"/>
        </w:rPr>
        <w:t>taxation of financial arrangements</w:t>
      </w:r>
    </w:p>
    <w:p w14:paraId="39FF19E6" w14:textId="5C2944C2" w:rsidR="00D843D1" w:rsidRPr="00FA1A19" w:rsidRDefault="002B489B" w:rsidP="007E6816">
      <w:pPr>
        <w:pStyle w:val="Bullet"/>
        <w:rPr>
          <w:rFonts w:cstheme="minorHAnsi"/>
        </w:rPr>
      </w:pPr>
      <w:r w:rsidRPr="72F4777C">
        <w:rPr>
          <w:rFonts w:cstheme="minorBidi"/>
        </w:rPr>
        <w:t>d</w:t>
      </w:r>
      <w:r w:rsidR="00D843D1" w:rsidRPr="72F4777C">
        <w:rPr>
          <w:rFonts w:cstheme="minorBidi"/>
        </w:rPr>
        <w:t>eductions</w:t>
      </w:r>
    </w:p>
    <w:p w14:paraId="4F2B1826" w14:textId="77777777" w:rsidR="00FD79D4" w:rsidRPr="00FD79D4" w:rsidRDefault="002B489B">
      <w:pPr>
        <w:pStyle w:val="Bullet"/>
        <w:rPr>
          <w:rFonts w:cstheme="minorHAnsi"/>
        </w:rPr>
      </w:pPr>
      <w:r>
        <w:t>t</w:t>
      </w:r>
      <w:r w:rsidR="00876D75" w:rsidRPr="00FA1A19">
        <w:t>reatment of losses</w:t>
      </w:r>
    </w:p>
    <w:p w14:paraId="2084BC00" w14:textId="7F981A47" w:rsidR="00944F30" w:rsidRPr="00FD79D4" w:rsidRDefault="002B489B">
      <w:pPr>
        <w:pStyle w:val="Bullet"/>
        <w:rPr>
          <w:rFonts w:cstheme="minorHAnsi"/>
        </w:rPr>
      </w:pPr>
      <w:r>
        <w:t>s</w:t>
      </w:r>
      <w:r w:rsidR="00944F30" w:rsidRPr="00FA1A19">
        <w:t>ourc</w:t>
      </w:r>
      <w:r w:rsidR="00FD79D4">
        <w:t>e</w:t>
      </w:r>
    </w:p>
    <w:p w14:paraId="77039256" w14:textId="55C0B927" w:rsidR="00AB34B4" w:rsidRPr="00FA1A19" w:rsidRDefault="002B489B" w:rsidP="007E6816">
      <w:pPr>
        <w:pStyle w:val="Bullet"/>
      </w:pPr>
      <w:r w:rsidRPr="72F4777C">
        <w:rPr>
          <w:rFonts w:cstheme="minorBidi"/>
        </w:rPr>
        <w:t>v</w:t>
      </w:r>
      <w:r w:rsidR="00AB34B4" w:rsidRPr="72F4777C">
        <w:rPr>
          <w:rFonts w:cstheme="minorBidi"/>
        </w:rPr>
        <w:t>aluation</w:t>
      </w:r>
      <w:r w:rsidR="00944F30" w:rsidRPr="00FA1A19">
        <w:t>.</w:t>
      </w:r>
    </w:p>
    <w:p w14:paraId="1F40D8B0" w14:textId="3FDA047A" w:rsidR="00744467" w:rsidRDefault="00A3397E" w:rsidP="00744467">
      <w:r w:rsidRPr="00FA1A19">
        <w:t>The</w:t>
      </w:r>
      <w:r w:rsidR="002D7C5E" w:rsidRPr="00FA1A19">
        <w:t xml:space="preserve"> </w:t>
      </w:r>
      <w:r w:rsidR="009C7531" w:rsidRPr="00FA1A19">
        <w:t xml:space="preserve">following </w:t>
      </w:r>
      <w:r w:rsidR="002278FE" w:rsidRPr="00FA1A19">
        <w:t xml:space="preserve">provides an overview of </w:t>
      </w:r>
      <w:r w:rsidR="00675EED" w:rsidRPr="00FA1A19">
        <w:t>these</w:t>
      </w:r>
      <w:r w:rsidR="00675EED" w:rsidRPr="00FA1A19" w:rsidDel="001F0C83">
        <w:t xml:space="preserve"> </w:t>
      </w:r>
      <w:r w:rsidR="002278FE" w:rsidRPr="00FA1A19">
        <w:t>provisions</w:t>
      </w:r>
      <w:r w:rsidR="0064638D" w:rsidRPr="00FA1A19">
        <w:t xml:space="preserve"> and </w:t>
      </w:r>
      <w:r w:rsidR="001F0C83" w:rsidRPr="00FA1A19">
        <w:t xml:space="preserve">related </w:t>
      </w:r>
      <w:r w:rsidR="0064638D" w:rsidRPr="00FA1A19">
        <w:t>princip</w:t>
      </w:r>
      <w:r w:rsidR="007606E2" w:rsidRPr="00FA1A19">
        <w:t>les</w:t>
      </w:r>
      <w:r w:rsidR="002278FE" w:rsidRPr="00FA1A19">
        <w:t>.</w:t>
      </w:r>
      <w:r w:rsidR="00744467">
        <w:t xml:space="preserve"> It is noted that issues associated with the following other specific taxation regimes are referred to in </w:t>
      </w:r>
      <w:r w:rsidR="00372633">
        <w:t>Chapter </w:t>
      </w:r>
      <w:r w:rsidR="00744467">
        <w:t xml:space="preserve">8: </w:t>
      </w:r>
    </w:p>
    <w:p w14:paraId="15C59648" w14:textId="268432CE" w:rsidR="00744467" w:rsidRPr="00FA1A19" w:rsidRDefault="00744467" w:rsidP="006F0112">
      <w:pPr>
        <w:pStyle w:val="Bullet"/>
        <w:rPr>
          <w:rFonts w:cstheme="minorHAnsi"/>
        </w:rPr>
      </w:pPr>
      <w:r>
        <w:t>managed investment trusts</w:t>
      </w:r>
    </w:p>
    <w:p w14:paraId="5823006D" w14:textId="1B6A07FE" w:rsidR="00744467" w:rsidRPr="00E5508E" w:rsidRDefault="00744467" w:rsidP="006F0112">
      <w:pPr>
        <w:pStyle w:val="Bullet"/>
      </w:pPr>
      <w:r w:rsidRPr="003A6C17">
        <w:rPr>
          <w:rFonts w:cstheme="minorBidi"/>
        </w:rPr>
        <w:t>superannuation funds</w:t>
      </w:r>
    </w:p>
    <w:p w14:paraId="51D43F3F" w14:textId="1D581D43" w:rsidR="00744467" w:rsidRPr="003A6C17" w:rsidRDefault="00744467" w:rsidP="006F0112">
      <w:pPr>
        <w:pStyle w:val="Bullet"/>
      </w:pPr>
      <w:r>
        <w:rPr>
          <w:rFonts w:cstheme="minorBidi"/>
        </w:rPr>
        <w:t>fringe benefits tax</w:t>
      </w:r>
    </w:p>
    <w:p w14:paraId="568B3212" w14:textId="20D2C32D" w:rsidR="00744467" w:rsidRPr="00FA1A19" w:rsidRDefault="00744467" w:rsidP="006F0112">
      <w:pPr>
        <w:pStyle w:val="Bullet"/>
      </w:pPr>
      <w:r>
        <w:rPr>
          <w:rFonts w:cstheme="minorBidi"/>
        </w:rPr>
        <w:t xml:space="preserve">the </w:t>
      </w:r>
      <w:r w:rsidR="005A620F">
        <w:rPr>
          <w:rFonts w:cstheme="minorBidi"/>
        </w:rPr>
        <w:t>not</w:t>
      </w:r>
      <w:r w:rsidR="00F75232">
        <w:rPr>
          <w:rFonts w:cstheme="minorBidi"/>
        </w:rPr>
        <w:noBreakHyphen/>
      </w:r>
      <w:r w:rsidR="005A620F">
        <w:rPr>
          <w:rFonts w:cstheme="minorBidi"/>
        </w:rPr>
        <w:t>for</w:t>
      </w:r>
      <w:r w:rsidR="00F75232">
        <w:rPr>
          <w:rFonts w:cstheme="minorBidi"/>
        </w:rPr>
        <w:noBreakHyphen/>
      </w:r>
      <w:r w:rsidR="005A620F">
        <w:rPr>
          <w:rFonts w:cstheme="minorBidi"/>
        </w:rPr>
        <w:t>profit</w:t>
      </w:r>
      <w:r>
        <w:rPr>
          <w:rFonts w:cstheme="minorBidi"/>
        </w:rPr>
        <w:t xml:space="preserve"> sector</w:t>
      </w:r>
      <w:r w:rsidRPr="00FA1A19">
        <w:t>.</w:t>
      </w:r>
    </w:p>
    <w:p w14:paraId="6FA4EA12" w14:textId="1D9B2D48" w:rsidR="00505893" w:rsidRPr="00FA1A19" w:rsidRDefault="00AF7EAD" w:rsidP="00342121">
      <w:pPr>
        <w:pStyle w:val="Heading3"/>
      </w:pPr>
      <w:r w:rsidRPr="00FA1A19">
        <w:t>Ordinary income</w:t>
      </w:r>
    </w:p>
    <w:p w14:paraId="558CB0E6" w14:textId="10435AA4" w:rsidR="000F02E9" w:rsidRPr="00FA1A19" w:rsidRDefault="000F02E9" w:rsidP="00505893">
      <w:r w:rsidRPr="00FA1A19">
        <w:t xml:space="preserve">Under Australian income tax law, the general position is that taxpayers are taxed on </w:t>
      </w:r>
      <w:r w:rsidR="00A24972" w:rsidRPr="00FA1A19">
        <w:t xml:space="preserve">taxable income which comprises </w:t>
      </w:r>
      <w:r w:rsidRPr="00FA1A19">
        <w:t>assessable income less allowable deductions.</w:t>
      </w:r>
      <w:r w:rsidR="00D62C40" w:rsidRPr="00170ADC">
        <w:rPr>
          <w:rStyle w:val="FootnoteReference"/>
        </w:rPr>
        <w:footnoteReference w:id="347"/>
      </w:r>
      <w:r w:rsidRPr="00FA1A19">
        <w:t xml:space="preserve"> </w:t>
      </w:r>
      <w:r w:rsidR="002533F7" w:rsidRPr="00FA1A19">
        <w:t xml:space="preserve">Assessable income </w:t>
      </w:r>
      <w:r w:rsidR="009A5F28" w:rsidRPr="00FA1A19">
        <w:t xml:space="preserve">in turn </w:t>
      </w:r>
      <w:r w:rsidR="002533F7" w:rsidRPr="00FA1A19">
        <w:t xml:space="preserve">comprises income </w:t>
      </w:r>
      <w:r w:rsidR="00134398" w:rsidRPr="00FA1A19">
        <w:t xml:space="preserve">according to </w:t>
      </w:r>
      <w:r w:rsidR="002533F7" w:rsidRPr="00FA1A19">
        <w:t xml:space="preserve">ordinary </w:t>
      </w:r>
      <w:r w:rsidR="00134398" w:rsidRPr="00FA1A19">
        <w:t xml:space="preserve">concepts </w:t>
      </w:r>
      <w:r w:rsidR="006078E0" w:rsidRPr="00FA1A19">
        <w:t>(ordinary income)</w:t>
      </w:r>
      <w:r w:rsidR="00134398" w:rsidRPr="00FA1A19">
        <w:t xml:space="preserve"> </w:t>
      </w:r>
      <w:r w:rsidR="002533F7" w:rsidRPr="00FA1A19">
        <w:t>and statutory income.</w:t>
      </w:r>
      <w:r w:rsidR="00C1200B" w:rsidRPr="00170ADC">
        <w:rPr>
          <w:rStyle w:val="FootnoteReference"/>
        </w:rPr>
        <w:footnoteReference w:id="348"/>
      </w:r>
    </w:p>
    <w:p w14:paraId="24B49A5E" w14:textId="58D9CA4F" w:rsidR="00505893" w:rsidRPr="00FA1A19" w:rsidRDefault="002533F7" w:rsidP="00505893">
      <w:r w:rsidRPr="00FA1A19">
        <w:t>Therefore, f</w:t>
      </w:r>
      <w:r w:rsidR="00505893" w:rsidRPr="00FA1A19">
        <w:t xml:space="preserve">undamental to the Australian tax system is the concept of </w:t>
      </w:r>
      <w:r w:rsidR="006078E0" w:rsidRPr="00FA1A19">
        <w:t xml:space="preserve">ordinary </w:t>
      </w:r>
      <w:r w:rsidR="00455A00" w:rsidRPr="00FA1A19">
        <w:t>income.</w:t>
      </w:r>
      <w:r w:rsidR="004F0A51" w:rsidRPr="00FA1A19">
        <w:t xml:space="preserve"> </w:t>
      </w:r>
      <w:r w:rsidR="00505893" w:rsidRPr="00FA1A19">
        <w:t>Whil</w:t>
      </w:r>
      <w:r w:rsidR="006452EB" w:rsidRPr="00FA1A19">
        <w:t>st</w:t>
      </w:r>
      <w:r w:rsidR="00505893" w:rsidRPr="00FA1A19">
        <w:t xml:space="preserve"> </w:t>
      </w:r>
      <w:r w:rsidR="006078E0" w:rsidRPr="00FA1A19">
        <w:t xml:space="preserve">ordinary </w:t>
      </w:r>
      <w:r w:rsidR="00505893" w:rsidRPr="00FA1A19">
        <w:t>income is n</w:t>
      </w:r>
      <w:r w:rsidR="001A3EBD">
        <w:t xml:space="preserve">either </w:t>
      </w:r>
      <w:r w:rsidR="00505893" w:rsidRPr="00FA1A19">
        <w:t>defined</w:t>
      </w:r>
      <w:r w:rsidR="00455A00" w:rsidRPr="00FA1A19">
        <w:t xml:space="preserve"> </w:t>
      </w:r>
      <w:r w:rsidR="001A3EBD">
        <w:t>n</w:t>
      </w:r>
      <w:r w:rsidR="006078E0" w:rsidRPr="00FA1A19">
        <w:t>or explained</w:t>
      </w:r>
      <w:r w:rsidR="00455A00" w:rsidRPr="00FA1A19">
        <w:t xml:space="preserve"> in the legislation</w:t>
      </w:r>
      <w:r w:rsidR="00505893" w:rsidRPr="00FA1A19">
        <w:t>, an extensive body of case law addresses this question.</w:t>
      </w:r>
      <w:r w:rsidR="004F0A51" w:rsidRPr="00FA1A19">
        <w:t xml:space="preserve"> </w:t>
      </w:r>
      <w:r w:rsidR="004D7686" w:rsidRPr="00FA1A19">
        <w:t xml:space="preserve">Significantly, </w:t>
      </w:r>
      <w:r w:rsidR="00CF2E10" w:rsidRPr="00FA1A19">
        <w:t>income can only be</w:t>
      </w:r>
      <w:r w:rsidR="006078E0" w:rsidRPr="00FA1A19">
        <w:t xml:space="preserve"> </w:t>
      </w:r>
      <w:r w:rsidR="004D7686" w:rsidRPr="00FA1A19" w:rsidDel="006078E0">
        <w:t>ordinary income</w:t>
      </w:r>
      <w:r w:rsidR="006078E0" w:rsidRPr="00FA1A19">
        <w:t xml:space="preserve"> </w:t>
      </w:r>
      <w:r w:rsidR="00CF2E10" w:rsidRPr="00FA1A19">
        <w:t>if</w:t>
      </w:r>
      <w:r w:rsidR="006078E0" w:rsidRPr="00FA1A19">
        <w:t xml:space="preserve"> it </w:t>
      </w:r>
      <w:r w:rsidR="00CF2E10" w:rsidRPr="00FA1A19">
        <w:t>is</w:t>
      </w:r>
      <w:r w:rsidR="006078E0" w:rsidRPr="00FA1A19">
        <w:t xml:space="preserve"> </w:t>
      </w:r>
      <w:r w:rsidR="004D7686" w:rsidRPr="00FA1A19">
        <w:t xml:space="preserve">characterised as being on revenue account rather than </w:t>
      </w:r>
      <w:r w:rsidR="004D7686" w:rsidRPr="00FA1A19" w:rsidDel="006B6D69">
        <w:t>o</w:t>
      </w:r>
      <w:r w:rsidR="004D7686" w:rsidRPr="00FA1A19">
        <w:t>n capital account.</w:t>
      </w:r>
      <w:r w:rsidR="004F0A51" w:rsidRPr="00FA1A19">
        <w:t xml:space="preserve"> </w:t>
      </w:r>
    </w:p>
    <w:p w14:paraId="6331CB1D" w14:textId="292F399C" w:rsidR="00C006E1" w:rsidRPr="00FA1A19" w:rsidRDefault="00C006E1" w:rsidP="0069352C">
      <w:pPr>
        <w:pStyle w:val="Heading4"/>
      </w:pPr>
      <w:r w:rsidRPr="00FA1A19">
        <w:t>Ordinary income in the course of carrying on a business</w:t>
      </w:r>
    </w:p>
    <w:p w14:paraId="001A026A" w14:textId="00CFEEA1" w:rsidR="00505893" w:rsidRPr="00FA1A19" w:rsidRDefault="00505893" w:rsidP="007E6816">
      <w:pPr>
        <w:rPr>
          <w:rFonts w:cstheme="minorBidi"/>
        </w:rPr>
      </w:pPr>
      <w:r w:rsidRPr="00FA1A19">
        <w:t xml:space="preserve">Where a taxpayer is carrying on a business, </w:t>
      </w:r>
      <w:r w:rsidRPr="00FA1A19" w:rsidDel="003D3A71">
        <w:t xml:space="preserve">a </w:t>
      </w:r>
      <w:r w:rsidRPr="00FA1A19">
        <w:t xml:space="preserve">gain from a transaction that is conducted in the ordinary course of the business will be </w:t>
      </w:r>
      <w:r w:rsidR="00637A7A" w:rsidRPr="00FA1A19">
        <w:t>ordinary income (i</w:t>
      </w:r>
      <w:r w:rsidR="001B1015" w:rsidRPr="00FA1A19">
        <w:t>.</w:t>
      </w:r>
      <w:r w:rsidR="00637A7A" w:rsidRPr="00FA1A19">
        <w:t>e</w:t>
      </w:r>
      <w:r w:rsidR="001B1015" w:rsidRPr="00FA1A19">
        <w:t>.</w:t>
      </w:r>
      <w:r w:rsidR="00637A7A" w:rsidRPr="00FA1A19">
        <w:t xml:space="preserve"> </w:t>
      </w:r>
      <w:r w:rsidRPr="00FA1A19">
        <w:t>on revenue account</w:t>
      </w:r>
      <w:r w:rsidR="00637A7A" w:rsidRPr="00FA1A19">
        <w:t>)</w:t>
      </w:r>
      <w:r w:rsidRPr="00FA1A19">
        <w:t>.</w:t>
      </w:r>
      <w:r w:rsidR="004F0A51" w:rsidRPr="00FA1A19">
        <w:t xml:space="preserve"> </w:t>
      </w:r>
      <w:r w:rsidRPr="00FA1A19">
        <w:t xml:space="preserve">Hence fees for services are </w:t>
      </w:r>
      <w:r w:rsidRPr="007E6816">
        <w:t>assessable</w:t>
      </w:r>
      <w:r w:rsidR="00F7099D" w:rsidRPr="00FA1A19">
        <w:t xml:space="preserve"> (</w:t>
      </w:r>
      <w:r w:rsidRPr="00FA1A19">
        <w:t xml:space="preserve">and </w:t>
      </w:r>
      <w:r w:rsidR="00637A7A" w:rsidRPr="00FA1A19">
        <w:t>expenses</w:t>
      </w:r>
      <w:r w:rsidRPr="00FA1A19">
        <w:t xml:space="preserve"> incurred to derive those fees are </w:t>
      </w:r>
      <w:r w:rsidR="00637A7A" w:rsidRPr="00FA1A19">
        <w:t>deductible</w:t>
      </w:r>
      <w:r w:rsidR="00F7099D" w:rsidRPr="00FA1A19">
        <w:t>)</w:t>
      </w:r>
      <w:r w:rsidRPr="00FA1A19">
        <w:t>.</w:t>
      </w:r>
      <w:r w:rsidR="00E9383F" w:rsidRPr="00170ADC">
        <w:rPr>
          <w:rStyle w:val="FootnoteReference"/>
        </w:rPr>
        <w:footnoteReference w:id="349"/>
      </w:r>
      <w:r w:rsidR="004F0A51" w:rsidRPr="00FA1A19">
        <w:t xml:space="preserve"> </w:t>
      </w:r>
      <w:r w:rsidRPr="00FA1A19">
        <w:rPr>
          <w:rFonts w:cstheme="minorBidi"/>
        </w:rPr>
        <w:t xml:space="preserve">The profit on disposal of assets in the ordinary course of business </w:t>
      </w:r>
      <w:r w:rsidR="003D3A71" w:rsidRPr="00FA1A19">
        <w:rPr>
          <w:rFonts w:cstheme="minorBidi"/>
        </w:rPr>
        <w:t xml:space="preserve">may </w:t>
      </w:r>
      <w:r w:rsidRPr="00FA1A19">
        <w:rPr>
          <w:rFonts w:cstheme="minorBidi"/>
        </w:rPr>
        <w:t>also be assessable on revenue account.</w:t>
      </w:r>
      <w:r w:rsidRPr="00170ADC">
        <w:rPr>
          <w:rStyle w:val="FootnoteReference"/>
        </w:rPr>
        <w:footnoteReference w:id="350"/>
      </w:r>
      <w:r w:rsidR="004F0A51" w:rsidRPr="00FA1A19">
        <w:rPr>
          <w:rFonts w:cstheme="minorBidi"/>
        </w:rPr>
        <w:t xml:space="preserve"> </w:t>
      </w:r>
    </w:p>
    <w:p w14:paraId="03A8663A" w14:textId="77777777" w:rsidR="00F13411" w:rsidRPr="00FA1A19" w:rsidRDefault="00F13411" w:rsidP="0069352C">
      <w:pPr>
        <w:pStyle w:val="Heading4"/>
      </w:pPr>
      <w:r w:rsidRPr="00FA1A19">
        <w:t>Ordinary income from a capital asset</w:t>
      </w:r>
    </w:p>
    <w:p w14:paraId="6E667923" w14:textId="721AD93C" w:rsidR="00F13411" w:rsidRPr="00FA1A19" w:rsidRDefault="00F13411" w:rsidP="00F13411">
      <w:r w:rsidRPr="00FA1A19">
        <w:t>Where a return paid on a</w:t>
      </w:r>
      <w:r w:rsidR="007E33E4" w:rsidRPr="00FA1A19">
        <w:t xml:space="preserve">n </w:t>
      </w:r>
      <w:r w:rsidRPr="00FA1A19">
        <w:t xml:space="preserve">asset has the characteristics of ordinary income, such as periodicity, recurrence or regularity, such amount will be </w:t>
      </w:r>
      <w:r w:rsidR="00E92997" w:rsidRPr="00FA1A19">
        <w:t xml:space="preserve">ordinary income and so </w:t>
      </w:r>
      <w:r w:rsidRPr="00FA1A19">
        <w:t>included in the taxpayer</w:t>
      </w:r>
      <w:r w:rsidR="00F75232">
        <w:t>’</w:t>
      </w:r>
      <w:r w:rsidRPr="00FA1A19">
        <w:t>s assessable income.</w:t>
      </w:r>
      <w:r w:rsidRPr="00170ADC">
        <w:rPr>
          <w:rStyle w:val="FootnoteReference"/>
        </w:rPr>
        <w:footnoteReference w:id="351"/>
      </w:r>
    </w:p>
    <w:p w14:paraId="6C422B26" w14:textId="018F6C39" w:rsidR="00F13411" w:rsidRPr="00FA1A19" w:rsidRDefault="00F13411" w:rsidP="00F13411">
      <w:r w:rsidRPr="00FA1A19">
        <w:t xml:space="preserve">The Board notes </w:t>
      </w:r>
      <w:r w:rsidR="00E92997" w:rsidRPr="00FA1A19">
        <w:t xml:space="preserve">that </w:t>
      </w:r>
      <w:r w:rsidRPr="00FA1A19">
        <w:t xml:space="preserve">there are circumstances </w:t>
      </w:r>
      <w:r w:rsidR="004E7C34" w:rsidRPr="00FA1A19">
        <w:t xml:space="preserve">in </w:t>
      </w:r>
      <w:r w:rsidRPr="00FA1A19">
        <w:t xml:space="preserve">which a taxpayer may receive a return on </w:t>
      </w:r>
      <w:r w:rsidR="004E7C34" w:rsidRPr="00FA1A19">
        <w:t xml:space="preserve">a holding of </w:t>
      </w:r>
      <w:r w:rsidRPr="00FA1A19">
        <w:t>crypto asset</w:t>
      </w:r>
      <w:r w:rsidR="004E7C34" w:rsidRPr="00FA1A19">
        <w:t>s</w:t>
      </w:r>
      <w:r w:rsidRPr="00FA1A19">
        <w:t>, such as a staking reward.</w:t>
      </w:r>
      <w:r w:rsidR="004F0A51" w:rsidRPr="00FA1A19">
        <w:t xml:space="preserve"> </w:t>
      </w:r>
      <w:r w:rsidRPr="00FA1A19">
        <w:t>Notwithstanding the application of the capital/revenue principles that may apply in relation to the underlying crypto asset, where a return paid on a crypto asset has the characteristics of ordinary income, such as periodicity, recurrence or regularity, such amount will be included in the taxpayer</w:t>
      </w:r>
      <w:r w:rsidR="00F75232">
        <w:t>’</w:t>
      </w:r>
      <w:r w:rsidRPr="00FA1A19">
        <w:t>s ordinary income.</w:t>
      </w:r>
      <w:r w:rsidRPr="00170ADC">
        <w:rPr>
          <w:rStyle w:val="FootnoteReference"/>
        </w:rPr>
        <w:footnoteReference w:id="352"/>
      </w:r>
      <w:r w:rsidRPr="00FA1A19">
        <w:t xml:space="preserve"> </w:t>
      </w:r>
    </w:p>
    <w:p w14:paraId="417E3F53" w14:textId="48E713CA" w:rsidR="00F13411" w:rsidRPr="00FA1A19" w:rsidRDefault="00F13411" w:rsidP="00F13411">
      <w:r w:rsidRPr="00FA1A19">
        <w:t xml:space="preserve">As would be the case with any asset where a return is derived, the taxation of income earned on an asset </w:t>
      </w:r>
      <w:r w:rsidR="00115173" w:rsidRPr="00FA1A19">
        <w:t>does not determine</w:t>
      </w:r>
      <w:r w:rsidRPr="00FA1A19">
        <w:t xml:space="preserve"> the taxation treatment of any ultimate </w:t>
      </w:r>
      <w:r w:rsidR="001E41F8" w:rsidRPr="00FA1A19">
        <w:t xml:space="preserve">profit </w:t>
      </w:r>
      <w:r w:rsidRPr="00FA1A19">
        <w:t xml:space="preserve">or loss on </w:t>
      </w:r>
      <w:r w:rsidR="001E41F8" w:rsidRPr="00FA1A19">
        <w:t xml:space="preserve">disposal of </w:t>
      </w:r>
      <w:r w:rsidRPr="00FA1A19">
        <w:t>the underlying asset. Hence, a taxpayer may have the obligation to declare returns on crypto assets on revenue account, whil</w:t>
      </w:r>
      <w:r w:rsidR="007E33E4" w:rsidRPr="00FA1A19">
        <w:t>st</w:t>
      </w:r>
      <w:r w:rsidRPr="00FA1A19">
        <w:t xml:space="preserve"> still holding the underlying assets on capital account and</w:t>
      </w:r>
      <w:r w:rsidR="007E33E4" w:rsidRPr="00FA1A19">
        <w:t xml:space="preserve"> </w:t>
      </w:r>
      <w:r w:rsidRPr="00FA1A19">
        <w:t xml:space="preserve">being subject to </w:t>
      </w:r>
      <w:r w:rsidR="00B60820" w:rsidRPr="00FA1A19">
        <w:t>capital gains tax (see below)</w:t>
      </w:r>
      <w:r w:rsidRPr="00FA1A19">
        <w:t xml:space="preserve"> on disposal. This is consistent with the ATO</w:t>
      </w:r>
      <w:r w:rsidR="00F75232">
        <w:t>’</w:t>
      </w:r>
      <w:r w:rsidRPr="00FA1A19">
        <w:t>s current guidance on staking rewards.</w:t>
      </w:r>
      <w:r w:rsidRPr="00170ADC">
        <w:rPr>
          <w:rStyle w:val="FootnoteReference"/>
        </w:rPr>
        <w:footnoteReference w:id="353"/>
      </w:r>
      <w:r w:rsidRPr="00FA1A19">
        <w:t xml:space="preserve"> </w:t>
      </w:r>
    </w:p>
    <w:p w14:paraId="46B95126" w14:textId="339B4DA2" w:rsidR="00DF0627" w:rsidRPr="00FA1A19" w:rsidRDefault="00F13411" w:rsidP="0069352C">
      <w:pPr>
        <w:pStyle w:val="Heading4"/>
      </w:pPr>
      <w:r w:rsidRPr="00FA1A19">
        <w:t>Ordinary income from i</w:t>
      </w:r>
      <w:r w:rsidR="00DF0627" w:rsidRPr="00FA1A19">
        <w:t>solated transactions</w:t>
      </w:r>
    </w:p>
    <w:p w14:paraId="4E6AFC04" w14:textId="6691AA90" w:rsidR="00DF0627" w:rsidRPr="00FA1A19" w:rsidRDefault="00F64B59" w:rsidP="00DF0627">
      <w:r w:rsidRPr="00FA1A19">
        <w:t>A</w:t>
      </w:r>
      <w:r w:rsidR="00C536E2" w:rsidRPr="00FA1A19">
        <w:t>n isolated</w:t>
      </w:r>
      <w:r w:rsidR="00DF0627" w:rsidRPr="00FA1A19">
        <w:t xml:space="preserve"> transaction that that is not entered into as part of a business conducted by a taxpayer, may still give rise to ordinary income. The key authority is the High Court decision in </w:t>
      </w:r>
      <w:r w:rsidR="00DF0627" w:rsidRPr="00813896">
        <w:rPr>
          <w:rStyle w:val="Emphasis"/>
        </w:rPr>
        <w:t>Commissioner of Taxation v Myer Emporium Ltd</w:t>
      </w:r>
      <w:r w:rsidR="00DF0627" w:rsidRPr="00FA1A19">
        <w:t xml:space="preserve"> [1987] HCA 18 (Myer Emporium). In that case it was held that a receipt may constitute income if it arises from an isolated business operation or commercial transaction entered into otherwise than in the course of carrying on the taxpayer</w:t>
      </w:r>
      <w:r w:rsidR="00F75232">
        <w:t>’</w:t>
      </w:r>
      <w:r w:rsidR="00DF0627" w:rsidRPr="00FA1A19">
        <w:t>s business, so long as the taxpayer entered into the transaction with the purpose of making a profit or gain from the transaction.</w:t>
      </w:r>
    </w:p>
    <w:p w14:paraId="7952FDCA" w14:textId="7F04F497" w:rsidR="00DF0627" w:rsidRPr="00FA1A19" w:rsidRDefault="00DF0627" w:rsidP="00DF0627">
      <w:r w:rsidRPr="00FA1A19">
        <w:t>The Commissioner</w:t>
      </w:r>
      <w:r w:rsidR="00F75232">
        <w:t>’</w:t>
      </w:r>
      <w:r w:rsidRPr="00FA1A19">
        <w:t xml:space="preserve">s views in relation to the application of the principles in the </w:t>
      </w:r>
      <w:r w:rsidRPr="00813896">
        <w:rPr>
          <w:rStyle w:val="Emphasis"/>
        </w:rPr>
        <w:t>Myer Emporium</w:t>
      </w:r>
      <w:r w:rsidRPr="00FA1A19">
        <w:t xml:space="preserve"> decision are set out in </w:t>
      </w:r>
      <w:hyperlink r:id="rId52" w:history="1">
        <w:r w:rsidRPr="009D41B8">
          <w:rPr>
            <w:rStyle w:val="Emphasis"/>
            <w:i w:val="0"/>
            <w:iCs w:val="0"/>
          </w:rPr>
          <w:t>TR 92/3</w:t>
        </w:r>
      </w:hyperlink>
      <w:r w:rsidR="00A50801">
        <w:rPr>
          <w:rStyle w:val="Emphasis"/>
          <w:i w:val="0"/>
          <w:iCs w:val="0"/>
        </w:rPr>
        <w:t>, where</w:t>
      </w:r>
      <w:r w:rsidRPr="009D41B8">
        <w:rPr>
          <w:rStyle w:val="Emphasis"/>
          <w:i w:val="0"/>
          <w:iCs w:val="0"/>
        </w:rPr>
        <w:t xml:space="preserve"> </w:t>
      </w:r>
      <w:r w:rsidRPr="00FA1A19">
        <w:t xml:space="preserve">the Commissioner states that following </w:t>
      </w:r>
      <w:r w:rsidRPr="00813896">
        <w:rPr>
          <w:rStyle w:val="Emphasis"/>
        </w:rPr>
        <w:t>Myer Emporium</w:t>
      </w:r>
      <w:r w:rsidRPr="00FA1A19">
        <w:t>, a profit from an isolated transaction is generally income when both of the following elements are present:</w:t>
      </w:r>
    </w:p>
    <w:p w14:paraId="7FDF3480" w14:textId="3BAFAE8D" w:rsidR="00DF0627" w:rsidRPr="00FA1A19" w:rsidRDefault="00DF0627" w:rsidP="007E6816">
      <w:pPr>
        <w:pStyle w:val="Bullet"/>
      </w:pPr>
      <w:r w:rsidRPr="00FA1A19">
        <w:t xml:space="preserve">the intention or purpose of the taxpayer in entering into the transaction was to make a profit or </w:t>
      </w:r>
      <w:r w:rsidRPr="00FA1A19">
        <w:rPr>
          <w:rFonts w:cstheme="minorBidi"/>
        </w:rPr>
        <w:t>gain</w:t>
      </w:r>
    </w:p>
    <w:p w14:paraId="30EE1819" w14:textId="7374DFED" w:rsidR="00DF0627" w:rsidRPr="00FA1A19" w:rsidRDefault="00DF0627" w:rsidP="007E6816">
      <w:pPr>
        <w:pStyle w:val="Bullet"/>
      </w:pPr>
      <w:r w:rsidRPr="00FA1A19">
        <w:t xml:space="preserve">the </w:t>
      </w:r>
      <w:r w:rsidRPr="00FA1A19">
        <w:rPr>
          <w:rFonts w:cstheme="minorBidi"/>
        </w:rPr>
        <w:t>transaction</w:t>
      </w:r>
      <w:r w:rsidRPr="00FA1A19">
        <w:t xml:space="preserve"> was entered into, and the profit was made, in the course of carrying on a business or in carrying out a business operation or commercial transaction.</w:t>
      </w:r>
    </w:p>
    <w:p w14:paraId="261D5E4F" w14:textId="303E9E93" w:rsidR="00EA6F1C" w:rsidRPr="00FA1A19" w:rsidRDefault="00EA6F1C" w:rsidP="00EA6F1C">
      <w:r w:rsidRPr="00FA1A19">
        <w:t>An amount that is not ordinary income may still form part of a taxpayer</w:t>
      </w:r>
      <w:r w:rsidR="00F75232">
        <w:t>’</w:t>
      </w:r>
      <w:r w:rsidRPr="00FA1A19">
        <w:t>s assessable income to the extent that it is statutory income, with an extensive list of provisions establishing assessable statutory income amounts.</w:t>
      </w:r>
      <w:r w:rsidRPr="00170ADC">
        <w:rPr>
          <w:rStyle w:val="FootnoteReference"/>
        </w:rPr>
        <w:footnoteReference w:id="354"/>
      </w:r>
    </w:p>
    <w:p w14:paraId="61EC9A07" w14:textId="52C85795" w:rsidR="00B07F1D" w:rsidRPr="00FA1A19" w:rsidRDefault="00B07F1D" w:rsidP="00342121">
      <w:pPr>
        <w:pStyle w:val="Heading3"/>
      </w:pPr>
      <w:r w:rsidRPr="00FA1A19">
        <w:t>Trading Stock</w:t>
      </w:r>
    </w:p>
    <w:p w14:paraId="79787E21" w14:textId="2053F881" w:rsidR="00505893" w:rsidRPr="00FA1A19" w:rsidRDefault="00505893" w:rsidP="007E6816">
      <w:r w:rsidRPr="00FA1A19">
        <w:rPr>
          <w:rFonts w:cstheme="minorBidi"/>
        </w:rPr>
        <w:t xml:space="preserve">Where a business involves trading stock, the trading stock rules in Division 70 of </w:t>
      </w:r>
      <w:r w:rsidR="00A41BE6">
        <w:rPr>
          <w:rFonts w:cstheme="minorBidi"/>
        </w:rPr>
        <w:t xml:space="preserve">the </w:t>
      </w:r>
      <w:r w:rsidRPr="00FA1A19">
        <w:rPr>
          <w:rFonts w:cstheme="minorBidi"/>
        </w:rPr>
        <w:t>ITAA 1997 will apply.</w:t>
      </w:r>
      <w:r w:rsidR="004F0A51" w:rsidRPr="00FA1A19">
        <w:rPr>
          <w:rFonts w:cstheme="minorBidi"/>
        </w:rPr>
        <w:t xml:space="preserve"> </w:t>
      </w:r>
      <w:r w:rsidRPr="00FA1A19">
        <w:t xml:space="preserve">Relevantly, trading stock is defined as </w:t>
      </w:r>
      <w:r w:rsidR="00F75232">
        <w:t>‘</w:t>
      </w:r>
      <w:r w:rsidRPr="007E6816">
        <w:t>anything</w:t>
      </w:r>
      <w:r w:rsidRPr="00FA1A19">
        <w:t xml:space="preserve"> produced, manufactured or acquired that is held for the purposes of manufacture, sale or exchange in the ordinary course of a business</w:t>
      </w:r>
      <w:r w:rsidR="00F75232">
        <w:t>’</w:t>
      </w:r>
      <w:r w:rsidRPr="00FA1A19">
        <w:t>.</w:t>
      </w:r>
      <w:r w:rsidRPr="00170ADC">
        <w:rPr>
          <w:rStyle w:val="FootnoteReference"/>
        </w:rPr>
        <w:footnoteReference w:id="355"/>
      </w:r>
      <w:r w:rsidR="004F0A51" w:rsidRPr="00FA1A19">
        <w:t xml:space="preserve"> </w:t>
      </w:r>
      <w:r w:rsidRPr="00FA1A19">
        <w:t xml:space="preserve">Where the trading stock measures apply: </w:t>
      </w:r>
    </w:p>
    <w:p w14:paraId="1E8BB795" w14:textId="32E01843" w:rsidR="00505893" w:rsidRPr="00FA1A19" w:rsidRDefault="00112468" w:rsidP="007E6816">
      <w:pPr>
        <w:pStyle w:val="Bullet"/>
        <w:rPr>
          <w:rFonts w:cstheme="minorHAnsi"/>
        </w:rPr>
      </w:pPr>
      <w:r>
        <w:t>t</w:t>
      </w:r>
      <w:r w:rsidRPr="00FA1A19">
        <w:t xml:space="preserve">he </w:t>
      </w:r>
      <w:r w:rsidR="00505893" w:rsidRPr="00FA1A19">
        <w:t>cost of acquiring trading stock is generally deductible</w:t>
      </w:r>
    </w:p>
    <w:p w14:paraId="710E841A" w14:textId="207AA9D4" w:rsidR="00505893" w:rsidRPr="00FA1A19" w:rsidRDefault="00112468" w:rsidP="007E6816">
      <w:pPr>
        <w:pStyle w:val="Bullet"/>
        <w:rPr>
          <w:rFonts w:cstheme="minorHAnsi"/>
        </w:rPr>
      </w:pPr>
      <w:r>
        <w:t>t</w:t>
      </w:r>
      <w:r w:rsidRPr="00FA1A19">
        <w:t xml:space="preserve">he </w:t>
      </w:r>
      <w:r w:rsidR="00505893" w:rsidRPr="00FA1A19">
        <w:t xml:space="preserve">proceeds from selling trading stock are generally assessable as ordinary income </w:t>
      </w:r>
    </w:p>
    <w:p w14:paraId="54EEC365" w14:textId="1CD1FA57" w:rsidR="00505893" w:rsidRPr="00FA1A19" w:rsidRDefault="00112468" w:rsidP="007E6816">
      <w:pPr>
        <w:pStyle w:val="Bullet"/>
      </w:pPr>
      <w:r>
        <w:t>w</w:t>
      </w:r>
      <w:r w:rsidRPr="00FA1A19">
        <w:t xml:space="preserve">here </w:t>
      </w:r>
      <w:r w:rsidR="00505893" w:rsidRPr="00FA1A19">
        <w:t>trading stock is on hand at the end of a year of income, the trading stock is generally required to be valued in accordance with specific rules. Under those rules, the value of the trading stock on hand at the start and end of the income year is compared. Where the value of trading stock at the end of the year of income exceeds the value at the start of the year of income, the difference is included in assessable income. Where the value of trading stock at the end of the year of income is less than the value at the start of the year of income, the difference gives rise to a deduction.</w:t>
      </w:r>
      <w:r w:rsidR="00505893" w:rsidRPr="00170ADC">
        <w:rPr>
          <w:rStyle w:val="FootnoteReference"/>
        </w:rPr>
        <w:footnoteReference w:id="356"/>
      </w:r>
    </w:p>
    <w:p w14:paraId="0311D9DD" w14:textId="5F02E209" w:rsidR="00DF0627" w:rsidRPr="00FA1A19" w:rsidRDefault="00505893" w:rsidP="004D7686">
      <w:r w:rsidRPr="00FA1A19">
        <w:t>The trading stock measures therefore</w:t>
      </w:r>
      <w:r w:rsidRPr="00FA1A19">
        <w:rPr>
          <w:rFonts w:cstheme="minorBidi"/>
        </w:rPr>
        <w:t xml:space="preserve"> generally ensure that the deduction for the cost of an item of trading stock occurs in the same year that the proceeds for the disposal are recognised. </w:t>
      </w:r>
      <w:r w:rsidRPr="00FA1A19">
        <w:t>Importantly, the trading stock measures are only relevant to taxpayers that carry on a business.</w:t>
      </w:r>
    </w:p>
    <w:p w14:paraId="184D50B5" w14:textId="0323D34E" w:rsidR="00505893" w:rsidRPr="00FA1A19" w:rsidRDefault="00D76E69" w:rsidP="00342121">
      <w:pPr>
        <w:pStyle w:val="Heading3"/>
      </w:pPr>
      <w:r w:rsidRPr="00FA1A19">
        <w:t>Capital Gains Tax</w:t>
      </w:r>
    </w:p>
    <w:p w14:paraId="691DDD3C" w14:textId="35206287" w:rsidR="00505893" w:rsidRPr="007E6816" w:rsidRDefault="00505893" w:rsidP="007E6816">
      <w:r w:rsidRPr="007E6816">
        <w:t>Transactions that are regarded as being on capital account are generally subject to taxation under the CGT measures in Part 3</w:t>
      </w:r>
      <w:r w:rsidR="00F75232">
        <w:noBreakHyphen/>
      </w:r>
      <w:r w:rsidRPr="007E6816">
        <w:t xml:space="preserve">1 of the ITAA 1997. </w:t>
      </w:r>
    </w:p>
    <w:p w14:paraId="4289B30F" w14:textId="378FCAFE" w:rsidR="009C0313" w:rsidRPr="007E6816" w:rsidRDefault="00E47CFC" w:rsidP="007E6816">
      <w:r w:rsidRPr="007E6816">
        <w:t>Under</w:t>
      </w:r>
      <w:r w:rsidR="00505893" w:rsidRPr="007E6816">
        <w:t xml:space="preserve"> Part 3</w:t>
      </w:r>
      <w:r w:rsidR="00F75232">
        <w:noBreakHyphen/>
      </w:r>
      <w:r w:rsidR="00505893" w:rsidRPr="007E6816">
        <w:t xml:space="preserve">1 </w:t>
      </w:r>
      <w:r w:rsidRPr="007E6816">
        <w:t xml:space="preserve">and </w:t>
      </w:r>
      <w:r w:rsidR="00505893" w:rsidRPr="007E6816">
        <w:t xml:space="preserve">in summary, a capital gain or capital loss only arises where a CGT event takes place. CGT events are listed in Division 104 of the ITAA 1997. Most CGT events involve a </w:t>
      </w:r>
      <w:r w:rsidR="00F75232">
        <w:t>‘</w:t>
      </w:r>
      <w:r w:rsidR="00505893" w:rsidRPr="007E6816">
        <w:t>CGT asset</w:t>
      </w:r>
      <w:r w:rsidR="00F75232">
        <w:t>’</w:t>
      </w:r>
      <w:r w:rsidR="00505893" w:rsidRPr="007E6816">
        <w:t xml:space="preserve"> but this is not always the case.</w:t>
      </w:r>
      <w:r w:rsidR="004F0A51" w:rsidRPr="007E6816">
        <w:t xml:space="preserve"> </w:t>
      </w:r>
    </w:p>
    <w:p w14:paraId="4310B388" w14:textId="106E17DA" w:rsidR="00505893" w:rsidRPr="00FA1A19" w:rsidRDefault="00505893" w:rsidP="00505893">
      <w:r w:rsidRPr="00FA1A19">
        <w:t>CGT event A1 is a key CGT event that deals with the disposal of a CGT asset</w:t>
      </w:r>
      <w:r w:rsidR="009F4939">
        <w:t>, however the Board note</w:t>
      </w:r>
      <w:r w:rsidR="000A0C74">
        <w:t>s that other events may apply where an asset is created, lost or destroyed.</w:t>
      </w:r>
      <w:r w:rsidRPr="00FA1A19">
        <w:t xml:space="preserve"> In summary, a disposal for the purposes of CGT event A1 refers to a change of ownership in the relevant CGT asset</w:t>
      </w:r>
      <w:r w:rsidR="002737FD" w:rsidRPr="00FA1A19">
        <w:t>, except where there is no change in beneficial ownership</w:t>
      </w:r>
      <w:r w:rsidRPr="00FA1A19">
        <w:t>.</w:t>
      </w:r>
      <w:r w:rsidRPr="00170ADC">
        <w:rPr>
          <w:rStyle w:val="FootnoteReference"/>
        </w:rPr>
        <w:footnoteReference w:id="357"/>
      </w:r>
    </w:p>
    <w:p w14:paraId="72C44158" w14:textId="288D6D38" w:rsidR="00505893" w:rsidRPr="00FA1A19" w:rsidRDefault="00505893" w:rsidP="00505893">
      <w:r w:rsidRPr="00FA1A19">
        <w:t xml:space="preserve">Where the CGT rules apply, the calculation of the relevant capital gain or capital loss is determined based on specific rules. For many CGT events, a capital gain or capital loss is determined by comparing the cost base (or reduced cost base) of the asset with the capital proceeds from the CGT event. The rules prescribe the items that are included in the cost base </w:t>
      </w:r>
      <w:r w:rsidR="002737FD" w:rsidRPr="00FA1A19">
        <w:t>(</w:t>
      </w:r>
      <w:r w:rsidRPr="00FA1A19">
        <w:t>or reduced cost base</w:t>
      </w:r>
      <w:r w:rsidR="002737FD" w:rsidRPr="00FA1A19">
        <w:t>)</w:t>
      </w:r>
      <w:r w:rsidRPr="00FA1A19">
        <w:t xml:space="preserve"> and capital proceeds. These rules differ as between different CGT events.</w:t>
      </w:r>
    </w:p>
    <w:p w14:paraId="6E0BBE1C" w14:textId="743C0092" w:rsidR="00505893" w:rsidRPr="00FA1A19" w:rsidRDefault="00505893" w:rsidP="00505893">
      <w:r w:rsidRPr="00FA1A19">
        <w:t xml:space="preserve">Given other taxation rules may also have application, certain exemptions and </w:t>
      </w:r>
      <w:r w:rsidR="00F75232">
        <w:t>‘</w:t>
      </w:r>
      <w:r w:rsidRPr="00FA1A19">
        <w:t>anti</w:t>
      </w:r>
      <w:r w:rsidR="00F75232">
        <w:noBreakHyphen/>
      </w:r>
      <w:r w:rsidRPr="00FA1A19">
        <w:t>overlap</w:t>
      </w:r>
      <w:r w:rsidR="00F75232">
        <w:t>’</w:t>
      </w:r>
      <w:r w:rsidRPr="00FA1A19">
        <w:t xml:space="preserve"> rules are included to avoid multiple provisions having application to the same transaction.</w:t>
      </w:r>
    </w:p>
    <w:p w14:paraId="53891CCD" w14:textId="04BC0379" w:rsidR="00505893" w:rsidRPr="00FA1A19" w:rsidRDefault="00505893" w:rsidP="00505893">
      <w:r w:rsidRPr="00FA1A19">
        <w:t xml:space="preserve">Under the CGT rules, a significant measure is the ability to treat a capital gain as a </w:t>
      </w:r>
      <w:r w:rsidRPr="00813896">
        <w:rPr>
          <w:rStyle w:val="Emphasis"/>
        </w:rPr>
        <w:t xml:space="preserve">discount capital gain. </w:t>
      </w:r>
      <w:r w:rsidRPr="00FA1A19">
        <w:t>This treatment is generally only available to Australian resident individual, trustee or superannuation fund taxpayers</w:t>
      </w:r>
      <w:r w:rsidR="00F41555" w:rsidRPr="00FA1A19">
        <w:t>: t</w:t>
      </w:r>
      <w:r w:rsidRPr="00FA1A19">
        <w:t>he CGT discount is generally not available to corporate or non</w:t>
      </w:r>
      <w:r w:rsidR="00F75232">
        <w:noBreakHyphen/>
      </w:r>
      <w:r w:rsidRPr="00FA1A19">
        <w:t>resident taxpayers. In summary, where relevant eligibility criteria are met, including that the underlying asset has been held for more than 12 months</w:t>
      </w:r>
      <w:r w:rsidRPr="00170ADC">
        <w:rPr>
          <w:rStyle w:val="FootnoteReference"/>
        </w:rPr>
        <w:footnoteReference w:id="358"/>
      </w:r>
      <w:r w:rsidRPr="00FA1A19">
        <w:t>, a capital gain (after the application of any available capital losses) is reduced by up to 50%</w:t>
      </w:r>
      <w:r w:rsidRPr="00170ADC">
        <w:rPr>
          <w:rStyle w:val="FootnoteReference"/>
        </w:rPr>
        <w:footnoteReference w:id="359"/>
      </w:r>
      <w:r w:rsidRPr="00FA1A19">
        <w:t xml:space="preserve">. </w:t>
      </w:r>
    </w:p>
    <w:p w14:paraId="6F790A0E" w14:textId="0B8460A8" w:rsidR="006957B1" w:rsidRPr="00FA1A19" w:rsidRDefault="006957B1" w:rsidP="007E6816">
      <w:r w:rsidRPr="00FA1A19">
        <w:t>Capital gains are a type of statutory income that is included in assessable income.</w:t>
      </w:r>
      <w:r w:rsidR="004F0A51" w:rsidRPr="00FA1A19">
        <w:t xml:space="preserve"> </w:t>
      </w:r>
      <w:r w:rsidRPr="007E6816">
        <w:t>Where</w:t>
      </w:r>
      <w:r w:rsidRPr="00FA1A19">
        <w:t xml:space="preserve"> a taxpayer makes a capital loss, these can only be offset against capital gains.</w:t>
      </w:r>
      <w:r w:rsidR="004F0A51" w:rsidRPr="00FA1A19">
        <w:t xml:space="preserve"> </w:t>
      </w:r>
      <w:r w:rsidRPr="00FA1A19">
        <w:t>Where a taxpayer makes net capital losses in a year, these are carried forward and can be offset against capital gains in future years.</w:t>
      </w:r>
    </w:p>
    <w:p w14:paraId="2BAB0985" w14:textId="77777777" w:rsidR="009B6F08" w:rsidRDefault="009B6F08" w:rsidP="009B6F08">
      <w:pPr>
        <w:pStyle w:val="Heading3"/>
      </w:pPr>
      <w:r>
        <w:t xml:space="preserve">Taxation </w:t>
      </w:r>
      <w:r w:rsidRPr="00587CF7">
        <w:t>of</w:t>
      </w:r>
      <w:r>
        <w:t xml:space="preserve"> financial arrangements</w:t>
      </w:r>
    </w:p>
    <w:p w14:paraId="5B9902F7" w14:textId="6A95C8BB" w:rsidR="009B6F08" w:rsidRDefault="009B6F08" w:rsidP="009B6F08">
      <w:r>
        <w:t>While the principles set out above generally apply to determine the appropriate taxation treatment of gains and losses, certain taxpayers may be required, or elect, to apply the provisions in Division 230 of the ITAA 1997 in relation to the taxation of financial arrangements</w:t>
      </w:r>
      <w:r w:rsidR="00C418ED">
        <w:t xml:space="preserve"> (TOFA)</w:t>
      </w:r>
      <w:r>
        <w:t>.</w:t>
      </w:r>
      <w:r w:rsidRPr="0067698B">
        <w:t xml:space="preserve"> </w:t>
      </w:r>
    </w:p>
    <w:p w14:paraId="18139ACB" w14:textId="01202287" w:rsidR="009B6F08" w:rsidRPr="008E10B0" w:rsidRDefault="009B6F08" w:rsidP="009B6F08">
      <w:r>
        <w:t>T</w:t>
      </w:r>
      <w:r w:rsidRPr="008E10B0">
        <w:t xml:space="preserve">he </w:t>
      </w:r>
      <w:r w:rsidR="002E74CB">
        <w:t>TOFA</w:t>
      </w:r>
      <w:r w:rsidRPr="008E10B0">
        <w:t xml:space="preserve"> rules apply to all </w:t>
      </w:r>
      <w:r w:rsidR="00F75232">
        <w:t>‘</w:t>
      </w:r>
      <w:r w:rsidRPr="008E10B0">
        <w:t>financial arrangements</w:t>
      </w:r>
      <w:r w:rsidR="00F75232">
        <w:t>’</w:t>
      </w:r>
      <w:r w:rsidRPr="008E10B0">
        <w:t xml:space="preserve"> as defined (noting that certain financial arrangements are expressly excluded)</w:t>
      </w:r>
      <w:r w:rsidR="00A96C2B">
        <w:t xml:space="preserve"> and</w:t>
      </w:r>
      <w:r w:rsidRPr="008E10B0">
        <w:t xml:space="preserve"> any gains made under a financial arrangement are assessable and any losses are deductible</w:t>
      </w:r>
      <w:r w:rsidR="00F75232">
        <w:t xml:space="preserve">. </w:t>
      </w:r>
      <w:r w:rsidRPr="008E10B0">
        <w:t>Division 230</w:t>
      </w:r>
      <w:r w:rsidR="00A96C2B">
        <w:t xml:space="preserve"> of the ITAA 1997</w:t>
      </w:r>
      <w:r w:rsidRPr="008E10B0">
        <w:t xml:space="preserve"> provides a range of elective methods for determining gains and losses. Where these elective methods are not adopted, the default methods (being either the accruals or the realisation method) apply. </w:t>
      </w:r>
    </w:p>
    <w:p w14:paraId="5727B1EA" w14:textId="5191C369" w:rsidR="009B6F08" w:rsidRDefault="009B6F08" w:rsidP="009B6F08">
      <w:r w:rsidRPr="008E10B0">
        <w:t>The TOFA rules do not apply to all taxpayers. The general position is that gains or losses from financial arrangements that arise to entities that do not satisfy specified threshold tests are not subject to TOFA. It is, however, possible for an entity that is not mandatorily subject to TOFA to elect into the regime</w:t>
      </w:r>
      <w:r w:rsidR="00F75232">
        <w:t xml:space="preserve">. </w:t>
      </w:r>
    </w:p>
    <w:p w14:paraId="47258C35" w14:textId="1DAED4D5" w:rsidR="00710C7F" w:rsidRPr="00FA1A19" w:rsidRDefault="00710C7F" w:rsidP="00342121">
      <w:pPr>
        <w:pStyle w:val="Heading3"/>
      </w:pPr>
      <w:r w:rsidRPr="00FA1A19">
        <w:t>Deductions</w:t>
      </w:r>
    </w:p>
    <w:p w14:paraId="5CCDD0AC" w14:textId="6ADFBF87" w:rsidR="00E44F5F" w:rsidRPr="00FA1A19" w:rsidRDefault="00495D9B" w:rsidP="00E44F5F">
      <w:r w:rsidRPr="00FA1A19">
        <w:t>I</w:t>
      </w:r>
      <w:r w:rsidR="00E44F5F" w:rsidRPr="00FA1A19">
        <w:t xml:space="preserve">n conjunction with determining the appropriate </w:t>
      </w:r>
      <w:r w:rsidR="004B4BD9" w:rsidRPr="00FA1A19">
        <w:t>treatment</w:t>
      </w:r>
      <w:r w:rsidR="00E44F5F" w:rsidRPr="00FA1A19">
        <w:t xml:space="preserve"> of profits or </w:t>
      </w:r>
      <w:r w:rsidR="00030E26" w:rsidRPr="00FA1A19">
        <w:t>gains</w:t>
      </w:r>
      <w:r w:rsidR="004B4BD9" w:rsidRPr="00FA1A19">
        <w:t xml:space="preserve"> from digital assets and transactions</w:t>
      </w:r>
      <w:r w:rsidR="00E44F5F" w:rsidRPr="00FA1A19">
        <w:t xml:space="preserve">, taxpayers will need to determine the appropriate treatment of </w:t>
      </w:r>
      <w:r w:rsidR="00B94AFE" w:rsidRPr="00FA1A19">
        <w:t>expenditure</w:t>
      </w:r>
      <w:r w:rsidR="00E44F5F" w:rsidRPr="00FA1A19">
        <w:t xml:space="preserve"> incurred in connection with their crypto asset activities. </w:t>
      </w:r>
    </w:p>
    <w:p w14:paraId="5ECB3E42" w14:textId="77777777" w:rsidR="00E44F5F" w:rsidRPr="00FA1A19" w:rsidRDefault="00E44F5F" w:rsidP="00E44F5F">
      <w:r w:rsidRPr="00FA1A19">
        <w:t xml:space="preserve">The Board notes in this regard that the ATO does not provide any specific public guidance in relation to deductions for crypto asset activities on the main web page or binding rulings. </w:t>
      </w:r>
    </w:p>
    <w:p w14:paraId="362059C5" w14:textId="0D3AE248" w:rsidR="00E44F5F" w:rsidRPr="00FA1A19" w:rsidRDefault="00E44F5F" w:rsidP="00E44F5F">
      <w:r w:rsidRPr="00FA1A19">
        <w:t>There should be no difference in the deductibility of expenses relating to crypto asset activities to that of non</w:t>
      </w:r>
      <w:r w:rsidR="00F75232">
        <w:noBreakHyphen/>
      </w:r>
      <w:r w:rsidRPr="00FA1A19">
        <w:t>crypto asset activities.</w:t>
      </w:r>
      <w:r w:rsidR="004F0A51" w:rsidRPr="00FA1A19">
        <w:t xml:space="preserve"> </w:t>
      </w:r>
      <w:r w:rsidRPr="00FA1A19">
        <w:t>A taxpayer may be entitled to a general deduction for a loss or outgoing to the extent that it is incurred in gaining or producing assessable income or is necessarily incurred in carrying on a business for the purpose of gaining or producing assessable income. However,</w:t>
      </w:r>
      <w:r w:rsidRPr="00FA1A19" w:rsidDel="00A80820">
        <w:t xml:space="preserve"> </w:t>
      </w:r>
      <w:r w:rsidRPr="00FA1A19">
        <w:t>an item of expenditure cannot be deducted to the extent that it is capital, private or domestic in nature; incurred in relation to gaining or producing exempt income or non</w:t>
      </w:r>
      <w:r w:rsidR="00F75232">
        <w:noBreakHyphen/>
      </w:r>
      <w:r w:rsidRPr="00FA1A19">
        <w:t>assessable non</w:t>
      </w:r>
      <w:r w:rsidR="00F75232">
        <w:noBreakHyphen/>
      </w:r>
      <w:r w:rsidRPr="00FA1A19">
        <w:t>exempt income; or prevented from being deductible under a provision of the income tax legislation.</w:t>
      </w:r>
      <w:r w:rsidRPr="00170ADC">
        <w:rPr>
          <w:rStyle w:val="FootnoteReference"/>
        </w:rPr>
        <w:footnoteReference w:id="360"/>
      </w:r>
    </w:p>
    <w:p w14:paraId="1220B4B5" w14:textId="3C9FCEFF" w:rsidR="00E44F5F" w:rsidRPr="00FA1A19" w:rsidRDefault="00E44F5F" w:rsidP="00E44F5F">
      <w:r w:rsidRPr="00FA1A19">
        <w:t xml:space="preserve">Crypto asset users may incur a variety of expenses relating to their activities </w:t>
      </w:r>
      <w:r w:rsidR="008634F7" w:rsidRPr="00FA1A19">
        <w:t>(such as interest on loans</w:t>
      </w:r>
      <w:r w:rsidR="003F2B52" w:rsidRPr="00FA1A19">
        <w:t xml:space="preserve"> in </w:t>
      </w:r>
      <w:r w:rsidR="00A047C6" w:rsidRPr="00FA1A19">
        <w:t>fiat currency</w:t>
      </w:r>
      <w:r w:rsidR="008634F7" w:rsidRPr="00FA1A19">
        <w:t xml:space="preserve"> to acquire digital assets)</w:t>
      </w:r>
      <w:r w:rsidRPr="00FA1A19">
        <w:t xml:space="preserve"> and the ordinary rules of deductibility</w:t>
      </w:r>
      <w:r w:rsidR="008634F7" w:rsidRPr="00FA1A19">
        <w:t xml:space="preserve"> will apply</w:t>
      </w:r>
      <w:r w:rsidRPr="00FA1A19">
        <w:t>. While taxpayers transacting with crypto assets may incur many similar expenses to other taxpayers, such as investment adviser fees, record keeping costs and transactional fees, the unique nature of crypto assets means that these taxpayers may incur costs that are particular to crypto assets. For example, taxpayers undertaking mining activities incur significant energy costs. Visual Capital estimated that in July 2022, the cost to mine one bitcoin in Australia was US</w:t>
      </w:r>
      <w:r w:rsidR="00B84794">
        <w:t xml:space="preserve">D </w:t>
      </w:r>
      <w:r w:rsidRPr="00FA1A19">
        <w:t>40,623 resulting in an estimated loss for each bitcoin mined of over US</w:t>
      </w:r>
      <w:r w:rsidR="00B84794">
        <w:t>D</w:t>
      </w:r>
      <w:r w:rsidR="003939E4">
        <w:t> </w:t>
      </w:r>
      <w:r w:rsidRPr="00FA1A19">
        <w:t>20,000 at that time.</w:t>
      </w:r>
      <w:r w:rsidRPr="00170ADC">
        <w:rPr>
          <w:rStyle w:val="FootnoteReference"/>
        </w:rPr>
        <w:footnoteReference w:id="361"/>
      </w:r>
      <w:r w:rsidRPr="00FA1A19">
        <w:t xml:space="preserve"> To the extent that a taxpayer is carrying on a business of mining activities for the purpose of making a profit, the taxpayer would be entitled to a deduction for these costs under the general deduction provisions, unless those costs are capital in nature and part of the cost of acquiring a CGT asset being a crypto asset in which case they would be included in the cost base of that asset).</w:t>
      </w:r>
    </w:p>
    <w:p w14:paraId="0BC14AF0" w14:textId="0B6D832C" w:rsidR="00E44F5F" w:rsidRPr="00FA1A19" w:rsidRDefault="00E44F5F" w:rsidP="00E44F5F">
      <w:r w:rsidRPr="00FA1A19">
        <w:t xml:space="preserve">To the extent that a taxpayer is carrying on activities in the nature of a hobby, they will not be entitled to any deduction for expenditure incurred in relation to their activities. </w:t>
      </w:r>
    </w:p>
    <w:p w14:paraId="55D54EEA" w14:textId="7A83A4DE" w:rsidR="005E1F4E" w:rsidRPr="00FA1A19" w:rsidRDefault="005E1F4E" w:rsidP="00E44F5F">
      <w:r w:rsidRPr="00FA1A19">
        <w:t>Expenditure that is characterised as being on capital account is not an allowable deduction, but may be included in the cost base of a capital asset for the purposes of the CGT regime and, if the cost base exceeds capital proceeds, there will be a capital loss.</w:t>
      </w:r>
      <w:r w:rsidR="004F0A51" w:rsidRPr="00FA1A19">
        <w:t xml:space="preserve"> </w:t>
      </w:r>
    </w:p>
    <w:p w14:paraId="7F743FB1" w14:textId="0E04DF30" w:rsidR="003063A4" w:rsidRPr="00FA1A19" w:rsidRDefault="003063A4" w:rsidP="00342121">
      <w:pPr>
        <w:pStyle w:val="Heading3"/>
      </w:pPr>
      <w:r w:rsidRPr="00FA1A19">
        <w:t>Treatment of Losses</w:t>
      </w:r>
    </w:p>
    <w:p w14:paraId="380C3D2D" w14:textId="4BDEAFDD" w:rsidR="007C18A6" w:rsidRDefault="0080120E" w:rsidP="00876D75">
      <w:r>
        <w:t>A tax loss arises w</w:t>
      </w:r>
      <w:r w:rsidRPr="00FA1A19">
        <w:t>here total deductions in a year exceed assessable income</w:t>
      </w:r>
      <w:r w:rsidR="006A7892">
        <w:t xml:space="preserve">. Subject to the satisfaction of specific loss rules, </w:t>
      </w:r>
      <w:r w:rsidRPr="00FA1A19">
        <w:t>tax losses are carried forward to be offset against assessable income in future years.</w:t>
      </w:r>
    </w:p>
    <w:p w14:paraId="6B0B35D6" w14:textId="4C3212E8" w:rsidR="00876D75" w:rsidRPr="00FA1A19" w:rsidRDefault="003F4595" w:rsidP="00876D75">
      <w:r w:rsidRPr="00FA1A19">
        <w:t xml:space="preserve">A significant difference between </w:t>
      </w:r>
      <w:r w:rsidR="007504A4" w:rsidRPr="00FA1A19">
        <w:t xml:space="preserve">a </w:t>
      </w:r>
      <w:r w:rsidRPr="00FA1A19">
        <w:t>crypto asset being held on revenue account compared with being held on capital account, is the treatment of losses.</w:t>
      </w:r>
    </w:p>
    <w:p w14:paraId="19F809EA" w14:textId="7B5EF976" w:rsidR="003F4595" w:rsidRPr="00FA1A19" w:rsidRDefault="003F4595" w:rsidP="00876D75">
      <w:r w:rsidRPr="00FA1A19">
        <w:t xml:space="preserve">This issue is particularly relevant where crypto asset holdings are concerned </w:t>
      </w:r>
      <w:r w:rsidR="00F55B37" w:rsidRPr="00FA1A19">
        <w:t xml:space="preserve">because of the price volatility. While high gains can </w:t>
      </w:r>
      <w:r w:rsidR="00CA76B3" w:rsidRPr="00FA1A19">
        <w:t xml:space="preserve">be </w:t>
      </w:r>
      <w:r w:rsidR="00F55B37" w:rsidRPr="00FA1A19">
        <w:t xml:space="preserve">realised, high losses can </w:t>
      </w:r>
      <w:r w:rsidR="007504A4" w:rsidRPr="00FA1A19">
        <w:t xml:space="preserve">also </w:t>
      </w:r>
      <w:r w:rsidR="00F55B37" w:rsidRPr="00FA1A19">
        <w:t xml:space="preserve">be made. </w:t>
      </w:r>
    </w:p>
    <w:p w14:paraId="2CA3F412" w14:textId="500B2728" w:rsidR="00136BE2" w:rsidRPr="00FA1A19" w:rsidRDefault="00136BE2" w:rsidP="00876D75">
      <w:r w:rsidRPr="00FA1A19">
        <w:t>Where a crypto asset is held on revenue account, any l</w:t>
      </w:r>
      <w:r w:rsidR="00015DCA" w:rsidRPr="00FA1A19">
        <w:t xml:space="preserve">oss on disposal will </w:t>
      </w:r>
      <w:r w:rsidR="00486325" w:rsidRPr="00FA1A19">
        <w:t xml:space="preserve">be characterised as </w:t>
      </w:r>
      <w:r w:rsidR="00B30F81" w:rsidRPr="00FA1A19">
        <w:t xml:space="preserve">a </w:t>
      </w:r>
      <w:r w:rsidR="00486325" w:rsidRPr="00FA1A19">
        <w:t xml:space="preserve">revenue </w:t>
      </w:r>
      <w:r w:rsidR="00B30F81" w:rsidRPr="00FA1A19">
        <w:t xml:space="preserve">loss </w:t>
      </w:r>
      <w:r w:rsidR="00486325" w:rsidRPr="00FA1A19">
        <w:t>and will be deduc</w:t>
      </w:r>
      <w:r w:rsidR="009B62D9" w:rsidRPr="00FA1A19">
        <w:t>tible</w:t>
      </w:r>
      <w:r w:rsidR="0071329A" w:rsidRPr="00FA1A19">
        <w:t xml:space="preserve"> against assessable income </w:t>
      </w:r>
      <w:r w:rsidR="00015DCA" w:rsidRPr="00FA1A19">
        <w:t xml:space="preserve">(regardless of </w:t>
      </w:r>
      <w:r w:rsidR="006C0572" w:rsidRPr="00FA1A19">
        <w:t xml:space="preserve">the </w:t>
      </w:r>
      <w:r w:rsidR="006932EE" w:rsidRPr="00FA1A19">
        <w:t>type of assessable income</w:t>
      </w:r>
      <w:r w:rsidR="006C0572" w:rsidRPr="00FA1A19">
        <w:t xml:space="preserve">) </w:t>
      </w:r>
      <w:r w:rsidR="0071329A" w:rsidRPr="00FA1A19">
        <w:t>in the calculation of taxable income.</w:t>
      </w:r>
      <w:r w:rsidR="004F0A51" w:rsidRPr="00FA1A19">
        <w:t xml:space="preserve"> </w:t>
      </w:r>
      <w:r w:rsidR="00BD44E4" w:rsidRPr="00FA1A19">
        <w:t>For example, any loss on disposal of a crypto asset held on revenue account could be offset against the holder</w:t>
      </w:r>
      <w:r w:rsidR="00F75232">
        <w:t>’</w:t>
      </w:r>
      <w:r w:rsidR="00BD44E4" w:rsidRPr="00FA1A19">
        <w:t>s salary income.</w:t>
      </w:r>
    </w:p>
    <w:p w14:paraId="5BC8DC8D" w14:textId="3F82B6C8" w:rsidR="00AF639D" w:rsidRPr="00FA1A19" w:rsidRDefault="0071329A" w:rsidP="00AF639D">
      <w:r w:rsidRPr="00FA1A19">
        <w:t xml:space="preserve">Where </w:t>
      </w:r>
      <w:r w:rsidR="00015DCA" w:rsidRPr="00FA1A19">
        <w:t xml:space="preserve">a crypto asset in held on capital account, any loss on disposal will </w:t>
      </w:r>
      <w:r w:rsidR="006C0572" w:rsidRPr="00FA1A19">
        <w:t xml:space="preserve">be </w:t>
      </w:r>
      <w:r w:rsidR="00E96733" w:rsidRPr="00FA1A19">
        <w:t xml:space="preserve">calculated under the CGT provisions and will be a </w:t>
      </w:r>
      <w:r w:rsidR="006C0572" w:rsidRPr="00FA1A19">
        <w:t>capital loss.</w:t>
      </w:r>
      <w:r w:rsidR="004F0A51" w:rsidRPr="00FA1A19">
        <w:t xml:space="preserve"> </w:t>
      </w:r>
      <w:r w:rsidR="00AF639D" w:rsidRPr="00FA1A19">
        <w:t xml:space="preserve">Specific rules apply to </w:t>
      </w:r>
      <w:r w:rsidR="003C7E63" w:rsidRPr="00FA1A19">
        <w:t xml:space="preserve">utilising </w:t>
      </w:r>
      <w:r w:rsidR="00AF639D" w:rsidRPr="00FA1A19">
        <w:t xml:space="preserve">capital losses. Capital losses </w:t>
      </w:r>
      <w:r w:rsidR="00242661" w:rsidRPr="00FA1A19">
        <w:t>can</w:t>
      </w:r>
      <w:r w:rsidR="00AF639D" w:rsidRPr="00FA1A19">
        <w:t xml:space="preserve"> only be used to reduce a current or future year capital gain</w:t>
      </w:r>
      <w:r w:rsidR="00867BB3" w:rsidRPr="00FA1A19">
        <w:t xml:space="preserve"> calculated under the CGT provisions</w:t>
      </w:r>
      <w:r w:rsidR="00B84E59">
        <w:t>,</w:t>
      </w:r>
      <w:r w:rsidR="00D8525E">
        <w:t xml:space="preserve"> t</w:t>
      </w:r>
      <w:r w:rsidR="00436850" w:rsidRPr="00FA1A19">
        <w:t>hat is, capital losses</w:t>
      </w:r>
      <w:r w:rsidR="00867BB3" w:rsidRPr="00FA1A19">
        <w:t xml:space="preserve"> are </w:t>
      </w:r>
      <w:r w:rsidR="00F75232">
        <w:t>‘</w:t>
      </w:r>
      <w:r w:rsidR="00867BB3" w:rsidRPr="00FA1A19">
        <w:t>quarantined</w:t>
      </w:r>
      <w:r w:rsidR="00F75232">
        <w:t>’</w:t>
      </w:r>
      <w:r w:rsidR="004A37DD" w:rsidRPr="00FA1A19">
        <w:t>.</w:t>
      </w:r>
      <w:r w:rsidR="004F0A51" w:rsidRPr="00FA1A19">
        <w:t xml:space="preserve"> </w:t>
      </w:r>
      <w:r w:rsidR="00AF639D" w:rsidRPr="00FA1A19">
        <w:t xml:space="preserve">Further, when a capital loss is used, it is applied to gross capital gains prior to the application of any discount. </w:t>
      </w:r>
    </w:p>
    <w:p w14:paraId="60B67CC8" w14:textId="5E6425DF" w:rsidR="00A1148B" w:rsidRPr="00FA1A19" w:rsidRDefault="00A1148B" w:rsidP="00342121">
      <w:pPr>
        <w:pStyle w:val="Heading3"/>
      </w:pPr>
      <w:r w:rsidRPr="00FA1A19">
        <w:t>Source</w:t>
      </w:r>
    </w:p>
    <w:p w14:paraId="20567FD8" w14:textId="77777777" w:rsidR="00A1148B" w:rsidRPr="00FA1A19" w:rsidRDefault="00A1148B" w:rsidP="0069352C">
      <w:pPr>
        <w:pStyle w:val="Heading4"/>
      </w:pPr>
      <w:r w:rsidRPr="00FA1A19">
        <w:t>Background</w:t>
      </w:r>
    </w:p>
    <w:p w14:paraId="31733ACA" w14:textId="6B8FD9A8" w:rsidR="00A1148B" w:rsidRPr="00FA1A19" w:rsidRDefault="00A1148B" w:rsidP="00A1148B">
      <w:r w:rsidRPr="00FA1A19">
        <w:t>The assessable income of an Australian resident includes income derived directly or indirectly from all sources. Conversely, non</w:t>
      </w:r>
      <w:r w:rsidR="00F75232">
        <w:noBreakHyphen/>
      </w:r>
      <w:r w:rsidRPr="00FA1A19">
        <w:t xml:space="preserve">resident taxpayers are generally taxed only on income from Australian sources or income that a provision deems assessable on some other basis. </w:t>
      </w:r>
    </w:p>
    <w:p w14:paraId="2CA32F80" w14:textId="5BF3DD40" w:rsidR="00A1148B" w:rsidRPr="00FA1A19" w:rsidRDefault="00A1148B" w:rsidP="00A1148B">
      <w:r w:rsidRPr="00FA1A19">
        <w:t>This position may be impacted by the operation of a Double Taxation Agreement (DTA), which provides specific rules allocating taxing rights for certain types of income and may also include deemed source rules to give effect to those allocations.</w:t>
      </w:r>
      <w:r w:rsidR="004F0A51" w:rsidRPr="00FA1A19">
        <w:t xml:space="preserve"> </w:t>
      </w:r>
    </w:p>
    <w:p w14:paraId="0B620C5B" w14:textId="77777777" w:rsidR="00A1148B" w:rsidRPr="00FA1A19" w:rsidRDefault="00A1148B" w:rsidP="00A1148B">
      <w:r w:rsidRPr="00FA1A19">
        <w:t xml:space="preserve">The importance of this issue of source was highlighted in submissions to the Review. </w:t>
      </w:r>
    </w:p>
    <w:p w14:paraId="4B80C424" w14:textId="77777777" w:rsidR="00A1148B" w:rsidRPr="00FA1A19" w:rsidRDefault="00A1148B" w:rsidP="0069352C">
      <w:pPr>
        <w:pStyle w:val="Heading4"/>
      </w:pPr>
      <w:r w:rsidRPr="00FA1A19">
        <w:t>Legislation</w:t>
      </w:r>
    </w:p>
    <w:p w14:paraId="25F1850D" w14:textId="77777777" w:rsidR="00A1148B" w:rsidRPr="00FA1A19" w:rsidRDefault="00A1148B" w:rsidP="00A1148B">
      <w:r w:rsidRPr="00FA1A19">
        <w:t>The source of income is generally determined by reference to common law principles.</w:t>
      </w:r>
      <w:r w:rsidRPr="00170ADC">
        <w:rPr>
          <w:rStyle w:val="FootnoteReference"/>
        </w:rPr>
        <w:footnoteReference w:id="362"/>
      </w:r>
      <w:r w:rsidRPr="00FA1A19">
        <w:t xml:space="preserve"> </w:t>
      </w:r>
    </w:p>
    <w:p w14:paraId="3D8A13BF" w14:textId="77777777" w:rsidR="00A1148B" w:rsidRPr="00FA1A19" w:rsidRDefault="00A1148B" w:rsidP="00A1148B">
      <w:r w:rsidRPr="00FA1A19">
        <w:t xml:space="preserve">Case law has consistently highlighted that determination of source is based upon the relevant facts of each case, as highlighted by Isaacs J in </w:t>
      </w:r>
      <w:r w:rsidRPr="00813896">
        <w:rPr>
          <w:rStyle w:val="Emphasis"/>
        </w:rPr>
        <w:t xml:space="preserve">Nathan v FC of T </w:t>
      </w:r>
      <w:r w:rsidRPr="00FA1A19">
        <w:t>(1918) 25 CLR 183 at p 189:</w:t>
      </w:r>
    </w:p>
    <w:p w14:paraId="75245FEC" w14:textId="061CB7EE" w:rsidR="00A1148B" w:rsidRPr="00FA1A19" w:rsidRDefault="00A1148B" w:rsidP="00991EBC">
      <w:pPr>
        <w:pStyle w:val="Quote"/>
      </w:pPr>
      <w:r w:rsidRPr="00FA1A19">
        <w:t xml:space="preserve">The Legislature in using the word </w:t>
      </w:r>
      <w:r w:rsidR="00F75232">
        <w:t>‘</w:t>
      </w:r>
      <w:r w:rsidRPr="00FA1A19">
        <w:t>source</w:t>
      </w:r>
      <w:r w:rsidR="00F75232">
        <w:t>’</w:t>
      </w:r>
      <w:r w:rsidRPr="00FA1A19">
        <w:t xml:space="preserve"> meant, not a legal concept, but something which a practical man would regard as a real source of income. Legal concepts must, of course, enter into the question when we have to consider to whom a given source belongs. But the ascertainment of the </w:t>
      </w:r>
      <w:r w:rsidRPr="00FA1A19">
        <w:rPr>
          <w:rFonts w:asciiTheme="minorHAnsi" w:hAnsiTheme="minorHAnsi" w:cstheme="minorHAnsi"/>
        </w:rPr>
        <w:t>actual</w:t>
      </w:r>
      <w:r w:rsidRPr="00FA1A19">
        <w:t xml:space="preserve"> source of a given income is a practical, hard matter of fact. The Act, on examination, so treats it.</w:t>
      </w:r>
    </w:p>
    <w:p w14:paraId="16350422" w14:textId="1CF14DF3" w:rsidR="001B2D88" w:rsidRPr="00FA1A19" w:rsidRDefault="000E1D44" w:rsidP="00342121">
      <w:pPr>
        <w:pStyle w:val="Heading3"/>
      </w:pPr>
      <w:bookmarkStart w:id="90" w:name="_Hlk151563965"/>
      <w:r w:rsidRPr="00FA1A19">
        <w:t>Valuation</w:t>
      </w:r>
    </w:p>
    <w:p w14:paraId="0AEC459A" w14:textId="1C8BCE86" w:rsidR="001B2D88" w:rsidRPr="00FA1A19" w:rsidRDefault="001B2D88" w:rsidP="001B2D88">
      <w:r w:rsidRPr="00FA1A19">
        <w:t xml:space="preserve">A significant complexity in establishing the appropriate taxing framework for crypto assets is identifying what </w:t>
      </w:r>
      <w:r w:rsidR="00722229" w:rsidRPr="00FA1A19">
        <w:t xml:space="preserve">amounts </w:t>
      </w:r>
      <w:r w:rsidR="077BD648" w:rsidRPr="00FA1A19">
        <w:t xml:space="preserve">are subject </w:t>
      </w:r>
      <w:r w:rsidRPr="00FA1A19">
        <w:t xml:space="preserve">to tax. Across areas of the traditional economy, identification and quantification of taxing events may be undertaken </w:t>
      </w:r>
      <w:r w:rsidR="00EB3B29" w:rsidRPr="00FA1A19">
        <w:t xml:space="preserve">by </w:t>
      </w:r>
      <w:r w:rsidRPr="00FA1A19">
        <w:t>reference to settlements</w:t>
      </w:r>
      <w:r w:rsidR="000B20C1" w:rsidRPr="00FA1A19">
        <w:t xml:space="preserve"> that are denominated in money </w:t>
      </w:r>
      <w:r w:rsidR="00B37AC1" w:rsidRPr="00FA1A19">
        <w:t>(i.e.</w:t>
      </w:r>
      <w:r w:rsidR="000B20C1" w:rsidRPr="00FA1A19">
        <w:t xml:space="preserve"> the Australian </w:t>
      </w:r>
      <w:r w:rsidR="000F5176" w:rsidRPr="00FA1A19">
        <w:t>dollar)</w:t>
      </w:r>
      <w:r w:rsidRPr="00FA1A19">
        <w:t>. With crypto assets however, transactions may be settled without reference back to a fiat currency, with crypto assets being used in direct exchange for goods, services and other crypto assets.</w:t>
      </w:r>
    </w:p>
    <w:p w14:paraId="2536CFBB" w14:textId="12A43DEE" w:rsidR="001B2D88" w:rsidRPr="00FA1A19" w:rsidRDefault="001B2D88" w:rsidP="001B2D88">
      <w:r w:rsidRPr="00FA1A19">
        <w:t xml:space="preserve">In Australian tax law, there are a variety of means (some legislative and some established by common law principles) that deal with the taxation of transactions that occur in a </w:t>
      </w:r>
      <w:r w:rsidR="00F75232">
        <w:t>‘</w:t>
      </w:r>
      <w:r w:rsidRPr="00FA1A19">
        <w:t>non</w:t>
      </w:r>
      <w:r w:rsidR="00F75232">
        <w:noBreakHyphen/>
      </w:r>
      <w:r w:rsidRPr="00FA1A19">
        <w:t>cash</w:t>
      </w:r>
      <w:r w:rsidR="00F75232">
        <w:t>’</w:t>
      </w:r>
      <w:r w:rsidRPr="00FA1A19">
        <w:t xml:space="preserve"> form.</w:t>
      </w:r>
      <w:r w:rsidR="004F0A51" w:rsidRPr="00FA1A19">
        <w:t xml:space="preserve"> </w:t>
      </w:r>
      <w:r w:rsidR="00770B25" w:rsidRPr="00FA1A19">
        <w:t xml:space="preserve">A question is </w:t>
      </w:r>
      <w:r w:rsidRPr="00FA1A19">
        <w:t xml:space="preserve">whether these are sufficient to deal with the taxation treatment of crypto assets. </w:t>
      </w:r>
    </w:p>
    <w:p w14:paraId="42CC07E8" w14:textId="4304FD29" w:rsidR="001B2D88" w:rsidRPr="00FA1A19" w:rsidRDefault="00AD79E9" w:rsidP="0069352C">
      <w:pPr>
        <w:pStyle w:val="Heading4"/>
      </w:pPr>
      <w:r w:rsidRPr="00FA1A19">
        <w:t>Can n</w:t>
      </w:r>
      <w:r w:rsidR="001B2D88" w:rsidRPr="00FA1A19">
        <w:t>on</w:t>
      </w:r>
      <w:r w:rsidR="00F75232">
        <w:noBreakHyphen/>
      </w:r>
      <w:r w:rsidR="001B2D88" w:rsidRPr="00FA1A19">
        <w:t>cash transactions</w:t>
      </w:r>
      <w:r w:rsidRPr="00FA1A19">
        <w:t xml:space="preserve"> give rise to ordinary income?</w:t>
      </w:r>
    </w:p>
    <w:p w14:paraId="5BC37E30" w14:textId="3E2EEB0A" w:rsidR="001B2D88" w:rsidRPr="00067F1D" w:rsidRDefault="001B2D88" w:rsidP="001B2D88">
      <w:pPr>
        <w:rPr>
          <w:i/>
          <w:iCs/>
        </w:rPr>
      </w:pPr>
      <w:r w:rsidRPr="00FA1A19">
        <w:t xml:space="preserve">A transaction that does not involve cash will not for that reason alone fail to be income. In the case of </w:t>
      </w:r>
      <w:r w:rsidRPr="00813896">
        <w:rPr>
          <w:rStyle w:val="Emphasis"/>
        </w:rPr>
        <w:t xml:space="preserve">Californian Copper Syndicate (Limited and Reduced) v Harris </w:t>
      </w:r>
      <w:r w:rsidRPr="00FA1A19">
        <w:t>(1904) 5 TC 159, mining interests were sold in exchange for shares in the buyer and it was held that profit based on the value of the shares was assessable.</w:t>
      </w:r>
      <w:r w:rsidR="004F0A51" w:rsidRPr="00FA1A19">
        <w:t xml:space="preserve"> </w:t>
      </w:r>
      <w:r w:rsidRPr="00FA1A19">
        <w:t>Lord Trayner said (at 167</w:t>
      </w:r>
      <w:r w:rsidR="00767CEE">
        <w:t>–</w:t>
      </w:r>
      <w:r w:rsidRPr="00FA1A19">
        <w:t xml:space="preserve">168): </w:t>
      </w:r>
      <w:r w:rsidR="00F75232">
        <w:rPr>
          <w:rStyle w:val="Emphasis"/>
          <w:i w:val="0"/>
          <w:iCs w:val="0"/>
        </w:rPr>
        <w:t>‘</w:t>
      </w:r>
      <w:r w:rsidRPr="00067F1D">
        <w:rPr>
          <w:rStyle w:val="Emphasis"/>
          <w:i w:val="0"/>
          <w:iCs w:val="0"/>
        </w:rPr>
        <w:t>It was said that the profit – if it was profit – was not realised profit and, therefore, not taxable.</w:t>
      </w:r>
      <w:r w:rsidR="004F0A51" w:rsidRPr="00067F1D">
        <w:rPr>
          <w:rStyle w:val="Emphasis"/>
          <w:i w:val="0"/>
          <w:iCs w:val="0"/>
        </w:rPr>
        <w:t xml:space="preserve"> </w:t>
      </w:r>
      <w:r w:rsidRPr="00067F1D">
        <w:rPr>
          <w:rStyle w:val="Emphasis"/>
          <w:i w:val="0"/>
          <w:iCs w:val="0"/>
        </w:rPr>
        <w:t>I think the profit was realised. … the shares were realisable and could have been turned into cash.</w:t>
      </w:r>
      <w:r w:rsidR="00F75232">
        <w:rPr>
          <w:rStyle w:val="Emphasis"/>
          <w:i w:val="0"/>
          <w:iCs w:val="0"/>
        </w:rPr>
        <w:t>’</w:t>
      </w:r>
    </w:p>
    <w:p w14:paraId="75CCDC10" w14:textId="77777777" w:rsidR="001B2D88" w:rsidRPr="00FA1A19" w:rsidRDefault="001B2D88" w:rsidP="002E5009">
      <w:pPr>
        <w:keepNext/>
      </w:pPr>
      <w:r w:rsidRPr="00FA1A19">
        <w:t xml:space="preserve">This outcome is consistent with section 21 of the </w:t>
      </w:r>
      <w:r w:rsidRPr="00813896">
        <w:rPr>
          <w:rStyle w:val="Emphasis"/>
        </w:rPr>
        <w:t xml:space="preserve">Income Tax Assessment Act 1936 </w:t>
      </w:r>
      <w:r w:rsidRPr="00FA1A19">
        <w:t xml:space="preserve">(ITAA 1936), which states: </w:t>
      </w:r>
    </w:p>
    <w:p w14:paraId="4F234FD7" w14:textId="77777777" w:rsidR="001B2D88" w:rsidRPr="00FA1A19" w:rsidRDefault="001B2D88" w:rsidP="00991EBC">
      <w:pPr>
        <w:pStyle w:val="Quote"/>
      </w:pPr>
      <w:r w:rsidRPr="00FA1A19">
        <w:t xml:space="preserve">Where, upon any transaction, any consideration is paid or given otherwise than in cash, the money value of that </w:t>
      </w:r>
      <w:r w:rsidRPr="00FA1A19">
        <w:rPr>
          <w:rFonts w:asciiTheme="minorHAnsi" w:hAnsiTheme="minorHAnsi" w:cstheme="minorHAnsi"/>
        </w:rPr>
        <w:t>consideration</w:t>
      </w:r>
      <w:r w:rsidRPr="00FA1A19">
        <w:t xml:space="preserve"> shall for the purposes of this Act be deemed to have been paid or given. </w:t>
      </w:r>
    </w:p>
    <w:p w14:paraId="18BAD907" w14:textId="01328FE1" w:rsidR="001B2D88" w:rsidRPr="00FA1A19" w:rsidRDefault="001B2D88" w:rsidP="001B2D88">
      <w:r w:rsidRPr="00FA1A19">
        <w:t>However, a key characteristic of ordinary income is the ability for it to be convertible into money or money</w:t>
      </w:r>
      <w:r w:rsidR="00F75232">
        <w:t>’</w:t>
      </w:r>
      <w:r w:rsidRPr="00FA1A19">
        <w:t>s worth.</w:t>
      </w:r>
      <w:r w:rsidR="004F0A51" w:rsidRPr="00FA1A19">
        <w:t xml:space="preserve"> </w:t>
      </w:r>
      <w:r w:rsidRPr="00FA1A19">
        <w:t>In </w:t>
      </w:r>
      <w:r w:rsidRPr="00813896">
        <w:rPr>
          <w:rStyle w:val="Emphasis"/>
        </w:rPr>
        <w:t>FC of T v Cooke &amp; Sherden</w:t>
      </w:r>
      <w:r w:rsidRPr="00FA1A19">
        <w:t> </w:t>
      </w:r>
      <w:hyperlink r:id="rId53" w:history="1">
        <w:r w:rsidRPr="00FA1A19">
          <w:t>80 ATC 4140</w:t>
        </w:r>
      </w:hyperlink>
      <w:r w:rsidRPr="00FA1A19">
        <w:t>, Brennan, Deane and Toohey JJ, in a joint decision of the Full Federal Court in relation to ITAA 1936, stated (at pp 4147</w:t>
      </w:r>
      <w:r w:rsidR="00767CEE">
        <w:t>–</w:t>
      </w:r>
      <w:r w:rsidRPr="00FA1A19">
        <w:t>4148):</w:t>
      </w:r>
    </w:p>
    <w:p w14:paraId="5324A6ED" w14:textId="61F5C309" w:rsidR="001B2D88" w:rsidRPr="00FA1A19" w:rsidRDefault="001B2D88" w:rsidP="00991EBC">
      <w:pPr>
        <w:pStyle w:val="Quote"/>
      </w:pPr>
      <w:r w:rsidRPr="00FA1A19">
        <w:rPr>
          <w:shd w:val="clear" w:color="auto" w:fill="FFFFFF"/>
        </w:rPr>
        <w:t xml:space="preserve">... The notion that the items of income are money or are to be reckoned as money accords with the ordinary concepts of income as </w:t>
      </w:r>
      <w:r w:rsidR="00F75232">
        <w:rPr>
          <w:shd w:val="clear" w:color="auto" w:fill="FFFFFF"/>
        </w:rPr>
        <w:t>‘</w:t>
      </w:r>
      <w:r w:rsidRPr="00FA1A19">
        <w:rPr>
          <w:shd w:val="clear" w:color="auto" w:fill="FFFFFF"/>
        </w:rPr>
        <w:t>what comes into (the) pocket</w:t>
      </w:r>
      <w:r w:rsidR="00F75232">
        <w:rPr>
          <w:shd w:val="clear" w:color="auto" w:fill="FFFFFF"/>
        </w:rPr>
        <w:t>’</w:t>
      </w:r>
      <w:r w:rsidRPr="00FA1A19">
        <w:rPr>
          <w:shd w:val="clear" w:color="auto" w:fill="FFFFFF"/>
        </w:rPr>
        <w:t xml:space="preserve"> to adapt Lord Macnaghten</w:t>
      </w:r>
      <w:r w:rsidR="00F75232">
        <w:rPr>
          <w:shd w:val="clear" w:color="auto" w:fill="FFFFFF"/>
        </w:rPr>
        <w:t>’</w:t>
      </w:r>
      <w:r w:rsidRPr="00FA1A19">
        <w:rPr>
          <w:shd w:val="clear" w:color="auto" w:fill="FFFFFF"/>
        </w:rPr>
        <w:t xml:space="preserve">s phrase </w:t>
      </w:r>
      <w:r w:rsidRPr="00FA1A19">
        <w:t>in</w:t>
      </w:r>
      <w:r w:rsidRPr="00FA1A19">
        <w:rPr>
          <w:shd w:val="clear" w:color="auto" w:fill="FFFFFF"/>
        </w:rPr>
        <w:t> Tennant v Smith (1892) AC 150 at p. 164. That is not to say that income must be received as money; it is sufficient if what is received is in the form of money</w:t>
      </w:r>
      <w:r w:rsidR="00F75232">
        <w:rPr>
          <w:shd w:val="clear" w:color="auto" w:fill="FFFFFF"/>
        </w:rPr>
        <w:t>’</w:t>
      </w:r>
      <w:r w:rsidRPr="00FA1A19">
        <w:rPr>
          <w:shd w:val="clear" w:color="auto" w:fill="FFFFFF"/>
        </w:rPr>
        <w:t>s worth... Nor is it necessary that an item of income be paid over to the taxpayer: it is sufficient, according to ordinary concepts and usages, that it be dealt with on his behalf or as he directs...</w:t>
      </w:r>
    </w:p>
    <w:p w14:paraId="4024B394" w14:textId="5A751104" w:rsidR="001B2D88" w:rsidRPr="00FA1A19" w:rsidRDefault="001B2D88" w:rsidP="00991EBC">
      <w:r w:rsidRPr="00FA1A19">
        <w:t xml:space="preserve">However, in </w:t>
      </w:r>
      <w:r w:rsidRPr="00813896">
        <w:rPr>
          <w:rStyle w:val="Emphasis"/>
        </w:rPr>
        <w:t xml:space="preserve">Cooke &amp; Sherden </w:t>
      </w:r>
      <w:r w:rsidRPr="00FA1A19">
        <w:t>the Court found that an incentive given to a contractor in the form of a non</w:t>
      </w:r>
      <w:r w:rsidR="00F75232">
        <w:noBreakHyphen/>
      </w:r>
      <w:r w:rsidRPr="00FA1A19">
        <w:t>transferrable holiday was not assessable income because it was not money or capable of being turned to pecuniary account.</w:t>
      </w:r>
      <w:r w:rsidR="004F0A51" w:rsidRPr="00FA1A19">
        <w:t xml:space="preserve"> </w:t>
      </w:r>
      <w:r w:rsidRPr="00FA1A19">
        <w:t>Their Honours said (at 4148):</w:t>
      </w:r>
    </w:p>
    <w:p w14:paraId="5B0A1AAB" w14:textId="77777777" w:rsidR="001B2D88" w:rsidRPr="00FA1A19" w:rsidRDefault="001B2D88" w:rsidP="00991EBC">
      <w:pPr>
        <w:pStyle w:val="Quote"/>
      </w:pPr>
      <w:r w:rsidRPr="00FA1A19">
        <w:t xml:space="preserve">If a taxpayer receives a benefit which cannot be turned to pecuniary account, he has not received income as that </w:t>
      </w:r>
      <w:r w:rsidRPr="00FA1A19">
        <w:rPr>
          <w:rFonts w:asciiTheme="minorHAnsi" w:hAnsiTheme="minorHAnsi" w:cstheme="minorHAnsi"/>
        </w:rPr>
        <w:t>term</w:t>
      </w:r>
      <w:r w:rsidRPr="00FA1A19">
        <w:t xml:space="preserve"> is understood according to ordinary concepts and usages.</w:t>
      </w:r>
    </w:p>
    <w:p w14:paraId="04700BF9" w14:textId="24C4C90D" w:rsidR="001B2D88" w:rsidRPr="00FA1A19" w:rsidRDefault="001B2D88" w:rsidP="001B2D88">
      <w:r w:rsidRPr="00FA1A19">
        <w:t xml:space="preserve">The decision in </w:t>
      </w:r>
      <w:r w:rsidRPr="00813896">
        <w:rPr>
          <w:rStyle w:val="Emphasis"/>
        </w:rPr>
        <w:t>Cooke &amp; Sherden</w:t>
      </w:r>
      <w:r w:rsidRPr="00FA1A19">
        <w:t xml:space="preserve"> led to the introduction of section 21A into the ITAA 1936. Section 21A specifically addresses the concept of convertibility to cash enabling an amount to be treated as convertible cash, even where it is not, where it is a non</w:t>
      </w:r>
      <w:r w:rsidR="00F75232">
        <w:noBreakHyphen/>
      </w:r>
      <w:r w:rsidRPr="00FA1A19">
        <w:t>cash business benefit. Property or services provided after 31</w:t>
      </w:r>
      <w:r w:rsidR="009665F9">
        <w:t> </w:t>
      </w:r>
      <w:r w:rsidRPr="00FA1A19">
        <w:t>August 1988 are non</w:t>
      </w:r>
      <w:r w:rsidR="00F75232">
        <w:noBreakHyphen/>
      </w:r>
      <w:r w:rsidRPr="00FA1A19">
        <w:t xml:space="preserve">cash business benefits where they are wholly or partly in respect of a business relationship or wholly or partly for or in relation directly or indirectly to a business relationship. In these circumstances, s 21A attributes the </w:t>
      </w:r>
      <w:r w:rsidR="00F75232">
        <w:t>‘</w:t>
      </w:r>
      <w:r w:rsidRPr="00FA1A19">
        <w:t>arm</w:t>
      </w:r>
      <w:r w:rsidR="00F75232">
        <w:t>’</w:t>
      </w:r>
      <w:r w:rsidRPr="00FA1A19">
        <w:t>s length value</w:t>
      </w:r>
      <w:r w:rsidR="00F75232">
        <w:t>’</w:t>
      </w:r>
      <w:r w:rsidRPr="00FA1A19">
        <w:t xml:space="preserve"> (as defined) to the non</w:t>
      </w:r>
      <w:r w:rsidR="00F75232">
        <w:noBreakHyphen/>
      </w:r>
      <w:r w:rsidRPr="00FA1A19">
        <w:t>cash business benefit.</w:t>
      </w:r>
    </w:p>
    <w:p w14:paraId="59880D46" w14:textId="69998325" w:rsidR="001B2D88" w:rsidRPr="00FA1A19" w:rsidRDefault="00770B25" w:rsidP="0069352C">
      <w:pPr>
        <w:pStyle w:val="Heading4"/>
      </w:pPr>
      <w:r w:rsidRPr="00FA1A19">
        <w:t>Specific</w:t>
      </w:r>
      <w:r w:rsidR="00AB4FD4" w:rsidRPr="00FA1A19">
        <w:t xml:space="preserve"> provisions </w:t>
      </w:r>
      <w:r w:rsidRPr="00FA1A19">
        <w:t>requiring valuations</w:t>
      </w:r>
    </w:p>
    <w:p w14:paraId="08F06C78" w14:textId="61650034" w:rsidR="00D703FF" w:rsidRPr="00FA1A19" w:rsidRDefault="00AB4FD4" w:rsidP="00EF3AAA">
      <w:r w:rsidRPr="00FA1A19">
        <w:t>M</w:t>
      </w:r>
      <w:r w:rsidR="001B2D88" w:rsidRPr="00FA1A19">
        <w:t xml:space="preserve">any areas of the income tax law </w:t>
      </w:r>
      <w:r w:rsidR="00D703FF" w:rsidRPr="00FA1A19">
        <w:t>expressly</w:t>
      </w:r>
      <w:r w:rsidR="008446BB" w:rsidRPr="00FA1A19">
        <w:t xml:space="preserve"> deal with the situation where </w:t>
      </w:r>
      <w:r w:rsidR="001B2D88" w:rsidRPr="00FA1A19">
        <w:t>some form of property</w:t>
      </w:r>
      <w:r w:rsidR="00C75936" w:rsidRPr="00FA1A19">
        <w:t>, rather than money,</w:t>
      </w:r>
      <w:r w:rsidR="001B2D88" w:rsidRPr="00FA1A19">
        <w:t xml:space="preserve"> </w:t>
      </w:r>
      <w:r w:rsidR="008446BB" w:rsidRPr="00FA1A19">
        <w:t xml:space="preserve">is </w:t>
      </w:r>
      <w:r w:rsidR="001B2D88" w:rsidRPr="00FA1A19">
        <w:t xml:space="preserve">provided or received. </w:t>
      </w:r>
      <w:r w:rsidR="00D703FF" w:rsidRPr="00FA1A19">
        <w:t>These provisions include:</w:t>
      </w:r>
    </w:p>
    <w:p w14:paraId="508EBE03" w14:textId="5B0F7D99" w:rsidR="00FF012D" w:rsidRPr="00261401" w:rsidRDefault="00FF012D" w:rsidP="00035989">
      <w:pPr>
        <w:pStyle w:val="Bullet"/>
        <w:keepNext/>
        <w:rPr>
          <w:rStyle w:val="Strong"/>
        </w:rPr>
      </w:pPr>
      <w:r w:rsidRPr="00261401">
        <w:rPr>
          <w:rStyle w:val="Strong"/>
        </w:rPr>
        <w:t>Capital gains tax</w:t>
      </w:r>
    </w:p>
    <w:p w14:paraId="4B30CAA0" w14:textId="35ED356C" w:rsidR="00EB75A9" w:rsidRPr="00FA1A19" w:rsidRDefault="00C75936" w:rsidP="00261401">
      <w:pPr>
        <w:pStyle w:val="NormalIndent"/>
      </w:pPr>
      <w:r w:rsidRPr="00FA1A19">
        <w:t>T</w:t>
      </w:r>
      <w:r w:rsidR="005A0F4A" w:rsidRPr="00FA1A19">
        <w:t xml:space="preserve">he </w:t>
      </w:r>
      <w:r w:rsidR="005A0F4A" w:rsidRPr="00FA1A19">
        <w:rPr>
          <w:rFonts w:cstheme="minorHAnsi"/>
        </w:rPr>
        <w:t>core</w:t>
      </w:r>
      <w:r w:rsidR="005A0F4A" w:rsidRPr="00FA1A19">
        <w:t xml:space="preserve"> concepts in the CGT provisions</w:t>
      </w:r>
      <w:r w:rsidR="000531AA" w:rsidRPr="00FA1A19">
        <w:t xml:space="preserve"> dealing with </w:t>
      </w:r>
      <w:r w:rsidR="00094C6B" w:rsidRPr="00FA1A19">
        <w:t>cost base and capital proceeds</w:t>
      </w:r>
      <w:r w:rsidR="00BE3AC2" w:rsidRPr="00FA1A19">
        <w:t xml:space="preserve"> </w:t>
      </w:r>
      <w:r w:rsidR="00C570DA" w:rsidRPr="00FA1A19">
        <w:t xml:space="preserve">refer to </w:t>
      </w:r>
      <w:r w:rsidR="00F75232">
        <w:t>‘</w:t>
      </w:r>
      <w:r w:rsidR="00D25AA0" w:rsidRPr="00FA1A19">
        <w:t>money … or the market value of any property</w:t>
      </w:r>
      <w:r w:rsidR="00F75232">
        <w:t>’</w:t>
      </w:r>
      <w:r w:rsidR="00BE3AC2" w:rsidRPr="00FA1A19">
        <w:t>.</w:t>
      </w:r>
      <w:r w:rsidR="00FB36A1" w:rsidRPr="00170ADC">
        <w:rPr>
          <w:rStyle w:val="FootnoteReference"/>
        </w:rPr>
        <w:footnoteReference w:id="363"/>
      </w:r>
      <w:r w:rsidR="004F0A51" w:rsidRPr="00FA1A19">
        <w:t xml:space="preserve"> </w:t>
      </w:r>
    </w:p>
    <w:p w14:paraId="46AD1DC7" w14:textId="70D7DEC9" w:rsidR="00FF012D" w:rsidRPr="00FA1A19" w:rsidRDefault="00F75232" w:rsidP="00261401">
      <w:pPr>
        <w:pStyle w:val="NormalIndent"/>
      </w:pPr>
      <w:r>
        <w:t>‘</w:t>
      </w:r>
      <w:r w:rsidR="000531AA" w:rsidRPr="00FA1A19">
        <w:rPr>
          <w:rFonts w:cstheme="minorHAnsi"/>
        </w:rPr>
        <w:t>Property</w:t>
      </w:r>
      <w:r>
        <w:rPr>
          <w:rFonts w:cstheme="minorHAnsi"/>
        </w:rPr>
        <w:t>’</w:t>
      </w:r>
      <w:r w:rsidR="000531AA" w:rsidRPr="00FA1A19">
        <w:t xml:space="preserve"> is also important to determining the meaning of </w:t>
      </w:r>
      <w:r>
        <w:t>‘</w:t>
      </w:r>
      <w:r w:rsidR="000531AA" w:rsidRPr="00FA1A19">
        <w:t>CGT asset</w:t>
      </w:r>
      <w:r>
        <w:t>’</w:t>
      </w:r>
      <w:r w:rsidR="000D6504" w:rsidRPr="00FA1A19">
        <w:t xml:space="preserve">, which is defined to mean </w:t>
      </w:r>
      <w:r>
        <w:t>‘</w:t>
      </w:r>
      <w:r w:rsidR="000D6504" w:rsidRPr="00FA1A19">
        <w:t>(a) any kind</w:t>
      </w:r>
      <w:r w:rsidR="00C75936" w:rsidRPr="00FA1A19">
        <w:t xml:space="preserve"> of </w:t>
      </w:r>
      <w:r w:rsidR="000D6504" w:rsidRPr="00FA1A19">
        <w:t>property; or (b) a legal or equitable right that is not property</w:t>
      </w:r>
      <w:r>
        <w:t>’</w:t>
      </w:r>
      <w:r w:rsidR="000531AA" w:rsidRPr="00FA1A19">
        <w:t>.</w:t>
      </w:r>
      <w:r w:rsidR="00FB36A1" w:rsidRPr="00170ADC">
        <w:rPr>
          <w:rStyle w:val="FootnoteReference"/>
        </w:rPr>
        <w:footnoteReference w:id="364"/>
      </w:r>
    </w:p>
    <w:p w14:paraId="1E0B4D17" w14:textId="78AEE083" w:rsidR="00020DFF" w:rsidRPr="00261401" w:rsidRDefault="00020DFF" w:rsidP="00261401">
      <w:pPr>
        <w:pStyle w:val="Bullet"/>
        <w:rPr>
          <w:rStyle w:val="Strong"/>
        </w:rPr>
      </w:pPr>
      <w:r w:rsidRPr="00261401">
        <w:rPr>
          <w:rStyle w:val="Strong"/>
        </w:rPr>
        <w:t>Deductible gifts</w:t>
      </w:r>
    </w:p>
    <w:p w14:paraId="68CB56B6" w14:textId="21D23E2F" w:rsidR="001B2D88" w:rsidRPr="00FA1A19" w:rsidRDefault="00665F73" w:rsidP="00261401">
      <w:pPr>
        <w:pStyle w:val="NormalIndent"/>
      </w:pPr>
      <w:r w:rsidRPr="00FA1A19">
        <w:t>Different t</w:t>
      </w:r>
      <w:r w:rsidR="00D1000B" w:rsidRPr="00FA1A19">
        <w:t>reatment</w:t>
      </w:r>
      <w:r w:rsidR="00EF3AAA" w:rsidRPr="00FA1A19">
        <w:t xml:space="preserve"> </w:t>
      </w:r>
      <w:r w:rsidR="007F40D8" w:rsidRPr="00FA1A19">
        <w:t>is appli</w:t>
      </w:r>
      <w:r w:rsidR="005378D5" w:rsidRPr="00FA1A19">
        <w:t>ed in relation to deductions for donations, subject to whether the donation is made in money, property, trading stock or listed shares.</w:t>
      </w:r>
      <w:r w:rsidR="004F0A51" w:rsidRPr="00FA1A19">
        <w:t xml:space="preserve"> </w:t>
      </w:r>
      <w:r w:rsidR="001B2D88" w:rsidRPr="00FA1A19">
        <w:t xml:space="preserve">Notably, where a donation </w:t>
      </w:r>
      <w:r w:rsidR="001B2D88" w:rsidRPr="00FA1A19">
        <w:rPr>
          <w:rFonts w:cstheme="minorHAnsi"/>
        </w:rPr>
        <w:t>of</w:t>
      </w:r>
      <w:r w:rsidR="001B2D88" w:rsidRPr="00FA1A19">
        <w:t xml:space="preserve"> property (including trading stock) is made, the available deduction is determined based upon the length of time that the taxpayer held the property prior to the donation and the value of the property. </w:t>
      </w:r>
    </w:p>
    <w:p w14:paraId="16D9E54B" w14:textId="7174036D" w:rsidR="00C84306" w:rsidRPr="00261401" w:rsidRDefault="00C84306" w:rsidP="00261401">
      <w:pPr>
        <w:pStyle w:val="Bullet"/>
        <w:rPr>
          <w:rStyle w:val="Strong"/>
        </w:rPr>
      </w:pPr>
      <w:r w:rsidRPr="00261401">
        <w:rPr>
          <w:rStyle w:val="Strong"/>
        </w:rPr>
        <w:t>Fringe benefits</w:t>
      </w:r>
    </w:p>
    <w:p w14:paraId="19F6A68C" w14:textId="2600E415" w:rsidR="008770B4" w:rsidRPr="00FA1A19" w:rsidRDefault="001B2D88" w:rsidP="00261401">
      <w:pPr>
        <w:pStyle w:val="NormalIndent"/>
      </w:pPr>
      <w:r w:rsidRPr="00FA1A19">
        <w:t xml:space="preserve">The </w:t>
      </w:r>
      <w:r w:rsidRPr="00FA1A19">
        <w:rPr>
          <w:rFonts w:cstheme="minorHAnsi"/>
        </w:rPr>
        <w:t>provision</w:t>
      </w:r>
      <w:r w:rsidRPr="00FA1A19">
        <w:t xml:space="preserve"> of property </w:t>
      </w:r>
      <w:r w:rsidR="00AD5D05" w:rsidRPr="00FA1A19">
        <w:t xml:space="preserve">to an employee or associate of an employee </w:t>
      </w:r>
      <w:r w:rsidRPr="00FA1A19">
        <w:t xml:space="preserve">may constitute a property fringe benefit. </w:t>
      </w:r>
    </w:p>
    <w:p w14:paraId="22FBF8B6" w14:textId="2E5ABAAC" w:rsidR="00EA54F0" w:rsidRPr="00261401" w:rsidRDefault="008770B4" w:rsidP="00261401">
      <w:pPr>
        <w:pStyle w:val="Bullet"/>
        <w:rPr>
          <w:rStyle w:val="Strong"/>
        </w:rPr>
      </w:pPr>
      <w:r w:rsidRPr="00261401">
        <w:rPr>
          <w:rStyle w:val="Strong"/>
        </w:rPr>
        <w:t>Superannuation</w:t>
      </w:r>
    </w:p>
    <w:p w14:paraId="57655413" w14:textId="340C2F55" w:rsidR="001B2D88" w:rsidRPr="00FA1A19" w:rsidRDefault="001B2D88" w:rsidP="00261401">
      <w:pPr>
        <w:pStyle w:val="NormalIndent"/>
      </w:pPr>
      <w:r w:rsidRPr="00FA1A19">
        <w:t xml:space="preserve">Property is </w:t>
      </w:r>
      <w:r w:rsidR="005B5DFD" w:rsidRPr="00FA1A19">
        <w:t>relevant in relation to</w:t>
      </w:r>
      <w:r w:rsidRPr="00FA1A19">
        <w:t xml:space="preserve"> what a superannuation fund may invest in, including the application </w:t>
      </w:r>
      <w:r w:rsidRPr="00FA1A19">
        <w:rPr>
          <w:rFonts w:cstheme="minorHAnsi"/>
        </w:rPr>
        <w:t>of</w:t>
      </w:r>
      <w:r w:rsidRPr="00FA1A19">
        <w:t xml:space="preserve"> the in</w:t>
      </w:r>
      <w:r w:rsidR="00F75232">
        <w:noBreakHyphen/>
      </w:r>
      <w:r w:rsidRPr="00FA1A19">
        <w:t xml:space="preserve">house </w:t>
      </w:r>
      <w:r w:rsidR="005B5DFD" w:rsidRPr="00FA1A19">
        <w:t>asset</w:t>
      </w:r>
      <w:r w:rsidRPr="00FA1A19">
        <w:t xml:space="preserve"> rules. Additionally, the existence of property is relevant for the purposes of how a contribution may be made to a superannuation fund</w:t>
      </w:r>
      <w:r w:rsidRPr="00170ADC">
        <w:rPr>
          <w:rStyle w:val="FootnoteReference"/>
        </w:rPr>
        <w:footnoteReference w:id="365"/>
      </w:r>
      <w:r w:rsidRPr="00FA1A19">
        <w:t xml:space="preserve"> or how a fund must calculate and pay benefits to members.</w:t>
      </w:r>
      <w:r w:rsidRPr="00170ADC">
        <w:rPr>
          <w:rStyle w:val="FootnoteReference"/>
        </w:rPr>
        <w:footnoteReference w:id="366"/>
      </w:r>
      <w:r w:rsidRPr="00FA1A19">
        <w:t xml:space="preserve"> </w:t>
      </w:r>
    </w:p>
    <w:p w14:paraId="5DC9C292" w14:textId="6530EB69" w:rsidR="00185727" w:rsidRPr="00FA1A19" w:rsidRDefault="00525CA1" w:rsidP="0069352C">
      <w:pPr>
        <w:pStyle w:val="Heading2"/>
      </w:pPr>
      <w:bookmarkStart w:id="91" w:name="_Toc159513607"/>
      <w:bookmarkStart w:id="92" w:name="_Hlk150417530"/>
      <w:bookmarkEnd w:id="90"/>
      <w:r w:rsidRPr="00FA1A19">
        <w:t>ATO guidance</w:t>
      </w:r>
      <w:r w:rsidR="00185727" w:rsidRPr="00FA1A19">
        <w:t xml:space="preserve"> regarding the taxation of crypto assets</w:t>
      </w:r>
      <w:bookmarkEnd w:id="91"/>
    </w:p>
    <w:bookmarkEnd w:id="92"/>
    <w:p w14:paraId="74E3C3C4" w14:textId="27CBD1DA" w:rsidR="00C31662" w:rsidRPr="00FA1A19" w:rsidRDefault="00185727" w:rsidP="00185727">
      <w:r w:rsidRPr="00FA1A19">
        <w:t xml:space="preserve">In </w:t>
      </w:r>
      <w:r w:rsidR="00372633">
        <w:t>Chapter </w:t>
      </w:r>
      <w:r w:rsidR="001B1635" w:rsidRPr="00FA1A19">
        <w:t>6</w:t>
      </w:r>
      <w:r w:rsidRPr="00FA1A19">
        <w:t xml:space="preserve">, The Board has set out the guidance that has been issued by the ATO in a binding form. </w:t>
      </w:r>
    </w:p>
    <w:p w14:paraId="15381760" w14:textId="7D7194AE" w:rsidR="00813121" w:rsidRPr="00FA1A19" w:rsidRDefault="00185727" w:rsidP="00185727">
      <w:r w:rsidRPr="00FA1A19">
        <w:t xml:space="preserve">The majority of guidance has been issued on the </w:t>
      </w:r>
      <w:r w:rsidR="00F75232">
        <w:t>‘</w:t>
      </w:r>
      <w:r w:rsidRPr="00FA1A19">
        <w:t>individuals and families</w:t>
      </w:r>
      <w:r w:rsidR="00F75232">
        <w:t>’</w:t>
      </w:r>
      <w:r w:rsidRPr="00FA1A19">
        <w:t xml:space="preserve"> page of the ATO website, where general</w:t>
      </w:r>
      <w:r w:rsidR="00045576" w:rsidRPr="00FA1A19">
        <w:t xml:space="preserve"> non</w:t>
      </w:r>
      <w:r w:rsidR="00F75232">
        <w:noBreakHyphen/>
      </w:r>
      <w:r w:rsidR="00045576" w:rsidRPr="00FA1A19">
        <w:t>binding</w:t>
      </w:r>
      <w:r w:rsidRPr="00FA1A19">
        <w:t xml:space="preserve"> information is included on how to treat investments in crypto assets for Australian tax purposes. The materials are stated to assist in determining </w:t>
      </w:r>
      <w:r w:rsidRPr="00813896">
        <w:rPr>
          <w:rStyle w:val="Emphasis"/>
        </w:rPr>
        <w:t xml:space="preserve">How to treat investments in crypto assets (also called crypto or cryptocurrency) for tax purposes in Australia </w:t>
      </w:r>
      <w:r w:rsidRPr="00FA1A19">
        <w:t xml:space="preserve">and cover </w:t>
      </w:r>
      <w:r w:rsidR="00813121" w:rsidRPr="00FA1A19">
        <w:t>matters including:</w:t>
      </w:r>
    </w:p>
    <w:p w14:paraId="5CAC520A" w14:textId="77777777" w:rsidR="00813121" w:rsidRPr="00FA1A19" w:rsidRDefault="00813121" w:rsidP="00261401">
      <w:pPr>
        <w:pStyle w:val="Bullet"/>
      </w:pPr>
      <w:r w:rsidRPr="00FA1A19">
        <w:t xml:space="preserve">What are crypto assets? </w:t>
      </w:r>
    </w:p>
    <w:p w14:paraId="59D437ED" w14:textId="77777777" w:rsidR="00813121" w:rsidRPr="00FA1A19" w:rsidRDefault="00813121" w:rsidP="00261401">
      <w:pPr>
        <w:pStyle w:val="Bullet"/>
      </w:pPr>
      <w:r w:rsidRPr="00FA1A19">
        <w:t>Transactions – acquiring and disposing of crypto assets.</w:t>
      </w:r>
    </w:p>
    <w:p w14:paraId="3D726753" w14:textId="77777777" w:rsidR="00813121" w:rsidRPr="00FA1A19" w:rsidRDefault="00813121" w:rsidP="00261401">
      <w:pPr>
        <w:pStyle w:val="Bullet"/>
      </w:pPr>
      <w:r w:rsidRPr="00FA1A19">
        <w:t>How to work out and report CGT on crypto.</w:t>
      </w:r>
    </w:p>
    <w:p w14:paraId="68F2A807" w14:textId="77777777" w:rsidR="00813121" w:rsidRPr="00FA1A19" w:rsidRDefault="00813121" w:rsidP="00261401">
      <w:pPr>
        <w:pStyle w:val="Bullet"/>
      </w:pPr>
      <w:r w:rsidRPr="00FA1A19">
        <w:t>Crypto chain splits.</w:t>
      </w:r>
    </w:p>
    <w:p w14:paraId="4024FC52" w14:textId="77777777" w:rsidR="00813121" w:rsidRPr="00FA1A19" w:rsidRDefault="00813121" w:rsidP="00261401">
      <w:pPr>
        <w:pStyle w:val="Bullet"/>
      </w:pPr>
      <w:r w:rsidRPr="00FA1A19">
        <w:t>Crypto as a personal use asset.</w:t>
      </w:r>
    </w:p>
    <w:p w14:paraId="65F09F38" w14:textId="77777777" w:rsidR="00813121" w:rsidRPr="00FA1A19" w:rsidRDefault="00813121" w:rsidP="00261401">
      <w:pPr>
        <w:pStyle w:val="Bullet"/>
      </w:pPr>
      <w:r w:rsidRPr="00FA1A19">
        <w:t>Decentralised finance and wrapping crypto.</w:t>
      </w:r>
    </w:p>
    <w:p w14:paraId="5B19017B" w14:textId="77777777" w:rsidR="00813121" w:rsidRPr="00FA1A19" w:rsidRDefault="00813121" w:rsidP="00261401">
      <w:pPr>
        <w:pStyle w:val="Bullet"/>
      </w:pPr>
      <w:r w:rsidRPr="00FA1A19">
        <w:t>Keeping crypto records.</w:t>
      </w:r>
    </w:p>
    <w:p w14:paraId="738CF319" w14:textId="3E7DAAA8" w:rsidR="00185727" w:rsidRPr="00FA1A19" w:rsidRDefault="00813121" w:rsidP="00261401">
      <w:pPr>
        <w:pStyle w:val="Bullet"/>
      </w:pPr>
      <w:r w:rsidRPr="00FA1A19">
        <w:t>Crypto asset glossary.</w:t>
      </w:r>
      <w:r w:rsidR="00902D08" w:rsidRPr="00170ADC">
        <w:rPr>
          <w:rStyle w:val="FootnoteReference"/>
        </w:rPr>
        <w:footnoteReference w:id="367"/>
      </w:r>
    </w:p>
    <w:p w14:paraId="00F54327" w14:textId="456CAD1A" w:rsidR="00185727" w:rsidRPr="00FA1A19" w:rsidRDefault="00190E9F" w:rsidP="002E5009">
      <w:pPr>
        <w:keepNext/>
      </w:pPr>
      <w:r w:rsidRPr="00FA1A19">
        <w:t>The Board notes that focus of the</w:t>
      </w:r>
      <w:r w:rsidR="00185727" w:rsidRPr="00FA1A19">
        <w:t xml:space="preserve"> ATO guidance materials is that the appropriate tax treatment for crypto asset transactions is either:</w:t>
      </w:r>
    </w:p>
    <w:p w14:paraId="5C1DDD06" w14:textId="383E85C4" w:rsidR="00185727" w:rsidRPr="00FA1A19" w:rsidRDefault="00185727" w:rsidP="00261401">
      <w:pPr>
        <w:pStyle w:val="Bullet"/>
      </w:pPr>
      <w:r w:rsidRPr="00FA1A19">
        <w:t>under the capital gains tax provisions</w:t>
      </w:r>
    </w:p>
    <w:p w14:paraId="00B51AD1" w14:textId="3CE1C236" w:rsidR="00185727" w:rsidRPr="00FA1A19" w:rsidRDefault="00185727" w:rsidP="00261401">
      <w:pPr>
        <w:pStyle w:val="Bullet"/>
      </w:pPr>
      <w:r w:rsidRPr="00FA1A19">
        <w:t xml:space="preserve">as trading stock in carrying on a business. </w:t>
      </w:r>
    </w:p>
    <w:p w14:paraId="13943CF6" w14:textId="721747A1" w:rsidR="00204DFF" w:rsidRPr="00FA1A19" w:rsidRDefault="00190E9F" w:rsidP="00185727">
      <w:r w:rsidRPr="00FA1A19">
        <w:t>Notably</w:t>
      </w:r>
      <w:r w:rsidR="00204DFF" w:rsidRPr="00FA1A19">
        <w:t xml:space="preserve">, the ATO has provided limited guidance in relation to </w:t>
      </w:r>
      <w:r w:rsidR="00740326" w:rsidRPr="00FA1A19">
        <w:t xml:space="preserve">the circumstances </w:t>
      </w:r>
      <w:r w:rsidR="006E4A02" w:rsidRPr="00FA1A19">
        <w:t xml:space="preserve">where crypto assets are not trading stock to the owner, but </w:t>
      </w:r>
      <w:r w:rsidR="004B2A8B" w:rsidRPr="00FA1A19">
        <w:t xml:space="preserve">the profit or gain on those transactions are properly characterised as being on revenue account (such as in </w:t>
      </w:r>
      <w:r w:rsidR="004B2A8B" w:rsidRPr="00813896">
        <w:rPr>
          <w:rStyle w:val="Emphasis"/>
        </w:rPr>
        <w:t>Myer Emporium</w:t>
      </w:r>
      <w:r w:rsidR="004B2A8B" w:rsidRPr="00FA1A19">
        <w:t xml:space="preserve"> and </w:t>
      </w:r>
      <w:r w:rsidR="004B2A8B" w:rsidRPr="00813896">
        <w:rPr>
          <w:rStyle w:val="Emphasis"/>
        </w:rPr>
        <w:t>London Australia Investments</w:t>
      </w:r>
      <w:r w:rsidR="004B2A8B" w:rsidRPr="00FA1A19">
        <w:t>).</w:t>
      </w:r>
      <w:r w:rsidR="00740326" w:rsidRPr="00FA1A19">
        <w:t xml:space="preserve"> </w:t>
      </w:r>
    </w:p>
    <w:p w14:paraId="3ED270CF" w14:textId="08FF35C7" w:rsidR="00185727" w:rsidRPr="00FA1A19" w:rsidRDefault="00185727" w:rsidP="0069352C">
      <w:pPr>
        <w:pStyle w:val="Heading2"/>
      </w:pPr>
      <w:bookmarkStart w:id="93" w:name="_Toc159513608"/>
      <w:r w:rsidRPr="00FA1A19">
        <w:t>Board</w:t>
      </w:r>
      <w:r w:rsidR="00F75232">
        <w:t>’</w:t>
      </w:r>
      <w:r w:rsidRPr="00FA1A19">
        <w:t xml:space="preserve">s </w:t>
      </w:r>
      <w:r w:rsidR="00D44AA5" w:rsidRPr="00FA1A19">
        <w:t>C</w:t>
      </w:r>
      <w:r w:rsidRPr="00FA1A19">
        <w:t>onsideration</w:t>
      </w:r>
      <w:bookmarkEnd w:id="93"/>
      <w:r w:rsidRPr="00FA1A19">
        <w:t xml:space="preserve"> </w:t>
      </w:r>
    </w:p>
    <w:p w14:paraId="585C2F9A" w14:textId="6071E998" w:rsidR="008644C8" w:rsidRPr="00FA1A19" w:rsidRDefault="00914959" w:rsidP="00525CA1">
      <w:r w:rsidRPr="00FA1A19">
        <w:t xml:space="preserve">In accordance with the terms of </w:t>
      </w:r>
      <w:r w:rsidR="00484343" w:rsidRPr="00FA1A19">
        <w:t>reference</w:t>
      </w:r>
      <w:r w:rsidR="00470847" w:rsidRPr="00FA1A19">
        <w:t xml:space="preserve"> for </w:t>
      </w:r>
      <w:r w:rsidR="00921625" w:rsidRPr="00FA1A19">
        <w:t xml:space="preserve">the </w:t>
      </w:r>
      <w:r w:rsidR="00470847" w:rsidRPr="00FA1A19">
        <w:t xml:space="preserve">Review, </w:t>
      </w:r>
      <w:r w:rsidR="00FE24EE" w:rsidRPr="00FA1A19">
        <w:t>the Board has</w:t>
      </w:r>
      <w:r w:rsidR="00377858" w:rsidRPr="00FA1A19">
        <w:t xml:space="preserve"> explored</w:t>
      </w:r>
      <w:r w:rsidR="00AD39B2" w:rsidRPr="00FA1A19">
        <w:t xml:space="preserve"> </w:t>
      </w:r>
      <w:r w:rsidR="00377858" w:rsidRPr="00FA1A19">
        <w:t>the current Australian taxation treatment of crypto assets and transactions and emerging tax policy issues; the taxation of digital assets and transactions in comparative jurisdictions; whether the current taxation framework is adequate to deal with crypto assets and transactions or whether legislative intervention may be required; and whether any changes to Australia</w:t>
      </w:r>
      <w:r w:rsidR="00F75232">
        <w:t>’</w:t>
      </w:r>
      <w:r w:rsidR="00377858" w:rsidRPr="00FA1A19">
        <w:t>s administration are warranted in the context of digital assets and transactions.</w:t>
      </w:r>
      <w:r w:rsidR="004F0A51" w:rsidRPr="00FA1A19">
        <w:t xml:space="preserve"> </w:t>
      </w:r>
    </w:p>
    <w:p w14:paraId="700E5DF3" w14:textId="6F7D2404" w:rsidR="00525CA1" w:rsidRPr="00FA1A19" w:rsidRDefault="003B4E9A" w:rsidP="00525CA1">
      <w:r w:rsidRPr="00FA1A19">
        <w:t xml:space="preserve">This section </w:t>
      </w:r>
      <w:r w:rsidR="00C14BBB" w:rsidRPr="00FA1A19">
        <w:t>explains</w:t>
      </w:r>
      <w:r w:rsidRPr="00FA1A19">
        <w:t xml:space="preserve"> the Board</w:t>
      </w:r>
      <w:r w:rsidR="00F75232">
        <w:t>’</w:t>
      </w:r>
      <w:r w:rsidRPr="00FA1A19">
        <w:t xml:space="preserve">s </w:t>
      </w:r>
      <w:r w:rsidR="00AE3F19" w:rsidRPr="00FA1A19">
        <w:t xml:space="preserve">conclusions </w:t>
      </w:r>
      <w:r w:rsidR="00C13B0C" w:rsidRPr="00FA1A19">
        <w:t xml:space="preserve">and recommendations </w:t>
      </w:r>
      <w:r w:rsidR="009C40FD" w:rsidRPr="00FA1A19">
        <w:t>in relation to</w:t>
      </w:r>
      <w:r w:rsidR="00D53486" w:rsidRPr="00FA1A19">
        <w:t xml:space="preserve"> </w:t>
      </w:r>
      <w:r w:rsidR="004D5BEE" w:rsidRPr="00FA1A19">
        <w:t>more</w:t>
      </w:r>
      <w:r w:rsidR="00D53486" w:rsidRPr="00FA1A19">
        <w:t xml:space="preserve"> general</w:t>
      </w:r>
      <w:r w:rsidR="009C40FD" w:rsidRPr="00FA1A19">
        <w:t xml:space="preserve"> income tax</w:t>
      </w:r>
      <w:r w:rsidR="00D53486" w:rsidRPr="00FA1A19">
        <w:t xml:space="preserve"> matters</w:t>
      </w:r>
      <w:r w:rsidR="00497322" w:rsidRPr="00FA1A19">
        <w:t xml:space="preserve"> outlined above</w:t>
      </w:r>
      <w:r w:rsidR="00C13B0C" w:rsidRPr="00FA1A19">
        <w:t>.</w:t>
      </w:r>
    </w:p>
    <w:p w14:paraId="2A3E8779" w14:textId="3BE45DF8" w:rsidR="00185727" w:rsidRPr="00FA1A19" w:rsidRDefault="00C42B06" w:rsidP="00342121">
      <w:pPr>
        <w:pStyle w:val="Heading3"/>
      </w:pPr>
      <w:r w:rsidRPr="00FA1A19">
        <w:t>Ordinary income and trading stock</w:t>
      </w:r>
    </w:p>
    <w:p w14:paraId="3BDFFCD5" w14:textId="5FA2F322" w:rsidR="00185727" w:rsidRPr="00FA1A19" w:rsidRDefault="00185727" w:rsidP="00185727">
      <w:r w:rsidRPr="00FA1A19">
        <w:t xml:space="preserve">Crypto assets and transactions are not immune to the challenges of determining the appropriate capital/revenue treatment of associated receipts. The Board has received </w:t>
      </w:r>
      <w:r w:rsidR="0068118B" w:rsidRPr="00FA1A19">
        <w:t xml:space="preserve">some </w:t>
      </w:r>
      <w:r w:rsidRPr="00FA1A19">
        <w:t>submissions that the particular features of crypto assets and transactions may be so unique and complex that the revenue/capital question cannot be definitively resolved based upon existing common law. These submissions highlighted the complexity and uncertainty experienced by crypto asset users and their advisers in making these classifications.</w:t>
      </w:r>
    </w:p>
    <w:p w14:paraId="1AF342FC" w14:textId="25169DE9" w:rsidR="00185727" w:rsidRPr="00FA1A19" w:rsidRDefault="0003307C" w:rsidP="00185727">
      <w:r w:rsidRPr="00FA1A19">
        <w:t xml:space="preserve">In particular, </w:t>
      </w:r>
      <w:r w:rsidR="00185727" w:rsidRPr="00FA1A19" w:rsidDel="008F0F8D">
        <w:t xml:space="preserve">the </w:t>
      </w:r>
      <w:r w:rsidR="00185727" w:rsidRPr="00FA1A19">
        <w:t>following</w:t>
      </w:r>
      <w:r w:rsidR="008F0F8D" w:rsidRPr="00FA1A19">
        <w:t xml:space="preserve"> issues have arisen</w:t>
      </w:r>
      <w:r w:rsidR="00185727" w:rsidRPr="00FA1A19">
        <w:t>:</w:t>
      </w:r>
    </w:p>
    <w:p w14:paraId="015D7B97" w14:textId="05CE4C5D" w:rsidR="00185727" w:rsidRPr="00FA1A19" w:rsidRDefault="00CB1859" w:rsidP="00261401">
      <w:pPr>
        <w:pStyle w:val="Bullet"/>
      </w:pPr>
      <w:r w:rsidRPr="00FA1A19">
        <w:t>The</w:t>
      </w:r>
      <w:r w:rsidR="00EE1959" w:rsidRPr="00FA1A19">
        <w:t xml:space="preserve"> particular</w:t>
      </w:r>
      <w:r w:rsidRPr="00FA1A19">
        <w:t xml:space="preserve"> </w:t>
      </w:r>
      <w:r w:rsidR="00185727" w:rsidRPr="00FA1A19">
        <w:t xml:space="preserve">indicia </w:t>
      </w:r>
      <w:r w:rsidRPr="00FA1A19">
        <w:t>that</w:t>
      </w:r>
      <w:r w:rsidR="00185727" w:rsidRPr="00FA1A19">
        <w:t xml:space="preserve"> may be present to demonstrate that a business is being carried on in relation to crypto assets</w:t>
      </w:r>
      <w:r w:rsidRPr="00FA1A19">
        <w:t xml:space="preserve">, </w:t>
      </w:r>
      <w:r w:rsidR="00185727" w:rsidRPr="00FA1A19">
        <w:t>and the resulting treatment on revenue account.</w:t>
      </w:r>
    </w:p>
    <w:p w14:paraId="7A5B129D" w14:textId="7608BAB5" w:rsidR="00185727" w:rsidRPr="00FA1A19" w:rsidRDefault="00185727" w:rsidP="00261401">
      <w:pPr>
        <w:pStyle w:val="Bullet"/>
      </w:pPr>
      <w:r w:rsidRPr="00FA1A19">
        <w:t>Where</w:t>
      </w:r>
      <w:r w:rsidR="009171BC" w:rsidRPr="00FA1A19">
        <w:t xml:space="preserve"> a</w:t>
      </w:r>
      <w:r w:rsidRPr="00FA1A19">
        <w:t xml:space="preserve"> </w:t>
      </w:r>
      <w:r w:rsidR="009171BC" w:rsidRPr="00FA1A19">
        <w:t>transaction has been entered into with a profit</w:t>
      </w:r>
      <w:r w:rsidR="00112468">
        <w:t>-</w:t>
      </w:r>
      <w:r w:rsidR="009171BC" w:rsidRPr="00FA1A19">
        <w:t>making purpose, but</w:t>
      </w:r>
      <w:r w:rsidRPr="00FA1A19">
        <w:t xml:space="preserve"> the activities of a taxpayer do not amount to carrying on a business, </w:t>
      </w:r>
      <w:r w:rsidR="007A7DED" w:rsidRPr="00FA1A19">
        <w:t xml:space="preserve">the </w:t>
      </w:r>
      <w:r w:rsidRPr="00FA1A19">
        <w:t xml:space="preserve">indicia </w:t>
      </w:r>
      <w:r w:rsidR="007A7DED" w:rsidRPr="00FA1A19">
        <w:t>that</w:t>
      </w:r>
      <w:r w:rsidRPr="00FA1A19">
        <w:t xml:space="preserve"> may demonstrate that the transaction should still be treated on revenue account.</w:t>
      </w:r>
    </w:p>
    <w:p w14:paraId="12E60B2C" w14:textId="6FB4C95C" w:rsidR="00185727" w:rsidRPr="00FA1A19" w:rsidRDefault="00185727" w:rsidP="00261401">
      <w:pPr>
        <w:pStyle w:val="Bullet"/>
      </w:pPr>
      <w:r w:rsidRPr="00FA1A19">
        <w:t xml:space="preserve">Where </w:t>
      </w:r>
      <w:r w:rsidR="00A4428D" w:rsidRPr="00FA1A19">
        <w:t>any profit or gain is not on revenue account</w:t>
      </w:r>
      <w:r w:rsidRPr="00FA1A19">
        <w:t xml:space="preserve">, the </w:t>
      </w:r>
      <w:r w:rsidR="006A69BB" w:rsidRPr="00FA1A19">
        <w:t xml:space="preserve">application of the </w:t>
      </w:r>
      <w:r w:rsidRPr="00FA1A19">
        <w:t xml:space="preserve">CGT regime to the transaction, including consideration of: </w:t>
      </w:r>
    </w:p>
    <w:p w14:paraId="1E4758D9" w14:textId="60FA4158" w:rsidR="00185727" w:rsidRPr="00FA1A19" w:rsidRDefault="00185727" w:rsidP="00261401">
      <w:pPr>
        <w:pStyle w:val="Dash"/>
      </w:pPr>
      <w:r w:rsidRPr="00FA1A19">
        <w:t>when a crypto asset may be categorised as a CGT asset</w:t>
      </w:r>
    </w:p>
    <w:p w14:paraId="322849B6" w14:textId="2564A8DA" w:rsidR="00185727" w:rsidRPr="00FA1A19" w:rsidRDefault="00185727" w:rsidP="00261401">
      <w:pPr>
        <w:pStyle w:val="Dash"/>
      </w:pPr>
      <w:r w:rsidRPr="00FA1A19">
        <w:t>the application of CGT events to crypto assets and transactions, including timing issues</w:t>
      </w:r>
    </w:p>
    <w:p w14:paraId="4EA08C87" w14:textId="77777777" w:rsidR="00185727" w:rsidRPr="00FA1A19" w:rsidRDefault="00185727" w:rsidP="00261401">
      <w:pPr>
        <w:pStyle w:val="Dash"/>
      </w:pPr>
      <w:r w:rsidRPr="00FA1A19">
        <w:t>determination of the cost base and capital proceeds of a crypto asset, including valuation issues.</w:t>
      </w:r>
    </w:p>
    <w:p w14:paraId="003C06D7" w14:textId="3C097EB5" w:rsidR="00185727" w:rsidRPr="00FA1A19" w:rsidRDefault="00185727" w:rsidP="00B86742">
      <w:pPr>
        <w:keepNext/>
      </w:pPr>
      <w:r w:rsidRPr="00FA1A19">
        <w:t>The following diagram illustrates the structure of the Board</w:t>
      </w:r>
      <w:r w:rsidR="00F75232">
        <w:t>’</w:t>
      </w:r>
      <w:r w:rsidRPr="00FA1A19">
        <w:t>s consideration</w:t>
      </w:r>
      <w:r w:rsidR="00497322" w:rsidRPr="00FA1A19">
        <w:t xml:space="preserve"> of this issue</w:t>
      </w:r>
      <w:r w:rsidRPr="00FA1A19">
        <w:t>:</w:t>
      </w:r>
    </w:p>
    <w:p w14:paraId="19DF19E2" w14:textId="2E718577" w:rsidR="00185727" w:rsidRPr="00FA1A19" w:rsidRDefault="7321F2E3" w:rsidP="00261401">
      <w:pPr>
        <w:pStyle w:val="ChartGraphic"/>
      </w:pPr>
      <w:r w:rsidRPr="00FA1A19">
        <w:rPr>
          <w:noProof/>
        </w:rPr>
        <w:drawing>
          <wp:inline distT="0" distB="0" distL="0" distR="0" wp14:anchorId="5419FBA6" wp14:editId="605B6A7B">
            <wp:extent cx="6107074" cy="2612578"/>
            <wp:effectExtent l="0" t="0" r="8255" b="0"/>
            <wp:docPr id="46" name="Picture 46" descr="This infographic shows that taxpayers with a profit-making purpose who are carrying on a business or undertaking a commercial transaction will apply a revenue account treatment. Taxpayers with no profit-making purpose will apply a capital account treatment to CGT events occurring in relation to CGT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nfographic shows that taxpayers with a profit-making purpose who are carrying on a business or undertaking a commercial transaction will apply a revenue account treatment. Taxpayers with no profit-making purpose will apply a capital account treatment to CGT events occurring in relation to CGT asset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07074" cy="2612578"/>
                    </a:xfrm>
                    <a:prstGeom prst="rect">
                      <a:avLst/>
                    </a:prstGeom>
                  </pic:spPr>
                </pic:pic>
              </a:graphicData>
            </a:graphic>
          </wp:inline>
        </w:drawing>
      </w:r>
    </w:p>
    <w:p w14:paraId="1EF0BA4A" w14:textId="5C72B3F6" w:rsidR="00185727" w:rsidRPr="00FA1A19" w:rsidRDefault="00185727" w:rsidP="0069352C">
      <w:pPr>
        <w:pStyle w:val="Heading4"/>
      </w:pPr>
      <w:r w:rsidRPr="00FA1A19">
        <w:t>Carrying on a business</w:t>
      </w:r>
    </w:p>
    <w:p w14:paraId="142759CC" w14:textId="77777777" w:rsidR="00185727" w:rsidRPr="00FA1A19" w:rsidRDefault="00185727" w:rsidP="00185727">
      <w:pPr>
        <w:pStyle w:val="Heading5"/>
      </w:pPr>
      <w:bookmarkStart w:id="94" w:name="_Hlk150432459"/>
      <w:r w:rsidRPr="00FA1A19">
        <w:t>Background</w:t>
      </w:r>
    </w:p>
    <w:bookmarkEnd w:id="94"/>
    <w:p w14:paraId="44AC938B" w14:textId="77777777" w:rsidR="00185727" w:rsidRPr="00FA1A19" w:rsidRDefault="00185727" w:rsidP="00185727">
      <w:r w:rsidRPr="00FA1A19">
        <w:t xml:space="preserve">Businesses may be carried on by all types of taxpayers, covering the full spectrum of activities within the economy. Physical businesses, such as retail stores, professional services firms, hospitality operations are all easily identifiable as such and there is limited challenge in identifying the existence of a business operation being carried on in these instances. </w:t>
      </w:r>
    </w:p>
    <w:p w14:paraId="2BA50A52" w14:textId="6EAE6387" w:rsidR="00185727" w:rsidRPr="00FA1A19" w:rsidRDefault="00185727" w:rsidP="00185727">
      <w:r w:rsidRPr="00FA1A19">
        <w:t>Complex issues can arise in establishing that a business is being undertaken where the activities may straddle concepts of investing or hobby</w:t>
      </w:r>
      <w:r w:rsidR="00F75232">
        <w:noBreakHyphen/>
      </w:r>
      <w:r w:rsidRPr="00FA1A19">
        <w:t>based activities. Areas of contention regularly arise in relation to primary production operations, share trading, rental property letting and short</w:t>
      </w:r>
      <w:r w:rsidR="00F75232">
        <w:noBreakHyphen/>
      </w:r>
      <w:r w:rsidRPr="00FA1A19">
        <w:t xml:space="preserve">term accommodation. With the increasing prevalence of people using crypto assets, taxpayers are now grappling with the classification of crypto asset activities and where this may cross the line into that of a business operation. </w:t>
      </w:r>
    </w:p>
    <w:p w14:paraId="7589C8EC" w14:textId="47EF9D20" w:rsidR="00185727" w:rsidRPr="00FA1A19" w:rsidRDefault="00185727" w:rsidP="00185727">
      <w:r w:rsidRPr="00FA1A19">
        <w:t>In general terms, where activities are being undertaken with a profit</w:t>
      </w:r>
      <w:r w:rsidR="00112468">
        <w:t>-</w:t>
      </w:r>
      <w:r w:rsidRPr="00FA1A19">
        <w:t xml:space="preserve">making intention </w:t>
      </w:r>
      <w:r w:rsidR="00DF0519" w:rsidRPr="00FA1A19">
        <w:t>in</w:t>
      </w:r>
      <w:r w:rsidRPr="00FA1A19" w:rsidDel="00DF0519">
        <w:t xml:space="preserve"> </w:t>
      </w:r>
      <w:r w:rsidRPr="00FA1A19">
        <w:t xml:space="preserve">a regular, repetitive operation in a </w:t>
      </w:r>
      <w:r w:rsidR="00F75232">
        <w:t>‘</w:t>
      </w:r>
      <w:r w:rsidRPr="00FA1A19">
        <w:t>business</w:t>
      </w:r>
      <w:r w:rsidR="00F75232">
        <w:noBreakHyphen/>
      </w:r>
      <w:r w:rsidRPr="00FA1A19">
        <w:t>like</w:t>
      </w:r>
      <w:r w:rsidR="00F75232">
        <w:t>’</w:t>
      </w:r>
      <w:r w:rsidRPr="00FA1A19">
        <w:t xml:space="preserve"> manner, these activities </w:t>
      </w:r>
      <w:r w:rsidR="009131D2" w:rsidRPr="00FA1A19">
        <w:t xml:space="preserve">will most likely </w:t>
      </w:r>
      <w:r w:rsidRPr="00FA1A19">
        <w:t xml:space="preserve">amount to the carrying on of a business. </w:t>
      </w:r>
    </w:p>
    <w:p w14:paraId="41EDFD78" w14:textId="77777777" w:rsidR="00185727" w:rsidRPr="00FA1A19" w:rsidRDefault="00185727" w:rsidP="00185727">
      <w:pPr>
        <w:pStyle w:val="Heading5"/>
      </w:pPr>
      <w:r w:rsidRPr="00FA1A19">
        <w:t>Carrying on a business – ATO guidance</w:t>
      </w:r>
    </w:p>
    <w:p w14:paraId="6221C89F" w14:textId="2476F793" w:rsidR="00185727" w:rsidRPr="00FA1A19" w:rsidRDefault="00185727" w:rsidP="00185727">
      <w:r w:rsidRPr="00FA1A19">
        <w:t>The ATO provides general web guidance in relation to when a taxpayer</w:t>
      </w:r>
      <w:r w:rsidR="00F75232">
        <w:t>’</w:t>
      </w:r>
      <w:r w:rsidRPr="00FA1A19">
        <w:t>s activities may amount to carrying on a business</w:t>
      </w:r>
      <w:r w:rsidRPr="00170ADC">
        <w:rPr>
          <w:rStyle w:val="FootnoteReference"/>
        </w:rPr>
        <w:footnoteReference w:id="368"/>
      </w:r>
      <w:r w:rsidRPr="00FA1A19">
        <w:t xml:space="preserve"> including a series of steps to assist in determining if a business is being carried on. These steps require the taxpayer to identify all relevant, related activities and then determine if those activities are a business, by considering various indicia. </w:t>
      </w:r>
    </w:p>
    <w:p w14:paraId="451A6868" w14:textId="26EFE273" w:rsidR="00185727" w:rsidRPr="00FA1A19" w:rsidRDefault="00185727" w:rsidP="00185727">
      <w:r w:rsidRPr="00FA1A19">
        <w:t xml:space="preserve">The relevant elements that may be determinative of carrying on a business have been established across extensive case law and the ATO provides a summary of these factors in Taxation Ruling </w:t>
      </w:r>
      <w:hyperlink r:id="rId55" w:history="1">
        <w:r w:rsidRPr="00FA1A19">
          <w:rPr>
            <w:rStyle w:val="Hyperlink"/>
          </w:rPr>
          <w:t>TR 97/11</w:t>
        </w:r>
      </w:hyperlink>
      <w:r w:rsidRPr="00FA1A19">
        <w:t xml:space="preserve"> </w:t>
      </w:r>
      <w:r w:rsidRPr="00813896">
        <w:rPr>
          <w:rStyle w:val="Emphasis"/>
        </w:rPr>
        <w:t>Income Tax: am I carrying on a business of primary production?</w:t>
      </w:r>
      <w:r w:rsidRPr="00FA1A19">
        <w:t xml:space="preserve"> (TR 97/11). While this ruling specifically relates to a primary production business, it provides a detailed summary of the relevant factors to consider in determining if a taxpayer is carrying on a business. </w:t>
      </w:r>
    </w:p>
    <w:p w14:paraId="21244629" w14:textId="5EEE561B" w:rsidR="00185727" w:rsidRPr="00FA1A19" w:rsidRDefault="00185727" w:rsidP="00185727">
      <w:r w:rsidRPr="00FA1A19">
        <w:t xml:space="preserve">More recently, the ATO published Taxation Ruling </w:t>
      </w:r>
      <w:hyperlink r:id="rId56" w:history="1">
        <w:r w:rsidRPr="00FA1A19">
          <w:rPr>
            <w:rStyle w:val="Hyperlink"/>
          </w:rPr>
          <w:t>TR 2019/1</w:t>
        </w:r>
      </w:hyperlink>
      <w:r w:rsidRPr="00813896">
        <w:rPr>
          <w:rStyle w:val="Emphasis"/>
        </w:rPr>
        <w:t xml:space="preserve"> Income tax: when does a company carry on a business? </w:t>
      </w:r>
      <w:r w:rsidRPr="00FA1A19">
        <w:t>specifically for the purposes of determining a company</w:t>
      </w:r>
      <w:r w:rsidR="00F75232">
        <w:t>’</w:t>
      </w:r>
      <w:r w:rsidRPr="00FA1A19">
        <w:t xml:space="preserve">s eligibility for accessing the small business entity tax rate. </w:t>
      </w:r>
    </w:p>
    <w:p w14:paraId="07A44759" w14:textId="77777777" w:rsidR="00185727" w:rsidRPr="00FA1A19" w:rsidRDefault="00185727" w:rsidP="00185727">
      <w:r w:rsidRPr="00FA1A19">
        <w:t xml:space="preserve">Across both rulings, the ATO have provided a listing of the key indicia that have been identified throughout relevant case law that may point to a conclusion that a business is being carried on. TR 97/11 lists these factors as: </w:t>
      </w:r>
    </w:p>
    <w:p w14:paraId="4451DA81" w14:textId="47BF5EB3" w:rsidR="00185727" w:rsidRPr="00FA1A19" w:rsidRDefault="00185727" w:rsidP="00261401">
      <w:pPr>
        <w:pStyle w:val="Bullet"/>
      </w:pPr>
      <w:r w:rsidRPr="00FA1A19">
        <w:t xml:space="preserve">whether the activity has a significant commercial purpose or character </w:t>
      </w:r>
    </w:p>
    <w:p w14:paraId="1338510C" w14:textId="19D342D6" w:rsidR="00185727" w:rsidRPr="00FA1A19" w:rsidRDefault="00185727" w:rsidP="00261401">
      <w:pPr>
        <w:pStyle w:val="Bullet"/>
      </w:pPr>
      <w:r w:rsidRPr="00FA1A19">
        <w:t>whether the taxpayer has more than just an intention to engage in business</w:t>
      </w:r>
    </w:p>
    <w:p w14:paraId="7289E617" w14:textId="2EEA622E" w:rsidR="00185727" w:rsidRPr="00FA1A19" w:rsidRDefault="00185727" w:rsidP="00261401">
      <w:pPr>
        <w:pStyle w:val="Bullet"/>
      </w:pPr>
      <w:r w:rsidRPr="00FA1A19">
        <w:t>whether the taxpayer has a purpose of profit as well as a prospect of profit from the activity</w:t>
      </w:r>
    </w:p>
    <w:p w14:paraId="2F4CEB0E" w14:textId="792FC9AF" w:rsidR="00185727" w:rsidRPr="00FA1A19" w:rsidRDefault="00185727" w:rsidP="00261401">
      <w:pPr>
        <w:pStyle w:val="Bullet"/>
      </w:pPr>
      <w:r w:rsidRPr="00FA1A19">
        <w:t>whether there is repetition and regularity of the activity</w:t>
      </w:r>
    </w:p>
    <w:p w14:paraId="34E244BD" w14:textId="2B79F000" w:rsidR="00185727" w:rsidRPr="00FA1A19" w:rsidRDefault="00185727" w:rsidP="00261401">
      <w:pPr>
        <w:pStyle w:val="Bullet"/>
      </w:pPr>
      <w:r w:rsidRPr="00FA1A19">
        <w:t>whether the activity is of the same kind and carried on in a similar manner to that of the ordinary trade in that line of business</w:t>
      </w:r>
    </w:p>
    <w:p w14:paraId="6773D987" w14:textId="3070F6F2" w:rsidR="00185727" w:rsidRPr="00FA1A19" w:rsidRDefault="00185727" w:rsidP="00261401">
      <w:pPr>
        <w:pStyle w:val="Bullet"/>
      </w:pPr>
      <w:r w:rsidRPr="00FA1A19">
        <w:t>whether the activity is planned, organised and carried on in a business</w:t>
      </w:r>
      <w:r w:rsidR="00F75232">
        <w:noBreakHyphen/>
      </w:r>
      <w:r w:rsidRPr="00FA1A19">
        <w:t>like manner such that it is directed at making a profit</w:t>
      </w:r>
    </w:p>
    <w:p w14:paraId="626D0C33" w14:textId="63FFA0E2" w:rsidR="00185727" w:rsidRPr="00FA1A19" w:rsidRDefault="00185727" w:rsidP="00261401">
      <w:pPr>
        <w:pStyle w:val="Bullet"/>
      </w:pPr>
      <w:r w:rsidRPr="00FA1A19">
        <w:t>the size, scale and permanency of the activity</w:t>
      </w:r>
    </w:p>
    <w:p w14:paraId="0C79D98C" w14:textId="77777777" w:rsidR="00185727" w:rsidRPr="00FA1A19" w:rsidRDefault="00185727" w:rsidP="00261401">
      <w:pPr>
        <w:pStyle w:val="Bullet"/>
      </w:pPr>
      <w:r w:rsidRPr="00FA1A19">
        <w:t>whether the activity is better described as a hobby, a form of recreation or a sporting activity.</w:t>
      </w:r>
    </w:p>
    <w:p w14:paraId="399B7B3E" w14:textId="77777777" w:rsidR="00185727" w:rsidRPr="00FA1A19" w:rsidRDefault="00185727" w:rsidP="00185727">
      <w:pPr>
        <w:pStyle w:val="Heading5"/>
      </w:pPr>
      <w:r w:rsidRPr="00FA1A19">
        <w:t xml:space="preserve">Crypto asset businesses </w:t>
      </w:r>
    </w:p>
    <w:p w14:paraId="1CD3D9E2" w14:textId="1B9B97D6" w:rsidR="00185727" w:rsidRPr="00FA1A19" w:rsidRDefault="00185727" w:rsidP="00185727">
      <w:r w:rsidRPr="00FA1A19">
        <w:t>The ATO takes the approach that the most common use of crypto assets is as an investment (investors acquire and hold crypto assets to make a financial profit from holding or disposing of them)</w:t>
      </w:r>
      <w:r w:rsidRPr="00170ADC">
        <w:rPr>
          <w:rStyle w:val="FootnoteReference"/>
        </w:rPr>
        <w:footnoteReference w:id="369"/>
      </w:r>
      <w:r w:rsidRPr="00FA1A19">
        <w:t xml:space="preserve"> and the ATO</w:t>
      </w:r>
      <w:r w:rsidR="00F75232">
        <w:t>’</w:t>
      </w:r>
      <w:r w:rsidRPr="00FA1A19">
        <w:t xml:space="preserve">s web guidance on </w:t>
      </w:r>
      <w:r w:rsidRPr="00813896">
        <w:rPr>
          <w:rStyle w:val="Emphasis"/>
        </w:rPr>
        <w:t xml:space="preserve">Crypto assets used in business </w:t>
      </w:r>
      <w:r w:rsidRPr="00FA1A19">
        <w:t xml:space="preserve">highlights that a business can hold assets without those assets being held in carrying on a business. It further highlights the following indicia for when a crypto asset business may be carried on: </w:t>
      </w:r>
    </w:p>
    <w:p w14:paraId="065A7D36" w14:textId="46655409" w:rsidR="00185727" w:rsidRPr="00FA1A19" w:rsidRDefault="00185727" w:rsidP="00261401">
      <w:pPr>
        <w:pStyle w:val="Bullet"/>
      </w:pPr>
      <w:r w:rsidRPr="00FA1A19">
        <w:t>carrying on the activity for commercial reasons and in a commercially viable way</w:t>
      </w:r>
    </w:p>
    <w:p w14:paraId="58822661" w14:textId="549E864D" w:rsidR="00185727" w:rsidRPr="00FA1A19" w:rsidRDefault="00185727" w:rsidP="00261401">
      <w:pPr>
        <w:pStyle w:val="Bullet"/>
      </w:pPr>
      <w:r w:rsidRPr="00FA1A19">
        <w:t>intending to make a profit or genuinely believing a profit will be made, even if it is unlikely in the short term</w:t>
      </w:r>
    </w:p>
    <w:p w14:paraId="1407460F" w14:textId="2B6D184E" w:rsidR="00185727" w:rsidRPr="00FA1A19" w:rsidRDefault="00185727" w:rsidP="00261401">
      <w:pPr>
        <w:pStyle w:val="Bullet"/>
      </w:pPr>
      <w:r w:rsidRPr="00FA1A19">
        <w:t>undertaking activities in a planned, organised and business</w:t>
      </w:r>
      <w:r w:rsidR="00F75232">
        <w:noBreakHyphen/>
      </w:r>
      <w:r w:rsidRPr="00FA1A19">
        <w:t>like manner, which may include keeping business records, preparing a business plan, and acquiring capital assets or inventory in line with that business plan</w:t>
      </w:r>
    </w:p>
    <w:p w14:paraId="761779B9" w14:textId="77777777" w:rsidR="00185727" w:rsidRPr="00FA1A19" w:rsidRDefault="00185727" w:rsidP="00A65360">
      <w:pPr>
        <w:pStyle w:val="Bullet"/>
        <w:spacing w:after="0"/>
      </w:pPr>
      <w:r w:rsidRPr="00FA1A19">
        <w:t>repetition of similar activities for the business on a regular basis.</w:t>
      </w:r>
      <w:r w:rsidRPr="00170ADC">
        <w:rPr>
          <w:rStyle w:val="FootnoteReference"/>
        </w:rPr>
        <w:footnoteReference w:id="370"/>
      </w:r>
      <w:r w:rsidRPr="00FA1A19">
        <w:t xml:space="preserve"> </w:t>
      </w:r>
    </w:p>
    <w:p w14:paraId="7DA5AAF6" w14:textId="77777777" w:rsidR="00185727" w:rsidRPr="00FA1A19" w:rsidRDefault="00185727" w:rsidP="00185727">
      <w:r w:rsidRPr="00FA1A19">
        <w:t>The guidance also notes that:</w:t>
      </w:r>
    </w:p>
    <w:p w14:paraId="579C89D7" w14:textId="5424570D" w:rsidR="00185727" w:rsidRPr="00FA1A19" w:rsidRDefault="00185727" w:rsidP="00991EBC">
      <w:pPr>
        <w:pStyle w:val="Quote"/>
      </w:pPr>
      <w:r w:rsidRPr="00FA1A19">
        <w:t xml:space="preserve">… the overall size of your </w:t>
      </w:r>
      <w:r w:rsidRPr="00FA1A19">
        <w:rPr>
          <w:rFonts w:asciiTheme="minorHAnsi" w:hAnsiTheme="minorHAnsi" w:cstheme="minorHAnsi"/>
        </w:rPr>
        <w:t>transactions</w:t>
      </w:r>
      <w:r w:rsidRPr="00FA1A19">
        <w:t>, a high volume of activity, or a level of sophistication doesn</w:t>
      </w:r>
      <w:r w:rsidR="00F75232">
        <w:t>’</w:t>
      </w:r>
      <w:r w:rsidRPr="00FA1A19">
        <w:t>t necessarily mean you are carrying on a business using crypto assets.</w:t>
      </w:r>
      <w:r w:rsidRPr="00170ADC">
        <w:rPr>
          <w:rStyle w:val="FootnoteReference"/>
        </w:rPr>
        <w:footnoteReference w:id="371"/>
      </w:r>
      <w:r w:rsidRPr="00FA1A19">
        <w:t xml:space="preserve"> </w:t>
      </w:r>
    </w:p>
    <w:p w14:paraId="2B60DB4B" w14:textId="5E64CDFA" w:rsidR="00185727" w:rsidRPr="00FA1A19" w:rsidRDefault="00185727" w:rsidP="00185727">
      <w:r w:rsidRPr="00FA1A19">
        <w:t xml:space="preserve">The </w:t>
      </w:r>
      <w:r w:rsidR="001C24A5" w:rsidRPr="00FA1A19">
        <w:t>Board notes that taxpayers should be cautious in</w:t>
      </w:r>
      <w:r w:rsidRPr="00FA1A19">
        <w:t xml:space="preserve"> </w:t>
      </w:r>
      <w:r w:rsidR="006C01EA" w:rsidRPr="00FA1A19">
        <w:t xml:space="preserve">relying upon indicia set out in </w:t>
      </w:r>
      <w:r w:rsidR="001C24A5" w:rsidRPr="00FA1A19">
        <w:t xml:space="preserve">ATO </w:t>
      </w:r>
      <w:r w:rsidRPr="00FA1A19">
        <w:t xml:space="preserve">guidance </w:t>
      </w:r>
      <w:r w:rsidR="00EE79A9" w:rsidRPr="00FA1A19">
        <w:t xml:space="preserve">on other </w:t>
      </w:r>
      <w:r w:rsidRPr="00FA1A19">
        <w:t>financial instruments such as shares</w:t>
      </w:r>
      <w:r w:rsidR="006C01EA" w:rsidRPr="00FA1A19">
        <w:t xml:space="preserve">, noting the differences </w:t>
      </w:r>
      <w:r w:rsidR="00C03A5A" w:rsidRPr="00FA1A19">
        <w:t>such as that demonstrated in relation to carrying on a share trading business</w:t>
      </w:r>
      <w:r w:rsidRPr="00FA1A19">
        <w:t xml:space="preserve">: </w:t>
      </w:r>
    </w:p>
    <w:p w14:paraId="3DC98C16" w14:textId="77777777" w:rsidR="00185727" w:rsidRPr="008B599E" w:rsidRDefault="00185727" w:rsidP="00CD44D3">
      <w:pPr>
        <w:ind w:left="720"/>
      </w:pPr>
      <w:r w:rsidRPr="00F63C1F">
        <w:t>The higher the volume of your share transactions, the more likely it is that you are carrying on a business</w:t>
      </w:r>
      <w:r w:rsidRPr="008B599E">
        <w:t>.</w:t>
      </w:r>
      <w:r w:rsidRPr="008B599E">
        <w:rPr>
          <w:rStyle w:val="FootnoteReference"/>
        </w:rPr>
        <w:footnoteReference w:id="372"/>
      </w:r>
      <w:r w:rsidRPr="008B599E">
        <w:t xml:space="preserve"> </w:t>
      </w:r>
    </w:p>
    <w:p w14:paraId="780FF889" w14:textId="42F5D074" w:rsidR="00185727" w:rsidRPr="00FA1A19" w:rsidRDefault="00185727" w:rsidP="00185727">
      <w:pPr>
        <w:pStyle w:val="Heading6"/>
      </w:pPr>
      <w:r w:rsidRPr="00FA1A19">
        <w:t xml:space="preserve">Relevant </w:t>
      </w:r>
      <w:r w:rsidR="007D2C44" w:rsidRPr="00FA1A19">
        <w:t>i</w:t>
      </w:r>
      <w:r w:rsidRPr="00FA1A19">
        <w:t>ndicia of a crypto asset business</w:t>
      </w:r>
    </w:p>
    <w:p w14:paraId="17BEAA17" w14:textId="315D5863" w:rsidR="00185727" w:rsidRPr="00FA1A19" w:rsidRDefault="00185727" w:rsidP="00185727">
      <w:pPr>
        <w:autoSpaceDE w:val="0"/>
        <w:autoSpaceDN w:val="0"/>
        <w:adjustRightInd w:val="0"/>
      </w:pPr>
      <w:r w:rsidRPr="00FA1A19">
        <w:t xml:space="preserve">The Board </w:t>
      </w:r>
      <w:r w:rsidR="003F0565" w:rsidRPr="00FA1A19">
        <w:t>considers</w:t>
      </w:r>
      <w:r w:rsidRPr="00FA1A19">
        <w:t xml:space="preserve"> the following key factors </w:t>
      </w:r>
      <w:r w:rsidR="003F0565" w:rsidRPr="00FA1A19">
        <w:t xml:space="preserve">to be </w:t>
      </w:r>
      <w:r w:rsidRPr="00FA1A19">
        <w:t>relevant in assessing whether a crypto asset business is conducted:</w:t>
      </w:r>
    </w:p>
    <w:p w14:paraId="088FF3D3" w14:textId="6AC90116" w:rsidR="00185727" w:rsidRPr="00FA1A19" w:rsidRDefault="00185727" w:rsidP="00261401">
      <w:pPr>
        <w:pStyle w:val="Bullet"/>
      </w:pPr>
      <w:r w:rsidRPr="00FA1A19">
        <w:t xml:space="preserve">whether the activity has a significant commercial purpose or character </w:t>
      </w:r>
    </w:p>
    <w:p w14:paraId="1589935D" w14:textId="4180BD3A" w:rsidR="00185727" w:rsidRPr="00FA1A19" w:rsidRDefault="00185727" w:rsidP="00261401">
      <w:pPr>
        <w:pStyle w:val="Bullet"/>
      </w:pPr>
      <w:r w:rsidRPr="00FA1A19">
        <w:t>whether the taxpayer has more than just an intention to engage in business</w:t>
      </w:r>
    </w:p>
    <w:p w14:paraId="59E7029E" w14:textId="1BD9A435" w:rsidR="00185727" w:rsidRPr="00FA1A19" w:rsidRDefault="00185727" w:rsidP="00261401">
      <w:pPr>
        <w:pStyle w:val="Bullet"/>
      </w:pPr>
      <w:r w:rsidRPr="00FA1A19">
        <w:t>whether the taxpayer has a purpose of profit as well as a prospect of profit from the activity</w:t>
      </w:r>
    </w:p>
    <w:p w14:paraId="0E5C4B35" w14:textId="715082D8" w:rsidR="00185727" w:rsidRPr="00FA1A19" w:rsidRDefault="00185727" w:rsidP="00261401">
      <w:pPr>
        <w:pStyle w:val="Bullet"/>
      </w:pPr>
      <w:r w:rsidRPr="00FA1A19">
        <w:t>whether there is repetition and regularity of the activity.</w:t>
      </w:r>
    </w:p>
    <w:p w14:paraId="05BDE1A3" w14:textId="77777777" w:rsidR="00185727" w:rsidRPr="00FA1A19" w:rsidRDefault="00185727" w:rsidP="00185727">
      <w:pPr>
        <w:autoSpaceDE w:val="0"/>
        <w:autoSpaceDN w:val="0"/>
        <w:adjustRightInd w:val="0"/>
      </w:pPr>
      <w:r w:rsidRPr="00FA1A19">
        <w:t xml:space="preserve">The Board observes that there is a lack of clear guidance in relation to what activities may constitute a business for crypto asset users. Considerations such as business plans, record keeping and level of research may be relatively easy to translate from traditional businesses to crypto asset businesses. However, there is significant ambiguity in determining the appropriate thresholds for regularity, repetition, size and scope. This is due in part to the particular nature of crypto asset activities, and the fact that these activities may involve a significant number of transactions. </w:t>
      </w:r>
    </w:p>
    <w:p w14:paraId="6085D23A" w14:textId="4FD8BA20" w:rsidR="00185727" w:rsidRPr="00FA1A19" w:rsidRDefault="00185727" w:rsidP="00185727">
      <w:pPr>
        <w:autoSpaceDE w:val="0"/>
        <w:autoSpaceDN w:val="0"/>
        <w:adjustRightInd w:val="0"/>
      </w:pPr>
      <w:r w:rsidRPr="00FA1A19">
        <w:t xml:space="preserve">While case law and associated ATO guidance provides the relevant considerations, the weighting of these considerations across the nuanced facts of individual taxpayers and activities requires careful consideration. Taxpayers may seek some certainty in their tax positions by applying for a PBR based upon their own circumstances and facts. However, the Board notes that cost of preparing, lodging and </w:t>
      </w:r>
      <w:r w:rsidR="000A673A" w:rsidRPr="00FA1A19">
        <w:t>ongoing management of a</w:t>
      </w:r>
      <w:r w:rsidRPr="00FA1A19">
        <w:t xml:space="preserve"> PBR application, in conjunction with the ATO decision</w:t>
      </w:r>
      <w:r w:rsidR="00F75232">
        <w:noBreakHyphen/>
      </w:r>
      <w:r w:rsidRPr="00FA1A19">
        <w:t>making timeline, can result in this option being difficult and potentially inaccessible to many taxpayers. The impact of this time and cost is particularly relevant in the start</w:t>
      </w:r>
      <w:r w:rsidR="00F75232">
        <w:noBreakHyphen/>
      </w:r>
      <w:r w:rsidRPr="00FA1A19">
        <w:t xml:space="preserve">up phase of any undertaking. </w:t>
      </w:r>
    </w:p>
    <w:p w14:paraId="08DED4C3" w14:textId="621FC6A8" w:rsidR="00185727" w:rsidRPr="00FA1A19" w:rsidRDefault="00185727" w:rsidP="00185727">
      <w:pPr>
        <w:autoSpaceDE w:val="0"/>
        <w:autoSpaceDN w:val="0"/>
        <w:adjustRightInd w:val="0"/>
      </w:pPr>
      <w:r w:rsidRPr="00FA1A19">
        <w:t xml:space="preserve">The Board has reviewed edited published extracts of PBRs regarding whether a taxpayer is carrying on a crypto asset business. As set out above and in </w:t>
      </w:r>
      <w:r w:rsidR="00372633">
        <w:t>Chapter </w:t>
      </w:r>
      <w:r w:rsidR="00026D78" w:rsidRPr="00FA1A19">
        <w:t>6</w:t>
      </w:r>
      <w:r w:rsidRPr="00FA1A19">
        <w:t xml:space="preserve">, </w:t>
      </w:r>
      <w:r w:rsidR="000A673A" w:rsidRPr="00FA1A19">
        <w:t>reliance upon</w:t>
      </w:r>
      <w:r w:rsidRPr="00FA1A19">
        <w:t xml:space="preserve"> edited PBRs will not provide taxpayers with protection from tax shortfalls or penalties. While the ATO makes it clear that taxpayers are unable to rely on the edited PBRs, these edited PBRs may provide an indication of ATO positioning, particularly in the absence of other ATO pronouncements. Based on the sanitised extracts available, it is often difficult to draw conclusions as to the circumstances in which a crypto asset business is likely to exist. </w:t>
      </w:r>
    </w:p>
    <w:p w14:paraId="38CE3C19" w14:textId="0745449F" w:rsidR="00185727" w:rsidRPr="00FA1A19" w:rsidRDefault="00185727" w:rsidP="00185727">
      <w:pPr>
        <w:autoSpaceDE w:val="0"/>
        <w:autoSpaceDN w:val="0"/>
        <w:adjustRightInd w:val="0"/>
      </w:pPr>
      <w:r w:rsidRPr="00FA1A19">
        <w:t xml:space="preserve">The following table provides a </w:t>
      </w:r>
      <w:r w:rsidR="00610A7E" w:rsidRPr="00FA1A19">
        <w:t>non</w:t>
      </w:r>
      <w:r w:rsidR="00F75232">
        <w:noBreakHyphen/>
      </w:r>
      <w:r w:rsidR="00610A7E" w:rsidRPr="00FA1A19">
        <w:t xml:space="preserve">exhaustive </w:t>
      </w:r>
      <w:r w:rsidRPr="00FA1A19">
        <w:t xml:space="preserve">summary of the </w:t>
      </w:r>
      <w:r w:rsidR="00610A7E" w:rsidRPr="00FA1A19">
        <w:t xml:space="preserve">indicia </w:t>
      </w:r>
      <w:r w:rsidRPr="00FA1A19">
        <w:t xml:space="preserve">that the Board has considered relevant in assessing whether a crypto asset business is </w:t>
      </w:r>
      <w:r w:rsidR="006F6D41" w:rsidRPr="00FA1A19">
        <w:t>being carried on</w:t>
      </w:r>
      <w:r w:rsidRPr="00FA1A19">
        <w:t>:</w:t>
      </w:r>
    </w:p>
    <w:p w14:paraId="5A43E908" w14:textId="78B685FB" w:rsidR="00185727" w:rsidRPr="00FA1A19" w:rsidRDefault="00256CAF" w:rsidP="00B86742">
      <w:pPr>
        <w:pStyle w:val="ChartGraphic"/>
        <w:spacing w:after="120"/>
      </w:pPr>
      <w:r w:rsidRPr="00FA1A19">
        <w:rPr>
          <w:noProof/>
        </w:rPr>
        <w:drawing>
          <wp:inline distT="0" distB="0" distL="0" distR="0" wp14:anchorId="0D3EEAF1" wp14:editId="4E4FA435">
            <wp:extent cx="6119998" cy="2994892"/>
            <wp:effectExtent l="0" t="0" r="0" b="0"/>
            <wp:docPr id="44" name="Picture 44" descr="This infographic shows several indicia of carrying on a business across the categories of ‘Business-like manner’, ‘Repetition and regularity’, and ‘Size and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nfographic shows several indicia of carrying on a business across the categories of ‘Business-like manner’, ‘Repetition and regularity’, and ‘Size and scale’.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19998" cy="2994892"/>
                    </a:xfrm>
                    <a:prstGeom prst="rect">
                      <a:avLst/>
                    </a:prstGeom>
                  </pic:spPr>
                </pic:pic>
              </a:graphicData>
            </a:graphic>
          </wp:inline>
        </w:drawing>
      </w:r>
    </w:p>
    <w:p w14:paraId="6979828F" w14:textId="56603B36" w:rsidR="00185727" w:rsidRPr="00FA1A19" w:rsidRDefault="00185727" w:rsidP="00185727">
      <w:pPr>
        <w:pStyle w:val="Heading7"/>
      </w:pPr>
      <w:r w:rsidRPr="00FA1A19">
        <w:t>Business</w:t>
      </w:r>
      <w:r w:rsidR="00F75232">
        <w:noBreakHyphen/>
      </w:r>
      <w:r w:rsidRPr="00FA1A19">
        <w:t>like manner</w:t>
      </w:r>
    </w:p>
    <w:p w14:paraId="1466C792" w14:textId="6EAD9B12" w:rsidR="00185727" w:rsidRPr="00FA1A19" w:rsidRDefault="00185727" w:rsidP="00185727">
      <w:pPr>
        <w:autoSpaceDE w:val="0"/>
        <w:autoSpaceDN w:val="0"/>
        <w:adjustRightInd w:val="0"/>
      </w:pPr>
      <w:r w:rsidRPr="00FA1A19">
        <w:t>In TR 97/11, the ATO sets out that a business is characteristically carried on in a systematic and organised manner rather than on an ad hoc basis. It further states that an activity should generally conform with ordinary commercial principles to amount to the carrying on of a business.</w:t>
      </w:r>
      <w:r w:rsidRPr="00170ADC">
        <w:rPr>
          <w:rStyle w:val="FootnoteReference"/>
        </w:rPr>
        <w:footnoteReference w:id="373"/>
      </w:r>
      <w:r w:rsidRPr="00FA1A19">
        <w:t xml:space="preserve"> The ruling notes Fisher J</w:t>
      </w:r>
      <w:r w:rsidR="00F75232">
        <w:t>’</w:t>
      </w:r>
      <w:r w:rsidRPr="00FA1A19">
        <w:t>s comments in Ferguson</w:t>
      </w:r>
      <w:r w:rsidR="006F6D41" w:rsidRPr="00FA1A19">
        <w:t>:</w:t>
      </w:r>
    </w:p>
    <w:p w14:paraId="4602E103" w14:textId="4B57C299" w:rsidR="00185727" w:rsidRPr="00FA1A19" w:rsidRDefault="00185727" w:rsidP="00991EBC">
      <w:pPr>
        <w:pStyle w:val="Quote"/>
      </w:pPr>
      <w:r w:rsidRPr="00FA1A19">
        <w:t>... the venture as a whole had a commercial flavour, was conducted systematically and, ... in a business like manner. It could not be said that there was anything haphazard or disorganised in the way in which he carried out the activity.</w:t>
      </w:r>
      <w:r w:rsidR="006F6D41" w:rsidRPr="00170ADC">
        <w:rPr>
          <w:rStyle w:val="FootnoteReference"/>
        </w:rPr>
        <w:footnoteReference w:id="374"/>
      </w:r>
    </w:p>
    <w:p w14:paraId="777F1A09" w14:textId="77777777" w:rsidR="00185727" w:rsidRPr="00FA1A19" w:rsidRDefault="00185727" w:rsidP="00185727">
      <w:pPr>
        <w:autoSpaceDE w:val="0"/>
        <w:autoSpaceDN w:val="0"/>
        <w:adjustRightInd w:val="0"/>
      </w:pPr>
      <w:r w:rsidRPr="00FA1A19">
        <w:t>The ATO further notes that the weight of this indicator will depend on the facts of the situation and a taxpayer may still carry on a business despite having poor organisational skills.</w:t>
      </w:r>
      <w:r w:rsidRPr="00170ADC">
        <w:rPr>
          <w:rStyle w:val="FootnoteReference"/>
        </w:rPr>
        <w:footnoteReference w:id="375"/>
      </w:r>
      <w:r w:rsidRPr="00FA1A19">
        <w:t xml:space="preserve"> </w:t>
      </w:r>
    </w:p>
    <w:p w14:paraId="6216C553" w14:textId="4550D9A2" w:rsidR="00185727" w:rsidRPr="00FA1A19" w:rsidRDefault="00185727" w:rsidP="00185727">
      <w:pPr>
        <w:autoSpaceDE w:val="0"/>
        <w:autoSpaceDN w:val="0"/>
        <w:adjustRightInd w:val="0"/>
      </w:pPr>
      <w:r w:rsidRPr="00FA1A19">
        <w:t xml:space="preserve">The </w:t>
      </w:r>
      <w:r w:rsidR="006F6D41" w:rsidRPr="00FA1A19">
        <w:t>Board has considered</w:t>
      </w:r>
      <w:r w:rsidRPr="00FA1A19">
        <w:t xml:space="preserve"> </w:t>
      </w:r>
      <w:r w:rsidR="00226B0A" w:rsidRPr="00FA1A19">
        <w:t xml:space="preserve">the ATO positioning set out in </w:t>
      </w:r>
      <w:r w:rsidRPr="00FA1A19">
        <w:t xml:space="preserve">published </w:t>
      </w:r>
      <w:r w:rsidR="0048390D" w:rsidRPr="00FA1A19">
        <w:t xml:space="preserve">edited </w:t>
      </w:r>
      <w:r w:rsidRPr="00FA1A19">
        <w:t>PBRs</w:t>
      </w:r>
      <w:r w:rsidR="0048390D" w:rsidRPr="00FA1A19">
        <w:t xml:space="preserve"> and</w:t>
      </w:r>
      <w:r w:rsidRPr="00FA1A19">
        <w:t xml:space="preserve"> note the </w:t>
      </w:r>
      <w:r w:rsidR="0048390D" w:rsidRPr="00FA1A19">
        <w:t xml:space="preserve">existence of the </w:t>
      </w:r>
      <w:r w:rsidRPr="00FA1A19">
        <w:t xml:space="preserve">following factors </w:t>
      </w:r>
      <w:r w:rsidR="0048390D" w:rsidRPr="00FA1A19">
        <w:t xml:space="preserve">is </w:t>
      </w:r>
      <w:r w:rsidRPr="00FA1A19">
        <w:t>relevant to this issue:</w:t>
      </w:r>
    </w:p>
    <w:p w14:paraId="1E9CFD50" w14:textId="77777777" w:rsidR="00185727" w:rsidRPr="00FA1A19" w:rsidRDefault="00185727" w:rsidP="00261401">
      <w:pPr>
        <w:pStyle w:val="Bullet"/>
      </w:pPr>
      <w:r w:rsidRPr="00FA1A19">
        <w:t>Business plans and strategies (for example the existence of a business plan, budgets, targets and other plans, the sophistication of the investment strategy and the level of research and technical analysis).</w:t>
      </w:r>
    </w:p>
    <w:p w14:paraId="07AE98B8" w14:textId="77777777" w:rsidR="00185727" w:rsidRPr="00FA1A19" w:rsidRDefault="00185727" w:rsidP="00261401">
      <w:pPr>
        <w:pStyle w:val="Bullet"/>
      </w:pPr>
      <w:r w:rsidRPr="00FA1A19">
        <w:t>Record keeping and reliance on records (noting that on occasion the ATO draws a distinction between reliance on records solely from the trading account provider and the maintenance of more detailed financial records).</w:t>
      </w:r>
    </w:p>
    <w:p w14:paraId="5025763A" w14:textId="77777777" w:rsidR="00185727" w:rsidRPr="00FA1A19" w:rsidRDefault="00185727" w:rsidP="00261401">
      <w:pPr>
        <w:pStyle w:val="Bullet"/>
      </w:pPr>
      <w:r w:rsidRPr="00FA1A19">
        <w:t>The existence of a dedicated space for the relevant activities (e.g. whether the taxpayer had a separate space to conduct activities).</w:t>
      </w:r>
    </w:p>
    <w:p w14:paraId="48356F6E" w14:textId="77777777" w:rsidR="00185727" w:rsidRPr="00FA1A19" w:rsidRDefault="00185727" w:rsidP="00261401">
      <w:pPr>
        <w:pStyle w:val="Bullet"/>
      </w:pPr>
      <w:r w:rsidRPr="00FA1A19">
        <w:t>The level of equipment utilised in the activities (although in some PBRs the ATO notes that the ownership of a laptop was not sufficient to meet the threshold of a business).</w:t>
      </w:r>
    </w:p>
    <w:p w14:paraId="45009911" w14:textId="77777777" w:rsidR="00185727" w:rsidRPr="00FA1A19" w:rsidRDefault="00185727" w:rsidP="00185727">
      <w:pPr>
        <w:pStyle w:val="Heading7"/>
      </w:pPr>
      <w:r w:rsidRPr="00FA1A19">
        <w:t>Size or scale of activity</w:t>
      </w:r>
    </w:p>
    <w:p w14:paraId="42FCED4E" w14:textId="49B9FC49" w:rsidR="00185727" w:rsidRPr="00FA1A19" w:rsidRDefault="00185727" w:rsidP="00185727">
      <w:pPr>
        <w:autoSpaceDE w:val="0"/>
        <w:autoSpaceDN w:val="0"/>
        <w:adjustRightInd w:val="0"/>
      </w:pPr>
      <w:r w:rsidRPr="00FA1A19">
        <w:t>TR 97/11 sets out that the larger the scale of the activity, the more likely it will be that a business is being carried on but notes that the size or scale is not a determinative test. In the</w:t>
      </w:r>
      <w:r w:rsidR="00637D8B" w:rsidRPr="00FA1A19">
        <w:t xml:space="preserve"> published</w:t>
      </w:r>
      <w:r w:rsidRPr="00FA1A19">
        <w:t xml:space="preserve"> edited PBRs, the ATO has considered factors including the number of transactions, value of those transactions and the different types of crypto assets and exchanges that have been traded with.</w:t>
      </w:r>
    </w:p>
    <w:p w14:paraId="7C2891CA" w14:textId="1FB3B798" w:rsidR="00185727" w:rsidRPr="00FA1A19" w:rsidRDefault="00185727" w:rsidP="00185727">
      <w:r w:rsidRPr="00FA1A19">
        <w:t xml:space="preserve">Throughout the consultation process the Board received consistent feedback that the way crypto asset transactions are undertaken may differ from the way transactions are commonly undertaken with other assets. For example, the use of algorithms to undertake a high volume of crypto trades is not uncommon, however the Board notes that the use of these types of tools can also be seen elsewhere such as with certain share markets. The Board has heard that what is largely unique to crypto assets, however, is that due to the way that certain brokerage systems work, a transaction that is representative of a single event may occur through multiple events. </w:t>
      </w:r>
    </w:p>
    <w:p w14:paraId="3B6DE506" w14:textId="7F104D97" w:rsidR="00185727" w:rsidRPr="00FA1A19" w:rsidRDefault="00185727" w:rsidP="00185727">
      <w:r w:rsidRPr="00FA1A19">
        <w:t>The Board heard one example of a taxpayer having approximately 1,000 identified transactions, which really represented only about 200 substantive transactions. The cause of this was the concurrent transactions that occur when ether is spent. A taxpayer may be seeking to undertake a single transaction, however there could be multiple signing transactions that inflate the activity, such as the gas fee</w:t>
      </w:r>
      <w:r w:rsidR="009E6C21" w:rsidRPr="00FA1A19">
        <w:t>.</w:t>
      </w:r>
      <w:r w:rsidRPr="00170ADC">
        <w:rPr>
          <w:rStyle w:val="FootnoteReference"/>
        </w:rPr>
        <w:footnoteReference w:id="376"/>
      </w:r>
      <w:r w:rsidRPr="00FA1A19">
        <w:t>.</w:t>
      </w:r>
    </w:p>
    <w:p w14:paraId="01F7EDBA" w14:textId="776351AB" w:rsidR="00185727" w:rsidRPr="00FA1A19" w:rsidRDefault="00185727" w:rsidP="00185727">
      <w:r w:rsidRPr="00FA1A19">
        <w:t>Another example provided in the Board</w:t>
      </w:r>
      <w:r w:rsidR="00F75232">
        <w:t>’</w:t>
      </w:r>
      <w:r w:rsidRPr="00FA1A19">
        <w:t>s Working Group related to the operation of brokerage systems</w:t>
      </w:r>
      <w:r w:rsidR="00B836A8" w:rsidRPr="00FA1A19">
        <w:t xml:space="preserve"> and resulted</w:t>
      </w:r>
      <w:r w:rsidRPr="00FA1A19">
        <w:t xml:space="preserve"> in </w:t>
      </w:r>
      <w:r w:rsidR="00CE214B" w:rsidRPr="00FA1A19">
        <w:t xml:space="preserve">a taxpayer </w:t>
      </w:r>
      <w:r w:rsidRPr="00FA1A19">
        <w:t xml:space="preserve">having 15,000 transactions merely because of the regularity with which the relevant exchange paid </w:t>
      </w:r>
      <w:r w:rsidR="005D4D86" w:rsidRPr="00FA1A19">
        <w:t xml:space="preserve">returns </w:t>
      </w:r>
      <w:r w:rsidRPr="00FA1A19">
        <w:t xml:space="preserve">throughout the day. </w:t>
      </w:r>
    </w:p>
    <w:p w14:paraId="1F67A42E" w14:textId="77777777" w:rsidR="00185727" w:rsidRPr="00FA1A19" w:rsidRDefault="00185727" w:rsidP="00185727">
      <w:r w:rsidRPr="00FA1A19">
        <w:t>This was highlighted in submissions to the Review, including from Koinly who noted:</w:t>
      </w:r>
    </w:p>
    <w:p w14:paraId="6612479C" w14:textId="41731790" w:rsidR="00185727" w:rsidRPr="00FA1A19" w:rsidRDefault="00185727" w:rsidP="00722D65">
      <w:pPr>
        <w:pStyle w:val="Quote"/>
      </w:pPr>
      <w:r w:rsidRPr="00FA1A19">
        <w:t xml:space="preserve">The unique way people interact and transact with crypto (particularly when resulting in high trading volumes) requires a more detailed consideration of how the tax classification as an investor or </w:t>
      </w:r>
      <w:r w:rsidRPr="00FA1A19">
        <w:rPr>
          <w:rFonts w:asciiTheme="minorHAnsi" w:hAnsiTheme="minorHAnsi" w:cstheme="minorHAnsi"/>
        </w:rPr>
        <w:t>trader</w:t>
      </w:r>
      <w:r w:rsidRPr="00FA1A19">
        <w:t xml:space="preserve"> applies. Further clarification is required concerning the threshold of profit</w:t>
      </w:r>
      <w:r w:rsidR="00F75232">
        <w:noBreakHyphen/>
      </w:r>
      <w:r w:rsidRPr="00FA1A19">
        <w:t>making intention and transactions with a commercial undertaking despite existing case law which is not crypto</w:t>
      </w:r>
      <w:r w:rsidR="00F75232">
        <w:noBreakHyphen/>
      </w:r>
      <w:r w:rsidRPr="00FA1A19">
        <w:t>specific (e.g. Myer Emporium and Greig).</w:t>
      </w:r>
      <w:r w:rsidRPr="00170ADC">
        <w:rPr>
          <w:rStyle w:val="FootnoteReference"/>
        </w:rPr>
        <w:footnoteReference w:id="377"/>
      </w:r>
    </w:p>
    <w:p w14:paraId="665226C7" w14:textId="7DDFE1F9" w:rsidR="00185727" w:rsidRPr="00FA1A19" w:rsidRDefault="00185727" w:rsidP="00185727">
      <w:r w:rsidRPr="00FA1A19">
        <w:t xml:space="preserve">It is apparent that the number of transactions that are being undertaken by a crypto asset user may not provide meaningful insight into the size and scale of their activities. While the number of trades that are undertaken may be useful in identifying a pattern of regularity, the Board does not consider that it should be </w:t>
      </w:r>
      <w:r w:rsidR="004F4484" w:rsidRPr="00FA1A19">
        <w:t xml:space="preserve">the </w:t>
      </w:r>
      <w:r w:rsidRPr="00FA1A19">
        <w:t xml:space="preserve">determinative factor in the existence of a business. </w:t>
      </w:r>
    </w:p>
    <w:p w14:paraId="78A68AD6" w14:textId="77777777" w:rsidR="00185727" w:rsidRPr="00FA1A19" w:rsidRDefault="00185727" w:rsidP="007D2C44">
      <w:pPr>
        <w:pStyle w:val="Heading7"/>
      </w:pPr>
      <w:r w:rsidRPr="00FA1A19">
        <w:t xml:space="preserve">Repetition and Regularity </w:t>
      </w:r>
    </w:p>
    <w:p w14:paraId="28293F2F" w14:textId="77777777" w:rsidR="00185727" w:rsidRPr="00FA1A19" w:rsidRDefault="00185727" w:rsidP="00185727">
      <w:r w:rsidRPr="00FA1A19">
        <w:t>In addressing the activities that are being repeated regularly by a crypto asset user, consideration must be given to the whole of the activities being undertaken, throughout the entire process of research, planning and execution. As set out in TR 97/11:</w:t>
      </w:r>
    </w:p>
    <w:p w14:paraId="5169C943" w14:textId="1BF5B73C" w:rsidR="00185727" w:rsidRPr="00FA1A19" w:rsidRDefault="00185727" w:rsidP="00991EBC">
      <w:pPr>
        <w:pStyle w:val="Quote"/>
      </w:pPr>
      <w:r w:rsidRPr="00FA1A19">
        <w:t>For example, in Hope</w:t>
      </w:r>
      <w:r w:rsidRPr="00170ADC">
        <w:rPr>
          <w:rStyle w:val="FootnoteReference"/>
        </w:rPr>
        <w:footnoteReference w:id="378"/>
      </w:r>
      <w:r w:rsidRPr="00FA1A19">
        <w:t xml:space="preserve"> the </w:t>
      </w:r>
      <w:r w:rsidR="00F75232">
        <w:t>‘</w:t>
      </w:r>
      <w:r w:rsidRPr="00FA1A19">
        <w:t>transactions were entered into on a continuous and repetitive basis</w:t>
      </w:r>
      <w:r w:rsidR="00F75232">
        <w:t>’</w:t>
      </w:r>
      <w:r w:rsidRPr="00FA1A19">
        <w:t>, such that the taxpayer</w:t>
      </w:r>
      <w:r w:rsidR="00F75232">
        <w:t>’</w:t>
      </w:r>
      <w:r w:rsidRPr="00FA1A19">
        <w:t xml:space="preserve">s activities </w:t>
      </w:r>
      <w:r w:rsidR="00F75232">
        <w:t>‘</w:t>
      </w:r>
      <w:r w:rsidRPr="00FA1A19">
        <w:t>manifested the essential characteristics required of a business</w:t>
      </w:r>
      <w:r w:rsidR="00F75232">
        <w:t>’</w:t>
      </w:r>
      <w:r w:rsidRPr="00FA1A19">
        <w:t>. Similarly, in JR Walker</w:t>
      </w:r>
      <w:r w:rsidRPr="00170ADC">
        <w:rPr>
          <w:rStyle w:val="FootnoteReference"/>
        </w:rPr>
        <w:footnoteReference w:id="379"/>
      </w:r>
      <w:r w:rsidRPr="00FA1A19">
        <w:t> the court held that there was repetition and regularity in the taxpayer</w:t>
      </w:r>
      <w:r w:rsidR="00F75232">
        <w:t>’</w:t>
      </w:r>
      <w:r w:rsidRPr="00FA1A19">
        <w:t>s activities directed to the breeding of high quality Angora goats and to keeping up with the latest information on Angora goats.</w:t>
      </w:r>
    </w:p>
    <w:p w14:paraId="625AEB5A" w14:textId="6FADCF86" w:rsidR="00185727" w:rsidRPr="00FA1A19" w:rsidRDefault="00185727" w:rsidP="00185727">
      <w:r w:rsidRPr="00FA1A19">
        <w:t xml:space="preserve">In the published </w:t>
      </w:r>
      <w:r w:rsidR="004F4484" w:rsidRPr="00FA1A19">
        <w:t>edited</w:t>
      </w:r>
      <w:r w:rsidRPr="00FA1A19">
        <w:t xml:space="preserve"> PBRs, the Commissioner has looked to various factors relevant to this </w:t>
      </w:r>
      <w:r w:rsidR="00637D8B" w:rsidRPr="00FA1A19">
        <w:t xml:space="preserve">indicator </w:t>
      </w:r>
      <w:r w:rsidRPr="00FA1A19">
        <w:t>including the number of hours spent on the activities over relevant periods, the frequency of trades occurring and what other activities the taxpayer was undertaking (such as being in full time employment elsewhere). Some of the PBRs where the ATO took the view that a cryptocurrency business was carried on appear to illustrate very active trading (e.g. PBR 5010050</w:t>
      </w:r>
      <w:r w:rsidR="00D96F7A" w:rsidRPr="00FA1A19">
        <w:t>0</w:t>
      </w:r>
      <w:r w:rsidRPr="00FA1A19">
        <w:t>65720</w:t>
      </w:r>
      <w:r w:rsidR="004B69CD" w:rsidRPr="00170ADC">
        <w:rPr>
          <w:rStyle w:val="FootnoteReference"/>
        </w:rPr>
        <w:footnoteReference w:id="380"/>
      </w:r>
      <w:r w:rsidRPr="00FA1A19">
        <w:t xml:space="preserve"> details over 12,000 transactions, daily to weekly trading and up to 30 hours per week being dedicated to crypto and share trading activities). In other PBRs, the ATO has referred to the limited nature of the activities in concluding that no business was being carried on. The fact that the taxpayer continued employment elsewhere, did not necessarily prevent the Commissioner from concluding that a business was being carried on. </w:t>
      </w:r>
    </w:p>
    <w:p w14:paraId="5503B7A2" w14:textId="12684706" w:rsidR="00185727" w:rsidRPr="00FA1A19" w:rsidRDefault="00185727" w:rsidP="00185727">
      <w:pPr>
        <w:pStyle w:val="Heading7"/>
      </w:pPr>
      <w:r w:rsidRPr="00FA1A19">
        <w:t>Board</w:t>
      </w:r>
      <w:r w:rsidR="00F75232">
        <w:t>’</w:t>
      </w:r>
      <w:r w:rsidRPr="00FA1A19">
        <w:t xml:space="preserve">s </w:t>
      </w:r>
      <w:r w:rsidR="00151A1C" w:rsidRPr="00FA1A19">
        <w:t>conclusion</w:t>
      </w:r>
    </w:p>
    <w:p w14:paraId="0AA896D3" w14:textId="5B1091FF" w:rsidR="00185727" w:rsidRPr="00FA1A19" w:rsidRDefault="00062BB5" w:rsidP="00185727">
      <w:r w:rsidRPr="00FA1A19">
        <w:t xml:space="preserve">Whilst tax law principles </w:t>
      </w:r>
      <w:r w:rsidR="00022917" w:rsidRPr="00FA1A19">
        <w:t xml:space="preserve">in relation to investment as opposed to carrying on a business </w:t>
      </w:r>
      <w:r w:rsidR="00B94F36" w:rsidRPr="00FA1A19">
        <w:t xml:space="preserve">including a business of trading </w:t>
      </w:r>
      <w:r w:rsidR="00022917" w:rsidRPr="00FA1A19">
        <w:t xml:space="preserve">can be applied to taxpayers who </w:t>
      </w:r>
      <w:r w:rsidR="00173C6B" w:rsidRPr="00FA1A19">
        <w:t xml:space="preserve">enter into crypto transactions, there are special features of crypto transactions that require </w:t>
      </w:r>
      <w:r w:rsidR="00311EFB" w:rsidRPr="00FA1A19">
        <w:t xml:space="preserve">particular </w:t>
      </w:r>
      <w:r w:rsidR="00173C6B" w:rsidRPr="00FA1A19">
        <w:t>expertise and understanding to determine the correct</w:t>
      </w:r>
      <w:r w:rsidR="00B72AC6" w:rsidRPr="00FA1A19">
        <w:t xml:space="preserve"> conclusion in relation to this </w:t>
      </w:r>
      <w:r w:rsidR="00431938" w:rsidRPr="00FA1A19">
        <w:t>threshold</w:t>
      </w:r>
      <w:r w:rsidR="00B72AC6" w:rsidRPr="00FA1A19">
        <w:t xml:space="preserve"> tax issue.</w:t>
      </w:r>
      <w:r w:rsidR="004F0A51" w:rsidRPr="00FA1A19">
        <w:t xml:space="preserve"> </w:t>
      </w:r>
      <w:r w:rsidR="00F62F49" w:rsidRPr="00FA1A19">
        <w:t xml:space="preserve">At the present time there is a lack of </w:t>
      </w:r>
      <w:r w:rsidR="00D81E61" w:rsidRPr="00FA1A19">
        <w:t>judicial</w:t>
      </w:r>
      <w:r w:rsidR="00E10434" w:rsidRPr="00FA1A19">
        <w:t xml:space="preserve"> </w:t>
      </w:r>
      <w:r w:rsidR="00F62F49" w:rsidRPr="00FA1A19">
        <w:t>precedent to support taxpayers in determining</w:t>
      </w:r>
      <w:r w:rsidR="00E10434" w:rsidRPr="00FA1A19">
        <w:t xml:space="preserve"> the correct tax treatment</w:t>
      </w:r>
      <w:r w:rsidR="00B72AC6" w:rsidRPr="00FA1A19">
        <w:t>.</w:t>
      </w:r>
      <w:r w:rsidR="004F0A51" w:rsidRPr="00FA1A19">
        <w:t xml:space="preserve"> </w:t>
      </w:r>
      <w:r w:rsidR="00B72AC6" w:rsidRPr="00FA1A19">
        <w:t>A</w:t>
      </w:r>
      <w:r w:rsidR="00E10434" w:rsidRPr="00FA1A19">
        <w:t>ccordingly</w:t>
      </w:r>
      <w:r w:rsidR="00B72AC6" w:rsidRPr="00FA1A19">
        <w:t>,</w:t>
      </w:r>
      <w:r w:rsidR="00E10434" w:rsidRPr="00FA1A19">
        <w:t xml:space="preserve"> a high level of guidance is </w:t>
      </w:r>
      <w:r w:rsidR="00B72AC6" w:rsidRPr="00FA1A19">
        <w:t xml:space="preserve">necessary so that taxpayers </w:t>
      </w:r>
      <w:r w:rsidR="0003673F" w:rsidRPr="00FA1A19">
        <w:t>(</w:t>
      </w:r>
      <w:r w:rsidR="00B72AC6" w:rsidRPr="00FA1A19">
        <w:t>and their advisers</w:t>
      </w:r>
      <w:r w:rsidR="0003673F" w:rsidRPr="00FA1A19">
        <w:t>)</w:t>
      </w:r>
      <w:r w:rsidR="00B72AC6" w:rsidRPr="00FA1A19">
        <w:t xml:space="preserve"> can access the assistance they require</w:t>
      </w:r>
      <w:r w:rsidR="0003673F" w:rsidRPr="00FA1A19">
        <w:t xml:space="preserve"> to correctly determine their tax liabilities</w:t>
      </w:r>
      <w:r w:rsidR="00B72AC6" w:rsidRPr="00FA1A19">
        <w:t>.</w:t>
      </w:r>
      <w:r w:rsidR="004F0A51" w:rsidRPr="00FA1A19">
        <w:t xml:space="preserve"> </w:t>
      </w:r>
      <w:r w:rsidR="00B72AC6" w:rsidRPr="00FA1A19">
        <w:t>Whilst the ATO has endeavoured to provide</w:t>
      </w:r>
      <w:r w:rsidR="00431938" w:rsidRPr="00FA1A19">
        <w:t>, and has provided,</w:t>
      </w:r>
      <w:r w:rsidR="00B72AC6" w:rsidRPr="00FA1A19">
        <w:t xml:space="preserve"> </w:t>
      </w:r>
      <w:r w:rsidR="00431938" w:rsidRPr="00FA1A19">
        <w:t xml:space="preserve">significant </w:t>
      </w:r>
      <w:r w:rsidR="00B72AC6" w:rsidRPr="00FA1A19">
        <w:t>guidance on its website</w:t>
      </w:r>
      <w:r w:rsidR="000E1203" w:rsidRPr="00FA1A19">
        <w:t xml:space="preserve"> (see </w:t>
      </w:r>
      <w:r w:rsidR="00372633">
        <w:t>Chapter </w:t>
      </w:r>
      <w:r w:rsidR="000E1203" w:rsidRPr="00FA1A19">
        <w:t>6)</w:t>
      </w:r>
      <w:r w:rsidR="00B72AC6" w:rsidRPr="00FA1A19">
        <w:t xml:space="preserve">, </w:t>
      </w:r>
      <w:r w:rsidR="0003673F" w:rsidRPr="00FA1A19">
        <w:t xml:space="preserve">there is a </w:t>
      </w:r>
      <w:r w:rsidR="0006530A" w:rsidRPr="00FA1A19">
        <w:t>current</w:t>
      </w:r>
      <w:r w:rsidR="0003673F" w:rsidRPr="00FA1A19">
        <w:t xml:space="preserve"> and will be</w:t>
      </w:r>
      <w:r w:rsidR="0006530A" w:rsidRPr="00FA1A19">
        <w:t xml:space="preserve"> a</w:t>
      </w:r>
      <w:r w:rsidR="0003673F" w:rsidRPr="00FA1A19">
        <w:t xml:space="preserve"> continuing need </w:t>
      </w:r>
      <w:r w:rsidR="000E1203" w:rsidRPr="00FA1A19">
        <w:t>for increased detailed ATO guidance</w:t>
      </w:r>
      <w:r w:rsidR="00D81E61" w:rsidRPr="00FA1A19">
        <w:t>,</w:t>
      </w:r>
      <w:r w:rsidR="00A30DFD" w:rsidRPr="00FA1A19">
        <w:t xml:space="preserve"> particularly</w:t>
      </w:r>
      <w:r w:rsidR="000E1203" w:rsidRPr="00FA1A19">
        <w:t xml:space="preserve"> </w:t>
      </w:r>
      <w:r w:rsidR="00185727" w:rsidRPr="00FA1A19">
        <w:t xml:space="preserve">incorporating examples of activities </w:t>
      </w:r>
      <w:r w:rsidR="00D81E61" w:rsidRPr="00FA1A19">
        <w:t xml:space="preserve">in the crypto ecosystem </w:t>
      </w:r>
      <w:r w:rsidR="00185727" w:rsidRPr="00FA1A19">
        <w:t xml:space="preserve">that may amount to carrying on a business. </w:t>
      </w:r>
    </w:p>
    <w:p w14:paraId="01D03555" w14:textId="77777777" w:rsidR="003C1404" w:rsidRPr="00FA1A19" w:rsidRDefault="003C1404" w:rsidP="00261401">
      <w:pPr>
        <w:pStyle w:val="SingleParagraph"/>
      </w:pPr>
    </w:p>
    <w:tbl>
      <w:tblPr>
        <w:tblStyle w:val="Style2"/>
        <w:tblW w:w="5000" w:type="pct"/>
        <w:tblLook w:val="0420" w:firstRow="1" w:lastRow="0" w:firstColumn="0" w:lastColumn="0" w:noHBand="0" w:noVBand="1"/>
      </w:tblPr>
      <w:tblGrid>
        <w:gridCol w:w="9641"/>
      </w:tblGrid>
      <w:tr w:rsidR="00185727" w:rsidRPr="00FA1A19" w14:paraId="4D5694F4"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00AECF62" w14:textId="5D13420D" w:rsidR="00185727" w:rsidRPr="00261401" w:rsidRDefault="00372633" w:rsidP="00261401">
            <w:pPr>
              <w:pStyle w:val="BoxHeading1"/>
            </w:pPr>
            <w:r>
              <w:t>Recommendation </w:t>
            </w:r>
            <w:r w:rsidR="00072377" w:rsidRPr="00FA1A19">
              <w:t>7</w:t>
            </w:r>
            <w:r w:rsidR="00185727" w:rsidRPr="00FA1A19">
              <w:t>.1</w:t>
            </w:r>
          </w:p>
        </w:tc>
      </w:tr>
      <w:tr w:rsidR="00185727" w:rsidRPr="00FA1A19" w14:paraId="70D8E329"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0D9D30E2" w14:textId="6E2DD1D5" w:rsidR="00185727" w:rsidRPr="00FA1A19" w:rsidRDefault="00CA0375" w:rsidP="00261401">
            <w:pPr>
              <w:pStyle w:val="BoxText"/>
            </w:pPr>
            <w:r w:rsidRPr="00FA1A19">
              <w:t>Established</w:t>
            </w:r>
            <w:r w:rsidR="001137F6" w:rsidRPr="00FA1A19">
              <w:t xml:space="preserve"> common law principles</w:t>
            </w:r>
            <w:r w:rsidRPr="00FA1A19">
              <w:t xml:space="preserve"> can apply </w:t>
            </w:r>
            <w:r w:rsidR="00296E00" w:rsidRPr="00FA1A19">
              <w:t>to crypto assets to determine whether profits or gains are on revenue or capital account.</w:t>
            </w:r>
            <w:r w:rsidR="004F0A51" w:rsidRPr="00FA1A19">
              <w:t xml:space="preserve"> </w:t>
            </w:r>
            <w:r w:rsidR="001137F6" w:rsidRPr="00FA1A19">
              <w:t xml:space="preserve">However, there is currently </w:t>
            </w:r>
            <w:r w:rsidR="00185727" w:rsidRPr="00FA1A19">
              <w:t xml:space="preserve">a lack of </w:t>
            </w:r>
            <w:r w:rsidR="0095164B" w:rsidRPr="00FA1A19">
              <w:t xml:space="preserve">judicial </w:t>
            </w:r>
            <w:r w:rsidR="00D97EE7" w:rsidRPr="00FA1A19">
              <w:t>precedent</w:t>
            </w:r>
            <w:r w:rsidR="00185727" w:rsidRPr="00FA1A19">
              <w:t xml:space="preserve"> </w:t>
            </w:r>
            <w:r w:rsidR="001137F6" w:rsidRPr="00FA1A19">
              <w:t>specifically dealing with crypto transactions.</w:t>
            </w:r>
            <w:r w:rsidR="004F0A51" w:rsidRPr="00FA1A19">
              <w:t xml:space="preserve"> </w:t>
            </w:r>
            <w:r w:rsidR="004128CB" w:rsidRPr="00FA1A19">
              <w:t>This includes, significantly, the circumstances in which</w:t>
            </w:r>
            <w:r w:rsidR="003B2CB6" w:rsidRPr="00FA1A19">
              <w:t xml:space="preserve"> crypto</w:t>
            </w:r>
            <w:r w:rsidR="004128CB" w:rsidRPr="00FA1A19">
              <w:t xml:space="preserve"> activities will amount to carrying on a business, including a business of trading.</w:t>
            </w:r>
            <w:r w:rsidR="004F0A51" w:rsidRPr="00FA1A19">
              <w:t xml:space="preserve"> </w:t>
            </w:r>
            <w:r w:rsidR="00185727" w:rsidRPr="00FA1A19">
              <w:t xml:space="preserve">Taxpayers </w:t>
            </w:r>
            <w:r w:rsidR="00471FFF" w:rsidRPr="00FA1A19">
              <w:t xml:space="preserve">therefore </w:t>
            </w:r>
            <w:r w:rsidR="00185727" w:rsidRPr="00FA1A19">
              <w:t xml:space="preserve">need access to information </w:t>
            </w:r>
            <w:r w:rsidR="0020192D" w:rsidRPr="00FA1A19">
              <w:t>and guidance</w:t>
            </w:r>
            <w:r w:rsidR="00185727" w:rsidRPr="00FA1A19">
              <w:t xml:space="preserve"> </w:t>
            </w:r>
            <w:r w:rsidR="007E7FE4" w:rsidRPr="00FA1A19">
              <w:t xml:space="preserve">upon which they can rely </w:t>
            </w:r>
            <w:r w:rsidR="00185727" w:rsidRPr="00FA1A19">
              <w:t xml:space="preserve">to ensure </w:t>
            </w:r>
            <w:r w:rsidR="003F3AB2" w:rsidRPr="00FA1A19">
              <w:t>their tax disclosures will be acceptable to the ATO</w:t>
            </w:r>
            <w:r w:rsidR="00185727" w:rsidRPr="00FA1A19">
              <w:t xml:space="preserve">. </w:t>
            </w:r>
          </w:p>
          <w:p w14:paraId="6268FDAE" w14:textId="04985462" w:rsidR="00185727" w:rsidRPr="00FA1A19" w:rsidRDefault="00471FFF" w:rsidP="00261401">
            <w:pPr>
              <w:pStyle w:val="BoxText"/>
            </w:pPr>
            <w:r w:rsidRPr="00FA1A19">
              <w:t>Accordingly</w:t>
            </w:r>
            <w:r w:rsidR="0020192D" w:rsidRPr="00FA1A19">
              <w:t>,</w:t>
            </w:r>
            <w:r w:rsidRPr="00FA1A19">
              <w:t xml:space="preserve"> t</w:t>
            </w:r>
            <w:r w:rsidR="00185727" w:rsidRPr="00FA1A19">
              <w:t>he Board recommends that the ATO</w:t>
            </w:r>
            <w:r w:rsidR="00C22563" w:rsidRPr="00FA1A19">
              <w:t>,</w:t>
            </w:r>
            <w:r w:rsidR="00185727" w:rsidRPr="00FA1A19">
              <w:t xml:space="preserve"> </w:t>
            </w:r>
            <w:r w:rsidR="00886BC2" w:rsidRPr="00FA1A19">
              <w:t>in consultation with</w:t>
            </w:r>
            <w:r w:rsidR="00185727" w:rsidRPr="00FA1A19">
              <w:t xml:space="preserve"> </w:t>
            </w:r>
            <w:r w:rsidR="00D564D4" w:rsidRPr="00E81174">
              <w:t xml:space="preserve">industry stakeholders and taxpayer representative groups </w:t>
            </w:r>
            <w:r w:rsidR="00D564D4" w:rsidRPr="008A62C8">
              <w:t>including</w:t>
            </w:r>
            <w:r w:rsidR="00D564D4" w:rsidRPr="00E81174">
              <w:t xml:space="preserve"> </w:t>
            </w:r>
            <w:r w:rsidR="00185727" w:rsidRPr="00FA1A19">
              <w:t>the Crypto Industry Working Group</w:t>
            </w:r>
            <w:r w:rsidR="00C22563" w:rsidRPr="00FA1A19">
              <w:t>,</w:t>
            </w:r>
            <w:r w:rsidR="00185727" w:rsidRPr="00FA1A19">
              <w:t xml:space="preserve"> develop </w:t>
            </w:r>
            <w:r w:rsidRPr="00FA1A19">
              <w:t xml:space="preserve">further and detailed </w:t>
            </w:r>
            <w:r w:rsidR="00185727" w:rsidRPr="00FA1A19">
              <w:t xml:space="preserve">guidance </w:t>
            </w:r>
            <w:r w:rsidR="001137F6" w:rsidRPr="00FA1A19">
              <w:t xml:space="preserve">with examples/case studies </w:t>
            </w:r>
            <w:r w:rsidR="00185727" w:rsidRPr="00FA1A19">
              <w:t xml:space="preserve">in relation to how the </w:t>
            </w:r>
            <w:r w:rsidR="0020192D" w:rsidRPr="00FA1A19">
              <w:t>ATO will apply</w:t>
            </w:r>
            <w:r w:rsidR="00185727" w:rsidRPr="00FA1A19">
              <w:t xml:space="preserve"> the established indicia for carrying on a business to crypto asset </w:t>
            </w:r>
            <w:r w:rsidR="00BB16AD" w:rsidRPr="00FA1A19">
              <w:t>activities</w:t>
            </w:r>
            <w:r w:rsidR="00185727" w:rsidRPr="00FA1A19">
              <w:t>.</w:t>
            </w:r>
          </w:p>
        </w:tc>
      </w:tr>
    </w:tbl>
    <w:p w14:paraId="1C0B568B" w14:textId="77777777" w:rsidR="00261401" w:rsidRDefault="00261401" w:rsidP="00261401">
      <w:pPr>
        <w:pStyle w:val="SingleParagraph"/>
      </w:pPr>
    </w:p>
    <w:p w14:paraId="5CF19905" w14:textId="1903FA8A" w:rsidR="00185727" w:rsidRPr="00FA1A19" w:rsidRDefault="00185727" w:rsidP="0069352C">
      <w:pPr>
        <w:pStyle w:val="Heading4"/>
      </w:pPr>
      <w:r w:rsidRPr="00FA1A19">
        <w:t>Commercial profit</w:t>
      </w:r>
      <w:r w:rsidR="00F75232">
        <w:noBreakHyphen/>
      </w:r>
      <w:r w:rsidRPr="00FA1A19">
        <w:t>making transactions</w:t>
      </w:r>
    </w:p>
    <w:p w14:paraId="3B884536" w14:textId="77777777" w:rsidR="00185727" w:rsidRPr="00FA1A19" w:rsidRDefault="00185727" w:rsidP="00185727">
      <w:pPr>
        <w:pStyle w:val="Heading5"/>
      </w:pPr>
      <w:r w:rsidRPr="00FA1A19">
        <w:t>Background</w:t>
      </w:r>
    </w:p>
    <w:p w14:paraId="75D3EDC6" w14:textId="0513B112" w:rsidR="00185727" w:rsidRPr="00FA1A19" w:rsidRDefault="00185727" w:rsidP="00185727">
      <w:r w:rsidRPr="00FA1A19">
        <w:t xml:space="preserve">As outlined above, it is not necessary that a taxpayer </w:t>
      </w:r>
      <w:r w:rsidR="0020192D" w:rsidRPr="00FA1A19">
        <w:t xml:space="preserve">be </w:t>
      </w:r>
      <w:r w:rsidRPr="00FA1A19">
        <w:t xml:space="preserve">carrying on a business for an activity to be treated on revenue account. The principles established </w:t>
      </w:r>
      <w:r w:rsidR="0059762E" w:rsidRPr="00FA1A19">
        <w:t xml:space="preserve">by </w:t>
      </w:r>
      <w:r w:rsidRPr="00FA1A19">
        <w:t xml:space="preserve">Myer Emporium and subsequent decisions indicate that a profit derived from an isolated transaction may constitute income where the transaction is </w:t>
      </w:r>
      <w:bookmarkStart w:id="95" w:name="_Hlk151575884"/>
      <w:r w:rsidRPr="00FA1A19">
        <w:t>undertaken with a profit</w:t>
      </w:r>
      <w:r w:rsidR="00F75232">
        <w:noBreakHyphen/>
      </w:r>
      <w:r w:rsidRPr="00FA1A19">
        <w:t>making intention in carrying out a business operation or commercial transaction</w:t>
      </w:r>
      <w:bookmarkEnd w:id="95"/>
      <w:r w:rsidRPr="00FA1A19">
        <w:t>. Where such a transaction results in a loss, the resulting loss will be deductible to the taxpayer.</w:t>
      </w:r>
      <w:r w:rsidRPr="00170ADC">
        <w:rPr>
          <w:rStyle w:val="FootnoteReference"/>
        </w:rPr>
        <w:footnoteReference w:id="381"/>
      </w:r>
    </w:p>
    <w:p w14:paraId="5E55B7DE" w14:textId="77777777" w:rsidR="00185727" w:rsidRPr="00FA1A19" w:rsidRDefault="00185727" w:rsidP="00185727">
      <w:r w:rsidRPr="00FA1A19">
        <w:t>As highlighted by the Members of the Tax Profession:</w:t>
      </w:r>
    </w:p>
    <w:p w14:paraId="197BB211" w14:textId="77777777" w:rsidR="00185727" w:rsidRPr="00FA1A19" w:rsidRDefault="00185727" w:rsidP="00991EBC">
      <w:pPr>
        <w:pStyle w:val="Quote"/>
      </w:pPr>
      <w:r w:rsidRPr="00FA1A19">
        <w:t xml:space="preserve">In recent times, the ATO has emphasised a purported dichotomous characterisation of crypto activities by taxpayers as falling within either the CGT regime or being characterised as part of carrying on of a business. </w:t>
      </w:r>
    </w:p>
    <w:p w14:paraId="396AF7AA" w14:textId="4716B448" w:rsidR="00185727" w:rsidRPr="00FA1A19" w:rsidRDefault="00185727" w:rsidP="00991EBC">
      <w:pPr>
        <w:pStyle w:val="Quote"/>
      </w:pPr>
      <w:r w:rsidRPr="00FA1A19">
        <w:t>As has been raised by our peers in the profession previously, we raise our concern over this view. As highlighted by the profession, crypto activity gains or losses can be on revenue account but not forming part of a business operation and may be best to be seen as an isolated profit</w:t>
      </w:r>
      <w:r w:rsidR="00F75232">
        <w:noBreakHyphen/>
      </w:r>
      <w:r w:rsidRPr="00FA1A19">
        <w:t>making transaction.</w:t>
      </w:r>
      <w:r w:rsidRPr="00170ADC">
        <w:rPr>
          <w:rStyle w:val="FootnoteReference"/>
        </w:rPr>
        <w:footnoteReference w:id="382"/>
      </w:r>
    </w:p>
    <w:p w14:paraId="57AC0528" w14:textId="52EF479D" w:rsidR="00185727" w:rsidRPr="00FA1A19" w:rsidRDefault="00185727" w:rsidP="00185727">
      <w:r w:rsidRPr="00FA1A19">
        <w:t>In this section, the Board will provide an overview of the relevant principles for determining if a transaction has been entered into with a profit</w:t>
      </w:r>
      <w:r w:rsidR="00F75232">
        <w:noBreakHyphen/>
      </w:r>
      <w:r w:rsidRPr="00FA1A19">
        <w:t xml:space="preserve">making purpose, how </w:t>
      </w:r>
      <w:r w:rsidR="008E48D1" w:rsidRPr="00FA1A19">
        <w:t xml:space="preserve">those principles </w:t>
      </w:r>
      <w:r w:rsidRPr="00FA1A19">
        <w:t>may apply to crypto assets and associated transactions</w:t>
      </w:r>
      <w:r w:rsidR="008E48D1" w:rsidRPr="00FA1A19">
        <w:t>,</w:t>
      </w:r>
      <w:r w:rsidRPr="00FA1A19">
        <w:t xml:space="preserve"> and the relevant indicia that a commercial transaction in relation to crypto assets has been undertaken. </w:t>
      </w:r>
    </w:p>
    <w:p w14:paraId="7D4EA58C" w14:textId="77777777" w:rsidR="00185727" w:rsidRPr="00FA1A19" w:rsidRDefault="00185727" w:rsidP="00185727">
      <w:pPr>
        <w:pStyle w:val="Heading5"/>
      </w:pPr>
      <w:r w:rsidRPr="00FA1A19">
        <w:t>Guiding principles</w:t>
      </w:r>
    </w:p>
    <w:p w14:paraId="4D31D9C7" w14:textId="1B176BC0" w:rsidR="00185727" w:rsidRPr="00FA1A19" w:rsidRDefault="00185727" w:rsidP="00185727">
      <w:r w:rsidRPr="00FA1A19">
        <w:t>The principles for establishing the existence of a profit</w:t>
      </w:r>
      <w:r w:rsidR="00F75232">
        <w:noBreakHyphen/>
      </w:r>
      <w:r w:rsidRPr="00FA1A19">
        <w:t xml:space="preserve">making intention are well established in </w:t>
      </w:r>
      <w:bookmarkStart w:id="96" w:name="_Hlk146635154"/>
      <w:r w:rsidRPr="00FA1A19">
        <w:t>Myer Emporium</w:t>
      </w:r>
      <w:bookmarkEnd w:id="96"/>
      <w:r w:rsidRPr="00FA1A19">
        <w:t xml:space="preserve"> with an extensive history of case law relying upon this decision. </w:t>
      </w:r>
    </w:p>
    <w:p w14:paraId="0C7C931E" w14:textId="4F2C27A8" w:rsidR="00185727" w:rsidRPr="00FA1A19" w:rsidRDefault="00185727" w:rsidP="00185727">
      <w:r w:rsidRPr="00FA1A19">
        <w:t>Myer Emporium dealt with a financial restructure, which included the taxpayer advancing an $80</w:t>
      </w:r>
      <w:r w:rsidR="00372633">
        <w:t> million</w:t>
      </w:r>
      <w:r w:rsidRPr="00FA1A19">
        <w:t xml:space="preserve"> loan for a period exceeding seven years with interest payable at 12.5% per annum. Three days later, all of Myer Emporium</w:t>
      </w:r>
      <w:r w:rsidR="00F75232">
        <w:t>’</w:t>
      </w:r>
      <w:r w:rsidRPr="00FA1A19">
        <w:t>s right, title and interest in and to the interest payable by the borrower of the balance of a loan was assigned to Citicorp, in exchange for consideration of $45.37</w:t>
      </w:r>
      <w:r w:rsidR="00372633">
        <w:t> million</w:t>
      </w:r>
      <w:r w:rsidRPr="00FA1A19">
        <w:t xml:space="preserve">. </w:t>
      </w:r>
    </w:p>
    <w:p w14:paraId="2224A7FD" w14:textId="79B3DA08" w:rsidR="00185727" w:rsidRPr="00FA1A19" w:rsidRDefault="00185727" w:rsidP="00185727">
      <w:r w:rsidRPr="00FA1A19">
        <w:t>The Commissioner argued that the $45.37</w:t>
      </w:r>
      <w:r w:rsidR="00372633">
        <w:t> million</w:t>
      </w:r>
      <w:r w:rsidRPr="00FA1A19">
        <w:t xml:space="preserve"> consideration constituted assessable income under the former section 25(1)</w:t>
      </w:r>
      <w:r w:rsidRPr="00170ADC">
        <w:rPr>
          <w:rStyle w:val="FootnoteReference"/>
        </w:rPr>
        <w:footnoteReference w:id="383"/>
      </w:r>
      <w:r w:rsidRPr="00FA1A19">
        <w:t xml:space="preserve"> and second limb of the former section 26(a)</w:t>
      </w:r>
      <w:r w:rsidRPr="00170ADC">
        <w:rPr>
          <w:rStyle w:val="FootnoteReference"/>
        </w:rPr>
        <w:footnoteReference w:id="384"/>
      </w:r>
      <w:r w:rsidRPr="00FA1A19">
        <w:t xml:space="preserve"> of the ITAA 1936. The taxpayer argued that the realisation of a capital </w:t>
      </w:r>
      <w:r w:rsidR="00AD459D" w:rsidRPr="00FA1A19">
        <w:t xml:space="preserve">asset </w:t>
      </w:r>
      <w:r w:rsidRPr="00FA1A19">
        <w:t xml:space="preserve">is capital, and that a gain made as the result of a business deal or venture in the nature of trade is not income unless it is made in the ordinary course of carrying of business. </w:t>
      </w:r>
    </w:p>
    <w:p w14:paraId="734D5053" w14:textId="06E83571" w:rsidR="00185727" w:rsidRPr="00FA1A19" w:rsidRDefault="00185727" w:rsidP="00185727">
      <w:r w:rsidRPr="00FA1A19">
        <w:t>The Full Court of the High Court concluded that the $45.37</w:t>
      </w:r>
      <w:r w:rsidR="00372633">
        <w:t> million</w:t>
      </w:r>
      <w:r w:rsidRPr="00FA1A19">
        <w:t xml:space="preserve"> was assessable income. This Court determined that a receipt may constitute income if it arises from an isolated business operation or commercial transaction entered into otherwise than in the course of carrying on the taxpayer</w:t>
      </w:r>
      <w:r w:rsidR="00F75232">
        <w:t>’</w:t>
      </w:r>
      <w:r w:rsidRPr="00FA1A19">
        <w:t xml:space="preserve">s business, so long as the taxpayer entered into the transaction with the purpose of making a relevant profit or gain from the transaction. </w:t>
      </w:r>
    </w:p>
    <w:p w14:paraId="780F81ED" w14:textId="66D0B046" w:rsidR="00185727" w:rsidRPr="00FA1A19" w:rsidRDefault="00185727" w:rsidP="00CB0D41">
      <w:r w:rsidRPr="00FA1A19">
        <w:t xml:space="preserve">As set out above, in TR 92/3, the Commissioner states that </w:t>
      </w:r>
      <w:r w:rsidR="0082117D" w:rsidRPr="00FA1A19">
        <w:t xml:space="preserve">in accordance with </w:t>
      </w:r>
      <w:r w:rsidRPr="00FA1A19">
        <w:t>Myer Emporium, profit from an isolated transaction is generally income when both of the following elements are present:</w:t>
      </w:r>
    </w:p>
    <w:p w14:paraId="05F85205" w14:textId="2ABD8032" w:rsidR="00185727" w:rsidRPr="00FA1A19" w:rsidRDefault="00185727" w:rsidP="00261401">
      <w:pPr>
        <w:pStyle w:val="Bullet"/>
      </w:pPr>
      <w:r w:rsidRPr="00FA1A19">
        <w:t>the intention or purpose of the taxpayer in entering into the transaction was to make a profit or gain</w:t>
      </w:r>
    </w:p>
    <w:p w14:paraId="226F331B" w14:textId="77777777" w:rsidR="00185727" w:rsidRPr="00FA1A19" w:rsidRDefault="00185727" w:rsidP="00261401">
      <w:pPr>
        <w:pStyle w:val="Bullet"/>
      </w:pPr>
      <w:r w:rsidRPr="00FA1A19">
        <w:t>the transaction was entered into, and the profit was made, in the course of carrying on a business or in carrying out a business operation or commercial transaction.</w:t>
      </w:r>
    </w:p>
    <w:p w14:paraId="1F084982" w14:textId="77777777" w:rsidR="00185727" w:rsidRPr="00FA1A19" w:rsidRDefault="00185727" w:rsidP="00185727">
      <w:r w:rsidRPr="00FA1A19">
        <w:t>The ruling sets out the following considerations for determining whether an isolated transaction amounts to a business operation or commercial transaction:</w:t>
      </w:r>
    </w:p>
    <w:p w14:paraId="1BF8CAA2" w14:textId="0FACB385" w:rsidR="00185727" w:rsidRPr="00FA1A19" w:rsidRDefault="00185727" w:rsidP="00261401">
      <w:pPr>
        <w:pStyle w:val="Bullet"/>
      </w:pPr>
      <w:r w:rsidRPr="00FA1A19">
        <w:t>the nature of the entity undertaking the operation or transaction</w:t>
      </w:r>
    </w:p>
    <w:p w14:paraId="32826A7D" w14:textId="23D79AA0" w:rsidR="00185727" w:rsidRPr="00FA1A19" w:rsidRDefault="00185727" w:rsidP="00261401">
      <w:pPr>
        <w:pStyle w:val="Bullet"/>
      </w:pPr>
      <w:r w:rsidRPr="00FA1A19">
        <w:t>the nature and scale of other activities undertaken by the taxpayer</w:t>
      </w:r>
    </w:p>
    <w:p w14:paraId="503C1BBF" w14:textId="3B3FCAC0" w:rsidR="00185727" w:rsidRPr="00FA1A19" w:rsidRDefault="00185727" w:rsidP="00261401">
      <w:pPr>
        <w:pStyle w:val="Bullet"/>
      </w:pPr>
      <w:r w:rsidRPr="00FA1A19">
        <w:t xml:space="preserve">the amount of money involved in the operation or transaction and the magnitude of the profit sought or obtained </w:t>
      </w:r>
    </w:p>
    <w:p w14:paraId="2D013C2A" w14:textId="399755FA" w:rsidR="00185727" w:rsidRPr="00FA1A19" w:rsidRDefault="00185727" w:rsidP="00261401">
      <w:pPr>
        <w:pStyle w:val="Bullet"/>
      </w:pPr>
      <w:r w:rsidRPr="00FA1A19">
        <w:t>the nature, scale and complexity of the operation or transaction</w:t>
      </w:r>
    </w:p>
    <w:p w14:paraId="236DDF91" w14:textId="75224887" w:rsidR="00185727" w:rsidRPr="00FA1A19" w:rsidRDefault="00185727" w:rsidP="00261401">
      <w:pPr>
        <w:pStyle w:val="Bullet"/>
      </w:pPr>
      <w:r w:rsidRPr="00FA1A19">
        <w:t>the manner in which the operation or transaction was entered into or carried out</w:t>
      </w:r>
    </w:p>
    <w:p w14:paraId="49267C04" w14:textId="1450CCE0" w:rsidR="00185727" w:rsidRPr="00FA1A19" w:rsidRDefault="00185727" w:rsidP="00261401">
      <w:pPr>
        <w:pStyle w:val="Bullet"/>
      </w:pPr>
      <w:r w:rsidRPr="00FA1A19">
        <w:t>the nature of any connection between the relevant taxpayer and any other party to the operation or transaction</w:t>
      </w:r>
    </w:p>
    <w:p w14:paraId="64708416" w14:textId="789B33D0" w:rsidR="00185727" w:rsidRPr="00FA1A19" w:rsidRDefault="00185727" w:rsidP="00261401">
      <w:pPr>
        <w:pStyle w:val="Bullet"/>
      </w:pPr>
      <w:r w:rsidRPr="00FA1A19">
        <w:t xml:space="preserve">if the transaction involves the acquisition and disposal of property, the nature of that property </w:t>
      </w:r>
    </w:p>
    <w:p w14:paraId="4B8829A4" w14:textId="77777777" w:rsidR="00185727" w:rsidRPr="00FA1A19" w:rsidRDefault="00185727" w:rsidP="00261401">
      <w:pPr>
        <w:pStyle w:val="Bullet"/>
      </w:pPr>
      <w:r w:rsidRPr="00FA1A19">
        <w:t xml:space="preserve">the timing of the transaction or the various steps in the transaction. </w:t>
      </w:r>
    </w:p>
    <w:p w14:paraId="41B256C3" w14:textId="6F0749F7" w:rsidR="00185727" w:rsidRPr="00FA1A19" w:rsidRDefault="00185727" w:rsidP="00185727">
      <w:r w:rsidRPr="00FA1A19">
        <w:t xml:space="preserve">More recently, in </w:t>
      </w:r>
      <w:r w:rsidRPr="00813896">
        <w:rPr>
          <w:rStyle w:val="Emphasis"/>
        </w:rPr>
        <w:t>Greig v Commissioner of Taxation</w:t>
      </w:r>
      <w:r w:rsidRPr="00FA1A19">
        <w:t xml:space="preserve"> [2020] FCAFC 25</w:t>
      </w:r>
      <w:r w:rsidR="008A56FA" w:rsidRPr="00FA1A19">
        <w:t xml:space="preserve">, 275 FCR 445 </w:t>
      </w:r>
      <w:r w:rsidRPr="00FA1A19">
        <w:t xml:space="preserve">(Greig), the </w:t>
      </w:r>
      <w:r w:rsidR="00B21C01" w:rsidRPr="00FA1A19">
        <w:t xml:space="preserve">Full </w:t>
      </w:r>
      <w:r w:rsidRPr="00FA1A19">
        <w:t xml:space="preserve">Federal Court applied the principles from </w:t>
      </w:r>
      <w:r w:rsidRPr="00813896">
        <w:rPr>
          <w:rStyle w:val="Emphasis"/>
        </w:rPr>
        <w:t>Myer Emporium</w:t>
      </w:r>
      <w:r w:rsidRPr="00FA1A19">
        <w:t xml:space="preserve"> in determining whether losses arising on share trading transactions were deductible. </w:t>
      </w:r>
    </w:p>
    <w:p w14:paraId="71B75D0A" w14:textId="05C097C6" w:rsidR="00185727" w:rsidRPr="00FA1A19" w:rsidRDefault="00185727" w:rsidP="00185727">
      <w:r w:rsidRPr="00FA1A19">
        <w:t>In Greig, the taxpayer had a knowledge of a particular ASX listed company and considered that there was value in the shares beyond that reflected in their share price. Mr Greig considered there was a reasonable prospect of making a profit in the short</w:t>
      </w:r>
      <w:r w:rsidR="00F75232">
        <w:noBreakHyphen/>
      </w:r>
      <w:r w:rsidRPr="00FA1A19">
        <w:t xml:space="preserve">term and undertook 64 transactions across 2 years to acquire shares in the company, with the intention of making a profit from their sale within 4 to 5 years. </w:t>
      </w:r>
    </w:p>
    <w:p w14:paraId="22793F8C" w14:textId="3F163E3A" w:rsidR="00185727" w:rsidRPr="00FA1A19" w:rsidRDefault="00185727" w:rsidP="00185727">
      <w:r w:rsidRPr="00FA1A19">
        <w:t>During the period of acquisition and ownership, Mr Greig</w:t>
      </w:r>
      <w:r w:rsidR="00F75232">
        <w:t>’</w:t>
      </w:r>
      <w:r w:rsidRPr="00FA1A19">
        <w:t>s activities included (among other things) monitoring the share price and ASX announcements, conducting research through financial press, investment bank and stockbroker reports and attending company meetings and presentations. Mr Greig influenced a majority of the company</w:t>
      </w:r>
      <w:r w:rsidR="00F75232">
        <w:t>’</w:t>
      </w:r>
      <w:r w:rsidRPr="00FA1A19">
        <w:t>s shareholders to reject a takeover proposal. The company was ultimately placed into voluntary administration and a deed of company arrangement was approved in December 2014, which resulted in the taxpayer realising share losses of approximately $11.85</w:t>
      </w:r>
      <w:r w:rsidR="00372633">
        <w:t> million</w:t>
      </w:r>
      <w:r w:rsidRPr="00FA1A19">
        <w:t xml:space="preserve"> plus legal costs. </w:t>
      </w:r>
    </w:p>
    <w:p w14:paraId="20879B87" w14:textId="1D895945" w:rsidR="00185727" w:rsidRPr="00FA1A19" w:rsidRDefault="00185727" w:rsidP="00185727">
      <w:pPr>
        <w:rPr>
          <w:i/>
          <w:iCs/>
        </w:rPr>
      </w:pPr>
      <w:r w:rsidRPr="00FA1A19">
        <w:t>The Commissioner argued that the relevant transactions were not incurred in a business operation or commercial transaction of a kind contemplated by the Myer Emporium principle and that the profit</w:t>
      </w:r>
      <w:r w:rsidR="00F75232">
        <w:noBreakHyphen/>
      </w:r>
      <w:r w:rsidRPr="00FA1A19">
        <w:t xml:space="preserve">making purpose was absent. </w:t>
      </w:r>
    </w:p>
    <w:p w14:paraId="0D665054" w14:textId="05AD6F16" w:rsidR="00185727" w:rsidRPr="00FA1A19" w:rsidRDefault="00185727" w:rsidP="00185727">
      <w:r w:rsidRPr="00FA1A19">
        <w:t xml:space="preserve">The Full Court </w:t>
      </w:r>
      <w:r w:rsidR="00D85138" w:rsidRPr="00FA1A19">
        <w:t>(Kenny</w:t>
      </w:r>
      <w:r w:rsidR="003453DB" w:rsidRPr="00FA1A19">
        <w:t xml:space="preserve"> </w:t>
      </w:r>
      <w:r w:rsidR="00D85138" w:rsidRPr="00FA1A19">
        <w:t xml:space="preserve">and Steward JJ, Derrington </w:t>
      </w:r>
      <w:r w:rsidR="003453DB" w:rsidRPr="00FA1A19">
        <w:t>J dissenting</w:t>
      </w:r>
      <w:r w:rsidR="00D85138" w:rsidRPr="00FA1A19">
        <w:t>)</w:t>
      </w:r>
      <w:r w:rsidRPr="00FA1A19">
        <w:t xml:space="preserve"> concluded that the taxpayer had acquired the shares in a business operation or commercial transaction, applying the </w:t>
      </w:r>
      <w:r w:rsidRPr="00813896">
        <w:rPr>
          <w:rStyle w:val="Emphasis"/>
        </w:rPr>
        <w:t>Myer Emporium</w:t>
      </w:r>
      <w:r w:rsidRPr="00FA1A19">
        <w:t xml:space="preserve"> principle. </w:t>
      </w:r>
    </w:p>
    <w:p w14:paraId="29246887" w14:textId="1CF1F25E" w:rsidR="00185727" w:rsidRPr="00FA1A19" w:rsidRDefault="00185727" w:rsidP="00185727">
      <w:r w:rsidRPr="00FA1A19">
        <w:t>In a Decision Impact Statement following Greig, the Commissioner stated that:</w:t>
      </w:r>
    </w:p>
    <w:p w14:paraId="74CADDDA" w14:textId="4A74C523" w:rsidR="00185727" w:rsidRPr="00FA1A19" w:rsidRDefault="00185727" w:rsidP="00991EBC">
      <w:pPr>
        <w:pStyle w:val="Quote"/>
      </w:pPr>
      <w:r w:rsidRPr="00FA1A19">
        <w:t>The Commissioner</w:t>
      </w:r>
      <w:r w:rsidR="00F75232">
        <w:t>’</w:t>
      </w:r>
      <w:r w:rsidRPr="00FA1A19">
        <w:t>s view is that the Full Court</w:t>
      </w:r>
      <w:r w:rsidR="00F75232">
        <w:t>’</w:t>
      </w:r>
      <w:r w:rsidRPr="00FA1A19">
        <w:t>s finely balanced conclusion was open on the particular facts of this case and does not disturb the Commissioner</w:t>
      </w:r>
      <w:r w:rsidR="00F75232">
        <w:t>’</w:t>
      </w:r>
      <w:r w:rsidRPr="00FA1A19">
        <w:t>s understanding of the Myer Emporium principle.</w:t>
      </w:r>
      <w:r w:rsidRPr="00170ADC">
        <w:rPr>
          <w:rStyle w:val="FootnoteReference"/>
        </w:rPr>
        <w:footnoteReference w:id="385"/>
      </w:r>
    </w:p>
    <w:p w14:paraId="25ADFA18" w14:textId="77777777" w:rsidR="00185727" w:rsidRPr="00FA1A19" w:rsidRDefault="00185727" w:rsidP="00185727">
      <w:pPr>
        <w:pStyle w:val="Heading5"/>
      </w:pPr>
      <w:r w:rsidRPr="00FA1A19">
        <w:t>ATO position</w:t>
      </w:r>
    </w:p>
    <w:p w14:paraId="1E6034FA" w14:textId="4D911C4D" w:rsidR="00185727" w:rsidRPr="00FA1A19" w:rsidRDefault="00185727" w:rsidP="00185727">
      <w:r w:rsidRPr="00FA1A19">
        <w:t>In the non</w:t>
      </w:r>
      <w:r w:rsidR="00F75232">
        <w:noBreakHyphen/>
      </w:r>
      <w:r w:rsidRPr="00FA1A19">
        <w:t xml:space="preserve">binding explanatory section of TD 2014/26, the ATO confirms </w:t>
      </w:r>
      <w:r w:rsidR="0068625B" w:rsidRPr="00FA1A19">
        <w:t xml:space="preserve">its view </w:t>
      </w:r>
      <w:r w:rsidRPr="00FA1A19">
        <w:t>that it is possible for crypto asset transactions to occur with a profit</w:t>
      </w:r>
      <w:r w:rsidR="00F75232">
        <w:noBreakHyphen/>
      </w:r>
      <w:r w:rsidRPr="00FA1A19">
        <w:t>making intention and be taxable on revenue account. The guidance notes that the relevant factors in determining if a transaction is commercial are those set out in TR 92/3. It states:</w:t>
      </w:r>
    </w:p>
    <w:p w14:paraId="6BDD0E85" w14:textId="77777777" w:rsidR="00185727" w:rsidRPr="00FA1A19" w:rsidRDefault="00185727" w:rsidP="00991EBC">
      <w:pPr>
        <w:pStyle w:val="Quote"/>
      </w:pPr>
      <w:r w:rsidRPr="00FA1A19">
        <w:t>Applying these factors to a Bitcoin scenario, of particular relevance, is the amount of money involved in the mining (or acquisition) and disposal of the bitcoin, the magnitude of the profit sought or obtained, the length of time the bitcoin is held before disposal and whether that bitcoin has no other immediate use other than as an object of trade.</w:t>
      </w:r>
      <w:r w:rsidRPr="00170ADC">
        <w:rPr>
          <w:rStyle w:val="FootnoteReference"/>
        </w:rPr>
        <w:t xml:space="preserve"> </w:t>
      </w:r>
      <w:r w:rsidRPr="00170ADC">
        <w:rPr>
          <w:rStyle w:val="FootnoteReference"/>
        </w:rPr>
        <w:footnoteReference w:id="386"/>
      </w:r>
    </w:p>
    <w:p w14:paraId="1A82EAE5" w14:textId="1E48C785" w:rsidR="00185727" w:rsidRPr="00FA1A19" w:rsidRDefault="00185727" w:rsidP="00185727">
      <w:r w:rsidRPr="00FA1A19">
        <w:t>Some submissions to the review noted that the circumstances in which crypto asset transactions may be treated as being on revenue account in accordance with Myer Emporium does not appear to be overtly expressed elsewhere through the ATO</w:t>
      </w:r>
      <w:r w:rsidR="00F75232">
        <w:t>’</w:t>
      </w:r>
      <w:r w:rsidRPr="00FA1A19">
        <w:t>s web guidance.</w:t>
      </w:r>
      <w:r w:rsidR="00076DE0" w:rsidRPr="00170ADC">
        <w:rPr>
          <w:rStyle w:val="FootnoteReference"/>
        </w:rPr>
        <w:footnoteReference w:id="387"/>
      </w:r>
    </w:p>
    <w:p w14:paraId="2B7A204B" w14:textId="18017927" w:rsidR="00185727" w:rsidRPr="00FA1A19" w:rsidRDefault="00185727" w:rsidP="00185727">
      <w:r w:rsidRPr="00FA1A19">
        <w:t xml:space="preserve">The ATO web guidance provides express statements in relation to the application of the capital gains tax provisions and further information in relation to carrying on a business, however there is no </w:t>
      </w:r>
      <w:r w:rsidR="00F77E75" w:rsidRPr="00FA1A19">
        <w:t xml:space="preserve">specific </w:t>
      </w:r>
      <w:r w:rsidRPr="00FA1A19">
        <w:t xml:space="preserve">guidance on isolated </w:t>
      </w:r>
      <w:r w:rsidR="00FA4B95">
        <w:t>profit-making</w:t>
      </w:r>
      <w:r w:rsidRPr="00FA1A19">
        <w:t xml:space="preserve"> transactions for crypto assets. </w:t>
      </w:r>
    </w:p>
    <w:p w14:paraId="1B8D3B2D" w14:textId="77777777" w:rsidR="00CF436F" w:rsidRPr="00FA1A19" w:rsidRDefault="00CF436F" w:rsidP="00261401">
      <w:pPr>
        <w:pStyle w:val="SingleParagraph"/>
      </w:pPr>
    </w:p>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top w:w="113" w:type="dxa"/>
          <w:left w:w="284" w:type="dxa"/>
          <w:bottom w:w="113" w:type="dxa"/>
          <w:right w:w="284" w:type="dxa"/>
        </w:tblCellMar>
        <w:tblLook w:val="01E0" w:firstRow="1" w:lastRow="1" w:firstColumn="1" w:lastColumn="1" w:noHBand="0" w:noVBand="0"/>
      </w:tblPr>
      <w:tblGrid>
        <w:gridCol w:w="9641"/>
      </w:tblGrid>
      <w:tr w:rsidR="00185727" w:rsidRPr="00FA1A19" w14:paraId="32367EBE"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735B391" w14:textId="2232E120" w:rsidR="00185727" w:rsidRPr="00FA1A19" w:rsidRDefault="00372633" w:rsidP="003316D7">
            <w:pPr>
              <w:pStyle w:val="BoxHeading1"/>
            </w:pPr>
            <w:r>
              <w:t>Observation </w:t>
            </w:r>
            <w:r w:rsidR="00CE4F7C" w:rsidRPr="00FA1A19">
              <w:t>7</w:t>
            </w:r>
            <w:r w:rsidR="00185727" w:rsidRPr="00FA1A19">
              <w:t>.1</w:t>
            </w:r>
          </w:p>
        </w:tc>
      </w:tr>
      <w:tr w:rsidR="00185727" w:rsidRPr="00FA1A19" w14:paraId="00B8EC08" w14:textId="77777777" w:rsidTr="00EB09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F6F2ED" w:themeFill="accent3" w:themeFillTint="33"/>
          </w:tcPr>
          <w:p w14:paraId="6FA91A49" w14:textId="60923F6B" w:rsidR="00185727" w:rsidRPr="00FA1A19" w:rsidRDefault="00D20FC9" w:rsidP="00261401">
            <w:pPr>
              <w:pStyle w:val="BoxText"/>
            </w:pPr>
            <w:r>
              <w:t>There is a risk that</w:t>
            </w:r>
            <w:r w:rsidR="00185727" w:rsidRPr="00FA1A19">
              <w:t xml:space="preserve"> a user of the ATO website </w:t>
            </w:r>
            <w:r w:rsidR="00243572">
              <w:t>may</w:t>
            </w:r>
            <w:r w:rsidR="00243572" w:rsidRPr="00FA1A19">
              <w:t xml:space="preserve"> </w:t>
            </w:r>
            <w:r w:rsidR="00185727" w:rsidRPr="00FA1A19">
              <w:t>conclude that the appropriate tax treatment for crypto asset transactions is either:</w:t>
            </w:r>
          </w:p>
          <w:p w14:paraId="45624580" w14:textId="487538CC" w:rsidR="00185727" w:rsidRPr="00035989" w:rsidRDefault="00185727" w:rsidP="00035989">
            <w:pPr>
              <w:pStyle w:val="BoxBullet"/>
            </w:pPr>
            <w:r w:rsidRPr="00FA1A19">
              <w:t xml:space="preserve">under the capital gains tax </w:t>
            </w:r>
            <w:r w:rsidRPr="00035989">
              <w:t>provisions</w:t>
            </w:r>
          </w:p>
          <w:p w14:paraId="66111764" w14:textId="0A6C76AE" w:rsidR="00185727" w:rsidRPr="00FA1A19" w:rsidRDefault="00185727" w:rsidP="00035989">
            <w:pPr>
              <w:pStyle w:val="BoxBullet"/>
            </w:pPr>
            <w:r w:rsidRPr="00035989">
              <w:t>as trading stock in carrying on a b</w:t>
            </w:r>
            <w:r w:rsidRPr="00FA1A19">
              <w:t xml:space="preserve">usiness. </w:t>
            </w:r>
          </w:p>
          <w:p w14:paraId="38BB33A4" w14:textId="0B917E2D" w:rsidR="00185727" w:rsidRPr="00FA1A19" w:rsidRDefault="00185727" w:rsidP="00261401">
            <w:pPr>
              <w:pStyle w:val="BoxText"/>
            </w:pPr>
            <w:r w:rsidRPr="00FA1A19">
              <w:t xml:space="preserve">With the exception of the minor reference in TD 2014/26, the ATO does not provide guidance in relation to </w:t>
            </w:r>
            <w:r w:rsidR="00A20C8C" w:rsidRPr="00FA1A19">
              <w:t>the taxation implications of</w:t>
            </w:r>
            <w:r w:rsidRPr="00FA1A19">
              <w:t xml:space="preserve"> crypto asset transactions occurring as part of an isolated </w:t>
            </w:r>
            <w:r w:rsidR="00FA4B95">
              <w:t>profit-making</w:t>
            </w:r>
            <w:r w:rsidRPr="00FA1A19">
              <w:t xml:space="preserve"> undertaking</w:t>
            </w:r>
            <w:r w:rsidR="00395913" w:rsidRPr="00FA1A19">
              <w:t xml:space="preserve"> or where the profit/loss on disposals of crypto assets may </w:t>
            </w:r>
            <w:r w:rsidR="00844CAD" w:rsidRPr="00FA1A19">
              <w:t xml:space="preserve">be on </w:t>
            </w:r>
            <w:r w:rsidR="00396456" w:rsidRPr="00FA1A19">
              <w:t xml:space="preserve">revenue account </w:t>
            </w:r>
            <w:r w:rsidR="00061A14" w:rsidRPr="00FA1A19">
              <w:t xml:space="preserve">to a business </w:t>
            </w:r>
            <w:r w:rsidR="00396456" w:rsidRPr="00FA1A19">
              <w:t>even if those assets are not held as trading stock</w:t>
            </w:r>
            <w:r w:rsidRPr="00FA1A19">
              <w:t xml:space="preserve">. </w:t>
            </w:r>
          </w:p>
        </w:tc>
      </w:tr>
    </w:tbl>
    <w:p w14:paraId="08EE48BE" w14:textId="77777777" w:rsidR="00261401" w:rsidRDefault="00261401" w:rsidP="00261401">
      <w:pPr>
        <w:pStyle w:val="SingleParagraph"/>
      </w:pPr>
    </w:p>
    <w:p w14:paraId="51438D07" w14:textId="41418092" w:rsidR="00185727" w:rsidRPr="00FA1A19" w:rsidRDefault="00185727" w:rsidP="00185727">
      <w:pPr>
        <w:pStyle w:val="Heading5"/>
      </w:pPr>
      <w:r w:rsidRPr="00FA1A19">
        <w:t>Indicia for a commercial transaction</w:t>
      </w:r>
    </w:p>
    <w:p w14:paraId="27862022" w14:textId="77777777" w:rsidR="00185727" w:rsidRPr="00FA1A19" w:rsidRDefault="00185727" w:rsidP="00185727">
      <w:r w:rsidRPr="00FA1A19">
        <w:t>The Board has considered the indicia set out in TD 2014/26 and provides the following observations in relation to:</w:t>
      </w:r>
    </w:p>
    <w:p w14:paraId="5F8B8E71" w14:textId="50E74236" w:rsidR="00185727" w:rsidRPr="00FA1A19" w:rsidRDefault="00185727" w:rsidP="00261401">
      <w:pPr>
        <w:pStyle w:val="Bullet"/>
      </w:pPr>
      <w:r w:rsidRPr="00FA1A19">
        <w:t>the amount of money involved in the mining (or acquisition) and disposal and the magnitude of the profit sought or obtained</w:t>
      </w:r>
    </w:p>
    <w:p w14:paraId="07E479F1" w14:textId="7399C2DF" w:rsidR="00185727" w:rsidRPr="00FA1A19" w:rsidRDefault="00185727" w:rsidP="00261401">
      <w:pPr>
        <w:pStyle w:val="Bullet"/>
      </w:pPr>
      <w:r w:rsidRPr="00FA1A19">
        <w:t>the length of time the asset is held before disposal</w:t>
      </w:r>
    </w:p>
    <w:p w14:paraId="6326D3D0" w14:textId="77777777" w:rsidR="00185727" w:rsidRPr="00FA1A19" w:rsidRDefault="00185727" w:rsidP="00261401">
      <w:pPr>
        <w:pStyle w:val="Bullet"/>
      </w:pPr>
      <w:r w:rsidRPr="00FA1A19">
        <w:t>whether that asset has no other immediate use other than as an object of trade.</w:t>
      </w:r>
    </w:p>
    <w:p w14:paraId="6398B46B" w14:textId="3FCD6332" w:rsidR="00185727" w:rsidRPr="00FA1A19" w:rsidRDefault="00E43C84" w:rsidP="000E4679">
      <w:pPr>
        <w:pStyle w:val="Bullet"/>
        <w:numPr>
          <w:ilvl w:val="0"/>
          <w:numId w:val="0"/>
        </w:numPr>
      </w:pPr>
      <w:r w:rsidRPr="00FA1A19">
        <w:t xml:space="preserve">The Board notes that particular </w:t>
      </w:r>
      <w:r w:rsidR="00185727" w:rsidRPr="00FA1A19">
        <w:t>issues and challenges arise in applying the above criteria to crypto assets</w:t>
      </w:r>
      <w:r w:rsidRPr="00FA1A19">
        <w:t>, including</w:t>
      </w:r>
      <w:r w:rsidR="00185727" w:rsidRPr="00FA1A19">
        <w:t>:</w:t>
      </w:r>
    </w:p>
    <w:p w14:paraId="744E4F40" w14:textId="6BEAB11E" w:rsidR="00185727" w:rsidRPr="00FA1A19" w:rsidRDefault="00E43C84" w:rsidP="00261401">
      <w:pPr>
        <w:pStyle w:val="Bullet"/>
      </w:pPr>
      <w:r w:rsidRPr="00FA1A19">
        <w:t>D</w:t>
      </w:r>
      <w:r w:rsidR="00185727" w:rsidRPr="00FA1A19">
        <w:t xml:space="preserve">ue to the significant fluctuations in crypto asset values, there may be limited meaningfulness in a determination of a magnitude of profit being sought. In the context of crypto assets being subject to significant fluctuations in value, the Board questions whether this an appropriate </w:t>
      </w:r>
      <w:r w:rsidR="00CF2F81" w:rsidRPr="00FA1A19">
        <w:t>criterion</w:t>
      </w:r>
      <w:r w:rsidR="00185727" w:rsidRPr="00FA1A19">
        <w:t xml:space="preserve">. </w:t>
      </w:r>
    </w:p>
    <w:p w14:paraId="7B43370B" w14:textId="7F51E4DA" w:rsidR="00185727" w:rsidRPr="00FA1A19" w:rsidRDefault="00185727" w:rsidP="00261401">
      <w:pPr>
        <w:pStyle w:val="Bullet"/>
      </w:pPr>
      <w:r w:rsidRPr="00FA1A19">
        <w:t>The Board agrees that in general, the longer an asset is held, the more likely that there is a passivity to the investment and less likely that the asset is held with commercial or profit</w:t>
      </w:r>
      <w:r w:rsidR="00F75232">
        <w:noBreakHyphen/>
      </w:r>
      <w:r w:rsidRPr="00FA1A19">
        <w:t xml:space="preserve">making intent. </w:t>
      </w:r>
      <w:r w:rsidR="002C1D09" w:rsidRPr="00FA1A19">
        <w:t>Howe</w:t>
      </w:r>
      <w:r w:rsidR="007E4EF8" w:rsidRPr="00FA1A19">
        <w:t>ver, there are limits on the extent to which the length of time will be relevant to this issue.</w:t>
      </w:r>
      <w:r w:rsidR="004F0A51" w:rsidRPr="00FA1A19">
        <w:t xml:space="preserve"> </w:t>
      </w:r>
      <w:r w:rsidRPr="00FA1A19">
        <w:t xml:space="preserve">As Justice Steward found in </w:t>
      </w:r>
      <w:r w:rsidRPr="00A6697E">
        <w:rPr>
          <w:rStyle w:val="Emphasis"/>
          <w:i w:val="0"/>
          <w:iCs w:val="0"/>
        </w:rPr>
        <w:t>Greig</w:t>
      </w:r>
      <w:r w:rsidRPr="00FA1A19">
        <w:t>:</w:t>
      </w:r>
    </w:p>
    <w:p w14:paraId="5CA3974E" w14:textId="4FEF1CE3" w:rsidR="00185727" w:rsidRPr="00FA1A19" w:rsidRDefault="00185727" w:rsidP="00991EBC">
      <w:pPr>
        <w:pStyle w:val="Quote"/>
      </w:pPr>
      <w:r w:rsidRPr="00FA1A19">
        <w:t xml:space="preserve">The fact that the taxpayer intended to hold his Nexus shares until he could secure his profit, whether in the </w:t>
      </w:r>
      <w:r w:rsidR="00F75232">
        <w:t>‘</w:t>
      </w:r>
      <w:r w:rsidRPr="00FA1A19">
        <w:t>long term or any term</w:t>
      </w:r>
      <w:r w:rsidR="00F75232">
        <w:t>’</w:t>
      </w:r>
      <w:r w:rsidRPr="00FA1A19">
        <w:t>, does not detract from the conclusion I have reached. The taxpayer</w:t>
      </w:r>
      <w:r w:rsidR="00F75232">
        <w:t>’</w:t>
      </w:r>
      <w:r w:rsidRPr="00FA1A19">
        <w:t>s purpose was not to hold the shares as a long</w:t>
      </w:r>
      <w:r w:rsidR="00F75232">
        <w:noBreakHyphen/>
      </w:r>
      <w:r w:rsidRPr="00FA1A19">
        <w:t>term investment and to receive dividends over time. His plan was to sell the shares at a profit at least, I infer, up to the time of his retirement. If the profit had emerged quickly, I find that that is when he would have sold the Nexus shares. In that respect, I observe that some profit</w:t>
      </w:r>
      <w:r w:rsidR="00F75232">
        <w:noBreakHyphen/>
      </w:r>
      <w:r w:rsidRPr="00FA1A19">
        <w:t>making schemes can take many years to complete. In Whitfords Beach, the profit</w:t>
      </w:r>
      <w:r w:rsidR="00F75232">
        <w:noBreakHyphen/>
      </w:r>
      <w:r w:rsidRPr="00FA1A19">
        <w:t>making plan commenced in late 1967 and assessable profits were made from 1971 over a period of years. It is not antithetical to a profit</w:t>
      </w:r>
      <w:r w:rsidR="00F75232">
        <w:noBreakHyphen/>
      </w:r>
      <w:r w:rsidRPr="00FA1A19">
        <w:t>making undertaking for a taxpayer to wait for the profit to become realisable, so long as that was the profit the taxpayer planned to secure. Waiting, without more, will not convert the profit eventually realised into an affair of capital.</w:t>
      </w:r>
      <w:r w:rsidRPr="00170ADC">
        <w:rPr>
          <w:rStyle w:val="FootnoteReference"/>
        </w:rPr>
        <w:footnoteReference w:id="388"/>
      </w:r>
      <w:r w:rsidRPr="00FA1A19">
        <w:t xml:space="preserve"> </w:t>
      </w:r>
    </w:p>
    <w:p w14:paraId="0AF08459" w14:textId="13AE5022" w:rsidR="00185727" w:rsidRPr="00FA1A19" w:rsidRDefault="00185727" w:rsidP="00991EBC">
      <w:pPr>
        <w:pStyle w:val="NormalIndent"/>
      </w:pPr>
      <w:r w:rsidRPr="00FA1A19">
        <w:t xml:space="preserve">The Board considers that where a taxpayer is holding a crypto asset as part of a </w:t>
      </w:r>
      <w:r w:rsidR="00FA4B95">
        <w:t>profit-making</w:t>
      </w:r>
      <w:r w:rsidRPr="00FA1A19">
        <w:t xml:space="preserve"> or commercial undertaking, and there is an extended period between the time of acquisition of that asset and the time of disposition, that holding may still be consistent with </w:t>
      </w:r>
      <w:r w:rsidR="7AE59E88" w:rsidRPr="00FA1A19">
        <w:t>a</w:t>
      </w:r>
      <w:r w:rsidRPr="00FA1A19">
        <w:t xml:space="preserve"> </w:t>
      </w:r>
      <w:r w:rsidR="00FA4B95">
        <w:t>profit-making</w:t>
      </w:r>
      <w:r w:rsidRPr="00FA1A19">
        <w:t xml:space="preserve"> purpose. The time period over which the crypto asset has been held should only be relevant to the extent that it is demonstrative of the taxpayer</w:t>
      </w:r>
      <w:r w:rsidR="00F75232">
        <w:t>’</w:t>
      </w:r>
      <w:r w:rsidRPr="00FA1A19">
        <w:t xml:space="preserve">s </w:t>
      </w:r>
      <w:r w:rsidR="00FA4B95">
        <w:t>profit-making</w:t>
      </w:r>
      <w:r w:rsidRPr="00FA1A19">
        <w:t xml:space="preserve"> purpose and achievement of that goal.</w:t>
      </w:r>
    </w:p>
    <w:p w14:paraId="48120B38" w14:textId="2144F53B" w:rsidR="00185727" w:rsidRPr="00FA1A19" w:rsidRDefault="00185727" w:rsidP="00991EBC">
      <w:pPr>
        <w:pStyle w:val="NormalIndent"/>
      </w:pPr>
      <w:r w:rsidRPr="00FA1A19">
        <w:t xml:space="preserve">It is unclear from available guidance what period of time </w:t>
      </w:r>
      <w:r w:rsidR="004C46FE" w:rsidRPr="00FA1A19">
        <w:t>the ATO</w:t>
      </w:r>
      <w:r w:rsidRPr="00FA1A19">
        <w:t xml:space="preserve"> may</w:t>
      </w:r>
      <w:r w:rsidR="004C46FE" w:rsidRPr="00FA1A19">
        <w:t xml:space="preserve"> consider to</w:t>
      </w:r>
      <w:r w:rsidRPr="00FA1A19">
        <w:t xml:space="preserve"> be relevant in respect of this factor and what level of evidence may be required by a taxpayer to demonstrate that the time period remains consistent with any underlying commercial or </w:t>
      </w:r>
      <w:r w:rsidR="00FA4B95">
        <w:t>profit-making</w:t>
      </w:r>
      <w:r w:rsidRPr="00FA1A19">
        <w:t xml:space="preserve"> intention. </w:t>
      </w:r>
    </w:p>
    <w:p w14:paraId="774548B8" w14:textId="6D8099D8" w:rsidR="00185727" w:rsidRPr="00FA1A19" w:rsidRDefault="00185727" w:rsidP="00261401">
      <w:pPr>
        <w:pStyle w:val="Bullet"/>
      </w:pPr>
      <w:r w:rsidRPr="00FA1A19">
        <w:t xml:space="preserve">The most significant indicia of a commercial transaction that has been highlighted by stakeholders to the Review is the nature of certain crypto assets. It has been argued that cryptocurrency, such as bitcoin, may have no purpose other than exchange or trade and such an asset may therefore be always regarded as being acquired with a </w:t>
      </w:r>
      <w:r w:rsidR="00FA4B95">
        <w:t>profit-making</w:t>
      </w:r>
      <w:r w:rsidRPr="00FA1A19">
        <w:t xml:space="preserve"> intention</w:t>
      </w:r>
      <w:r w:rsidR="005F4852">
        <w:t>.</w:t>
      </w:r>
      <w:r w:rsidRPr="00170ADC">
        <w:rPr>
          <w:rStyle w:val="FootnoteReference"/>
        </w:rPr>
        <w:footnoteReference w:id="389"/>
      </w:r>
      <w:r w:rsidRPr="00FA1A19">
        <w:t xml:space="preserve"> </w:t>
      </w:r>
    </w:p>
    <w:p w14:paraId="3803B1D5" w14:textId="764EF1B8" w:rsidR="00185727" w:rsidRPr="004B6636" w:rsidRDefault="00185727" w:rsidP="00991EBC">
      <w:pPr>
        <w:pStyle w:val="NormalIndent"/>
        <w:rPr>
          <w:spacing w:val="-1"/>
        </w:rPr>
      </w:pPr>
      <w:r w:rsidRPr="004B6636">
        <w:rPr>
          <w:spacing w:val="-1"/>
        </w:rPr>
        <w:t>This view was expressed extensively throughout the consultation process, including by Minter Ellison, who highlighted issues with the Commissioner</w:t>
      </w:r>
      <w:r w:rsidR="00F75232" w:rsidRPr="004B6636">
        <w:rPr>
          <w:spacing w:val="-1"/>
        </w:rPr>
        <w:t>’</w:t>
      </w:r>
      <w:r w:rsidRPr="004B6636">
        <w:rPr>
          <w:spacing w:val="-1"/>
        </w:rPr>
        <w:t>s position</w:t>
      </w:r>
      <w:r w:rsidR="003F5221" w:rsidRPr="004B6636">
        <w:rPr>
          <w:spacing w:val="-1"/>
        </w:rPr>
        <w:t xml:space="preserve">, noting that it would be difficult to comprehend a situation </w:t>
      </w:r>
      <w:r w:rsidR="00C202A1" w:rsidRPr="004B6636">
        <w:rPr>
          <w:spacing w:val="-1"/>
        </w:rPr>
        <w:t>where</w:t>
      </w:r>
      <w:r w:rsidRPr="004B6636">
        <w:rPr>
          <w:spacing w:val="-1"/>
        </w:rPr>
        <w:t xml:space="preserve"> a taxpayer would not acquire cryptocurrency to make a profit on realisation</w:t>
      </w:r>
      <w:r w:rsidR="00C202A1" w:rsidRPr="004B6636">
        <w:rPr>
          <w:spacing w:val="-1"/>
        </w:rPr>
        <w:t>.</w:t>
      </w:r>
      <w:r w:rsidRPr="004B6636">
        <w:rPr>
          <w:rStyle w:val="FootnoteReference"/>
          <w:spacing w:val="-1"/>
        </w:rPr>
        <w:footnoteReference w:id="390"/>
      </w:r>
      <w:r w:rsidRPr="004B6636">
        <w:rPr>
          <w:spacing w:val="-1"/>
        </w:rPr>
        <w:t xml:space="preserve"> </w:t>
      </w:r>
    </w:p>
    <w:p w14:paraId="00C9FCF1" w14:textId="4A0EF9E3" w:rsidR="00185727" w:rsidRPr="00FA1A19" w:rsidRDefault="00185727" w:rsidP="00991EBC">
      <w:pPr>
        <w:pStyle w:val="NormalIndent"/>
      </w:pPr>
      <w:r w:rsidRPr="00FA1A19">
        <w:t>The Financial Services Council submission</w:t>
      </w:r>
      <w:r w:rsidR="005678A2" w:rsidRPr="00FA1A19">
        <w:t xml:space="preserve"> </w:t>
      </w:r>
      <w:r w:rsidRPr="00FA1A19">
        <w:t xml:space="preserve">to the Review referenced TR 92/3 which includes an example stating that </w:t>
      </w:r>
      <w:r w:rsidR="00F75232">
        <w:t>‘</w:t>
      </w:r>
      <w:r w:rsidRPr="00813896">
        <w:rPr>
          <w:rStyle w:val="Emphasis"/>
        </w:rPr>
        <w:t xml:space="preserve">if the property has no use other than as the subject of trade, the conclusion </w:t>
      </w:r>
      <w:r w:rsidRPr="00FA1A19">
        <w:t>that</w:t>
      </w:r>
      <w:r w:rsidRPr="00813896">
        <w:rPr>
          <w:rStyle w:val="Emphasis"/>
        </w:rPr>
        <w:t xml:space="preserve"> the property was acquired for the purpose of trade and, therefore, that the transaction was commercial in nature, would be readily drawn</w:t>
      </w:r>
      <w:r w:rsidR="00F75232">
        <w:rPr>
          <w:rStyle w:val="Emphasis"/>
        </w:rPr>
        <w:t>’</w:t>
      </w:r>
      <w:r w:rsidRPr="00FA1A19">
        <w:t>.</w:t>
      </w:r>
      <w:r w:rsidR="00C12C14" w:rsidRPr="00170ADC">
        <w:rPr>
          <w:rStyle w:val="FootnoteReference"/>
        </w:rPr>
        <w:footnoteReference w:id="391"/>
      </w:r>
    </w:p>
    <w:p w14:paraId="5FF964BE" w14:textId="77777777" w:rsidR="00185727" w:rsidRPr="00FA1A19" w:rsidRDefault="00185727" w:rsidP="00991EBC">
      <w:pPr>
        <w:pStyle w:val="NormalIndent"/>
      </w:pPr>
      <w:r w:rsidRPr="00FA1A19">
        <w:t>In relation to this point, TD 2014/26</w:t>
      </w:r>
      <w:r w:rsidRPr="00170ADC">
        <w:rPr>
          <w:rStyle w:val="FootnoteReference"/>
        </w:rPr>
        <w:footnoteReference w:id="392"/>
      </w:r>
      <w:r w:rsidRPr="00FA1A19">
        <w:t xml:space="preserve"> references </w:t>
      </w:r>
      <w:r w:rsidRPr="00813896">
        <w:rPr>
          <w:rStyle w:val="Emphasis"/>
        </w:rPr>
        <w:t>Edwards (Inspector of Taxes) v. Bairstow and Anor</w:t>
      </w:r>
      <w:r w:rsidRPr="00FA1A19">
        <w:t xml:space="preserve"> [1956] A.C. 14 noting that this case considered whether the acquisition and disposal of a spinning plant amounted to an adventure in the nature of trade. Viscount Simonds found: </w:t>
      </w:r>
    </w:p>
    <w:p w14:paraId="7D9AB9E4" w14:textId="098490DF" w:rsidR="00185727" w:rsidRPr="00FA1A19" w:rsidRDefault="00185727" w:rsidP="00991EBC">
      <w:pPr>
        <w:pStyle w:val="Quote"/>
      </w:pPr>
      <w:r w:rsidRPr="00FA1A19">
        <w:t>that the nature of the asset lent itself to commercial transactions. And by that I mean, what I think Rowlatt J. meant in Leeming v. Jones [1930] 1 KB 279 that a complete spinning plant is an asset which, unlike stocks or shares, by itself produces no income and, unlike a picture, does not serve to adorn the drawing room of its owner. It is a commercial asset and nothing else.</w:t>
      </w:r>
    </w:p>
    <w:p w14:paraId="33DA6893" w14:textId="799AE342" w:rsidR="00185727" w:rsidRPr="004B6636" w:rsidRDefault="00185727" w:rsidP="00991EBC">
      <w:pPr>
        <w:pStyle w:val="NormalIndent"/>
        <w:rPr>
          <w:spacing w:val="-2"/>
        </w:rPr>
      </w:pPr>
      <w:r w:rsidRPr="004B6636">
        <w:rPr>
          <w:spacing w:val="-2"/>
        </w:rPr>
        <w:t xml:space="preserve">The Board considers that a strong argument can be made that a similar conclusion can be drawn in relation to certain crypto assets, such as bitcoin, where there is no expectation of any other use for the asset. Where a transaction is undertaken in relation to such an asset and the taxpayer does so with a </w:t>
      </w:r>
      <w:r w:rsidR="00FA4B95" w:rsidRPr="004B6636">
        <w:rPr>
          <w:spacing w:val="-2"/>
        </w:rPr>
        <w:t>profit-making</w:t>
      </w:r>
      <w:r w:rsidRPr="004B6636">
        <w:rPr>
          <w:spacing w:val="-2"/>
        </w:rPr>
        <w:t xml:space="preserve"> intention, a conclusion could readily be drawn that such a transaction is commercial in nature.</w:t>
      </w:r>
    </w:p>
    <w:p w14:paraId="5CEA95E9" w14:textId="68CF5E58" w:rsidR="00185727" w:rsidRPr="00FA1A19" w:rsidRDefault="00185727" w:rsidP="00991EBC">
      <w:pPr>
        <w:pStyle w:val="NormalIndent"/>
      </w:pPr>
      <w:r w:rsidRPr="00FA1A19">
        <w:t>It is noted however, that crypto assets comprise a very diverse group of assets which may be utilised for a variety of purposes. NFTs, for example, may provide a tokenisation of a real world asset and serve any number of purposes from demonstrating ownership of an art piece or property, to entry to a concert or event, or even representation of an individual</w:t>
      </w:r>
      <w:r w:rsidR="00F75232">
        <w:t>’</w:t>
      </w:r>
      <w:r w:rsidRPr="00FA1A19">
        <w:t>s identity. Other cryptocurrencies, such as ether</w:t>
      </w:r>
      <w:r w:rsidR="00691451" w:rsidRPr="00FA1A19">
        <w:t xml:space="preserve"> (o</w:t>
      </w:r>
      <w:r w:rsidR="002E3A4B" w:rsidRPr="00FA1A19">
        <w:t>r wrapped ether)</w:t>
      </w:r>
      <w:r w:rsidRPr="00FA1A19">
        <w:t>, may be considered to have a broader purpose</w:t>
      </w:r>
      <w:r w:rsidR="002E3A4B" w:rsidRPr="00FA1A19">
        <w:t xml:space="preserve"> involving DeFi</w:t>
      </w:r>
      <w:r w:rsidRPr="00FA1A19">
        <w:t>, such as borrowing, lending and earning interest on the Ethereum blockchain.</w:t>
      </w:r>
      <w:r w:rsidRPr="00170ADC">
        <w:rPr>
          <w:rStyle w:val="FootnoteReference"/>
        </w:rPr>
        <w:footnoteReference w:id="393"/>
      </w:r>
      <w:r w:rsidRPr="00FA1A19">
        <w:t xml:space="preserve"> Furthermore, even holdings of Bitcoin may have a broader purpose, for example to serve as collateral for a Wrapped Bitcoin token on the Ethereum blockchain so that it can be used in DeFi activities.</w:t>
      </w:r>
      <w:r w:rsidR="004F0A51" w:rsidRPr="00FA1A19">
        <w:t xml:space="preserve"> </w:t>
      </w:r>
      <w:r w:rsidRPr="00FA1A19">
        <w:t>The Board also notes that the dynamic nature of crypto assets means that the functions of a particular crypto asset may evolve over time.</w:t>
      </w:r>
    </w:p>
    <w:p w14:paraId="2E85E290" w14:textId="4718E621" w:rsidR="00185727" w:rsidRPr="00FA1A19" w:rsidRDefault="00185727" w:rsidP="00185727">
      <w:r w:rsidRPr="00FA1A19">
        <w:t xml:space="preserve">Given the issues, the Board considers that further guidance is necessary regarding the application of the Myer Emporium principle to crypto asset transactions. </w:t>
      </w:r>
      <w:r w:rsidR="00AC37CE" w:rsidRPr="00FA1A19">
        <w:t xml:space="preserve">In short and as </w:t>
      </w:r>
      <w:r w:rsidR="004B28C7" w:rsidRPr="00FA1A19">
        <w:t xml:space="preserve">explained previously, </w:t>
      </w:r>
      <w:r w:rsidR="00AC37CE" w:rsidRPr="00FA1A19">
        <w:t>profits and gains may be on revenue account even where the trading stock provisions do not apply.</w:t>
      </w:r>
      <w:r w:rsidR="004F0A51" w:rsidRPr="00FA1A19">
        <w:t xml:space="preserve"> </w:t>
      </w:r>
      <w:r w:rsidRPr="00FA1A19">
        <w:t xml:space="preserve">The Board considers that there appears to be a wider range of transactions that may </w:t>
      </w:r>
      <w:r w:rsidR="00A12483" w:rsidRPr="00FA1A19">
        <w:t>be</w:t>
      </w:r>
      <w:r w:rsidRPr="00FA1A19">
        <w:t xml:space="preserve"> undertaken with a profit</w:t>
      </w:r>
      <w:r w:rsidR="00F75232">
        <w:noBreakHyphen/>
      </w:r>
      <w:r w:rsidRPr="00FA1A19">
        <w:t>making intention in carrying out a business operation or commercial transaction and therefore be taxed on revenue, rather than capital account</w:t>
      </w:r>
      <w:r w:rsidR="00F33F4E" w:rsidRPr="00FA1A19">
        <w:t>.</w:t>
      </w:r>
      <w:r w:rsidR="004F0A51" w:rsidRPr="00FA1A19">
        <w:t xml:space="preserve"> </w:t>
      </w:r>
      <w:r w:rsidR="005C0F6D" w:rsidRPr="00FA1A19">
        <w:t>The Board also considers that</w:t>
      </w:r>
      <w:r w:rsidRPr="00FA1A19">
        <w:t xml:space="preserve"> the use </w:t>
      </w:r>
      <w:r w:rsidR="00D1264F" w:rsidRPr="00FA1A19">
        <w:t>to which</w:t>
      </w:r>
      <w:r w:rsidRPr="00FA1A19">
        <w:t xml:space="preserve"> </w:t>
      </w:r>
      <w:r w:rsidR="005C0F6D" w:rsidRPr="00FA1A19">
        <w:t xml:space="preserve">the particular </w:t>
      </w:r>
      <w:r w:rsidR="00D1264F" w:rsidRPr="00FA1A19">
        <w:t>currency is intended to be put, and indeed is put, will</w:t>
      </w:r>
      <w:r w:rsidRPr="00FA1A19">
        <w:t xml:space="preserve"> also affect the characterisation of any profit on disposal, as either revenue or capital.</w:t>
      </w:r>
    </w:p>
    <w:p w14:paraId="2B71438C" w14:textId="26153598" w:rsidR="352C5972" w:rsidRPr="00FA1A19" w:rsidRDefault="352C5972" w:rsidP="7A35A394">
      <w:r w:rsidRPr="00FA1A19">
        <w:t xml:space="preserve">The Board notes that without ATO guidance on the Myer Emporium principle, given the </w:t>
      </w:r>
      <w:r w:rsidR="69991EBC" w:rsidRPr="00FA1A19">
        <w:t>particular issues that taxpayers and their advisers need to consider, there is a real risk that taxpayers with the same fact pattern</w:t>
      </w:r>
      <w:r w:rsidR="71474045" w:rsidRPr="00FA1A19">
        <w:t>s could reach different conclusi</w:t>
      </w:r>
      <w:r w:rsidR="5B8310C2" w:rsidRPr="00FA1A19">
        <w:t>ons resulting in different tax outcomes (known as horizont</w:t>
      </w:r>
      <w:r w:rsidR="165CFA2C" w:rsidRPr="00FA1A19">
        <w:t xml:space="preserve">al inequity between taxpayers). </w:t>
      </w:r>
    </w:p>
    <w:p w14:paraId="61517CC3" w14:textId="77777777" w:rsidR="00185727" w:rsidRPr="00FA1A19" w:rsidRDefault="00185727" w:rsidP="00E43C84">
      <w:pPr>
        <w:pStyle w:val="Heading6"/>
        <w:spacing w:after="120"/>
      </w:pPr>
      <w:r w:rsidRPr="00FA1A19">
        <w:t>International considerations</w:t>
      </w:r>
    </w:p>
    <w:p w14:paraId="0E2C2580" w14:textId="5EABBF81" w:rsidR="00185727" w:rsidRPr="00FA1A19" w:rsidRDefault="00185727" w:rsidP="004B6636">
      <w:pPr>
        <w:spacing w:after="0"/>
      </w:pPr>
      <w:r w:rsidRPr="00FA1A19">
        <w:t xml:space="preserve">The Board has explored the international experience in relation to the </w:t>
      </w:r>
      <w:r w:rsidR="007338BD" w:rsidRPr="00FA1A19">
        <w:t xml:space="preserve">characterisation </w:t>
      </w:r>
      <w:r w:rsidRPr="00FA1A19">
        <w:t xml:space="preserve">of crypto assets through engagement with regulatory bodies in other jurisdictions. </w:t>
      </w:r>
      <w:r w:rsidR="00DE68B7" w:rsidRPr="00FA1A19">
        <w:t>T</w:t>
      </w:r>
      <w:r w:rsidRPr="00FA1A19">
        <w:t xml:space="preserve">hese comparisons may be of limited value without a detailed assessment of the relevant tax rules in each jurisdiction, noting that rules may well vary materially between different jurisdictions (as an example, the </w:t>
      </w:r>
      <w:r w:rsidRPr="00813896">
        <w:rPr>
          <w:rStyle w:val="Emphasis"/>
        </w:rPr>
        <w:t>Myer Emporium</w:t>
      </w:r>
      <w:r w:rsidRPr="00FA1A19">
        <w:t xml:space="preserve"> principle relevant to isolated transactions in Australia may not be applicable in all jurisdictions).</w:t>
      </w:r>
    </w:p>
    <w:p w14:paraId="4EA75F1D" w14:textId="05CBEAC5" w:rsidR="00185727" w:rsidRPr="00FA1A19" w:rsidRDefault="00185727" w:rsidP="00185727">
      <w:r w:rsidRPr="00FA1A19">
        <w:t xml:space="preserve">The Board was interested in the NZ experience, noting the absence of a </w:t>
      </w:r>
      <w:r w:rsidR="00154AFC" w:rsidRPr="00FA1A19">
        <w:t>CGT</w:t>
      </w:r>
      <w:r w:rsidRPr="00FA1A19">
        <w:t xml:space="preserve"> regime. </w:t>
      </w:r>
      <w:r w:rsidR="002F41CA">
        <w:t xml:space="preserve">NZ </w:t>
      </w:r>
      <w:r w:rsidRPr="00FA1A19">
        <w:t>IR set out in their public website guidance that:</w:t>
      </w:r>
    </w:p>
    <w:p w14:paraId="05F8BD8C" w14:textId="77777777" w:rsidR="00185727" w:rsidRPr="00FA1A19" w:rsidRDefault="00185727" w:rsidP="00991EBC">
      <w:pPr>
        <w:pStyle w:val="Quote"/>
      </w:pPr>
      <w:r w:rsidRPr="00FA1A19">
        <w:t xml:space="preserve">If you acquire cryptoassets for the purpose of disposing of them you need to pay income tax on any profit you make. For example if you buy or mine cryptoassets to sell or exchange them. If you make a loss when you sell your cryptoassets you may be able to claim this loss. </w:t>
      </w:r>
    </w:p>
    <w:p w14:paraId="328C4774" w14:textId="77777777" w:rsidR="00185727" w:rsidRPr="00FA1A19" w:rsidRDefault="00185727" w:rsidP="00185727">
      <w:r w:rsidRPr="00FA1A19">
        <w:t>The guidance goes on to state:</w:t>
      </w:r>
    </w:p>
    <w:p w14:paraId="4A9DEB55" w14:textId="77777777" w:rsidR="00185727" w:rsidRPr="00FA1A19" w:rsidRDefault="00185727" w:rsidP="00991EBC">
      <w:pPr>
        <w:pStyle w:val="Quote"/>
      </w:pPr>
      <w:r w:rsidRPr="00FA1A19">
        <w:t xml:space="preserve">If you plan on selling or exchanging your cryptoassets at some point in the future, then you have a purpose of disposal. It does not matter how long you plan to hold onto your crypto assets for before selling or exchanging them. Your main purpose can still be to sell or exchange them, even if it takes a few years. </w:t>
      </w:r>
    </w:p>
    <w:p w14:paraId="20C9CF8A" w14:textId="72E51C85" w:rsidR="00DC12A1" w:rsidRPr="00FA1A19" w:rsidRDefault="00F13CD8" w:rsidP="00DC12A1">
      <w:r w:rsidRPr="00FA1A19">
        <w:t xml:space="preserve">The Board notes that </w:t>
      </w:r>
      <w:r w:rsidR="003F38CE" w:rsidRPr="00FA1A19">
        <w:t xml:space="preserve">the </w:t>
      </w:r>
      <w:r w:rsidR="00F75232">
        <w:t>‘</w:t>
      </w:r>
      <w:r w:rsidR="003F38CE" w:rsidRPr="00FA1A19">
        <w:t>personal property acquired for the purpose of disposal</w:t>
      </w:r>
      <w:r w:rsidR="00F75232">
        <w:t>’</w:t>
      </w:r>
      <w:r w:rsidR="003F38CE" w:rsidRPr="00FA1A19">
        <w:t xml:space="preserve"> provision </w:t>
      </w:r>
      <w:r w:rsidR="0032473D" w:rsidRPr="00FA1A19">
        <w:t xml:space="preserve">is applied in relation to crypto assets by </w:t>
      </w:r>
      <w:r w:rsidR="00157B17" w:rsidRPr="00FA1A19">
        <w:t xml:space="preserve">NZ </w:t>
      </w:r>
      <w:r w:rsidR="0032473D" w:rsidRPr="00FA1A19">
        <w:t>IR</w:t>
      </w:r>
      <w:r w:rsidR="00E717A2" w:rsidRPr="00FA1A19">
        <w:t>:</w:t>
      </w:r>
    </w:p>
    <w:p w14:paraId="0F318D7B" w14:textId="1D65607C" w:rsidR="002072AE" w:rsidRPr="00FA1A19" w:rsidRDefault="002072AE" w:rsidP="00991EBC">
      <w:pPr>
        <w:pStyle w:val="Quote"/>
      </w:pPr>
      <w:r w:rsidRPr="00FA1A19">
        <w:t>An amount that a person derives from disposing of personal property is income of the person if they acquired the property for the purpose of disposing of it.</w:t>
      </w:r>
      <w:r w:rsidRPr="00170ADC">
        <w:rPr>
          <w:rStyle w:val="FootnoteReference"/>
        </w:rPr>
        <w:footnoteReference w:id="394"/>
      </w:r>
      <w:r w:rsidRPr="00FA1A19">
        <w:t xml:space="preserve"> </w:t>
      </w:r>
    </w:p>
    <w:p w14:paraId="2759EC94" w14:textId="714643C6" w:rsidR="00185727" w:rsidRPr="00FA1A19" w:rsidRDefault="00157B17" w:rsidP="00185727">
      <w:r w:rsidRPr="00FA1A19">
        <w:t xml:space="preserve">In </w:t>
      </w:r>
      <w:r w:rsidR="00185727" w:rsidRPr="00FA1A19">
        <w:t>relation to determining purpose</w:t>
      </w:r>
      <w:r w:rsidRPr="00FA1A19">
        <w:t>, NZ IR advise</w:t>
      </w:r>
      <w:r w:rsidR="00185727" w:rsidRPr="00FA1A19">
        <w:t>:</w:t>
      </w:r>
    </w:p>
    <w:p w14:paraId="3FD5B54B" w14:textId="77777777" w:rsidR="00185727" w:rsidRPr="00FA1A19" w:rsidRDefault="00185727" w:rsidP="00991EBC">
      <w:pPr>
        <w:pStyle w:val="Quote"/>
      </w:pPr>
      <w:r w:rsidRPr="00FA1A19">
        <w:t xml:space="preserve">What you say your purpose for getting cryptoassets is must be supported by what you actually do and the surrounding circumstances, including the: </w:t>
      </w:r>
    </w:p>
    <w:p w14:paraId="0498DBB0" w14:textId="77777777" w:rsidR="00185727" w:rsidRPr="00991EBC" w:rsidRDefault="00185727" w:rsidP="00991EBC">
      <w:pPr>
        <w:pStyle w:val="Quotebullet"/>
      </w:pPr>
      <w:r w:rsidRPr="00991EBC">
        <w:t>nature of the asset (for example, does it provide an income stream or any other benefits while being held)</w:t>
      </w:r>
    </w:p>
    <w:p w14:paraId="77308F74" w14:textId="77777777" w:rsidR="00185727" w:rsidRPr="00991EBC" w:rsidRDefault="00185727" w:rsidP="00991EBC">
      <w:pPr>
        <w:pStyle w:val="Quotebullet"/>
      </w:pPr>
      <w:r w:rsidRPr="00991EBC">
        <w:t>circumstances of the purchase</w:t>
      </w:r>
    </w:p>
    <w:p w14:paraId="1CFC4EE7" w14:textId="77777777" w:rsidR="00185727" w:rsidRPr="00991EBC" w:rsidRDefault="00185727" w:rsidP="00991EBC">
      <w:pPr>
        <w:pStyle w:val="Quotebullet"/>
      </w:pPr>
      <w:r w:rsidRPr="00991EBC">
        <w:t>number of similar transactions</w:t>
      </w:r>
    </w:p>
    <w:p w14:paraId="166BADD7" w14:textId="77777777" w:rsidR="00185727" w:rsidRPr="00991EBC" w:rsidRDefault="00185727" w:rsidP="00991EBC">
      <w:pPr>
        <w:pStyle w:val="Quotebullet"/>
      </w:pPr>
      <w:r w:rsidRPr="00991EBC">
        <w:t>length of time you hold the asset</w:t>
      </w:r>
    </w:p>
    <w:p w14:paraId="3BF8D43E" w14:textId="77777777" w:rsidR="00185727" w:rsidRPr="00991EBC" w:rsidRDefault="00185727" w:rsidP="00991EBC">
      <w:pPr>
        <w:pStyle w:val="Quotebullet"/>
      </w:pPr>
      <w:r w:rsidRPr="00991EBC">
        <w:t xml:space="preserve">circumstances of the use and disposal of the asset. </w:t>
      </w:r>
    </w:p>
    <w:p w14:paraId="53F31EC5" w14:textId="77777777" w:rsidR="00185727" w:rsidRPr="00FA1A19" w:rsidRDefault="00185727" w:rsidP="00991EBC">
      <w:pPr>
        <w:pStyle w:val="Quote"/>
      </w:pPr>
      <w:r w:rsidRPr="00FA1A19">
        <w:t xml:space="preserve">Just saying why you got your cryptoassets is not </w:t>
      </w:r>
      <w:r w:rsidRPr="00991EBC">
        <w:t>enough</w:t>
      </w:r>
      <w:r w:rsidRPr="00FA1A19">
        <w:t>. For example, you might say you got your cryptoassets as:</w:t>
      </w:r>
    </w:p>
    <w:p w14:paraId="30F05A03" w14:textId="65A6AE96" w:rsidR="00185727" w:rsidRPr="00EB09BD" w:rsidRDefault="00185727" w:rsidP="00EB09BD">
      <w:pPr>
        <w:pStyle w:val="Quotebullet"/>
      </w:pPr>
      <w:r w:rsidRPr="00EB09BD">
        <w:t>a long</w:t>
      </w:r>
      <w:r w:rsidR="00F75232" w:rsidRPr="00EB09BD">
        <w:noBreakHyphen/>
      </w:r>
      <w:r w:rsidRPr="00EB09BD">
        <w:t>term investment</w:t>
      </w:r>
    </w:p>
    <w:p w14:paraId="0FB9F4E4" w14:textId="77777777" w:rsidR="00185727" w:rsidRPr="00EB09BD" w:rsidRDefault="00185727" w:rsidP="00EB09BD">
      <w:pPr>
        <w:pStyle w:val="Quotebullet"/>
      </w:pPr>
      <w:r w:rsidRPr="00EB09BD">
        <w:t>a hedge against inflation</w:t>
      </w:r>
    </w:p>
    <w:p w14:paraId="6BF49376" w14:textId="77777777" w:rsidR="00185727" w:rsidRPr="00EB09BD" w:rsidRDefault="00185727" w:rsidP="00EB09BD">
      <w:pPr>
        <w:pStyle w:val="Quotebullet"/>
      </w:pPr>
      <w:r w:rsidRPr="00EB09BD">
        <w:t>portfolio diversification</w:t>
      </w:r>
    </w:p>
    <w:p w14:paraId="20C9FE65" w14:textId="77777777" w:rsidR="00185727" w:rsidRPr="00EB09BD" w:rsidRDefault="00185727" w:rsidP="00EB09BD">
      <w:pPr>
        <w:pStyle w:val="Quotebullet"/>
      </w:pPr>
      <w:r w:rsidRPr="00EB09BD">
        <w:t xml:space="preserve">a store of value outside the monetary system. </w:t>
      </w:r>
    </w:p>
    <w:p w14:paraId="00312B28" w14:textId="77777777" w:rsidR="00185727" w:rsidRPr="004B6636" w:rsidRDefault="00185727" w:rsidP="004B6636">
      <w:pPr>
        <w:pStyle w:val="Quote"/>
      </w:pPr>
      <w:r w:rsidRPr="004B6636">
        <w:t>These types of reasons usually still involve a purpose of eventually selling or exchanging your cryptoassets. There will be a purpose of disposal if sale or exchange is the way to achieve your goals.</w:t>
      </w:r>
      <w:r w:rsidRPr="004B6636">
        <w:rPr>
          <w:rStyle w:val="FootnoteReference"/>
          <w:spacing w:val="-4"/>
        </w:rPr>
        <w:footnoteReference w:id="395"/>
      </w:r>
    </w:p>
    <w:p w14:paraId="7951556D" w14:textId="2FA2E77C" w:rsidR="00185727" w:rsidRPr="00FA1A19" w:rsidRDefault="00185727" w:rsidP="00185727">
      <w:r w:rsidRPr="00FA1A19">
        <w:t xml:space="preserve">The Board observes that the NZ IR web guidance indicates that most crypto asset transactions will be on revenue account. This appears to be in contrast to the ATO position, although the Board notes that the absence of a capital gains tax regime in </w:t>
      </w:r>
      <w:r w:rsidR="00D44290">
        <w:t>NZ</w:t>
      </w:r>
      <w:r w:rsidRPr="00FA1A19">
        <w:t xml:space="preserve"> may well be relevant</w:t>
      </w:r>
      <w:r w:rsidR="00C622BC" w:rsidRPr="00FA1A19">
        <w:t xml:space="preserve"> in practice</w:t>
      </w:r>
      <w:r w:rsidRPr="00FA1A19">
        <w:t xml:space="preserve"> to this position (i.e. if the NZ IR took the view that the transactions were taxable on capital account, presumably those transactions may then escape taxation). </w:t>
      </w:r>
    </w:p>
    <w:p w14:paraId="404723C5" w14:textId="0381E2E2" w:rsidR="00185727" w:rsidRPr="00FA1A19" w:rsidRDefault="00185727" w:rsidP="00185727">
      <w:r w:rsidRPr="00FA1A19">
        <w:t xml:space="preserve">The UK position is closer to Australia, with the </w:t>
      </w:r>
      <w:r w:rsidR="006354EF">
        <w:t xml:space="preserve">UK </w:t>
      </w:r>
      <w:r w:rsidRPr="00FA1A19">
        <w:t>HMRC considering that most crypto asset transactions will be subject to CGT:</w:t>
      </w:r>
    </w:p>
    <w:p w14:paraId="04341775" w14:textId="77777777" w:rsidR="00185727" w:rsidRPr="00FA1A19" w:rsidRDefault="00185727" w:rsidP="00991EBC">
      <w:pPr>
        <w:pStyle w:val="Quote"/>
      </w:pPr>
      <w:r w:rsidRPr="00FA1A19">
        <w:t xml:space="preserve">In the vast majority of cases, individuals hold cryptoassets as a personal investment, usually for capital appreciation or to make particular purchases. They will be liable to pay Capital Gains Tax when they dispose of their cryptoassets. </w:t>
      </w:r>
    </w:p>
    <w:p w14:paraId="5D74A3A4" w14:textId="77777777" w:rsidR="00185727" w:rsidRPr="00FA1A19" w:rsidRDefault="00185727" w:rsidP="00185727">
      <w:r w:rsidRPr="00FA1A19">
        <w:t>The guidance further notes:</w:t>
      </w:r>
    </w:p>
    <w:p w14:paraId="5EB6B6FF" w14:textId="77777777" w:rsidR="00185727" w:rsidRPr="004B6636" w:rsidRDefault="00185727" w:rsidP="00991EBC">
      <w:pPr>
        <w:pStyle w:val="Quote"/>
        <w:rPr>
          <w:spacing w:val="-2"/>
          <w:kern w:val="2"/>
        </w:rPr>
      </w:pPr>
      <w:r w:rsidRPr="004B6636">
        <w:rPr>
          <w:spacing w:val="-2"/>
          <w:kern w:val="2"/>
        </w:rPr>
        <w:t>… there may be cases where the individual is running a business which is carrying on a financial trade in cryptoassets and they will therefore have taxable trading profits. This is likely to be unusual, but in such cases Income Tax rules would take priority over the Capital Gains Tax rules.</w:t>
      </w:r>
      <w:r w:rsidRPr="004B6636">
        <w:rPr>
          <w:rStyle w:val="FootnoteReference"/>
          <w:spacing w:val="-2"/>
          <w:kern w:val="2"/>
        </w:rPr>
        <w:footnoteReference w:id="396"/>
      </w:r>
    </w:p>
    <w:p w14:paraId="22974E79" w14:textId="77777777" w:rsidR="00185727" w:rsidRPr="00FA1A19" w:rsidRDefault="00185727" w:rsidP="00185727">
      <w:r w:rsidRPr="00FA1A19">
        <w:t xml:space="preserve">The guidance provided by the Canada Revenue Agency (CRA) demonstrates less of a default positioning in relation to the appropriate classification noting: </w:t>
      </w:r>
    </w:p>
    <w:p w14:paraId="21AA38C6" w14:textId="5819A962" w:rsidR="00185727" w:rsidRPr="00FA1A19" w:rsidRDefault="00185727" w:rsidP="00722D65">
      <w:pPr>
        <w:pStyle w:val="Quote"/>
      </w:pPr>
      <w:r w:rsidRPr="00FA1A19">
        <w:t xml:space="preserve">The income you get from disposing of cryptocurrency may be considered business income or a capital gain. </w:t>
      </w:r>
      <w:r w:rsidR="00B10293" w:rsidRPr="00FA1A19">
        <w:t>To</w:t>
      </w:r>
      <w:r w:rsidRPr="00FA1A19">
        <w:t xml:space="preserve"> report it correctly, you must first establish what kind of income it is. </w:t>
      </w:r>
    </w:p>
    <w:p w14:paraId="143096F2" w14:textId="18FA8AC8" w:rsidR="000128BA" w:rsidRPr="00FA1A19" w:rsidRDefault="000128BA" w:rsidP="000128BA">
      <w:r w:rsidRPr="00FA1A19">
        <w:t xml:space="preserve">It further notes: </w:t>
      </w:r>
    </w:p>
    <w:p w14:paraId="2376FA99" w14:textId="6A701A5C" w:rsidR="00F32234" w:rsidRPr="00FA1A19" w:rsidRDefault="00B85ED7" w:rsidP="00722D65">
      <w:pPr>
        <w:pStyle w:val="Quote"/>
      </w:pPr>
      <w:r w:rsidRPr="00FA1A19">
        <w:t>.</w:t>
      </w:r>
      <w:r w:rsidR="002113CA">
        <w:t>.</w:t>
      </w:r>
      <w:r w:rsidRPr="00FA1A19">
        <w:t xml:space="preserve">. </w:t>
      </w:r>
      <w:r w:rsidR="00F32234" w:rsidRPr="00FA1A19">
        <w:t>you are generally considered to be carrying on a business if your course of conduct indicates that you are disposing of crypto</w:t>
      </w:r>
      <w:r w:rsidR="00F75232">
        <w:noBreakHyphen/>
      </w:r>
      <w:r w:rsidR="00F32234" w:rsidRPr="00FA1A19">
        <w:t>assets in a way capable of producing gains, with that object in view, and the transactions are carried out in a manner similar to a trader or dealer in securities. The following factors may indicate that you are carrying on a business:</w:t>
      </w:r>
    </w:p>
    <w:p w14:paraId="26787D8D" w14:textId="28CC9C39" w:rsidR="00F32234" w:rsidRPr="00FA1A19" w:rsidRDefault="00F32234" w:rsidP="00991EBC">
      <w:pPr>
        <w:pStyle w:val="Quotebullet"/>
      </w:pPr>
      <w:r w:rsidRPr="00FA1A19">
        <w:t>Frequency of transactions – you have a history of extensive buying and selling of crypto</w:t>
      </w:r>
      <w:r w:rsidR="00F75232">
        <w:noBreakHyphen/>
      </w:r>
      <w:r w:rsidRPr="00FA1A19">
        <w:t>assets</w:t>
      </w:r>
    </w:p>
    <w:p w14:paraId="77754603" w14:textId="15CBF37F" w:rsidR="00F32234" w:rsidRPr="00FA1A19" w:rsidRDefault="00F32234" w:rsidP="00991EBC">
      <w:pPr>
        <w:pStyle w:val="Quotebullet"/>
      </w:pPr>
      <w:r w:rsidRPr="00FA1A19">
        <w:t>Period of ownership – you hold your crypto</w:t>
      </w:r>
      <w:r w:rsidR="00F75232">
        <w:noBreakHyphen/>
      </w:r>
      <w:r w:rsidRPr="00FA1A19">
        <w:t>assets for a short period of time, and you turn them over quickly</w:t>
      </w:r>
    </w:p>
    <w:p w14:paraId="690BDF58" w14:textId="1E1F0361" w:rsidR="00F32234" w:rsidRPr="00FA1A19" w:rsidRDefault="00F32234" w:rsidP="00991EBC">
      <w:pPr>
        <w:pStyle w:val="Quotebullet"/>
      </w:pPr>
      <w:r w:rsidRPr="00FA1A19">
        <w:t>Knowledge of crypto</w:t>
      </w:r>
      <w:r w:rsidR="00F75232">
        <w:noBreakHyphen/>
      </w:r>
      <w:r w:rsidRPr="00FA1A19">
        <w:t>asset markets – you have knowledge of, or experience in, crypto</w:t>
      </w:r>
      <w:r w:rsidR="00F75232">
        <w:noBreakHyphen/>
      </w:r>
      <w:r w:rsidRPr="00FA1A19">
        <w:t>asset markets</w:t>
      </w:r>
    </w:p>
    <w:p w14:paraId="07840F5C" w14:textId="4A00A892" w:rsidR="00F32234" w:rsidRPr="00FA1A19" w:rsidRDefault="00F32234" w:rsidP="00991EBC">
      <w:pPr>
        <w:pStyle w:val="Quotebullet"/>
      </w:pPr>
      <w:r w:rsidRPr="00FA1A19">
        <w:t>Time spent – you spend a substantial part of your time studying crypto</w:t>
      </w:r>
      <w:r w:rsidR="00F75232">
        <w:noBreakHyphen/>
      </w:r>
      <w:r w:rsidRPr="00FA1A19">
        <w:t>asset markets</w:t>
      </w:r>
    </w:p>
    <w:p w14:paraId="704DEE79" w14:textId="0E6112FD" w:rsidR="00F32234" w:rsidRPr="00FA1A19" w:rsidRDefault="00F32234" w:rsidP="00991EBC">
      <w:pPr>
        <w:pStyle w:val="Quotebullet"/>
      </w:pPr>
      <w:r w:rsidRPr="00FA1A19">
        <w:t>Financing – you finance your crypto</w:t>
      </w:r>
      <w:r w:rsidR="00F75232">
        <w:noBreakHyphen/>
      </w:r>
      <w:r w:rsidRPr="00FA1A19">
        <w:t>asset purchases by some form of debt</w:t>
      </w:r>
    </w:p>
    <w:p w14:paraId="4FB33AD3" w14:textId="644A9BBE" w:rsidR="00185727" w:rsidRPr="00FA1A19" w:rsidRDefault="00F32234" w:rsidP="00991EBC">
      <w:pPr>
        <w:pStyle w:val="Quotebullet"/>
      </w:pPr>
      <w:r w:rsidRPr="00FA1A19">
        <w:t>Advertising – you advertise that you are willing to buy crypto</w:t>
      </w:r>
      <w:r w:rsidR="00F75232">
        <w:noBreakHyphen/>
      </w:r>
      <w:r w:rsidRPr="00FA1A19">
        <w:t>assets</w:t>
      </w:r>
      <w:r w:rsidR="00185727" w:rsidRPr="00FA1A19">
        <w:t>.</w:t>
      </w:r>
      <w:r w:rsidR="00185727" w:rsidRPr="00170ADC">
        <w:rPr>
          <w:rStyle w:val="FootnoteReference"/>
        </w:rPr>
        <w:footnoteReference w:id="397"/>
      </w:r>
      <w:r w:rsidR="00185727" w:rsidRPr="00FA1A19">
        <w:t xml:space="preserve"> </w:t>
      </w:r>
    </w:p>
    <w:p w14:paraId="29E48540" w14:textId="23073AA8" w:rsidR="00185727" w:rsidRPr="00FA1A19" w:rsidRDefault="00185727" w:rsidP="00185727">
      <w:r w:rsidRPr="00FA1A19">
        <w:t xml:space="preserve">For the </w:t>
      </w:r>
      <w:r w:rsidR="00A9456A" w:rsidRPr="00FA1A19">
        <w:t>US</w:t>
      </w:r>
      <w:r w:rsidRPr="00FA1A19">
        <w:t xml:space="preserve">, in response to the question of what type of gain or loss a taxpayer realises on the sale or exchange of virtual currency, the </w:t>
      </w:r>
      <w:r w:rsidR="0025459F">
        <w:t xml:space="preserve">US </w:t>
      </w:r>
      <w:r w:rsidRPr="00FA1A19">
        <w:t>IRS responded:</w:t>
      </w:r>
    </w:p>
    <w:p w14:paraId="3ED89E80" w14:textId="77777777" w:rsidR="00185727" w:rsidRPr="00FA1A19" w:rsidRDefault="00185727" w:rsidP="00991EBC">
      <w:pPr>
        <w:pStyle w:val="Quote"/>
      </w:pPr>
      <w:r w:rsidRPr="00FA1A19">
        <w:t>The character of the gain or loss generally depends on whether the virtual currency is a capital asset in the hands of the taxpayer. A taxpayer generally realizes capital gain or loss on the sale or exchange of virtual currency that is a capital asset in the hands of the taxpayer.</w:t>
      </w:r>
      <w:r w:rsidRPr="00FA1A19">
        <w:rPr>
          <w:rFonts w:ascii="Source Sans Pro" w:hAnsi="Source Sans Pro"/>
          <w:color w:val="1B1B1B"/>
          <w:shd w:val="clear" w:color="auto" w:fill="FFFFFF"/>
        </w:rPr>
        <w:t xml:space="preserve"> </w:t>
      </w:r>
      <w:r w:rsidRPr="00FA1A19">
        <w:t>For example, stocks, bonds, and other investment property are generally capital assets. A taxpayer generally realizes ordinary gain or loss on the sale or exchange of virtual currency that is not a capital asset in the hands of the taxpayer. Inventory and other property held mainly for sale to customers in a trade or business are examples of property that is not a capital asset.</w:t>
      </w:r>
      <w:r w:rsidRPr="00170ADC">
        <w:rPr>
          <w:rStyle w:val="FootnoteReference"/>
        </w:rPr>
        <w:footnoteReference w:id="398"/>
      </w:r>
      <w:r w:rsidRPr="00FA1A19">
        <w:t xml:space="preserve"> </w:t>
      </w:r>
    </w:p>
    <w:p w14:paraId="17455B76" w14:textId="191CB084" w:rsidR="00185727" w:rsidRPr="00FA1A19" w:rsidRDefault="00185727" w:rsidP="00185727">
      <w:r w:rsidRPr="00FA1A19">
        <w:t>It was apparent from the Board</w:t>
      </w:r>
      <w:r w:rsidR="00F75232">
        <w:t>’</w:t>
      </w:r>
      <w:r w:rsidRPr="00FA1A19">
        <w:t>s consultations that the issue of identifying whether gains and losses on crypto assets are treated on capital or revenue account is a difficult issue faced by many jurisdictions and that a bias towards a particular positioning is apparent in some guidance</w:t>
      </w:r>
      <w:r w:rsidR="00A5003D" w:rsidRPr="00FA1A19">
        <w:t xml:space="preserve"> (although varied between different jurisdictions)</w:t>
      </w:r>
      <w:r w:rsidRPr="00FA1A19">
        <w:t xml:space="preserve">. </w:t>
      </w:r>
    </w:p>
    <w:p w14:paraId="5AD271DE" w14:textId="7CF2D485" w:rsidR="00185727" w:rsidRPr="00FA1A19" w:rsidRDefault="00185727" w:rsidP="00185727">
      <w:pPr>
        <w:pStyle w:val="Heading6"/>
      </w:pPr>
      <w:r w:rsidRPr="00FA1A19">
        <w:t>Board</w:t>
      </w:r>
      <w:r w:rsidR="00F75232">
        <w:t>’</w:t>
      </w:r>
      <w:r w:rsidRPr="00FA1A19">
        <w:t xml:space="preserve">s </w:t>
      </w:r>
      <w:r w:rsidR="00A5003D" w:rsidRPr="00FA1A19">
        <w:t>conclusion</w:t>
      </w:r>
    </w:p>
    <w:p w14:paraId="56672DBC" w14:textId="097B44F2" w:rsidR="00185727" w:rsidRPr="00FA1A19" w:rsidRDefault="00185727" w:rsidP="00185727">
      <w:r w:rsidRPr="00FA1A19">
        <w:t xml:space="preserve">As has been stated in relation to the indicia for carrying on a business, the Board observes that there is a lack of guidance and precedents to support taxpayers in determining whether a crypto asset transaction can be considered to be a commercial </w:t>
      </w:r>
      <w:r w:rsidR="00FA4B95">
        <w:t>profit-making</w:t>
      </w:r>
      <w:r w:rsidRPr="00FA1A19">
        <w:t xml:space="preserve"> transaction</w:t>
      </w:r>
      <w:r w:rsidR="00E62896" w:rsidRPr="00FA1A19">
        <w:t xml:space="preserve"> such that any profits or gains</w:t>
      </w:r>
      <w:r w:rsidR="003C2F2A" w:rsidRPr="00FA1A19">
        <w:t xml:space="preserve"> (</w:t>
      </w:r>
      <w:r w:rsidR="00020726" w:rsidRPr="00FA1A19">
        <w:t>or losses</w:t>
      </w:r>
      <w:r w:rsidR="003C2F2A" w:rsidRPr="00FA1A19">
        <w:t>)</w:t>
      </w:r>
      <w:r w:rsidR="00E62896" w:rsidRPr="00FA1A19">
        <w:t xml:space="preserve"> on disposal will be on revenue account</w:t>
      </w:r>
      <w:r w:rsidRPr="00FA1A19">
        <w:t xml:space="preserve">, along with examples of the types of activities that may amount to commercial </w:t>
      </w:r>
      <w:r w:rsidR="00FA4B95">
        <w:t>profit-making</w:t>
      </w:r>
      <w:r w:rsidRPr="00FA1A19">
        <w:t xml:space="preserve"> undertakings. </w:t>
      </w:r>
    </w:p>
    <w:p w14:paraId="5F1CE438" w14:textId="77777777" w:rsidR="005D2FBB" w:rsidRPr="00FA1A19" w:rsidRDefault="005D2FBB" w:rsidP="00261401">
      <w:pPr>
        <w:pStyle w:val="SingleParagraph"/>
      </w:pPr>
    </w:p>
    <w:tbl>
      <w:tblPr>
        <w:tblStyle w:val="Style2"/>
        <w:tblW w:w="5000" w:type="pct"/>
        <w:tblLook w:val="0420" w:firstRow="1" w:lastRow="0" w:firstColumn="0" w:lastColumn="0" w:noHBand="0" w:noVBand="1"/>
      </w:tblPr>
      <w:tblGrid>
        <w:gridCol w:w="9641"/>
      </w:tblGrid>
      <w:tr w:rsidR="00185727" w:rsidRPr="00FA1A19" w14:paraId="277463BD"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F526834" w14:textId="2C35ED64" w:rsidR="00185727" w:rsidRPr="00261401" w:rsidRDefault="00372633" w:rsidP="00261401">
            <w:pPr>
              <w:pStyle w:val="BoxHeading1"/>
            </w:pPr>
            <w:r>
              <w:t>Recommendation </w:t>
            </w:r>
            <w:r w:rsidR="002E50C9" w:rsidRPr="00FA1A19">
              <w:t>7</w:t>
            </w:r>
            <w:r w:rsidR="00185727" w:rsidRPr="00FA1A19">
              <w:t>.2</w:t>
            </w:r>
          </w:p>
        </w:tc>
      </w:tr>
      <w:tr w:rsidR="00185727" w:rsidRPr="004B6636" w14:paraId="66C0DAEB"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110DA52E" w14:textId="5654D513" w:rsidR="005B12D8" w:rsidRPr="004B6636" w:rsidRDefault="00A605B9" w:rsidP="004B6636">
            <w:pPr>
              <w:pStyle w:val="BoxText"/>
              <w:rPr>
                <w:spacing w:val="-2"/>
              </w:rPr>
            </w:pPr>
            <w:r w:rsidRPr="004B6636">
              <w:rPr>
                <w:spacing w:val="-2"/>
              </w:rPr>
              <w:t>The Board</w:t>
            </w:r>
            <w:r w:rsidR="00CC44BE" w:rsidRPr="004B6636">
              <w:rPr>
                <w:spacing w:val="-2"/>
              </w:rPr>
              <w:t xml:space="preserve"> has </w:t>
            </w:r>
            <w:r w:rsidRPr="004B6636">
              <w:rPr>
                <w:spacing w:val="-2"/>
              </w:rPr>
              <w:t>observed</w:t>
            </w:r>
            <w:r w:rsidR="00CC44BE" w:rsidRPr="004B6636">
              <w:rPr>
                <w:spacing w:val="-2"/>
              </w:rPr>
              <w:t xml:space="preserve"> </w:t>
            </w:r>
            <w:r w:rsidR="005B12D8" w:rsidRPr="004B6636">
              <w:rPr>
                <w:spacing w:val="-2"/>
              </w:rPr>
              <w:t>(</w:t>
            </w:r>
            <w:r w:rsidR="00372633" w:rsidRPr="004B6636">
              <w:rPr>
                <w:spacing w:val="-2"/>
              </w:rPr>
              <w:t>Observation </w:t>
            </w:r>
            <w:r w:rsidR="00157431" w:rsidRPr="004B6636">
              <w:rPr>
                <w:spacing w:val="-2"/>
              </w:rPr>
              <w:t>7.1</w:t>
            </w:r>
            <w:r w:rsidR="005B12D8" w:rsidRPr="004B6636">
              <w:rPr>
                <w:spacing w:val="-2"/>
              </w:rPr>
              <w:t xml:space="preserve">) that with the exception of the minor reference in TD 2014/26, the ATO does not provide guidance in relation to the taxation implications of crypto asset transactions occurring as part of an isolated </w:t>
            </w:r>
            <w:r w:rsidR="00FA4B95" w:rsidRPr="004B6636">
              <w:rPr>
                <w:spacing w:val="-2"/>
              </w:rPr>
              <w:t>profit-making</w:t>
            </w:r>
            <w:r w:rsidR="005B12D8" w:rsidRPr="004B6636">
              <w:rPr>
                <w:spacing w:val="-2"/>
              </w:rPr>
              <w:t xml:space="preserve"> undertaking or </w:t>
            </w:r>
            <w:r w:rsidR="00E569AA" w:rsidRPr="004B6636">
              <w:rPr>
                <w:spacing w:val="-2"/>
              </w:rPr>
              <w:t>whether</w:t>
            </w:r>
            <w:r w:rsidR="005B12D8" w:rsidRPr="004B6636">
              <w:rPr>
                <w:spacing w:val="-2"/>
              </w:rPr>
              <w:t xml:space="preserve"> the profit/loss on disposals of crypto assets may be on revenue account even if those assets are not held as trading stock.</w:t>
            </w:r>
          </w:p>
          <w:p w14:paraId="37232320" w14:textId="303224FD" w:rsidR="00185727" w:rsidRPr="004B6636" w:rsidRDefault="00FF3285" w:rsidP="004B6636">
            <w:pPr>
              <w:pStyle w:val="BoxText"/>
            </w:pPr>
            <w:r w:rsidRPr="004B6636">
              <w:t>In relation to these issues, t</w:t>
            </w:r>
            <w:r w:rsidR="00185727" w:rsidRPr="004B6636">
              <w:t xml:space="preserve">axpayers </w:t>
            </w:r>
            <w:r w:rsidR="00B02D41" w:rsidRPr="004B6636">
              <w:t xml:space="preserve">require </w:t>
            </w:r>
            <w:r w:rsidR="00185727" w:rsidRPr="004B6636">
              <w:t xml:space="preserve">access to information </w:t>
            </w:r>
            <w:r w:rsidR="00704E19" w:rsidRPr="004B6636">
              <w:t>and guidance</w:t>
            </w:r>
            <w:r w:rsidR="007E7FE4" w:rsidRPr="004B6636">
              <w:t xml:space="preserve"> upon which they can rely </w:t>
            </w:r>
            <w:r w:rsidR="00704E19" w:rsidRPr="004B6636">
              <w:t xml:space="preserve">to ensure </w:t>
            </w:r>
            <w:r w:rsidR="00B823EC" w:rsidRPr="004B6636">
              <w:t>their tax disclosures will be acceptable to the ATO</w:t>
            </w:r>
            <w:r w:rsidR="00704E19" w:rsidRPr="004B6636">
              <w:t>.</w:t>
            </w:r>
            <w:r w:rsidR="00185727" w:rsidRPr="004B6636">
              <w:t xml:space="preserve"> </w:t>
            </w:r>
          </w:p>
          <w:p w14:paraId="5A0757D1" w14:textId="562D0996" w:rsidR="00185727" w:rsidRPr="004B6636" w:rsidRDefault="00B823EC" w:rsidP="004B6636">
            <w:pPr>
              <w:pStyle w:val="BoxText"/>
              <w:rPr>
                <w:spacing w:val="-4"/>
              </w:rPr>
            </w:pPr>
            <w:r w:rsidRPr="004B6636">
              <w:t xml:space="preserve">Accordingly, the </w:t>
            </w:r>
            <w:r w:rsidR="00185727" w:rsidRPr="004B6636">
              <w:t>Board recommends that the ATO</w:t>
            </w:r>
            <w:r w:rsidR="007E7FE4" w:rsidRPr="004B6636">
              <w:t>,</w:t>
            </w:r>
            <w:r w:rsidR="00185727" w:rsidRPr="004B6636">
              <w:t xml:space="preserve"> </w:t>
            </w:r>
            <w:r w:rsidR="00B50C78" w:rsidRPr="004B6636">
              <w:t>in consultation</w:t>
            </w:r>
            <w:r w:rsidR="00986C15" w:rsidRPr="004B6636">
              <w:rPr>
                <w:spacing w:val="-4"/>
              </w:rPr>
              <w:t xml:space="preserve"> </w:t>
            </w:r>
            <w:r w:rsidR="00185727" w:rsidRPr="004B6636">
              <w:rPr>
                <w:spacing w:val="-4"/>
              </w:rPr>
              <w:t xml:space="preserve">with </w:t>
            </w:r>
            <w:r w:rsidR="00D564D4" w:rsidRPr="004B6636">
              <w:rPr>
                <w:spacing w:val="-4"/>
              </w:rPr>
              <w:t xml:space="preserve">industry stakeholders and taxpayer representative groups including </w:t>
            </w:r>
            <w:r w:rsidR="00185727" w:rsidRPr="004B6636">
              <w:rPr>
                <w:spacing w:val="-4"/>
              </w:rPr>
              <w:t>the Crypto Industry Working Group</w:t>
            </w:r>
            <w:r w:rsidR="007E7FE4" w:rsidRPr="004B6636">
              <w:rPr>
                <w:spacing w:val="-4"/>
              </w:rPr>
              <w:t>,</w:t>
            </w:r>
            <w:r w:rsidR="00185727" w:rsidRPr="004B6636">
              <w:rPr>
                <w:spacing w:val="-4"/>
              </w:rPr>
              <w:t xml:space="preserve"> develop guidance in relation to the application </w:t>
            </w:r>
            <w:r w:rsidR="00393537" w:rsidRPr="004B6636">
              <w:rPr>
                <w:spacing w:val="-4"/>
              </w:rPr>
              <w:t>to crypto asset transactions</w:t>
            </w:r>
            <w:r w:rsidR="00185727" w:rsidRPr="004B6636">
              <w:rPr>
                <w:spacing w:val="-4"/>
              </w:rPr>
              <w:t xml:space="preserve"> of </w:t>
            </w:r>
            <w:r w:rsidR="00AA3ACD" w:rsidRPr="004B6636">
              <w:rPr>
                <w:spacing w:val="-4"/>
              </w:rPr>
              <w:t>the principles</w:t>
            </w:r>
            <w:r w:rsidR="00185727" w:rsidRPr="004B6636">
              <w:rPr>
                <w:spacing w:val="-4"/>
              </w:rPr>
              <w:t xml:space="preserve"> established regarding isolated transactions entered into with a commercial or </w:t>
            </w:r>
            <w:r w:rsidR="00FA4B95" w:rsidRPr="004B6636">
              <w:rPr>
                <w:spacing w:val="-4"/>
              </w:rPr>
              <w:t>profit-making</w:t>
            </w:r>
            <w:r w:rsidR="00185727" w:rsidRPr="004B6636">
              <w:rPr>
                <w:spacing w:val="-4"/>
              </w:rPr>
              <w:t xml:space="preserve"> intention</w:t>
            </w:r>
            <w:r w:rsidR="00FE5F06" w:rsidRPr="004B6636">
              <w:rPr>
                <w:spacing w:val="-4"/>
              </w:rPr>
              <w:t xml:space="preserve"> and </w:t>
            </w:r>
            <w:r w:rsidR="00FF669A" w:rsidRPr="004B6636">
              <w:rPr>
                <w:spacing w:val="-4"/>
              </w:rPr>
              <w:t xml:space="preserve">where the profit/loss on disposal of crypto assets may be on revenue account </w:t>
            </w:r>
            <w:r w:rsidR="00061A14" w:rsidRPr="004B6636">
              <w:rPr>
                <w:spacing w:val="-4"/>
              </w:rPr>
              <w:t xml:space="preserve">to a business </w:t>
            </w:r>
            <w:r w:rsidR="00FF669A" w:rsidRPr="004B6636">
              <w:rPr>
                <w:spacing w:val="-4"/>
              </w:rPr>
              <w:t>even if those assets are not held as trading stock</w:t>
            </w:r>
            <w:r w:rsidR="00185727" w:rsidRPr="004B6636">
              <w:rPr>
                <w:spacing w:val="-4"/>
              </w:rPr>
              <w:t>.</w:t>
            </w:r>
          </w:p>
        </w:tc>
      </w:tr>
    </w:tbl>
    <w:p w14:paraId="441E9C8C" w14:textId="77777777" w:rsidR="00261401" w:rsidRPr="004B6636" w:rsidRDefault="00261401" w:rsidP="004B6636">
      <w:pPr>
        <w:pStyle w:val="SingleParagraph"/>
      </w:pPr>
    </w:p>
    <w:p w14:paraId="5628955A" w14:textId="6A93D350" w:rsidR="00185727" w:rsidRPr="00FA1A19" w:rsidRDefault="00185727" w:rsidP="00342121">
      <w:pPr>
        <w:pStyle w:val="Heading3"/>
      </w:pPr>
      <w:r w:rsidRPr="00FA1A19">
        <w:t xml:space="preserve">Capital </w:t>
      </w:r>
      <w:r w:rsidR="008D4AE7" w:rsidRPr="00FA1A19">
        <w:t>Gains Tax</w:t>
      </w:r>
    </w:p>
    <w:p w14:paraId="6DF683F8" w14:textId="77777777" w:rsidR="00185727" w:rsidRPr="00FA1A19" w:rsidRDefault="00185727" w:rsidP="0069352C">
      <w:pPr>
        <w:pStyle w:val="Heading4"/>
      </w:pPr>
      <w:r w:rsidRPr="00FA1A19">
        <w:t>Background</w:t>
      </w:r>
    </w:p>
    <w:p w14:paraId="2531BEFA" w14:textId="67F4B6AC" w:rsidR="00185727" w:rsidRPr="00FA1A19" w:rsidRDefault="006A6026" w:rsidP="00185727">
      <w:r w:rsidRPr="00FA1A19">
        <w:t>Crypto</w:t>
      </w:r>
      <w:r w:rsidR="00185727" w:rsidRPr="00FA1A19">
        <w:t xml:space="preserve"> assets present challenges for the CGT provisions as a result of the novel and complex transactions and events that occur within the ecosystem. The Board has considered the various factors relevant to the application of</w:t>
      </w:r>
      <w:r w:rsidR="004F0A51" w:rsidRPr="00FA1A19">
        <w:t xml:space="preserve"> </w:t>
      </w:r>
      <w:r w:rsidR="00185727" w:rsidRPr="00FA1A19">
        <w:t>the CGT regime, including:</w:t>
      </w:r>
    </w:p>
    <w:p w14:paraId="0078364B" w14:textId="101BB9D8" w:rsidR="00185727" w:rsidRPr="00FA1A19" w:rsidRDefault="00185727" w:rsidP="00261401">
      <w:pPr>
        <w:pStyle w:val="Bullet"/>
      </w:pPr>
      <w:r w:rsidRPr="00FA1A19">
        <w:t>whether a CGT asset is involved</w:t>
      </w:r>
    </w:p>
    <w:p w14:paraId="1EC79AF0" w14:textId="7DD915C9" w:rsidR="00185727" w:rsidRPr="00FA1A19" w:rsidRDefault="00185727" w:rsidP="00261401">
      <w:pPr>
        <w:pStyle w:val="Bullet"/>
      </w:pPr>
      <w:r w:rsidRPr="00FA1A19">
        <w:t>if a CGT event has occurred</w:t>
      </w:r>
    </w:p>
    <w:p w14:paraId="6A8FABCC" w14:textId="1487FC4D" w:rsidR="00185727" w:rsidRPr="00FA1A19" w:rsidRDefault="00185727" w:rsidP="00261401">
      <w:pPr>
        <w:pStyle w:val="Bullet"/>
      </w:pPr>
      <w:r w:rsidRPr="00FA1A19">
        <w:t>the timing of a CGT event</w:t>
      </w:r>
    </w:p>
    <w:p w14:paraId="24BEA8CF" w14:textId="54490B79" w:rsidR="00185727" w:rsidRPr="00FA1A19" w:rsidRDefault="00185727" w:rsidP="00261401">
      <w:pPr>
        <w:pStyle w:val="Bullet"/>
      </w:pPr>
      <w:r w:rsidRPr="00FA1A19">
        <w:t>the identity of the parties to the CGT event</w:t>
      </w:r>
    </w:p>
    <w:p w14:paraId="415EDA60" w14:textId="4566FED4" w:rsidR="00185727" w:rsidRPr="00FA1A19" w:rsidRDefault="00185727" w:rsidP="00261401">
      <w:pPr>
        <w:pStyle w:val="Bullet"/>
      </w:pPr>
      <w:r w:rsidRPr="00FA1A19">
        <w:t>the cost base or reduced cost base and capital proceeds in respect of the CGT event</w:t>
      </w:r>
    </w:p>
    <w:p w14:paraId="6EEC7228" w14:textId="77777777" w:rsidR="00185727" w:rsidRPr="00FA1A19" w:rsidRDefault="00185727" w:rsidP="00261401">
      <w:pPr>
        <w:pStyle w:val="Bullet"/>
      </w:pPr>
      <w:r w:rsidRPr="00FA1A19">
        <w:t>how any modifications or exemptions apply.</w:t>
      </w:r>
    </w:p>
    <w:p w14:paraId="7FE46E33" w14:textId="77777777" w:rsidR="00185727" w:rsidRPr="00FA1A19" w:rsidRDefault="00185727" w:rsidP="0069352C">
      <w:pPr>
        <w:pStyle w:val="Heading4"/>
      </w:pPr>
      <w:r w:rsidRPr="00FA1A19">
        <w:t>Are crypto assets CGT assets?</w:t>
      </w:r>
    </w:p>
    <w:p w14:paraId="79649C86" w14:textId="57DACCA4" w:rsidR="00185727" w:rsidRPr="00FA1A19" w:rsidRDefault="00176698" w:rsidP="00185727">
      <w:r w:rsidRPr="00FA1A19">
        <w:t>The tax legislation defines a</w:t>
      </w:r>
      <w:r w:rsidR="00185727" w:rsidRPr="00FA1A19">
        <w:t xml:space="preserve"> CGT asset as:</w:t>
      </w:r>
    </w:p>
    <w:p w14:paraId="23D5C694" w14:textId="2A13E762" w:rsidR="00185727" w:rsidRPr="00FA1A19" w:rsidRDefault="00185727" w:rsidP="00991EBC">
      <w:pPr>
        <w:pStyle w:val="OutlineNumbered2"/>
      </w:pPr>
      <w:r w:rsidRPr="00FA1A19">
        <w:t>any kind of property; or</w:t>
      </w:r>
    </w:p>
    <w:p w14:paraId="5B2FE605" w14:textId="4FE11358" w:rsidR="00185727" w:rsidRPr="00FA1A19" w:rsidRDefault="00185727" w:rsidP="00991EBC">
      <w:pPr>
        <w:pStyle w:val="OutlineNumbered2"/>
      </w:pPr>
      <w:r w:rsidRPr="00FA1A19">
        <w:t>a legal or equitable right that is not property.</w:t>
      </w:r>
    </w:p>
    <w:p w14:paraId="579827E1" w14:textId="36769E4C" w:rsidR="00185727" w:rsidRPr="00FA1A19" w:rsidRDefault="00185727" w:rsidP="00185727">
      <w:r w:rsidRPr="00FA1A19">
        <w:t>An interest in one of the above assets is also expressly included as a CGT asset.</w:t>
      </w:r>
      <w:r w:rsidRPr="00170ADC">
        <w:rPr>
          <w:rStyle w:val="FootnoteReference"/>
        </w:rPr>
        <w:t xml:space="preserve"> </w:t>
      </w:r>
      <w:r w:rsidRPr="00170ADC">
        <w:rPr>
          <w:rStyle w:val="FootnoteReference"/>
        </w:rPr>
        <w:footnoteReference w:id="399"/>
      </w:r>
    </w:p>
    <w:p w14:paraId="033EC952" w14:textId="7C513506" w:rsidR="00185727" w:rsidRPr="00FA1A19" w:rsidRDefault="00185727" w:rsidP="00185727">
      <w:r w:rsidRPr="00FA1A19">
        <w:t>The Commissioner has provided binding guidance in TD 2014/26 confirming the Commissioner</w:t>
      </w:r>
      <w:r w:rsidR="00F75232">
        <w:t>’</w:t>
      </w:r>
      <w:r w:rsidRPr="00FA1A19">
        <w:t xml:space="preserve">s position that bitcoin is a CGT asset. While reliance on this guidance provides taxpayer protection in that it is binding on the Commissioner (refer </w:t>
      </w:r>
      <w:r w:rsidR="00372633">
        <w:t>Chapter </w:t>
      </w:r>
      <w:r w:rsidR="00026D78" w:rsidRPr="00FA1A19">
        <w:t>6</w:t>
      </w:r>
      <w:r w:rsidRPr="00FA1A19">
        <w:t xml:space="preserve">), it does not bind the taxpayer and may be subject to challenge. Additionally, this guidance deals specifically with bitcoin, and in other guidance, the ATO has noted that </w:t>
      </w:r>
      <w:r w:rsidR="002D61AF" w:rsidRPr="00FA1A19">
        <w:t xml:space="preserve">the </w:t>
      </w:r>
      <w:r w:rsidRPr="00FA1A19">
        <w:t>ruling, by extension, applies to crypto assets with the same features as bitcoin.</w:t>
      </w:r>
    </w:p>
    <w:p w14:paraId="1ABDF574" w14:textId="5486B893" w:rsidR="00185727" w:rsidRPr="00FA1A19" w:rsidRDefault="00BB31DD" w:rsidP="00185727">
      <w:r w:rsidRPr="00FA1A19">
        <w:t xml:space="preserve">As discussed in </w:t>
      </w:r>
      <w:r w:rsidR="00372633">
        <w:t>Chapter </w:t>
      </w:r>
      <w:r w:rsidRPr="00FA1A19">
        <w:t xml:space="preserve">4 of this </w:t>
      </w:r>
      <w:r w:rsidR="00447147">
        <w:t>R</w:t>
      </w:r>
      <w:r w:rsidRPr="00FA1A19">
        <w:t xml:space="preserve">eport, </w:t>
      </w:r>
      <w:r w:rsidR="00185727" w:rsidRPr="00FA1A19">
        <w:t xml:space="preserve">there is some contention about </w:t>
      </w:r>
      <w:r w:rsidR="004A5506" w:rsidRPr="00FA1A19">
        <w:t xml:space="preserve">whether </w:t>
      </w:r>
      <w:r w:rsidR="00185727" w:rsidRPr="00FA1A19">
        <w:t xml:space="preserve">crypto assets </w:t>
      </w:r>
      <w:r w:rsidR="004A5506" w:rsidRPr="00FA1A19">
        <w:t>are property</w:t>
      </w:r>
      <w:r w:rsidR="00185727" w:rsidRPr="00FA1A19">
        <w:t xml:space="preserve">, although there is increasing </w:t>
      </w:r>
      <w:r w:rsidR="00185198" w:rsidRPr="00FA1A19">
        <w:t xml:space="preserve">judicial </w:t>
      </w:r>
      <w:r w:rsidR="00185727" w:rsidRPr="00FA1A19">
        <w:t>commonality in the view that crypto assets are property.</w:t>
      </w:r>
      <w:r w:rsidR="004F0A51" w:rsidRPr="00FA1A19">
        <w:t xml:space="preserve"> </w:t>
      </w:r>
      <w:r w:rsidR="00210A40" w:rsidRPr="00FA1A19">
        <w:t xml:space="preserve">Accordingly, </w:t>
      </w:r>
      <w:r w:rsidR="004A5506" w:rsidRPr="00FA1A19">
        <w:t xml:space="preserve">and as stated in </w:t>
      </w:r>
      <w:r w:rsidR="00372633">
        <w:t>Chapter </w:t>
      </w:r>
      <w:r w:rsidR="004A5506" w:rsidRPr="00FA1A19">
        <w:t>4</w:t>
      </w:r>
      <w:r w:rsidR="00210A40" w:rsidRPr="00FA1A19">
        <w:t>, the Board</w:t>
      </w:r>
      <w:r w:rsidR="00F75232">
        <w:t>’</w:t>
      </w:r>
      <w:r w:rsidR="005F59F4" w:rsidRPr="00FA1A19">
        <w:t xml:space="preserve">s considerations, observations and recommendations are based on </w:t>
      </w:r>
      <w:r w:rsidR="003606A3" w:rsidRPr="00FA1A19">
        <w:t>the assumption that crypto assets (and in particularly cryptocurrencies) are property.</w:t>
      </w:r>
    </w:p>
    <w:p w14:paraId="047E327F" w14:textId="4DE94F04" w:rsidR="00185727" w:rsidRPr="00FA1A19" w:rsidRDefault="00185727" w:rsidP="0069352C">
      <w:pPr>
        <w:pStyle w:val="Heading4"/>
      </w:pPr>
      <w:r w:rsidRPr="00FA1A19">
        <w:t>Application of CGT to crypto assets</w:t>
      </w:r>
    </w:p>
    <w:p w14:paraId="63631369" w14:textId="1AF71F0B" w:rsidR="00185727" w:rsidRPr="00FA1A19" w:rsidRDefault="00185727" w:rsidP="00422374">
      <w:r w:rsidRPr="00FA1A19">
        <w:t xml:space="preserve">A capital gain or a capital loss only arises where a CGT event occurs. The CGT events are </w:t>
      </w:r>
      <w:r w:rsidR="00301C8E" w:rsidRPr="00FA1A19">
        <w:t xml:space="preserve">set out </w:t>
      </w:r>
      <w:r w:rsidRPr="00FA1A19">
        <w:t xml:space="preserve">in </w:t>
      </w:r>
      <w:r w:rsidR="00422374" w:rsidRPr="00FA1A19">
        <w:t>Division 104 of the ITAA 1997</w:t>
      </w:r>
      <w:r w:rsidRPr="00FA1A19">
        <w:t xml:space="preserve">. </w:t>
      </w:r>
    </w:p>
    <w:p w14:paraId="6AEC812D" w14:textId="77777777" w:rsidR="00185727" w:rsidRPr="00FA1A19" w:rsidRDefault="00185727" w:rsidP="00185727">
      <w:pPr>
        <w:ind w:left="66"/>
      </w:pPr>
      <w:r w:rsidRPr="00FA1A19">
        <w:t>While each CGT event sets out the relevant considerations in determining the timing and calculation of any capital gain or loss, the underlying considerations for most CGT events are as follows:</w:t>
      </w:r>
    </w:p>
    <w:p w14:paraId="0E2499FB" w14:textId="429890AD" w:rsidR="00185727" w:rsidRPr="00FA1A19" w:rsidRDefault="00185727" w:rsidP="00CA5599">
      <w:pPr>
        <w:pStyle w:val="Bullet"/>
      </w:pPr>
      <w:r w:rsidRPr="00FA1A19">
        <w:t>time of the event</w:t>
      </w:r>
    </w:p>
    <w:p w14:paraId="3D1B6A12" w14:textId="22BC02D0" w:rsidR="00B4106F" w:rsidRPr="00FA1A19" w:rsidRDefault="00185727" w:rsidP="00CA5599">
      <w:pPr>
        <w:pStyle w:val="Bullet"/>
      </w:pPr>
      <w:r w:rsidRPr="00FA1A19">
        <w:t>capital proceeds</w:t>
      </w:r>
    </w:p>
    <w:p w14:paraId="3ADBD79E" w14:textId="7AB44A99" w:rsidR="00185727" w:rsidRPr="00FA1A19" w:rsidRDefault="00185727" w:rsidP="00CA5599">
      <w:pPr>
        <w:pStyle w:val="Bullet"/>
      </w:pPr>
      <w:r w:rsidRPr="00FA1A19">
        <w:t>cost base or reduced cost base</w:t>
      </w:r>
      <w:r w:rsidR="00422374" w:rsidRPr="00FA1A19">
        <w:t>.</w:t>
      </w:r>
    </w:p>
    <w:p w14:paraId="1EEBACE1" w14:textId="5716CD77" w:rsidR="00185727" w:rsidRPr="00FA1A19" w:rsidRDefault="00185727" w:rsidP="00185727">
      <w:r w:rsidRPr="00FA1A19">
        <w:t xml:space="preserve">The CGT measures include </w:t>
      </w:r>
      <w:r w:rsidR="00F75232">
        <w:t>‘</w:t>
      </w:r>
      <w:r w:rsidRPr="00FA1A19">
        <w:t>anti</w:t>
      </w:r>
      <w:r w:rsidR="00F75232">
        <w:noBreakHyphen/>
      </w:r>
      <w:r w:rsidRPr="00FA1A19">
        <w:t>overlap</w:t>
      </w:r>
      <w:r w:rsidR="00F75232">
        <w:t>’</w:t>
      </w:r>
      <w:r w:rsidRPr="00FA1A19">
        <w:t xml:space="preserve"> provisions that, in summary, mean that where an amount is taxed under another provision (</w:t>
      </w:r>
      <w:r w:rsidR="00422374" w:rsidRPr="00FA1A19">
        <w:t>for example</w:t>
      </w:r>
      <w:r w:rsidRPr="00FA1A19">
        <w:t xml:space="preserve"> as ordinary income), the same amount is then not also subject to CGT. Rather than addressing the individual considerations for each CGT event, the Board has provided its observations on specific issues that may apply in determining these elements for crypto assets. </w:t>
      </w:r>
    </w:p>
    <w:p w14:paraId="5253FD78" w14:textId="77777777" w:rsidR="00185727" w:rsidRPr="00FA1A19" w:rsidRDefault="00185727" w:rsidP="00CA5599">
      <w:pPr>
        <w:pStyle w:val="Heading5"/>
      </w:pPr>
      <w:r w:rsidRPr="00FA1A19">
        <w:t>Timing</w:t>
      </w:r>
    </w:p>
    <w:p w14:paraId="7B2FB43D" w14:textId="77777777" w:rsidR="00185727" w:rsidRPr="00FA1A19" w:rsidRDefault="00185727" w:rsidP="00185727">
      <w:r w:rsidRPr="00FA1A19">
        <w:t>The provisions relating to each CGT event set out the time that the relevant event is taken to have occurred. This is relevant for not only determining in which income year a capital gain or capital loss arises but is also relevant for other issues in applying the CGT rules (including, for example, the eligibility for the CGT discount which broadly requires that an asset is held for at least 12 months).</w:t>
      </w:r>
    </w:p>
    <w:p w14:paraId="70228B95" w14:textId="4C12EB75" w:rsidR="00185727" w:rsidRPr="00FA1A19" w:rsidRDefault="00185727" w:rsidP="00185727">
      <w:r w:rsidRPr="00FA1A19">
        <w:t xml:space="preserve">Under CGT event A1, which relates to the disposal of a CGT asset, the time of the CGT event </w:t>
      </w:r>
      <w:r w:rsidR="001B1D90" w:rsidRPr="00FA1A19">
        <w:t xml:space="preserve">is </w:t>
      </w:r>
      <w:r w:rsidRPr="00FA1A19">
        <w:t>when the contract for the disposal is entered into or, if there is no such contract, when the change of ownership occurs.</w:t>
      </w:r>
      <w:r w:rsidRPr="00170ADC">
        <w:rPr>
          <w:rStyle w:val="FootnoteReference"/>
        </w:rPr>
        <w:footnoteReference w:id="400"/>
      </w:r>
      <w:r w:rsidRPr="00FA1A19">
        <w:t xml:space="preserve"> The Board notes that in crypto asset transactions, this may not always be a simple proposition</w:t>
      </w:r>
      <w:r w:rsidR="001B1D90" w:rsidRPr="00FA1A19">
        <w:t xml:space="preserve">, and may be particularly important given the </w:t>
      </w:r>
      <w:r w:rsidR="00657F34" w:rsidRPr="00FA1A19">
        <w:t>volatility in the prices of crypto assets</w:t>
      </w:r>
      <w:r w:rsidRPr="00FA1A19">
        <w:t xml:space="preserve">. </w:t>
      </w:r>
    </w:p>
    <w:p w14:paraId="7851C40B" w14:textId="783A0958" w:rsidR="00185727" w:rsidRDefault="00185727" w:rsidP="00185727">
      <w:r w:rsidRPr="00FA1A19">
        <w:t xml:space="preserve">For example, the complexity that presents with timing particularly manifests with certain crypto asset transactions such as airdrops or certain staking arrangements, where it may not always be possible to identify the exact time that there has been a clear change in beneficial ownership. The Board has provided further observations in relation to timing issues in its analysis of </w:t>
      </w:r>
      <w:r w:rsidR="001A3C3D" w:rsidRPr="00FA1A19">
        <w:t xml:space="preserve">proof of stake </w:t>
      </w:r>
      <w:r w:rsidRPr="00FA1A19">
        <w:t xml:space="preserve">transactions in </w:t>
      </w:r>
      <w:r w:rsidR="00372633">
        <w:t>Chapter </w:t>
      </w:r>
      <w:r w:rsidR="0085537D" w:rsidRPr="00FA1A19">
        <w:t>9</w:t>
      </w:r>
      <w:r w:rsidRPr="00FA1A19">
        <w:t xml:space="preserve">. </w:t>
      </w:r>
    </w:p>
    <w:p w14:paraId="51DF162F" w14:textId="5E082DB4" w:rsidR="00F86AFA" w:rsidRPr="00FA1A19" w:rsidRDefault="00F86AFA" w:rsidP="00185727">
      <w:r>
        <w:t xml:space="preserve">Further timing issues may arise in situations such as where </w:t>
      </w:r>
      <w:r w:rsidR="00AD715B">
        <w:t xml:space="preserve">a </w:t>
      </w:r>
      <w:r>
        <w:t xml:space="preserve">crypto asset is effectively disposed of as a result of a lost private key, theft or the collapse of a crypto asset platform with custody of tokens. </w:t>
      </w:r>
    </w:p>
    <w:p w14:paraId="73DAD001" w14:textId="77777777" w:rsidR="00185727" w:rsidRPr="00FA1A19" w:rsidRDefault="00185727" w:rsidP="00CA5599">
      <w:pPr>
        <w:pStyle w:val="Heading5"/>
      </w:pPr>
      <w:r w:rsidRPr="00FA1A19">
        <w:t>Capital proceeds and cost base</w:t>
      </w:r>
    </w:p>
    <w:p w14:paraId="2C6AB9DD" w14:textId="67621439" w:rsidR="00185727" w:rsidRPr="00FA1A19" w:rsidRDefault="00185727" w:rsidP="00185727">
      <w:r w:rsidRPr="00FA1A19">
        <w:t xml:space="preserve">In general terms, the calculation of a capital gain is determined by subtracting the cost base of the </w:t>
      </w:r>
      <w:r w:rsidR="00CF61D2" w:rsidRPr="00FA1A19">
        <w:t xml:space="preserve">CGT </w:t>
      </w:r>
      <w:r w:rsidRPr="00FA1A19">
        <w:t xml:space="preserve">asset from the capital proceeds that arise from the CGT event. A capital loss involves a similar calculation but </w:t>
      </w:r>
      <w:r w:rsidR="009E7088">
        <w:t>utilises</w:t>
      </w:r>
      <w:r w:rsidR="009E7088" w:rsidRPr="00FA1A19">
        <w:t xml:space="preserve"> </w:t>
      </w:r>
      <w:r w:rsidRPr="00FA1A19">
        <w:t>the reduced cost base rather than the cost base.</w:t>
      </w:r>
      <w:r w:rsidR="002508A3" w:rsidRPr="00170ADC">
        <w:rPr>
          <w:rStyle w:val="FootnoteReference"/>
        </w:rPr>
        <w:footnoteReference w:id="401"/>
      </w:r>
      <w:r w:rsidRPr="00FA1A19">
        <w:t xml:space="preserve"> For ease of reference, the comments below </w:t>
      </w:r>
      <w:r w:rsidR="005F037D" w:rsidRPr="00FA1A19">
        <w:t xml:space="preserve">are </w:t>
      </w:r>
      <w:r w:rsidRPr="00FA1A19">
        <w:t>concern</w:t>
      </w:r>
      <w:r w:rsidR="005F037D" w:rsidRPr="00FA1A19">
        <w:t>ed only with</w:t>
      </w:r>
      <w:r w:rsidRPr="00FA1A19">
        <w:t xml:space="preserve"> the calculation of a capital gain. </w:t>
      </w:r>
    </w:p>
    <w:p w14:paraId="156924BC" w14:textId="77777777" w:rsidR="00185727" w:rsidRPr="00FA1A19" w:rsidRDefault="00185727" w:rsidP="004B6636">
      <w:pPr>
        <w:keepNext/>
      </w:pPr>
      <w:r w:rsidRPr="00FA1A19">
        <w:t xml:space="preserve">A summary of the key elements of the cost base and the capital proceeds is summarised below: </w:t>
      </w:r>
    </w:p>
    <w:tbl>
      <w:tblPr>
        <w:tblStyle w:val="ListTable3-Accent1"/>
        <w:tblW w:w="5000" w:type="pct"/>
        <w:tblLook w:val="0420" w:firstRow="1" w:lastRow="0" w:firstColumn="0" w:lastColumn="0" w:noHBand="0" w:noVBand="1"/>
      </w:tblPr>
      <w:tblGrid>
        <w:gridCol w:w="4815"/>
        <w:gridCol w:w="4816"/>
      </w:tblGrid>
      <w:tr w:rsidR="00185727" w:rsidRPr="00FA1A19" w14:paraId="2C790697" w14:textId="77777777" w:rsidTr="00EB09BD">
        <w:trPr>
          <w:cnfStyle w:val="100000000000" w:firstRow="1" w:lastRow="0" w:firstColumn="0" w:lastColumn="0" w:oddVBand="0" w:evenVBand="0" w:oddHBand="0" w:evenHBand="0" w:firstRowFirstColumn="0" w:firstRowLastColumn="0" w:lastRowFirstColumn="0" w:lastRowLastColumn="0"/>
          <w:tblHeader/>
        </w:trPr>
        <w:tc>
          <w:tcPr>
            <w:tcW w:w="2500" w:type="pct"/>
          </w:tcPr>
          <w:p w14:paraId="7DB304C7" w14:textId="77777777" w:rsidR="00185727" w:rsidRPr="00FA1A19" w:rsidRDefault="00185727" w:rsidP="00CA5599">
            <w:pPr>
              <w:pStyle w:val="TableColumnHeadingLeft"/>
            </w:pPr>
            <w:r w:rsidRPr="00FA1A19">
              <w:t>Cost base</w:t>
            </w:r>
          </w:p>
        </w:tc>
        <w:tc>
          <w:tcPr>
            <w:tcW w:w="2500" w:type="pct"/>
          </w:tcPr>
          <w:p w14:paraId="57CB473E" w14:textId="77777777" w:rsidR="00185727" w:rsidRPr="00FA1A19" w:rsidRDefault="00185727" w:rsidP="00CA5599">
            <w:pPr>
              <w:pStyle w:val="TableColumnHeadingLeft"/>
            </w:pPr>
            <w:r w:rsidRPr="00FA1A19">
              <w:t>Capital proceeds</w:t>
            </w:r>
          </w:p>
        </w:tc>
      </w:tr>
      <w:tr w:rsidR="00185727" w:rsidRPr="00FA1A19" w14:paraId="539AAF46" w14:textId="77777777" w:rsidTr="00EB09BD">
        <w:trPr>
          <w:cnfStyle w:val="000000100000" w:firstRow="0" w:lastRow="0" w:firstColumn="0" w:lastColumn="0" w:oddVBand="0" w:evenVBand="0" w:oddHBand="1" w:evenHBand="0" w:firstRowFirstColumn="0" w:firstRowLastColumn="0" w:lastRowFirstColumn="0" w:lastRowLastColumn="0"/>
        </w:trPr>
        <w:tc>
          <w:tcPr>
            <w:tcW w:w="2500" w:type="pct"/>
          </w:tcPr>
          <w:p w14:paraId="39FEAC5E" w14:textId="77777777" w:rsidR="00185727" w:rsidRPr="00FA1A19" w:rsidRDefault="00185727" w:rsidP="00CA5599">
            <w:pPr>
              <w:pStyle w:val="TableTextLeft"/>
            </w:pPr>
            <w:r w:rsidRPr="00FA1A19">
              <w:t>Money you paid or are required to pay in respect of acquiring the asset.</w:t>
            </w:r>
          </w:p>
        </w:tc>
        <w:tc>
          <w:tcPr>
            <w:tcW w:w="2500" w:type="pct"/>
          </w:tcPr>
          <w:p w14:paraId="7A275FFF" w14:textId="77777777" w:rsidR="00185727" w:rsidRPr="00FA1A19" w:rsidRDefault="00185727" w:rsidP="00CA5599">
            <w:pPr>
              <w:pStyle w:val="TableTextLeft"/>
            </w:pPr>
            <w:r w:rsidRPr="00FA1A19">
              <w:t xml:space="preserve">Money you have received, or are entitled to receive, in respect of the event happening. </w:t>
            </w:r>
          </w:p>
        </w:tc>
      </w:tr>
      <w:tr w:rsidR="00185727" w:rsidRPr="00FA1A19" w14:paraId="251C7C24" w14:textId="77777777" w:rsidTr="00EB09BD">
        <w:tc>
          <w:tcPr>
            <w:tcW w:w="2500" w:type="pct"/>
          </w:tcPr>
          <w:p w14:paraId="7042F129" w14:textId="77777777" w:rsidR="00185727" w:rsidRPr="00FA1A19" w:rsidRDefault="00185727" w:rsidP="00CA5599">
            <w:pPr>
              <w:pStyle w:val="TableTextLeft"/>
            </w:pPr>
            <w:r w:rsidRPr="00FA1A19">
              <w:t>Market value of any other property you gave or are required to give, in respect of acquiring it (worked out at the time of acquisition).</w:t>
            </w:r>
          </w:p>
        </w:tc>
        <w:tc>
          <w:tcPr>
            <w:tcW w:w="2500" w:type="pct"/>
          </w:tcPr>
          <w:p w14:paraId="532A9ED7" w14:textId="77777777" w:rsidR="00185727" w:rsidRPr="00FA1A19" w:rsidRDefault="00185727" w:rsidP="00CA5599">
            <w:pPr>
              <w:pStyle w:val="TableTextLeft"/>
            </w:pPr>
            <w:bookmarkStart w:id="97" w:name="io696034sl24367379UUpUU2UUlawrefUU1"/>
            <w:bookmarkEnd w:id="97"/>
            <w:r w:rsidRPr="00FA1A19">
              <w:t>Market value of any other property you have received, or are entitled to receive, in respect of the event happening (worked out as at the time of the event).</w:t>
            </w:r>
          </w:p>
        </w:tc>
      </w:tr>
    </w:tbl>
    <w:p w14:paraId="7E07C683" w14:textId="77777777" w:rsidR="004B6636" w:rsidRDefault="004B6636" w:rsidP="004B6636">
      <w:pPr>
        <w:pStyle w:val="SingleParagraph"/>
      </w:pPr>
    </w:p>
    <w:p w14:paraId="54B18DC2" w14:textId="2210EAAD" w:rsidR="00185727" w:rsidRPr="00FA1A19" w:rsidRDefault="00185727" w:rsidP="00185727">
      <w:r w:rsidRPr="00FA1A19">
        <w:t>Both capital proceeds</w:t>
      </w:r>
      <w:r w:rsidRPr="00170ADC">
        <w:rPr>
          <w:rStyle w:val="FootnoteReference"/>
        </w:rPr>
        <w:footnoteReference w:id="402"/>
      </w:r>
      <w:r w:rsidRPr="00FA1A19">
        <w:t xml:space="preserve"> and cost base</w:t>
      </w:r>
      <w:r w:rsidRPr="00170ADC">
        <w:rPr>
          <w:rStyle w:val="FootnoteReference"/>
        </w:rPr>
        <w:footnoteReference w:id="403"/>
      </w:r>
      <w:r w:rsidRPr="00FA1A19">
        <w:t xml:space="preserve"> are subject to various modification in certain circumstances and depending on the CGT event that is applicable. For example, there is a market value substitution rule that applies in certain situations.</w:t>
      </w:r>
    </w:p>
    <w:p w14:paraId="0832F9A4" w14:textId="609D89A8" w:rsidR="00C36AB1" w:rsidRPr="00FA1A19" w:rsidRDefault="00C36AB1" w:rsidP="00981F8C">
      <w:pPr>
        <w:pStyle w:val="Heading6"/>
      </w:pPr>
      <w:r w:rsidRPr="00FA1A19">
        <w:t>Valuing capital proceeds and cost base</w:t>
      </w:r>
    </w:p>
    <w:p w14:paraId="3A982EAF" w14:textId="01E5621A" w:rsidR="00185727" w:rsidRPr="00FA1A19" w:rsidRDefault="00185727" w:rsidP="00185727">
      <w:r w:rsidRPr="00FA1A19">
        <w:t>In the straightforward scenario of a crypto asset being exchanged for fiat currency or vice</w:t>
      </w:r>
      <w:r w:rsidR="00F75232">
        <w:noBreakHyphen/>
      </w:r>
      <w:r w:rsidRPr="00FA1A19">
        <w:t>versa, the first limb of the capital proceeds or cost base definition will treat that fiat currency (money) as capital proceeds or cost base and the calculation will be straightforward. Transactions where crypto assets are exchanged for fiat currency</w:t>
      </w:r>
      <w:r w:rsidR="00D34079" w:rsidRPr="00FA1A19">
        <w:t>,</w:t>
      </w:r>
      <w:r w:rsidRPr="00FA1A19">
        <w:t xml:space="preserve"> however</w:t>
      </w:r>
      <w:r w:rsidR="00D34079" w:rsidRPr="00FA1A19">
        <w:t>,</w:t>
      </w:r>
      <w:r w:rsidRPr="00FA1A19">
        <w:t xml:space="preserve"> only represent a portion of the transactions that occur with crypto assets. It is not uncommon, for example, for one crypto asset to be exchanged for another, without a conversion to fiat currency. </w:t>
      </w:r>
    </w:p>
    <w:p w14:paraId="7B43B5EE" w14:textId="4D1D9D06" w:rsidR="00185727" w:rsidRPr="00FA1A19" w:rsidRDefault="00185727" w:rsidP="00185727">
      <w:r w:rsidRPr="00FA1A19">
        <w:t>Where capital proceeds or cost base are represented by something other than money (such as another crypto asset) the second limb of the capital proceeds and cost base definitions will apply and it is necessary to determine the market value of the relevant property that has been received or given. The Board notes that this limb will only apply to the extent that what is received or given (i.e. the crypto asset) is property</w:t>
      </w:r>
      <w:r w:rsidR="00FA27BF" w:rsidRPr="00FA1A19">
        <w:t xml:space="preserve"> (</w:t>
      </w:r>
      <w:r w:rsidR="00881167" w:rsidRPr="00FA1A19">
        <w:t xml:space="preserve">noting that </w:t>
      </w:r>
      <w:r w:rsidR="00FA27BF" w:rsidRPr="00FA1A19">
        <w:t xml:space="preserve">the Board </w:t>
      </w:r>
      <w:r w:rsidR="00016F8B" w:rsidRPr="00FA1A19">
        <w:t>is proceeding on the basis that crypto assets are property</w:t>
      </w:r>
      <w:r w:rsidR="00A74687" w:rsidRPr="00FA1A19">
        <w:t xml:space="preserve">, for the reasons stated in </w:t>
      </w:r>
      <w:r w:rsidR="00372633">
        <w:t>Chapter </w:t>
      </w:r>
      <w:r w:rsidR="00A74687" w:rsidRPr="00FA1A19">
        <w:t>4</w:t>
      </w:r>
      <w:r w:rsidR="00FA27BF" w:rsidRPr="00FA1A19">
        <w:t>)</w:t>
      </w:r>
      <w:r w:rsidR="00E47590" w:rsidRPr="00FA1A19" w:rsidDel="006952A8">
        <w:t>.</w:t>
      </w:r>
      <w:r w:rsidR="004F0A51" w:rsidRPr="00FA1A19">
        <w:t xml:space="preserve"> </w:t>
      </w:r>
      <w:r w:rsidR="005C11DF" w:rsidRPr="00FA1A19">
        <w:t>For</w:t>
      </w:r>
      <w:r w:rsidR="00F14D35" w:rsidRPr="00FA1A19">
        <w:t xml:space="preserve"> further </w:t>
      </w:r>
      <w:r w:rsidR="00624C0A" w:rsidRPr="00FA1A19">
        <w:t>information</w:t>
      </w:r>
      <w:r w:rsidR="00F14D35" w:rsidRPr="00FA1A19">
        <w:t xml:space="preserve"> </w:t>
      </w:r>
      <w:r w:rsidR="008D4263" w:rsidRPr="00FA1A19">
        <w:t xml:space="preserve">see </w:t>
      </w:r>
      <w:r w:rsidR="00F75232">
        <w:t>‘</w:t>
      </w:r>
      <w:r w:rsidR="00F14D35" w:rsidRPr="00FA1A19">
        <w:t>Valuation</w:t>
      </w:r>
      <w:r w:rsidR="00F75232">
        <w:t>’</w:t>
      </w:r>
      <w:r w:rsidR="00F14D35" w:rsidRPr="00FA1A19">
        <w:t xml:space="preserve"> below.</w:t>
      </w:r>
    </w:p>
    <w:p w14:paraId="6FA75ACD" w14:textId="359AE2E9" w:rsidR="00185727" w:rsidRPr="00FA1A19" w:rsidRDefault="00185727" w:rsidP="00981F8C">
      <w:pPr>
        <w:pStyle w:val="SingleParagraph"/>
      </w:pPr>
    </w:p>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top w:w="113" w:type="dxa"/>
          <w:left w:w="284" w:type="dxa"/>
          <w:bottom w:w="113" w:type="dxa"/>
          <w:right w:w="284" w:type="dxa"/>
        </w:tblCellMar>
        <w:tblLook w:val="0420" w:firstRow="1" w:lastRow="0" w:firstColumn="0" w:lastColumn="0" w:noHBand="0" w:noVBand="1"/>
      </w:tblPr>
      <w:tblGrid>
        <w:gridCol w:w="9641"/>
      </w:tblGrid>
      <w:tr w:rsidR="00185727" w:rsidRPr="00FA1A19" w14:paraId="54BD45C4"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tcPr>
          <w:p w14:paraId="025367AF" w14:textId="1D6F404C" w:rsidR="00185727" w:rsidRPr="00FA1A19" w:rsidRDefault="00372633" w:rsidP="003316D7">
            <w:pPr>
              <w:pStyle w:val="BoxHeading1"/>
            </w:pPr>
            <w:r>
              <w:t>Observation </w:t>
            </w:r>
            <w:r w:rsidR="00DF3472" w:rsidRPr="00FA1A19">
              <w:t>7</w:t>
            </w:r>
            <w:r w:rsidR="00185727" w:rsidRPr="00FA1A19">
              <w:t>.2</w:t>
            </w:r>
          </w:p>
        </w:tc>
      </w:tr>
      <w:tr w:rsidR="00185727" w:rsidRPr="00FA1A19" w14:paraId="781722AC"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001671C4" w14:textId="462E11B5" w:rsidR="00185727" w:rsidRPr="00FA1A19" w:rsidRDefault="00185727">
            <w:r w:rsidRPr="00FA1A19">
              <w:t xml:space="preserve">Clarity in relation to the valuation of crypto assets </w:t>
            </w:r>
            <w:r w:rsidR="000C4654" w:rsidRPr="00FA1A19">
              <w:t xml:space="preserve">given in respect of acquiring a capital asset (including another crypto asset) or received in respect of the disposal of a capital asset (including </w:t>
            </w:r>
            <w:r w:rsidR="00AD1436" w:rsidRPr="00FA1A19">
              <w:t xml:space="preserve">another crypto asset) </w:t>
            </w:r>
            <w:r w:rsidRPr="00FA1A19">
              <w:t xml:space="preserve">is necessary to </w:t>
            </w:r>
            <w:r w:rsidR="004E46BD" w:rsidRPr="00FA1A19">
              <w:t>establis</w:t>
            </w:r>
            <w:r w:rsidR="00871E7B" w:rsidRPr="00FA1A19">
              <w:t>h</w:t>
            </w:r>
            <w:r w:rsidR="004E46BD" w:rsidRPr="00FA1A19">
              <w:t xml:space="preserve"> </w:t>
            </w:r>
            <w:r w:rsidRPr="00FA1A19">
              <w:t>cost base and capital proceeds.</w:t>
            </w:r>
          </w:p>
        </w:tc>
      </w:tr>
    </w:tbl>
    <w:p w14:paraId="2A9A22B6" w14:textId="77777777" w:rsidR="00185727" w:rsidRPr="00FA1A19" w:rsidRDefault="00185727" w:rsidP="00981F8C">
      <w:pPr>
        <w:pStyle w:val="SingleParagraph"/>
      </w:pPr>
    </w:p>
    <w:p w14:paraId="7BE4023C" w14:textId="73C8FD49" w:rsidR="00C36AB1" w:rsidRPr="00FA1A19" w:rsidRDefault="0090305B" w:rsidP="00981F8C">
      <w:pPr>
        <w:pStyle w:val="Heading6"/>
      </w:pPr>
      <w:r w:rsidRPr="00FA1A19">
        <w:t>Capital proceeds and cost base where there are m</w:t>
      </w:r>
      <w:r w:rsidR="00C36AB1" w:rsidRPr="00FA1A19">
        <w:t>ultiple transactions in fungible assets</w:t>
      </w:r>
    </w:p>
    <w:p w14:paraId="76327BE7" w14:textId="2A4A0CB4" w:rsidR="00185727" w:rsidRPr="00FA1A19" w:rsidRDefault="008D4263" w:rsidP="00185727">
      <w:r w:rsidRPr="00FA1A19">
        <w:t xml:space="preserve">In determining the CGT consequences of any </w:t>
      </w:r>
      <w:r w:rsidR="00185727" w:rsidRPr="00FA1A19">
        <w:t xml:space="preserve">transaction </w:t>
      </w:r>
      <w:r w:rsidR="00735700" w:rsidRPr="00FA1A19">
        <w:t>in crypto assets</w:t>
      </w:r>
      <w:r w:rsidR="00185727" w:rsidRPr="00FA1A19">
        <w:t xml:space="preserve">, it is necessary to consider the individual asset that is being dealt with and </w:t>
      </w:r>
      <w:r w:rsidRPr="00FA1A19">
        <w:t xml:space="preserve">to </w:t>
      </w:r>
      <w:r w:rsidR="00185727" w:rsidRPr="00FA1A19">
        <w:t xml:space="preserve">allocate a cost base and capital proceeds </w:t>
      </w:r>
      <w:r w:rsidR="00AE6F8B" w:rsidRPr="00FA1A19">
        <w:t xml:space="preserve">for the CGT event in relation </w:t>
      </w:r>
      <w:r w:rsidR="00185727" w:rsidRPr="00FA1A19">
        <w:t xml:space="preserve">to that asset. </w:t>
      </w:r>
    </w:p>
    <w:p w14:paraId="09C83A51" w14:textId="73EB20FC" w:rsidR="00185727" w:rsidRPr="00FA1A19" w:rsidRDefault="00185727" w:rsidP="00185727">
      <w:r w:rsidRPr="00FA1A19">
        <w:t xml:space="preserve">As has been highlighted throughout the Report, crypto asset users often undertake a high volume of transactions and crypto asset prices are subject to high volatility and fluctuations. Identification of the specific crypto asset cost </w:t>
      </w:r>
      <w:r w:rsidR="00AE6F8B" w:rsidRPr="00FA1A19">
        <w:t xml:space="preserve">base </w:t>
      </w:r>
      <w:r w:rsidRPr="00FA1A19">
        <w:t xml:space="preserve">when a transaction occurs is another area of complexity faced by crypto asset users. </w:t>
      </w:r>
    </w:p>
    <w:p w14:paraId="6171F065" w14:textId="3A672423" w:rsidR="00185727" w:rsidRPr="00FA1A19" w:rsidRDefault="00185727" w:rsidP="00185727">
      <w:r w:rsidRPr="00FA1A19">
        <w:t xml:space="preserve">In respect of other CGT assets, the ATO has published binding guidance regarding the identification of individual assets that form part of a holding of multiple CGT assets. For example, the ATO has issued binding guidance for shareholders in relation to how to identify which share a taxpayer has disposed of in CGT Determination </w:t>
      </w:r>
      <w:hyperlink r:id="rId58" w:history="1">
        <w:r w:rsidRPr="00FA1A19">
          <w:rPr>
            <w:rStyle w:val="Hyperlink"/>
          </w:rPr>
          <w:t>TD 33</w:t>
        </w:r>
      </w:hyperlink>
      <w:r w:rsidRPr="00FA1A19">
        <w:t xml:space="preserve"> </w:t>
      </w:r>
      <w:r w:rsidRPr="00813896">
        <w:rPr>
          <w:rStyle w:val="Emphasis"/>
        </w:rPr>
        <w:t xml:space="preserve">Capital Gains: How do you identify individual shares within a holding of identical shares? </w:t>
      </w:r>
      <w:r w:rsidRPr="00FA1A19">
        <w:t>(TD 33). This determination sets out that:</w:t>
      </w:r>
    </w:p>
    <w:p w14:paraId="6B202AA8" w14:textId="1B1CC9A5" w:rsidR="00185727" w:rsidRPr="00FA1A19" w:rsidRDefault="00185727" w:rsidP="00991EBC">
      <w:pPr>
        <w:pStyle w:val="Bullet"/>
      </w:pPr>
      <w:r w:rsidRPr="00FA1A19">
        <w:t>Where shares are able to</w:t>
      </w:r>
      <w:r w:rsidR="00F9235D" w:rsidRPr="00FA1A19">
        <w:t xml:space="preserve"> be</w:t>
      </w:r>
      <w:r w:rsidRPr="00FA1A19">
        <w:t xml:space="preserve"> individually distinguished, those shares are identifiable and their date of acquisition and cost base will be a matter of fact.</w:t>
      </w:r>
      <w:r w:rsidRPr="00170ADC">
        <w:rPr>
          <w:rStyle w:val="FootnoteReference"/>
        </w:rPr>
        <w:footnoteReference w:id="404"/>
      </w:r>
    </w:p>
    <w:p w14:paraId="4C115250" w14:textId="77777777" w:rsidR="00185727" w:rsidRPr="00FA1A19" w:rsidRDefault="00185727" w:rsidP="00981F8C">
      <w:pPr>
        <w:pStyle w:val="Bullet"/>
      </w:pPr>
      <w:r w:rsidRPr="00FA1A19">
        <w:t>Where shares form part of a holding of identical shares, the taxpayer needs to identify which shares are being disposed of.</w:t>
      </w:r>
      <w:r w:rsidRPr="00170ADC">
        <w:rPr>
          <w:rStyle w:val="FootnoteReference"/>
        </w:rPr>
        <w:footnoteReference w:id="405"/>
      </w:r>
    </w:p>
    <w:p w14:paraId="4F8F9476" w14:textId="1BFF68C8" w:rsidR="00185727" w:rsidRPr="00FA1A19" w:rsidRDefault="00185727" w:rsidP="00981F8C">
      <w:pPr>
        <w:pStyle w:val="Bullet"/>
      </w:pPr>
      <w:r w:rsidRPr="00FA1A19">
        <w:t>For unidentifiable shares, the Commissioner accepts a first</w:t>
      </w:r>
      <w:r w:rsidR="00F75232">
        <w:noBreakHyphen/>
      </w:r>
      <w:r w:rsidRPr="00FA1A19">
        <w:t>in first</w:t>
      </w:r>
      <w:r w:rsidR="00F75232">
        <w:noBreakHyphen/>
      </w:r>
      <w:r w:rsidRPr="00FA1A19">
        <w:t>out (FIFO) basis of identification</w:t>
      </w:r>
      <w:r w:rsidR="00976F01" w:rsidRPr="00FA1A19">
        <w:t xml:space="preserve"> </w:t>
      </w:r>
      <w:r w:rsidR="00535DAF" w:rsidRPr="00FA1A19">
        <w:t>and will also accept the taxpayer</w:t>
      </w:r>
      <w:r w:rsidR="00F75232">
        <w:t>’</w:t>
      </w:r>
      <w:r w:rsidR="00535DAF" w:rsidRPr="00FA1A19">
        <w:t>s selection of the identity of the shares disposed of</w:t>
      </w:r>
      <w:r w:rsidRPr="00FA1A19">
        <w:t>.</w:t>
      </w:r>
      <w:r w:rsidRPr="00170ADC">
        <w:rPr>
          <w:rStyle w:val="FootnoteReference"/>
        </w:rPr>
        <w:footnoteReference w:id="406"/>
      </w:r>
    </w:p>
    <w:p w14:paraId="523F650F" w14:textId="6DEC7C17" w:rsidR="00185727" w:rsidRPr="00FA1A19" w:rsidRDefault="00185727" w:rsidP="00981F8C">
      <w:pPr>
        <w:pStyle w:val="Bullet"/>
      </w:pPr>
      <w:r w:rsidRPr="00FA1A19">
        <w:t xml:space="preserve">Average cost is not acceptable </w:t>
      </w:r>
      <w:r w:rsidR="00B75B68" w:rsidRPr="00FA1A19">
        <w:t>for shares</w:t>
      </w:r>
      <w:r w:rsidRPr="00FA1A19">
        <w:t xml:space="preserve"> unless all the following requirements are satisfied:</w:t>
      </w:r>
    </w:p>
    <w:p w14:paraId="6514C365" w14:textId="6C22BDE0" w:rsidR="00185727" w:rsidRPr="00FA1A19" w:rsidRDefault="009440C1" w:rsidP="00981F8C">
      <w:pPr>
        <w:pStyle w:val="Dash"/>
      </w:pPr>
      <w:r>
        <w:t>t</w:t>
      </w:r>
      <w:r w:rsidR="00185727" w:rsidRPr="00FA1A19">
        <w:t>hey are in the same company</w:t>
      </w:r>
    </w:p>
    <w:p w14:paraId="6898D673" w14:textId="69143859" w:rsidR="00185727" w:rsidRPr="00FA1A19" w:rsidRDefault="009440C1" w:rsidP="00981F8C">
      <w:pPr>
        <w:pStyle w:val="Dash"/>
      </w:pPr>
      <w:r>
        <w:t>t</w:t>
      </w:r>
      <w:r w:rsidR="00185727" w:rsidRPr="00FA1A19">
        <w:t>hey are acquired on the same day</w:t>
      </w:r>
    </w:p>
    <w:p w14:paraId="4A67F509" w14:textId="4ABB1892" w:rsidR="00185727" w:rsidRPr="00FA1A19" w:rsidRDefault="009440C1" w:rsidP="00981F8C">
      <w:pPr>
        <w:pStyle w:val="Dash"/>
      </w:pPr>
      <w:r>
        <w:t>t</w:t>
      </w:r>
      <w:r w:rsidR="00185727" w:rsidRPr="00FA1A19">
        <w:t>hey confer identical rights and impose identical obligations.</w:t>
      </w:r>
      <w:r w:rsidR="00185727" w:rsidRPr="00170ADC">
        <w:rPr>
          <w:rStyle w:val="FootnoteReference"/>
        </w:rPr>
        <w:footnoteReference w:id="407"/>
      </w:r>
      <w:r w:rsidR="00185727" w:rsidRPr="00FA1A19">
        <w:t xml:space="preserve"> </w:t>
      </w:r>
    </w:p>
    <w:p w14:paraId="11302C65" w14:textId="75286E77" w:rsidR="00185727" w:rsidRPr="00FA1A19" w:rsidRDefault="00185727" w:rsidP="00185727">
      <w:r w:rsidRPr="00FA1A19">
        <w:t>Similar guidance is provided in the ATO</w:t>
      </w:r>
      <w:r w:rsidR="00F75232">
        <w:t>’</w:t>
      </w:r>
      <w:r w:rsidRPr="00FA1A19">
        <w:t xml:space="preserve">s Tax Time guidance product </w:t>
      </w:r>
      <w:r w:rsidRPr="00813896">
        <w:rPr>
          <w:rStyle w:val="Emphasis"/>
        </w:rPr>
        <w:t>Capital gains tax on sale of shares or units</w:t>
      </w:r>
      <w:r w:rsidR="00F9235D" w:rsidRPr="00FA1A19">
        <w:t>,</w:t>
      </w:r>
      <w:r w:rsidRPr="00170ADC">
        <w:rPr>
          <w:rStyle w:val="FootnoteReference"/>
        </w:rPr>
        <w:footnoteReference w:id="408"/>
      </w:r>
      <w:r w:rsidRPr="00FA1A19">
        <w:t xml:space="preserve"> however this document sets out that </w:t>
      </w:r>
      <w:r w:rsidR="00781B39" w:rsidRPr="00FA1A19">
        <w:t>it is necessary to identify which shares are being disposed of and</w:t>
      </w:r>
      <w:r w:rsidR="004D442E" w:rsidRPr="00FA1A19">
        <w:t xml:space="preserve"> provides</w:t>
      </w:r>
      <w:r w:rsidRPr="00FA1A19">
        <w:t xml:space="preserve"> three </w:t>
      </w:r>
      <w:r w:rsidR="00276D40" w:rsidRPr="00FA1A19">
        <w:t xml:space="preserve">common </w:t>
      </w:r>
      <w:r w:rsidRPr="00FA1A19">
        <w:t xml:space="preserve">methods </w:t>
      </w:r>
      <w:r w:rsidR="000B4756" w:rsidRPr="00FA1A19">
        <w:t xml:space="preserve">that taxpayers may </w:t>
      </w:r>
      <w:r w:rsidR="006C7BEC" w:rsidRPr="00FA1A19">
        <w:t>choose from</w:t>
      </w:r>
      <w:r w:rsidRPr="00FA1A19">
        <w:t xml:space="preserve"> for determining the allocation for shares that from part of a parcel of shares are:</w:t>
      </w:r>
    </w:p>
    <w:p w14:paraId="0023D52B" w14:textId="77777777" w:rsidR="00185727" w:rsidRPr="00FA1A19" w:rsidRDefault="00185727" w:rsidP="00981F8C">
      <w:pPr>
        <w:pStyle w:val="Bullet"/>
      </w:pPr>
      <w:r w:rsidRPr="00FA1A19">
        <w:t>FIFO – shares bought first are sold first.</w:t>
      </w:r>
    </w:p>
    <w:p w14:paraId="79B5881E" w14:textId="7B9F4CE2" w:rsidR="00185727" w:rsidRPr="00FA1A19" w:rsidRDefault="00185727" w:rsidP="00981F8C">
      <w:pPr>
        <w:pStyle w:val="Bullet"/>
      </w:pPr>
      <w:r w:rsidRPr="00FA1A19">
        <w:t>Last</w:t>
      </w:r>
      <w:r w:rsidR="00F75232">
        <w:noBreakHyphen/>
      </w:r>
      <w:r w:rsidRPr="00FA1A19">
        <w:t>in, first</w:t>
      </w:r>
      <w:r w:rsidR="00F75232">
        <w:noBreakHyphen/>
      </w:r>
      <w:r w:rsidRPr="00FA1A19">
        <w:t>out (LIFO) – shares bought last are sold first.</w:t>
      </w:r>
    </w:p>
    <w:p w14:paraId="4433DB43" w14:textId="1EDD0E11" w:rsidR="00185727" w:rsidRPr="00FA1A19" w:rsidRDefault="00185727" w:rsidP="00981F8C">
      <w:pPr>
        <w:pStyle w:val="Bullet"/>
      </w:pPr>
      <w:r w:rsidRPr="00FA1A19">
        <w:t>Highest</w:t>
      </w:r>
      <w:r w:rsidR="00F75232">
        <w:noBreakHyphen/>
      </w:r>
      <w:r w:rsidRPr="00FA1A19">
        <w:t>in, first</w:t>
      </w:r>
      <w:r w:rsidR="00F75232">
        <w:noBreakHyphen/>
      </w:r>
      <w:r w:rsidRPr="00FA1A19">
        <w:t>out (HIFO) – most expensive shares bought are sold first.</w:t>
      </w:r>
    </w:p>
    <w:p w14:paraId="146F8504" w14:textId="38AEBCB4" w:rsidR="00185727" w:rsidRPr="00FA1A19" w:rsidRDefault="00185727" w:rsidP="00185727">
      <w:r w:rsidRPr="00FA1A19">
        <w:t xml:space="preserve">The choices that are made where a parcel of shares is involved in a CGT event will not only </w:t>
      </w:r>
      <w:r w:rsidR="003C4BBD" w:rsidRPr="00FA1A19">
        <w:t xml:space="preserve">affect </w:t>
      </w:r>
      <w:r w:rsidRPr="00FA1A19">
        <w:t xml:space="preserve">the resulting capital gain or capital loss, but also determine the time at which the asset was acquired. This timing is particularly relevant in determining any potential eligibility for the CGT discount. The choice of methodology for each asset needs to be made in the income tax return for the relevant year. </w:t>
      </w:r>
    </w:p>
    <w:p w14:paraId="154E9E9B" w14:textId="2703A2C1" w:rsidR="00185727" w:rsidRPr="00FA1A19" w:rsidRDefault="00185727" w:rsidP="00185727">
      <w:r w:rsidRPr="00FA1A19">
        <w:t xml:space="preserve">The Board notes that a FIFO method will maximise the potential likelihood of availability of the general discount on a specific transaction as those assets will have been held for the longest time. However it is possible that LIFO or HIFO may defer </w:t>
      </w:r>
      <w:r w:rsidR="00336C3F" w:rsidRPr="00FA1A19">
        <w:t>the assessability of</w:t>
      </w:r>
      <w:r w:rsidRPr="00FA1A19">
        <w:t xml:space="preserve"> gains. </w:t>
      </w:r>
    </w:p>
    <w:p w14:paraId="042763F9" w14:textId="33919F8B" w:rsidR="00185727" w:rsidRPr="00FA1A19" w:rsidRDefault="00185727" w:rsidP="00185727">
      <w:r w:rsidRPr="00FA1A19">
        <w:t xml:space="preserve">The issue is whether a </w:t>
      </w:r>
      <w:r w:rsidR="00F75232">
        <w:t>‘</w:t>
      </w:r>
      <w:r w:rsidRPr="00FA1A19">
        <w:t>short cut</w:t>
      </w:r>
      <w:r w:rsidR="00F75232">
        <w:t>’</w:t>
      </w:r>
      <w:r w:rsidRPr="00FA1A19">
        <w:t xml:space="preserve"> allocation methodology like those that may be applicable to shares </w:t>
      </w:r>
      <w:r w:rsidR="003B4EE7" w:rsidRPr="00FA1A19">
        <w:t xml:space="preserve">and units </w:t>
      </w:r>
      <w:r w:rsidRPr="00FA1A19">
        <w:t xml:space="preserve">should also be available in respect of crypto assets to assist taxpayers in determining the CGT consequences of holding and disposing of crypto assets, providing clearer timing rules and reducing compliance costs. If so, the issue then is what methodologies might be appropriate and workable in the context of crypto asset transactions. </w:t>
      </w:r>
    </w:p>
    <w:p w14:paraId="7632FBC1" w14:textId="1780DACE" w:rsidR="00185727" w:rsidRPr="00FA1A19" w:rsidRDefault="00185727" w:rsidP="00185727">
      <w:r w:rsidRPr="00FA1A19">
        <w:t>In EY</w:t>
      </w:r>
      <w:r w:rsidR="00F75232">
        <w:t>’</w:t>
      </w:r>
      <w:r w:rsidRPr="00FA1A19">
        <w:t>s submission to the Review they commented on the complexity of the FIFO/LIFO methodologies, noting:</w:t>
      </w:r>
    </w:p>
    <w:p w14:paraId="1CF11313" w14:textId="77777777" w:rsidR="00185727" w:rsidRPr="00FA1A19" w:rsidRDefault="00185727" w:rsidP="00991EBC">
      <w:pPr>
        <w:pStyle w:val="Quote"/>
      </w:pPr>
      <w:r w:rsidRPr="00FA1A19">
        <w:t>Urgent, clear and practical guidance is required on appropriate valuation methodologies to calculate gains or losses on actual disposals of cryptocurrency or digital assets. There have been a number of questions asked on the ATO Community in respect to whether a FIFO, LIFO or average weighted cost method is appropriate when determining the amount of a gain or loss on disposal, however, there is no binding guidance on this issue. It should be noted that using a FIFO or LIFO method of valuation may not be practical, or even possible, where a taxpayer has thousands (or tens/hundreds of thousands) of cryptocurrency and digital asset transactions in an income year.</w:t>
      </w:r>
      <w:r w:rsidRPr="00170ADC">
        <w:rPr>
          <w:rStyle w:val="FootnoteReference"/>
        </w:rPr>
        <w:footnoteReference w:id="409"/>
      </w:r>
    </w:p>
    <w:p w14:paraId="67759265" w14:textId="2D2EBD4E" w:rsidR="00185727" w:rsidRPr="00FA1A19" w:rsidRDefault="00185727" w:rsidP="00185727">
      <w:r w:rsidRPr="00FA1A19">
        <w:t>In the Board</w:t>
      </w:r>
      <w:r w:rsidR="00F75232">
        <w:t>’</w:t>
      </w:r>
      <w:r w:rsidRPr="00FA1A19">
        <w:t xml:space="preserve">s consultation with international jurisdictions, </w:t>
      </w:r>
      <w:r w:rsidR="00A237D1">
        <w:t>CRA</w:t>
      </w:r>
      <w:r w:rsidRPr="00FA1A19">
        <w:t xml:space="preserve"> representatives noted that Canadian taxpayers who own identical items of property (such as classes of crypto assets) are required to apply an average cost methodology when determining the applicable cost in a transaction.</w:t>
      </w:r>
      <w:r w:rsidRPr="00170ADC">
        <w:rPr>
          <w:rStyle w:val="FootnoteReference"/>
        </w:rPr>
        <w:footnoteReference w:id="410"/>
      </w:r>
      <w:r w:rsidRPr="00FA1A19">
        <w:t xml:space="preserve"> </w:t>
      </w:r>
    </w:p>
    <w:p w14:paraId="247E2C5F" w14:textId="1B3E8B42" w:rsidR="00185727" w:rsidRPr="00FA1A19" w:rsidRDefault="000135E0" w:rsidP="00185727">
      <w:r w:rsidRPr="00FA1A19">
        <w:t>Similar to</w:t>
      </w:r>
      <w:r w:rsidR="00185727" w:rsidRPr="00FA1A19">
        <w:t xml:space="preserve"> Australia, Canadian tax law provides for only 50% of a capital gain to be included as taxable income by a taxpayer. However, unlike Australia, this 50% reduction is not contingent upon the asset being held for a certain period of time. Accordingly, the time that a particular asset was acquired is not relevant in calculating a discounted capital gain. </w:t>
      </w:r>
    </w:p>
    <w:p w14:paraId="1778FFC5" w14:textId="77777777" w:rsidR="00185727" w:rsidRPr="00FA1A19" w:rsidRDefault="00185727" w:rsidP="00185727">
      <w:r w:rsidRPr="00FA1A19">
        <w:t xml:space="preserve">While an average cost methodology would simplify the record keeping obligations for Australian taxpayers, a broad scale average cost methodology may present challenges in attributing an acquisition time to a particular CGT asset. This would mean that determination of eligibility for the CGT discount may be difficult in many situations. </w:t>
      </w:r>
    </w:p>
    <w:p w14:paraId="043D38B3" w14:textId="77777777" w:rsidR="00E061CE" w:rsidRPr="00FA1A19" w:rsidRDefault="00185727" w:rsidP="00185727">
      <w:r w:rsidRPr="00FA1A19">
        <w:t>As noted above, the Commissioner will currently accept averaging of cost where identical shares are acquired on the same day.</w:t>
      </w:r>
      <w:r w:rsidRPr="00170ADC">
        <w:rPr>
          <w:rStyle w:val="FootnoteReference"/>
        </w:rPr>
        <w:footnoteReference w:id="411"/>
      </w:r>
      <w:r w:rsidRPr="00FA1A19">
        <w:t xml:space="preserve"> </w:t>
      </w:r>
    </w:p>
    <w:p w14:paraId="17F8F871" w14:textId="047684D9" w:rsidR="00185727" w:rsidRPr="00FA1A19" w:rsidRDefault="00185727" w:rsidP="00185727">
      <w:r w:rsidRPr="00FA1A19">
        <w:t xml:space="preserve">The Board considers that crypto asset users </w:t>
      </w:r>
      <w:r w:rsidR="008320AF" w:rsidRPr="00FA1A19">
        <w:t xml:space="preserve">would </w:t>
      </w:r>
      <w:r w:rsidRPr="00FA1A19">
        <w:t xml:space="preserve">be </w:t>
      </w:r>
      <w:r w:rsidR="008320AF" w:rsidRPr="00FA1A19">
        <w:t xml:space="preserve">assisted </w:t>
      </w:r>
      <w:r w:rsidRPr="00FA1A19">
        <w:t>by access to opportunit</w:t>
      </w:r>
      <w:r w:rsidR="00E061CE" w:rsidRPr="00FA1A19">
        <w:t xml:space="preserve">ies for practical solutions </w:t>
      </w:r>
      <w:r w:rsidR="00F07CEE" w:rsidRPr="00FA1A19">
        <w:t>in</w:t>
      </w:r>
      <w:r w:rsidR="00E061CE" w:rsidRPr="00FA1A19">
        <w:t xml:space="preserve"> </w:t>
      </w:r>
      <w:r w:rsidR="002F3B92" w:rsidRPr="00FA1A19">
        <w:t xml:space="preserve">establishing the cost of crypto assets </w:t>
      </w:r>
      <w:r w:rsidR="00F07CEE" w:rsidRPr="00FA1A19">
        <w:t xml:space="preserve">that have been </w:t>
      </w:r>
      <w:r w:rsidR="002F3B92" w:rsidRPr="00FA1A19">
        <w:t>disposed of.</w:t>
      </w:r>
      <w:r w:rsidR="004F0A51" w:rsidRPr="00FA1A19">
        <w:t xml:space="preserve"> </w:t>
      </w:r>
      <w:r w:rsidRPr="00FA1A19">
        <w:t xml:space="preserve">The Board considers that the ATO should work with the Crypto Industry Working Group (refer </w:t>
      </w:r>
      <w:r w:rsidR="00372633">
        <w:t>Chapter </w:t>
      </w:r>
      <w:r w:rsidR="00547BD7" w:rsidRPr="00FA1A19">
        <w:t>6</w:t>
      </w:r>
      <w:r w:rsidRPr="00FA1A19">
        <w:t>) to establish and publish a position</w:t>
      </w:r>
      <w:r w:rsidR="00F41935" w:rsidRPr="00FA1A19">
        <w:t xml:space="preserve"> (binding, if practicable)</w:t>
      </w:r>
      <w:r w:rsidRPr="00FA1A19">
        <w:t xml:space="preserve"> in relation to the use of </w:t>
      </w:r>
      <w:r w:rsidR="00F41935" w:rsidRPr="00FA1A19">
        <w:t xml:space="preserve">practical </w:t>
      </w:r>
      <w:r w:rsidRPr="00FA1A19">
        <w:t>costing methodolog</w:t>
      </w:r>
      <w:r w:rsidR="00F41935" w:rsidRPr="00FA1A19">
        <w:t>ies</w:t>
      </w:r>
      <w:r w:rsidRPr="00FA1A19">
        <w:t xml:space="preserve"> for crypto assets. </w:t>
      </w:r>
    </w:p>
    <w:p w14:paraId="7F1FE82A" w14:textId="77777777" w:rsidR="00D61568" w:rsidRPr="00FA1A19" w:rsidRDefault="00D61568" w:rsidP="00981F8C">
      <w:pPr>
        <w:pStyle w:val="SingleParagraph"/>
      </w:pPr>
    </w:p>
    <w:tbl>
      <w:tblPr>
        <w:tblStyle w:val="Style2"/>
        <w:tblW w:w="5000" w:type="pct"/>
        <w:tblLook w:val="0420" w:firstRow="1" w:lastRow="0" w:firstColumn="0" w:lastColumn="0" w:noHBand="0" w:noVBand="1"/>
      </w:tblPr>
      <w:tblGrid>
        <w:gridCol w:w="9641"/>
      </w:tblGrid>
      <w:tr w:rsidR="00185727" w:rsidRPr="00FA1A19" w14:paraId="08213513"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55FD2A7" w14:textId="6C7296C0" w:rsidR="00185727" w:rsidRPr="00FA1A19" w:rsidRDefault="00372633" w:rsidP="003316D7">
            <w:pPr>
              <w:pStyle w:val="BoxHeading1"/>
            </w:pPr>
            <w:r>
              <w:t>Recommendation </w:t>
            </w:r>
            <w:r w:rsidR="00FA5BE0" w:rsidRPr="00FA1A19">
              <w:t>7</w:t>
            </w:r>
            <w:r w:rsidR="00185727" w:rsidRPr="00FA1A19">
              <w:t>.3</w:t>
            </w:r>
          </w:p>
        </w:tc>
      </w:tr>
      <w:tr w:rsidR="00185727" w:rsidRPr="00FA1A19" w14:paraId="32073987"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4DD090E2" w14:textId="6CC417AC" w:rsidR="00F41935" w:rsidRPr="00FA1A19" w:rsidRDefault="002668E0">
            <w:pPr>
              <w:rPr>
                <w:bCs/>
              </w:rPr>
            </w:pPr>
            <w:r w:rsidRPr="00FA1A19">
              <w:t>Establishing the cost of crypto</w:t>
            </w:r>
            <w:r w:rsidR="005637FB" w:rsidRPr="00FA1A19">
              <w:t>currencies</w:t>
            </w:r>
            <w:r w:rsidRPr="00FA1A19">
              <w:t xml:space="preserve"> </w:t>
            </w:r>
            <w:r w:rsidR="006423DB" w:rsidRPr="00FA1A19">
              <w:t>for CGT purposes</w:t>
            </w:r>
            <w:r w:rsidRPr="00FA1A19">
              <w:t xml:space="preserve"> can be difficult in practice, </w:t>
            </w:r>
            <w:r w:rsidR="0066707C" w:rsidRPr="00FA1A19">
              <w:t>when</w:t>
            </w:r>
            <w:r w:rsidRPr="00FA1A19">
              <w:t xml:space="preserve"> large quantities of effectively fungible assets are acquired and sold</w:t>
            </w:r>
            <w:r w:rsidR="0066707C" w:rsidRPr="00FA1A19">
              <w:t xml:space="preserve"> in different parcels</w:t>
            </w:r>
            <w:r w:rsidRPr="00FA1A19">
              <w:t>.</w:t>
            </w:r>
            <w:r w:rsidR="004F0A51" w:rsidRPr="00FA1A19">
              <w:t xml:space="preserve"> </w:t>
            </w:r>
            <w:r w:rsidRPr="00FA1A19">
              <w:t xml:space="preserve">Different </w:t>
            </w:r>
            <w:r w:rsidR="0066707C" w:rsidRPr="00FA1A19">
              <w:t xml:space="preserve">potential </w:t>
            </w:r>
            <w:r w:rsidRPr="00FA1A19">
              <w:t>methodologies include First in First Out (FIFO), Last in First Out (LIFO), Highest in First Out (HIFO) and averaging.</w:t>
            </w:r>
          </w:p>
          <w:p w14:paraId="7CFDDCA9" w14:textId="4E2ECF7F" w:rsidR="00185727" w:rsidRPr="00FA1A19" w:rsidRDefault="00185727">
            <w:r w:rsidRPr="00FA1A19">
              <w:t>The Board recommends that the ATO</w:t>
            </w:r>
            <w:r w:rsidR="002668E0" w:rsidRPr="00FA1A19">
              <w:t>,</w:t>
            </w:r>
            <w:r w:rsidRPr="00FA1A19">
              <w:t xml:space="preserve"> </w:t>
            </w:r>
            <w:r w:rsidR="00A25B9F" w:rsidRPr="00FA1A19">
              <w:t>in consultation</w:t>
            </w:r>
            <w:r w:rsidR="00DE656D" w:rsidRPr="00FA1A19">
              <w:t xml:space="preserve"> </w:t>
            </w:r>
            <w:r w:rsidRPr="00FA1A19">
              <w:t xml:space="preserve">with </w:t>
            </w:r>
            <w:r w:rsidR="00D564D4" w:rsidRPr="00E81174">
              <w:t xml:space="preserve">industry stakeholders and taxpayer representative groups </w:t>
            </w:r>
            <w:r w:rsidR="00D564D4" w:rsidRPr="008A62C8">
              <w:t>including</w:t>
            </w:r>
            <w:r w:rsidRPr="00FA1A19">
              <w:t xml:space="preserve"> the Crypto Industry Working Group</w:t>
            </w:r>
            <w:r w:rsidR="0066707C" w:rsidRPr="00FA1A19">
              <w:t>,</w:t>
            </w:r>
            <w:r w:rsidRPr="00FA1A19">
              <w:t xml:space="preserve"> establish and publish a position</w:t>
            </w:r>
            <w:r w:rsidR="0066707C" w:rsidRPr="00FA1A19">
              <w:t xml:space="preserve"> (binding, if practicable)</w:t>
            </w:r>
            <w:r w:rsidRPr="00FA1A19">
              <w:t xml:space="preserve"> in relation to </w:t>
            </w:r>
            <w:r w:rsidR="00B85DE6" w:rsidRPr="00FA1A19">
              <w:t>practical costing</w:t>
            </w:r>
            <w:r w:rsidRPr="00FA1A19">
              <w:t xml:space="preserve"> </w:t>
            </w:r>
            <w:r w:rsidR="00F51528" w:rsidRPr="00FA1A19">
              <w:t xml:space="preserve">solutions </w:t>
            </w:r>
            <w:r w:rsidRPr="00FA1A19">
              <w:t>for crypto assets</w:t>
            </w:r>
            <w:r w:rsidR="00B85DE6" w:rsidRPr="00FA1A19">
              <w:t xml:space="preserve"> that would be acceptable to the ATO</w:t>
            </w:r>
            <w:r w:rsidRPr="00FA1A19">
              <w:t xml:space="preserve">. </w:t>
            </w:r>
          </w:p>
        </w:tc>
      </w:tr>
    </w:tbl>
    <w:p w14:paraId="5A36CCE1" w14:textId="77777777" w:rsidR="00185727" w:rsidRPr="00FA1A19" w:rsidRDefault="00185727" w:rsidP="00981F8C">
      <w:pPr>
        <w:pStyle w:val="SingleParagraph"/>
      </w:pPr>
    </w:p>
    <w:p w14:paraId="035EAF9B" w14:textId="77777777" w:rsidR="00185727" w:rsidRPr="00FA1A19" w:rsidRDefault="00185727" w:rsidP="00981F8C">
      <w:pPr>
        <w:pStyle w:val="Heading5"/>
      </w:pPr>
      <w:r w:rsidRPr="00FA1A19">
        <w:t>Application of CGT personal use exemption to crypto assets</w:t>
      </w:r>
    </w:p>
    <w:p w14:paraId="628374F2" w14:textId="77777777" w:rsidR="00185727" w:rsidRPr="00FA1A19" w:rsidRDefault="00185727" w:rsidP="00185727">
      <w:r w:rsidRPr="00FA1A19">
        <w:t>The CGT exemption for personal use assets has been a feature of the CGT regime since its introduction and is broadly designed to:</w:t>
      </w:r>
    </w:p>
    <w:p w14:paraId="682A451F" w14:textId="50247D9E" w:rsidR="00185727" w:rsidRPr="00FA1A19" w:rsidRDefault="00185727" w:rsidP="00981F8C">
      <w:pPr>
        <w:pStyle w:val="Bullet"/>
      </w:pPr>
      <w:r w:rsidRPr="00FA1A19">
        <w:t xml:space="preserve">avoid the difficulties that would be involved for taxpayers and </w:t>
      </w:r>
      <w:r w:rsidR="00A804E3" w:rsidRPr="00FA1A19">
        <w:t xml:space="preserve">the </w:t>
      </w:r>
      <w:r w:rsidRPr="00FA1A19">
        <w:t>ATO in recording and assessing a multitude of small value transactions</w:t>
      </w:r>
    </w:p>
    <w:p w14:paraId="38AAB4F7" w14:textId="69778E1C" w:rsidR="00185727" w:rsidRPr="00FA1A19" w:rsidRDefault="00185727" w:rsidP="00981F8C">
      <w:pPr>
        <w:pStyle w:val="Bullet"/>
      </w:pPr>
      <w:r w:rsidRPr="00FA1A19">
        <w:t>deny a deduction for losses on most types of personal</w:t>
      </w:r>
      <w:r w:rsidR="00F75232">
        <w:noBreakHyphen/>
      </w:r>
      <w:r w:rsidRPr="00FA1A19">
        <w:t>use property that might otherwise lead, in effect, to a tax subsidy for certain personal</w:t>
      </w:r>
      <w:r w:rsidR="00F75232">
        <w:noBreakHyphen/>
      </w:r>
      <w:r w:rsidRPr="00FA1A19">
        <w:t>use expenditures.</w:t>
      </w:r>
      <w:r w:rsidRPr="00170ADC">
        <w:rPr>
          <w:rStyle w:val="FootnoteReference"/>
        </w:rPr>
        <w:footnoteReference w:id="412"/>
      </w:r>
      <w:r w:rsidRPr="00FA1A19">
        <w:t xml:space="preserve"> </w:t>
      </w:r>
    </w:p>
    <w:p w14:paraId="07ED477E" w14:textId="66072CE1" w:rsidR="00185727" w:rsidRPr="00FA1A19" w:rsidRDefault="00185727" w:rsidP="00185727">
      <w:r w:rsidRPr="00FA1A19">
        <w:t>In summary, a gain from a personal use asset is disregarded where the first element of the asset</w:t>
      </w:r>
      <w:r w:rsidR="00F75232">
        <w:t>’</w:t>
      </w:r>
      <w:r w:rsidRPr="00FA1A19">
        <w:t>s cost base is less than $10,000</w:t>
      </w:r>
      <w:r w:rsidRPr="00170ADC">
        <w:rPr>
          <w:rStyle w:val="FootnoteReference"/>
        </w:rPr>
        <w:footnoteReference w:id="413"/>
      </w:r>
      <w:r w:rsidRPr="00FA1A19">
        <w:t xml:space="preserve"> and any loss from a personal use asset is disregarded</w:t>
      </w:r>
      <w:r w:rsidRPr="00170ADC">
        <w:rPr>
          <w:rStyle w:val="FootnoteReference"/>
        </w:rPr>
        <w:footnoteReference w:id="414"/>
      </w:r>
      <w:r w:rsidRPr="00FA1A19">
        <w:t>. A personal use asset is a CGT asset (except a collectable) that is used or kept mainly for your (or your associate</w:t>
      </w:r>
      <w:r w:rsidR="00F75232">
        <w:t>’</w:t>
      </w:r>
      <w:r w:rsidRPr="00FA1A19">
        <w:t>s) personal use or enjoyment and associated rights and debts.</w:t>
      </w:r>
      <w:r w:rsidRPr="00170ADC">
        <w:rPr>
          <w:rStyle w:val="FootnoteReference"/>
        </w:rPr>
        <w:footnoteReference w:id="415"/>
      </w:r>
      <w:r w:rsidRPr="00FA1A19">
        <w:t xml:space="preserve"> </w:t>
      </w:r>
    </w:p>
    <w:p w14:paraId="34DC657F" w14:textId="57874596" w:rsidR="00185727" w:rsidRPr="00FA1A19" w:rsidRDefault="00185727" w:rsidP="00981F8C">
      <w:pPr>
        <w:pStyle w:val="Heading6"/>
      </w:pPr>
      <w:r w:rsidRPr="00FA1A19">
        <w:t xml:space="preserve">ATO position – </w:t>
      </w:r>
      <w:r w:rsidR="0064746A" w:rsidRPr="00FA1A19">
        <w:t>cryptocurrency</w:t>
      </w:r>
      <w:r w:rsidRPr="00FA1A19">
        <w:t xml:space="preserve"> assets</w:t>
      </w:r>
    </w:p>
    <w:p w14:paraId="062E7FDF" w14:textId="77777777" w:rsidR="00185727" w:rsidRPr="00FA1A19" w:rsidRDefault="00185727" w:rsidP="00185727">
      <w:r w:rsidRPr="00FA1A19">
        <w:t>The ATO provides web guidance in relation to crypto assets as personal use assets, stating:</w:t>
      </w:r>
    </w:p>
    <w:p w14:paraId="40EC5378" w14:textId="77777777" w:rsidR="00185727" w:rsidRPr="00FA1A19" w:rsidRDefault="00185727" w:rsidP="00217DA0">
      <w:pPr>
        <w:pStyle w:val="Quote"/>
      </w:pPr>
      <w:r w:rsidRPr="00FA1A19">
        <w:t>… a crypto asset (such as Bitcoin, a cryptocurrency) is a personal use asset if you keep or use it mainly for personal use, for example, to buy items for personal use or consumption.</w:t>
      </w:r>
      <w:r w:rsidRPr="00170ADC">
        <w:rPr>
          <w:rStyle w:val="FootnoteReference"/>
        </w:rPr>
        <w:footnoteReference w:id="416"/>
      </w:r>
      <w:r w:rsidRPr="00FA1A19">
        <w:t xml:space="preserve"> </w:t>
      </w:r>
    </w:p>
    <w:p w14:paraId="454B0B0B" w14:textId="77777777" w:rsidR="00185727" w:rsidRPr="00FA1A19" w:rsidRDefault="00185727" w:rsidP="00185727">
      <w:r w:rsidRPr="00FA1A19">
        <w:t>The guidance sets out that the relevant time for determining if a crypto asset is a personal use asset is when it is disposed of and notes:</w:t>
      </w:r>
    </w:p>
    <w:p w14:paraId="6AF386C6" w14:textId="77777777" w:rsidR="00185727" w:rsidRPr="00FA1A19" w:rsidRDefault="00185727" w:rsidP="00981F8C">
      <w:pPr>
        <w:pStyle w:val="Bullet"/>
      </w:pPr>
      <w:r w:rsidRPr="00FA1A19">
        <w:t xml:space="preserve">A crypto asset you acquire and use in a short period of time to buy items for personal use or consumption is </w:t>
      </w:r>
      <w:r w:rsidRPr="00AD28CB">
        <w:rPr>
          <w:rStyle w:val="Strong"/>
        </w:rPr>
        <w:t>more likely</w:t>
      </w:r>
      <w:r w:rsidRPr="00FA1A19">
        <w:t xml:space="preserve"> to be a personal use asset.</w:t>
      </w:r>
    </w:p>
    <w:p w14:paraId="1B865BB5" w14:textId="77777777" w:rsidR="00185727" w:rsidRPr="00FA1A19" w:rsidRDefault="00185727" w:rsidP="00981F8C">
      <w:pPr>
        <w:pStyle w:val="Bullet"/>
      </w:pPr>
      <w:r w:rsidRPr="00FA1A19">
        <w:t xml:space="preserve">A crypto asset you acquire and hold for some time before you use it, or only use a small proportion of it, to buy items for personal use or consumption is </w:t>
      </w:r>
      <w:r w:rsidRPr="00AD28CB">
        <w:rPr>
          <w:rStyle w:val="Strong"/>
        </w:rPr>
        <w:t xml:space="preserve">less likely </w:t>
      </w:r>
      <w:r w:rsidRPr="00FA1A19">
        <w:t xml:space="preserve">to be a personal use asset. </w:t>
      </w:r>
    </w:p>
    <w:p w14:paraId="0C78F950" w14:textId="7B856A7F" w:rsidR="00185727" w:rsidRPr="00FA1A19" w:rsidRDefault="00185727" w:rsidP="00185727">
      <w:r w:rsidRPr="00FA1A19">
        <w:t xml:space="preserve">The guidance </w:t>
      </w:r>
      <w:r w:rsidR="00013178" w:rsidRPr="00FA1A19">
        <w:t xml:space="preserve">also </w:t>
      </w:r>
      <w:r w:rsidRPr="00FA1A19">
        <w:t xml:space="preserve">sets out that a crypto asset will not be a personal use asset if it is kept or used: </w:t>
      </w:r>
    </w:p>
    <w:p w14:paraId="18011B47" w14:textId="470498DB" w:rsidR="00185727" w:rsidRPr="00FA1A19" w:rsidRDefault="00185727" w:rsidP="00981F8C">
      <w:pPr>
        <w:pStyle w:val="Bullet"/>
      </w:pPr>
      <w:r w:rsidRPr="00FA1A19">
        <w:t>as an investment</w:t>
      </w:r>
    </w:p>
    <w:p w14:paraId="7D802285" w14:textId="18D59344" w:rsidR="00185727" w:rsidRPr="00FA1A19" w:rsidRDefault="00185727" w:rsidP="00981F8C">
      <w:pPr>
        <w:pStyle w:val="Bullet"/>
      </w:pPr>
      <w:r w:rsidRPr="00FA1A19">
        <w:t xml:space="preserve">in a </w:t>
      </w:r>
      <w:r w:rsidR="00FA4B95">
        <w:t>profit-making</w:t>
      </w:r>
      <w:r w:rsidRPr="00FA1A19">
        <w:t xml:space="preserve"> scheme</w:t>
      </w:r>
    </w:p>
    <w:p w14:paraId="37B93D35" w14:textId="77777777" w:rsidR="00185727" w:rsidRPr="00FA1A19" w:rsidRDefault="00185727" w:rsidP="00981F8C">
      <w:pPr>
        <w:pStyle w:val="Bullet"/>
      </w:pPr>
      <w:r w:rsidRPr="00FA1A19">
        <w:t xml:space="preserve">in carrying on a business. </w:t>
      </w:r>
    </w:p>
    <w:p w14:paraId="586DDB84" w14:textId="4AABCEDB" w:rsidR="00185727" w:rsidRPr="00FA1A19" w:rsidRDefault="00013178" w:rsidP="00CB0D41">
      <w:r w:rsidRPr="00FA1A19">
        <w:t xml:space="preserve">Further, it notes that </w:t>
      </w:r>
      <w:r w:rsidR="00185727" w:rsidRPr="00FA1A19">
        <w:t>except in rare situations, a crypto asset will also not be a personal use asset if:</w:t>
      </w:r>
    </w:p>
    <w:p w14:paraId="098B38D0" w14:textId="78B9740A" w:rsidR="00185727" w:rsidRPr="00FA1A19" w:rsidRDefault="00185727" w:rsidP="00981F8C">
      <w:pPr>
        <w:pStyle w:val="Bullet"/>
      </w:pPr>
      <w:r w:rsidRPr="00FA1A19">
        <w:t>it has to be exchanged for Australian dollars or a different crypto asset to buy items for personal use and consumption</w:t>
      </w:r>
    </w:p>
    <w:p w14:paraId="3D0F3F95" w14:textId="2909E21D" w:rsidR="00185727" w:rsidRPr="00FA1A19" w:rsidRDefault="00185727" w:rsidP="00981F8C">
      <w:pPr>
        <w:pStyle w:val="Bullet"/>
      </w:pPr>
      <w:r w:rsidRPr="00FA1A19">
        <w:t>it is used to acquire a gift card or similar product that is then used to acquire items for personal use or consumption</w:t>
      </w:r>
    </w:p>
    <w:p w14:paraId="0D06FD91" w14:textId="737C4916" w:rsidR="00185727" w:rsidRPr="00FA1A19" w:rsidRDefault="00185727" w:rsidP="00981F8C">
      <w:pPr>
        <w:pStyle w:val="Bullet"/>
      </w:pPr>
      <w:r w:rsidRPr="00FA1A19">
        <w:t>it is used to top up a prepaid debit card with crypto assets, which is converted to Australian dollars and later used to acquire items for personal use or consumption</w:t>
      </w:r>
    </w:p>
    <w:p w14:paraId="603A4D42" w14:textId="77777777" w:rsidR="00185727" w:rsidRPr="00FA1A19" w:rsidRDefault="00185727" w:rsidP="00981F8C">
      <w:pPr>
        <w:pStyle w:val="Bullet"/>
      </w:pPr>
      <w:r w:rsidRPr="00FA1A19">
        <w:t xml:space="preserve">a payment gateway or bill payment intermediary has to be used to acquire the items on behalf of the holder, rather than acquiring them directly with the crypto asset. </w:t>
      </w:r>
    </w:p>
    <w:p w14:paraId="37B2D5E9" w14:textId="2CD64A31" w:rsidR="00185727" w:rsidRPr="00FA1A19" w:rsidRDefault="00185727" w:rsidP="00185727">
      <w:r w:rsidRPr="00FA1A19">
        <w:t xml:space="preserve">The ATO has also published several edited PBRs in relation to questions of personal use asset status of crypto assets. The limitations in relying on the published extracts of PBRs is </w:t>
      </w:r>
      <w:r w:rsidR="00806578" w:rsidRPr="00FA1A19">
        <w:t xml:space="preserve">set out </w:t>
      </w:r>
      <w:r w:rsidRPr="00FA1A19">
        <w:t xml:space="preserve">in </w:t>
      </w:r>
      <w:r w:rsidR="00372633">
        <w:t>Chapter </w:t>
      </w:r>
      <w:r w:rsidR="001351CD" w:rsidRPr="00FA1A19">
        <w:t xml:space="preserve">6 </w:t>
      </w:r>
      <w:r w:rsidRPr="00FA1A19">
        <w:t>of the Report. Noting those limitations, the Board has reviewed 14 published edited PBRs</w:t>
      </w:r>
      <w:r w:rsidRPr="00170ADC">
        <w:rPr>
          <w:rStyle w:val="FootnoteReference"/>
        </w:rPr>
        <w:footnoteReference w:id="417"/>
      </w:r>
      <w:r w:rsidRPr="00FA1A19">
        <w:t xml:space="preserve"> that consider the application of the personal use exemption.</w:t>
      </w:r>
      <w:r w:rsidR="004F0A51" w:rsidRPr="00FA1A19">
        <w:t xml:space="preserve"> </w:t>
      </w:r>
      <w:r w:rsidRPr="00FA1A19">
        <w:t xml:space="preserve">Of these 14 rulings, </w:t>
      </w:r>
      <w:r w:rsidR="009D4B97" w:rsidRPr="00FA1A19">
        <w:t>there were</w:t>
      </w:r>
      <w:r w:rsidR="005E14C8" w:rsidRPr="00FA1A19">
        <w:t xml:space="preserve"> </w:t>
      </w:r>
      <w:r w:rsidRPr="00FA1A19">
        <w:t>5 instances w</w:t>
      </w:r>
      <w:r w:rsidR="009D4B97" w:rsidRPr="00FA1A19">
        <w:t>h</w:t>
      </w:r>
      <w:r w:rsidRPr="00FA1A19">
        <w:t xml:space="preserve">ere any of the crypto asset transactions </w:t>
      </w:r>
      <w:r w:rsidR="009D4B97" w:rsidRPr="00FA1A19">
        <w:t xml:space="preserve">were </w:t>
      </w:r>
      <w:r w:rsidRPr="00FA1A19">
        <w:t xml:space="preserve">considered to result in the application of the personal use exemption. </w:t>
      </w:r>
    </w:p>
    <w:p w14:paraId="62C52BED" w14:textId="1FD3B6E3" w:rsidR="00185727" w:rsidRPr="00FA1A19" w:rsidRDefault="00185727" w:rsidP="00185727">
      <w:r w:rsidRPr="00FA1A19">
        <w:t>In two of these positive decisions (PBRs 1051895820704</w:t>
      </w:r>
      <w:r w:rsidR="00A32AF2" w:rsidRPr="00170ADC">
        <w:rPr>
          <w:rStyle w:val="FootnoteReference"/>
        </w:rPr>
        <w:footnoteReference w:id="418"/>
      </w:r>
      <w:r w:rsidRPr="00FA1A19">
        <w:t xml:space="preserve"> and 1051934343575</w:t>
      </w:r>
      <w:r w:rsidR="00C25975" w:rsidRPr="00170ADC">
        <w:rPr>
          <w:rStyle w:val="FootnoteReference"/>
        </w:rPr>
        <w:footnoteReference w:id="419"/>
      </w:r>
      <w:r w:rsidRPr="00FA1A19">
        <w:t>), the crypto represented gaming components and the Commissioner was satisfied that the components were held mainly for the user</w:t>
      </w:r>
      <w:r w:rsidR="00F75232">
        <w:t>’</w:t>
      </w:r>
      <w:r w:rsidRPr="00FA1A19">
        <w:t>s personal use and enjoyment. In PBR 1051537413985, the Commissioner accepted that crypto assets were personal use assets to the extent that they were held to directly pay for an annual online personal subscription service, although the remainder of that same crypto asset that was disposed of for fiat, was not a personal use asset and considered to be held for the rise in value.</w:t>
      </w:r>
      <w:r w:rsidR="00567D0E" w:rsidRPr="00170ADC">
        <w:rPr>
          <w:rStyle w:val="FootnoteReference"/>
        </w:rPr>
        <w:footnoteReference w:id="420"/>
      </w:r>
      <w:r w:rsidRPr="00FA1A19">
        <w:t xml:space="preserve"> </w:t>
      </w:r>
    </w:p>
    <w:p w14:paraId="41330C99" w14:textId="3C1AE716" w:rsidR="00185727" w:rsidRPr="00FA1A19" w:rsidRDefault="00185727" w:rsidP="00185727">
      <w:r w:rsidRPr="00FA1A19">
        <w:t>In PBR 1051781223882, the Commissioner confirmed that cryptocurrency that was acquired for the purposes of online gambling was a personal use asset as was cryptocurrency acquired as a result of winnings where it was immediately transferred back to the gambling platform. However, any winnings that were converted to cash were not treated as personal use assets.</w:t>
      </w:r>
      <w:r w:rsidR="0000700F" w:rsidRPr="00170ADC">
        <w:rPr>
          <w:rStyle w:val="FootnoteReference"/>
        </w:rPr>
        <w:footnoteReference w:id="421"/>
      </w:r>
    </w:p>
    <w:p w14:paraId="5E7719D4" w14:textId="3C2B7D80" w:rsidR="00185727" w:rsidRPr="00FA1A19" w:rsidRDefault="00185727" w:rsidP="00185727">
      <w:r w:rsidRPr="00FA1A19">
        <w:t xml:space="preserve">Many of the conclusions reached in the PBR analysis reference </w:t>
      </w:r>
      <w:r w:rsidRPr="00813896">
        <w:rPr>
          <w:rStyle w:val="Emphasis"/>
        </w:rPr>
        <w:t xml:space="preserve">Favaro v FC of T (1996) </w:t>
      </w:r>
      <w:r w:rsidRPr="00FA1A19">
        <w:t xml:space="preserve">34 ATR 1; 96 ATC 4975 in which the Federal Court considered whether Italian currency which was held to be converted to Australian currency was a personal use asset. The evidence of Mr Favaro was that he kept the Italian currency for the purpose of its being exchanged for Australian currency at a favourable rate. The Court concluded that the Italian currency was not used or kept primarily for personal use, and that the gain made by Mr Favaro on exchanging </w:t>
      </w:r>
      <w:r w:rsidR="00FC6211" w:rsidRPr="00FA1A19">
        <w:t xml:space="preserve">his </w:t>
      </w:r>
      <w:r w:rsidRPr="00FA1A19">
        <w:t>Italian currency fo</w:t>
      </w:r>
      <w:bookmarkStart w:id="98" w:name="P58_4532"/>
      <w:bookmarkEnd w:id="98"/>
      <w:r w:rsidRPr="00FA1A19">
        <w:t>r Australian currency was an assessable capital gain.</w:t>
      </w:r>
    </w:p>
    <w:p w14:paraId="1A26C876" w14:textId="0E624E17" w:rsidR="00185727" w:rsidRPr="00FA1A19" w:rsidRDefault="00185727" w:rsidP="00981F8C">
      <w:pPr>
        <w:pStyle w:val="Heading6"/>
      </w:pPr>
      <w:r w:rsidRPr="00FA1A19">
        <w:t xml:space="preserve">Stakeholder </w:t>
      </w:r>
      <w:r w:rsidR="00CD241A">
        <w:t>feedback</w:t>
      </w:r>
    </w:p>
    <w:p w14:paraId="5CE526AA" w14:textId="02F061EE" w:rsidR="00185727" w:rsidRPr="00FA1A19" w:rsidRDefault="00185727" w:rsidP="0000700F">
      <w:r w:rsidRPr="00FA1A19">
        <w:t>The Board received extensive submissions in relation to the ATO</w:t>
      </w:r>
      <w:r w:rsidR="00F75232">
        <w:t>’</w:t>
      </w:r>
      <w:r w:rsidRPr="00FA1A19">
        <w:t>s interpretation of the personal use exemption. Koinly noted that:</w:t>
      </w:r>
    </w:p>
    <w:p w14:paraId="5E0932C1" w14:textId="7F5320E2" w:rsidR="00185727" w:rsidRPr="00FA1A19" w:rsidRDefault="00185727" w:rsidP="00217DA0">
      <w:pPr>
        <w:pStyle w:val="Quote"/>
      </w:pPr>
      <w:r w:rsidRPr="00FA1A19">
        <w:t>Whilst current guidance suggests the personal use asset rule is rarely applicable, the spending of crypto assets for personal use should be clarified. In most cases, crypto spending transactions lead to a taxable event that causes compliance issues, particularly when facilitated through crypto</w:t>
      </w:r>
      <w:r w:rsidR="00F75232">
        <w:noBreakHyphen/>
      </w:r>
      <w:r w:rsidRPr="00FA1A19">
        <w:t>linked spending cards.</w:t>
      </w:r>
    </w:p>
    <w:p w14:paraId="1BF19BF8" w14:textId="77777777" w:rsidR="00185727" w:rsidRPr="00FA1A19" w:rsidRDefault="00185727" w:rsidP="00217DA0">
      <w:pPr>
        <w:pStyle w:val="Quote"/>
      </w:pPr>
      <w:r w:rsidRPr="00FA1A19">
        <w:t>Clarification is required as to how the rule applies with a view to simplifying the personal use asset rule. This is required when an individual purchases personal items or purchases of crypto assets as a hobby.</w:t>
      </w:r>
      <w:r w:rsidRPr="00170ADC">
        <w:rPr>
          <w:rStyle w:val="FootnoteReference"/>
        </w:rPr>
        <w:footnoteReference w:id="422"/>
      </w:r>
    </w:p>
    <w:p w14:paraId="57CDF31B" w14:textId="4C37D9E6" w:rsidR="00185727" w:rsidRPr="00FA1A19" w:rsidRDefault="00185727" w:rsidP="0000700F">
      <w:pPr>
        <w:autoSpaceDE w:val="0"/>
        <w:autoSpaceDN w:val="0"/>
        <w:adjustRightInd w:val="0"/>
        <w:rPr>
          <w:rFonts w:asciiTheme="minorHAnsi" w:hAnsiTheme="minorHAnsi" w:cstheme="minorHAnsi"/>
        </w:rPr>
      </w:pPr>
      <w:r w:rsidRPr="00FA1A19">
        <w:rPr>
          <w:rFonts w:asciiTheme="minorHAnsi" w:hAnsiTheme="minorHAnsi" w:cstheme="minorHAnsi"/>
        </w:rPr>
        <w:t>Blockchain Australia</w:t>
      </w:r>
      <w:r w:rsidR="00F75232">
        <w:rPr>
          <w:rFonts w:asciiTheme="minorHAnsi" w:hAnsiTheme="minorHAnsi" w:cstheme="minorHAnsi"/>
        </w:rPr>
        <w:t>’</w:t>
      </w:r>
      <w:r w:rsidRPr="00FA1A19">
        <w:rPr>
          <w:rFonts w:asciiTheme="minorHAnsi" w:hAnsiTheme="minorHAnsi" w:cstheme="minorHAnsi"/>
        </w:rPr>
        <w:t>s submission highlighted the prevalence of hobbyist activity with crypto assets:</w:t>
      </w:r>
    </w:p>
    <w:p w14:paraId="4010838F" w14:textId="6853852B" w:rsidR="00185727" w:rsidRPr="00FA1A19" w:rsidRDefault="00185727" w:rsidP="00217DA0">
      <w:pPr>
        <w:pStyle w:val="Quote"/>
      </w:pPr>
      <w:r w:rsidRPr="00FA1A19">
        <w:t>Subjecting all crypto assets and tokens to the capital gains tax regime also captures an unreasonably broad range of transactions from hobbies, recreational pursuits and pastimes. Such activities which lack a profit motive are normally disregarded by tax professionals as non</w:t>
      </w:r>
      <w:r w:rsidR="00F75232">
        <w:noBreakHyphen/>
      </w:r>
      <w:r w:rsidRPr="00FA1A19">
        <w:t>assessable from a revenue perspective (Ferguson v FCT, TR 2005/1). Excluding these activities into the scope of tax returns would be consistent with standard tax treatment and remove the increasing compliance burden for hobbyists and minors. Current guidance tends to disregard the notions of personal asset and collectable characteristics more readily than off</w:t>
      </w:r>
      <w:r w:rsidR="00F75232">
        <w:noBreakHyphen/>
      </w:r>
      <w:r w:rsidRPr="00FA1A19">
        <w:t>chain counterparts</w:t>
      </w:r>
      <w:r w:rsidRPr="00FA1A19" w:rsidDel="002319D7">
        <w:t>.</w:t>
      </w:r>
      <w:r w:rsidRPr="00170ADC">
        <w:rPr>
          <w:rStyle w:val="FootnoteReference"/>
        </w:rPr>
        <w:footnoteReference w:id="423"/>
      </w:r>
    </w:p>
    <w:p w14:paraId="466C8D5A" w14:textId="77777777" w:rsidR="00185727" w:rsidRPr="00FA1A19" w:rsidRDefault="00185727" w:rsidP="004B6636">
      <w:pPr>
        <w:keepNext/>
        <w:autoSpaceDE w:val="0"/>
        <w:autoSpaceDN w:val="0"/>
        <w:adjustRightInd w:val="0"/>
        <w:rPr>
          <w:rFonts w:asciiTheme="minorHAnsi" w:hAnsiTheme="minorHAnsi" w:cstheme="minorHAnsi"/>
          <w:color w:val="000000"/>
        </w:rPr>
      </w:pPr>
      <w:r w:rsidRPr="00FA1A19">
        <w:rPr>
          <w:rFonts w:asciiTheme="minorHAnsi" w:hAnsiTheme="minorHAnsi" w:cstheme="minorHAnsi"/>
          <w:color w:val="000000"/>
        </w:rPr>
        <w:t>Similar comments were made in other submissions, including:</w:t>
      </w:r>
    </w:p>
    <w:p w14:paraId="4D777D40" w14:textId="6F852E61" w:rsidR="00185727" w:rsidRPr="00FA1A19" w:rsidRDefault="00185727" w:rsidP="00981F8C">
      <w:pPr>
        <w:pStyle w:val="Bullet"/>
        <w:rPr>
          <w:rFonts w:cstheme="minorHAnsi"/>
        </w:rPr>
      </w:pPr>
      <w:r w:rsidRPr="00FA1A19">
        <w:t>Australian Bitcoin Industry Body describing the entire purpose of bitcoin as being for it to be used to purchase items for personal use or consumption</w:t>
      </w:r>
      <w:r w:rsidR="00282D5E">
        <w:t>.</w:t>
      </w:r>
      <w:r w:rsidRPr="00170ADC">
        <w:rPr>
          <w:rStyle w:val="FootnoteReference"/>
        </w:rPr>
        <w:footnoteReference w:id="424"/>
      </w:r>
    </w:p>
    <w:p w14:paraId="7C0CEBFE" w14:textId="1EA755A7" w:rsidR="00185727" w:rsidRPr="00FA1A19" w:rsidRDefault="00740445" w:rsidP="00981F8C">
      <w:pPr>
        <w:pStyle w:val="Bullet"/>
        <w:rPr>
          <w:rFonts w:cstheme="minorHAnsi"/>
        </w:rPr>
      </w:pPr>
      <w:r>
        <w:t>Blockchain &amp; Digital Assets – Services + Law</w:t>
      </w:r>
      <w:r w:rsidRPr="00FA1A19" w:rsidDel="00740445">
        <w:t xml:space="preserve"> </w:t>
      </w:r>
      <w:r w:rsidR="00185727" w:rsidRPr="00FA1A19">
        <w:t>noted challenges for customers in using payment service providers</w:t>
      </w:r>
      <w:r w:rsidR="00282D5E">
        <w:t>.</w:t>
      </w:r>
      <w:r w:rsidR="00185727" w:rsidRPr="00170ADC">
        <w:rPr>
          <w:rStyle w:val="FootnoteReference"/>
        </w:rPr>
        <w:footnoteReference w:id="425"/>
      </w:r>
      <w:r w:rsidR="00185727" w:rsidRPr="00FA1A19">
        <w:t xml:space="preserve"> </w:t>
      </w:r>
    </w:p>
    <w:p w14:paraId="16C6771F" w14:textId="66F01DE9" w:rsidR="00185727" w:rsidRPr="00FA1A19" w:rsidRDefault="003C0B71" w:rsidP="00981F8C">
      <w:pPr>
        <w:pStyle w:val="Bullet"/>
        <w:rPr>
          <w:rFonts w:cstheme="minorHAnsi"/>
          <w:i/>
          <w:iCs/>
        </w:rPr>
      </w:pPr>
      <w:r w:rsidRPr="00FA1A19">
        <w:t xml:space="preserve">The </w:t>
      </w:r>
      <w:r w:rsidR="00185727" w:rsidRPr="00FA1A19">
        <w:t>Joint Bodies and PwC both highlighted the need for clarification in relation to when an NFT may be a personal use asset.</w:t>
      </w:r>
      <w:r w:rsidR="00185727" w:rsidRPr="00170ADC">
        <w:rPr>
          <w:rStyle w:val="FootnoteReference"/>
        </w:rPr>
        <w:footnoteReference w:id="426"/>
      </w:r>
      <w:r w:rsidR="00185727" w:rsidRPr="00FA1A19">
        <w:t xml:space="preserve"> </w:t>
      </w:r>
    </w:p>
    <w:p w14:paraId="56D49FE0" w14:textId="7D8009EB" w:rsidR="00185727" w:rsidRPr="00FA1A19" w:rsidRDefault="00185727" w:rsidP="00981F8C">
      <w:pPr>
        <w:pStyle w:val="Heading6"/>
      </w:pPr>
      <w:r w:rsidRPr="00FA1A19">
        <w:t>Board</w:t>
      </w:r>
      <w:r w:rsidR="00F75232">
        <w:t>’</w:t>
      </w:r>
      <w:r w:rsidRPr="00FA1A19">
        <w:t>s conclusion – cryptocurrencies</w:t>
      </w:r>
    </w:p>
    <w:p w14:paraId="36063662" w14:textId="547F4E06" w:rsidR="00185727" w:rsidRPr="00FA1A19" w:rsidRDefault="00185727" w:rsidP="00185727">
      <w:pPr>
        <w:autoSpaceDE w:val="0"/>
        <w:autoSpaceDN w:val="0"/>
        <w:adjustRightInd w:val="0"/>
        <w:rPr>
          <w:rFonts w:asciiTheme="minorHAnsi" w:hAnsiTheme="minorHAnsi" w:cstheme="minorHAnsi"/>
          <w:color w:val="000000"/>
        </w:rPr>
      </w:pPr>
      <w:r w:rsidRPr="00FA1A19">
        <w:rPr>
          <w:rFonts w:asciiTheme="minorHAnsi" w:hAnsiTheme="minorHAnsi" w:cstheme="minorHAnsi"/>
          <w:color w:val="000000"/>
        </w:rPr>
        <w:t xml:space="preserve">Currently, there are limited situations where cryptocurrencies are considered by the ATO to be held and used exclusively for personal use purposes. In most instances, cryptocurrencies are held as part of a </w:t>
      </w:r>
      <w:r w:rsidR="00FA4B95">
        <w:rPr>
          <w:rFonts w:asciiTheme="minorHAnsi" w:hAnsiTheme="minorHAnsi" w:cstheme="minorHAnsi"/>
          <w:color w:val="000000"/>
        </w:rPr>
        <w:t>profit-making</w:t>
      </w:r>
      <w:r w:rsidRPr="00FA1A19">
        <w:rPr>
          <w:rFonts w:asciiTheme="minorHAnsi" w:hAnsiTheme="minorHAnsi" w:cstheme="minorHAnsi"/>
          <w:color w:val="000000"/>
        </w:rPr>
        <w:t xml:space="preserve"> venture or as an investment rather than mainly for personal use and enjoyment. </w:t>
      </w:r>
    </w:p>
    <w:p w14:paraId="2761178F" w14:textId="692E1A0B" w:rsidR="00185727" w:rsidRPr="00FA1A19" w:rsidRDefault="00185727" w:rsidP="00185727">
      <w:pPr>
        <w:autoSpaceDE w:val="0"/>
        <w:autoSpaceDN w:val="0"/>
        <w:adjustRightInd w:val="0"/>
        <w:rPr>
          <w:rFonts w:asciiTheme="minorHAnsi" w:hAnsiTheme="minorHAnsi" w:cstheme="minorHAnsi"/>
          <w:color w:val="000000"/>
        </w:rPr>
      </w:pPr>
      <w:r w:rsidRPr="00FA1A19">
        <w:rPr>
          <w:rFonts w:asciiTheme="minorHAnsi" w:hAnsiTheme="minorHAnsi" w:cstheme="minorHAnsi"/>
          <w:color w:val="000000"/>
        </w:rPr>
        <w:t>In this regard the Board considers that the ATO position in relation to the limited application of the personal use exemption to cryptocurrency is the correct approach. The Board notes that it should be the asset</w:t>
      </w:r>
      <w:r w:rsidR="00F75232">
        <w:rPr>
          <w:rFonts w:asciiTheme="minorHAnsi" w:hAnsiTheme="minorHAnsi" w:cstheme="minorHAnsi"/>
          <w:color w:val="000000"/>
        </w:rPr>
        <w:t>’</w:t>
      </w:r>
      <w:r w:rsidRPr="00FA1A19">
        <w:rPr>
          <w:rFonts w:asciiTheme="minorHAnsi" w:hAnsiTheme="minorHAnsi" w:cstheme="minorHAnsi"/>
          <w:color w:val="000000"/>
        </w:rPr>
        <w:t xml:space="preserve">s use rather than the use of any liquidated funds that are relevant in making this determination. </w:t>
      </w:r>
    </w:p>
    <w:p w14:paraId="52D18724" w14:textId="77777777" w:rsidR="00185727" w:rsidRPr="00FA1A19" w:rsidRDefault="00185727" w:rsidP="00981F8C">
      <w:pPr>
        <w:pStyle w:val="Heading6"/>
      </w:pPr>
      <w:r w:rsidRPr="00FA1A19">
        <w:t>ATO position – other digital assets</w:t>
      </w:r>
    </w:p>
    <w:p w14:paraId="4B3A40C7" w14:textId="1E66E59C" w:rsidR="00185727" w:rsidRPr="00FA1A19" w:rsidRDefault="00185727" w:rsidP="00185727">
      <w:r w:rsidRPr="00FA1A19">
        <w:t>The ATO</w:t>
      </w:r>
      <w:r w:rsidR="00F75232">
        <w:t>’</w:t>
      </w:r>
      <w:r w:rsidRPr="00FA1A19">
        <w:t>s personal use asset guidance is generally limited to cryptocurrencies, with the exception of the following statement in relation to NFTs:</w:t>
      </w:r>
    </w:p>
    <w:p w14:paraId="14D3DDD3" w14:textId="7D836D5E" w:rsidR="00185727" w:rsidRPr="00FA1A19" w:rsidRDefault="00185727" w:rsidP="00217DA0">
      <w:pPr>
        <w:pStyle w:val="Quote"/>
      </w:pPr>
      <w:r w:rsidRPr="00FA1A19">
        <w:t>As with other types of crypto asset, in rare circumstances you could hold an NFT as a </w:t>
      </w:r>
      <w:hyperlink r:id="rId59" w:anchor="Personaluseassets" w:history="1">
        <w:r w:rsidRPr="00FA1A19">
          <w:t>personal use asset</w:t>
        </w:r>
      </w:hyperlink>
      <w:r w:rsidRPr="00FA1A19">
        <w:t>.</w:t>
      </w:r>
      <w:r w:rsidRPr="00170ADC">
        <w:rPr>
          <w:rStyle w:val="FootnoteReference"/>
        </w:rPr>
        <w:footnoteReference w:id="427"/>
      </w:r>
    </w:p>
    <w:p w14:paraId="1EF19EBA" w14:textId="49711C72" w:rsidR="00185727" w:rsidRPr="00FA1A19" w:rsidRDefault="00185727" w:rsidP="00185727">
      <w:r w:rsidRPr="00FA1A19">
        <w:t xml:space="preserve">In relation to edited PBRs providing consideration </w:t>
      </w:r>
      <w:r w:rsidR="004338DC" w:rsidRPr="00FA1A19">
        <w:t xml:space="preserve">as </w:t>
      </w:r>
      <w:r w:rsidRPr="00FA1A19">
        <w:t>to the treatment of NFTs as personal use assets, the Commissioner accepted that NFTs representing digital artworks were personal use assets in PBR 1051976096088, however there is limited detail provided in the explanation.</w:t>
      </w:r>
      <w:r w:rsidR="00910BB2" w:rsidRPr="00170ADC">
        <w:rPr>
          <w:rStyle w:val="FootnoteReference"/>
        </w:rPr>
        <w:footnoteReference w:id="428"/>
      </w:r>
      <w:r w:rsidRPr="00FA1A19">
        <w:t xml:space="preserve"> This is contrasted with </w:t>
      </w:r>
      <w:r w:rsidR="008E724D" w:rsidRPr="00FA1A19">
        <w:t>P</w:t>
      </w:r>
      <w:r w:rsidR="008E724D">
        <w:t>BR</w:t>
      </w:r>
      <w:r w:rsidR="008E724D" w:rsidRPr="00FA1A19">
        <w:t xml:space="preserve"> </w:t>
      </w:r>
      <w:r w:rsidRPr="00FA1A19">
        <w:t>1051694175099 where NFT artworks used in games were not found to be personal use assets.</w:t>
      </w:r>
      <w:r w:rsidR="006509CB" w:rsidRPr="00170ADC">
        <w:rPr>
          <w:rStyle w:val="FootnoteReference"/>
        </w:rPr>
        <w:footnoteReference w:id="429"/>
      </w:r>
      <w:r w:rsidRPr="00FA1A19">
        <w:t xml:space="preserve"> </w:t>
      </w:r>
    </w:p>
    <w:p w14:paraId="36630C74" w14:textId="77777777" w:rsidR="00185727" w:rsidRPr="00FA1A19" w:rsidRDefault="00185727" w:rsidP="00185727">
      <w:pPr>
        <w:autoSpaceDE w:val="0"/>
        <w:autoSpaceDN w:val="0"/>
        <w:adjustRightInd w:val="0"/>
        <w:rPr>
          <w:rFonts w:asciiTheme="minorHAnsi" w:hAnsiTheme="minorHAnsi" w:cstheme="minorHAnsi"/>
          <w:color w:val="000000"/>
        </w:rPr>
      </w:pPr>
      <w:r w:rsidRPr="00FA1A19">
        <w:rPr>
          <w:rFonts w:asciiTheme="minorHAnsi" w:hAnsiTheme="minorHAnsi" w:cstheme="minorHAnsi"/>
          <w:color w:val="000000"/>
        </w:rPr>
        <w:t xml:space="preserve">The Board agrees with stakeholder representations that there is a lack of clarity about how the personal use exemption may apply in relation to other types of crypto assets, particularly in the GameFi environment and across the many and varied uses of NFTs. </w:t>
      </w:r>
    </w:p>
    <w:p w14:paraId="79001E02" w14:textId="77777777" w:rsidR="00572D21" w:rsidRPr="00FA1A19" w:rsidRDefault="00572D21" w:rsidP="00981F8C">
      <w:pPr>
        <w:pStyle w:val="SingleParagraph"/>
      </w:pPr>
    </w:p>
    <w:tbl>
      <w:tblPr>
        <w:tblStyle w:val="Style2"/>
        <w:tblW w:w="5000" w:type="pct"/>
        <w:tblLook w:val="0420" w:firstRow="1" w:lastRow="0" w:firstColumn="0" w:lastColumn="0" w:noHBand="0" w:noVBand="1"/>
      </w:tblPr>
      <w:tblGrid>
        <w:gridCol w:w="9641"/>
      </w:tblGrid>
      <w:tr w:rsidR="00185727" w:rsidRPr="00FA1A19" w14:paraId="389914FA"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0E1918A" w14:textId="5509DCB2" w:rsidR="00185727" w:rsidRPr="00FA1A19" w:rsidRDefault="00372633" w:rsidP="003316D7">
            <w:pPr>
              <w:pStyle w:val="BoxHeading1"/>
            </w:pPr>
            <w:r>
              <w:t>Recommendation </w:t>
            </w:r>
            <w:r w:rsidR="009B659C" w:rsidRPr="00FA1A19">
              <w:t>7</w:t>
            </w:r>
            <w:r w:rsidR="00185727" w:rsidRPr="00FA1A19">
              <w:t>.4</w:t>
            </w:r>
          </w:p>
        </w:tc>
      </w:tr>
      <w:tr w:rsidR="00185727" w:rsidRPr="00FA1A19" w14:paraId="777F05E1"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49CF64A2" w14:textId="155C69B3" w:rsidR="00B50C9B" w:rsidRPr="00FA1A19" w:rsidRDefault="00786D0D" w:rsidP="00981F8C">
            <w:pPr>
              <w:pStyle w:val="BoxText"/>
            </w:pPr>
            <w:r w:rsidRPr="00FA1A19">
              <w:t xml:space="preserve">ATO </w:t>
            </w:r>
            <w:r w:rsidR="008D34FE" w:rsidRPr="00FA1A19">
              <w:t xml:space="preserve">website guidance </w:t>
            </w:r>
            <w:r w:rsidR="00EC1228" w:rsidRPr="00FA1A19">
              <w:t>states</w:t>
            </w:r>
            <w:r w:rsidRPr="00FA1A19">
              <w:t xml:space="preserve"> that in rare circumstances an NFT can be held as a personal use asset </w:t>
            </w:r>
            <w:r w:rsidR="008D34FE" w:rsidRPr="00FA1A19">
              <w:t xml:space="preserve">and so </w:t>
            </w:r>
            <w:r w:rsidR="001067A5" w:rsidRPr="00FA1A19">
              <w:t xml:space="preserve">be </w:t>
            </w:r>
            <w:r w:rsidR="008D34FE" w:rsidRPr="00FA1A19">
              <w:t>eligible for CGT concessions.</w:t>
            </w:r>
            <w:r w:rsidR="004F0A51" w:rsidRPr="00FA1A19">
              <w:t xml:space="preserve"> </w:t>
            </w:r>
            <w:r w:rsidR="008D34FE" w:rsidRPr="00FA1A19">
              <w:t>There are also edited private binding rulings on the ATO website dealing with specific examples</w:t>
            </w:r>
            <w:r w:rsidR="002E4B67" w:rsidRPr="00FA1A19">
              <w:t xml:space="preserve"> where the ATO has agreed </w:t>
            </w:r>
            <w:r w:rsidR="00A62C08" w:rsidRPr="00FA1A19">
              <w:t>or</w:t>
            </w:r>
            <w:r w:rsidR="002E4B67" w:rsidRPr="00FA1A19">
              <w:t xml:space="preserve"> disagreed that the NFT </w:t>
            </w:r>
            <w:r w:rsidR="00A62C08" w:rsidRPr="00FA1A19">
              <w:t>in question</w:t>
            </w:r>
            <w:r w:rsidR="002E4B67" w:rsidRPr="00FA1A19">
              <w:t xml:space="preserve"> is held as a personal use asset</w:t>
            </w:r>
            <w:r w:rsidR="008D34FE" w:rsidRPr="00FA1A19">
              <w:t>.</w:t>
            </w:r>
          </w:p>
          <w:p w14:paraId="556BDE77" w14:textId="2E4210B7" w:rsidR="00AB61D8" w:rsidRPr="00FA1A19" w:rsidRDefault="00AA3F84" w:rsidP="00981F8C">
            <w:pPr>
              <w:pStyle w:val="BoxText"/>
            </w:pPr>
            <w:r w:rsidRPr="00FA1A19">
              <w:t>There is an</w:t>
            </w:r>
            <w:r w:rsidR="00EF3EDF" w:rsidRPr="00FA1A19">
              <w:t xml:space="preserve"> increasing and </w:t>
            </w:r>
            <w:r w:rsidR="00185727" w:rsidRPr="00FA1A19">
              <w:t xml:space="preserve">varied use of NFTs, including within the GameFi space, </w:t>
            </w:r>
            <w:r w:rsidR="00E217A9" w:rsidRPr="00FA1A19">
              <w:t>and the circumstances in which an NFT can be held as a persona</w:t>
            </w:r>
            <w:r w:rsidR="00630A00" w:rsidRPr="00FA1A19">
              <w:t>l</w:t>
            </w:r>
            <w:r w:rsidR="00E217A9" w:rsidRPr="00FA1A19">
              <w:t xml:space="preserve"> use asset may be increasing.</w:t>
            </w:r>
            <w:r w:rsidR="004F0A51" w:rsidRPr="00FA1A19">
              <w:t xml:space="preserve"> </w:t>
            </w:r>
            <w:r w:rsidR="00AB61D8" w:rsidRPr="00FA1A19">
              <w:t>Taxpayers therefore need access to information and guidance in relation to NFTs and personal use assets upon which they can rely to ensure their tax disclosures will be acceptable to the ATO.</w:t>
            </w:r>
          </w:p>
          <w:p w14:paraId="558F5A10" w14:textId="57BCEA0D" w:rsidR="00185727" w:rsidRPr="00FA1A19" w:rsidRDefault="00AB61D8" w:rsidP="00981F8C">
            <w:pPr>
              <w:pStyle w:val="BoxText"/>
            </w:pPr>
            <w:r w:rsidRPr="00FA1A19">
              <w:t>The</w:t>
            </w:r>
            <w:r w:rsidR="00185727" w:rsidRPr="00FA1A19">
              <w:t xml:space="preserve"> Board recommends that the ATO</w:t>
            </w:r>
            <w:r w:rsidR="00E217A9" w:rsidRPr="00FA1A19">
              <w:t>,</w:t>
            </w:r>
            <w:r w:rsidR="00185727" w:rsidRPr="00FA1A19">
              <w:t xml:space="preserve"> </w:t>
            </w:r>
            <w:r w:rsidR="005348D6" w:rsidRPr="00FA1A19">
              <w:t>in consultation</w:t>
            </w:r>
            <w:r w:rsidR="00572979" w:rsidRPr="00FA1A19">
              <w:t xml:space="preserve"> </w:t>
            </w:r>
            <w:r w:rsidR="00185727" w:rsidRPr="00FA1A19">
              <w:t xml:space="preserve">with </w:t>
            </w:r>
            <w:r w:rsidR="00E455CC" w:rsidRPr="00E81174">
              <w:t xml:space="preserve">industry stakeholders and taxpayer representative groups </w:t>
            </w:r>
            <w:r w:rsidR="00E455CC" w:rsidRPr="008A62C8">
              <w:t>including</w:t>
            </w:r>
            <w:r w:rsidR="00E455CC" w:rsidRPr="00E81174">
              <w:t xml:space="preserve"> </w:t>
            </w:r>
            <w:r w:rsidR="00185727" w:rsidRPr="00FA1A19">
              <w:t>the Crypto Industry Working Group</w:t>
            </w:r>
            <w:r w:rsidR="00E217A9" w:rsidRPr="00FA1A19">
              <w:t>,</w:t>
            </w:r>
            <w:r w:rsidR="00185727" w:rsidRPr="00FA1A19">
              <w:t xml:space="preserve"> </w:t>
            </w:r>
            <w:r w:rsidR="00630A00" w:rsidRPr="00FA1A19">
              <w:t xml:space="preserve">develop </w:t>
            </w:r>
            <w:r w:rsidR="00CE639B" w:rsidRPr="00FA1A19">
              <w:t xml:space="preserve">further guidance with examples as to </w:t>
            </w:r>
            <w:r w:rsidR="00185727" w:rsidRPr="00FA1A19">
              <w:t>when the CGT personal use asset rules apply to NFTs.</w:t>
            </w:r>
          </w:p>
        </w:tc>
      </w:tr>
    </w:tbl>
    <w:p w14:paraId="5F11826C" w14:textId="77777777" w:rsidR="00185727" w:rsidRPr="00FA1A19" w:rsidRDefault="00185727" w:rsidP="00981F8C">
      <w:pPr>
        <w:pStyle w:val="SingleParagraph"/>
      </w:pPr>
    </w:p>
    <w:p w14:paraId="21B6D614" w14:textId="77777777" w:rsidR="00096308" w:rsidRPr="008E10B0" w:rsidRDefault="00096308" w:rsidP="00096308">
      <w:pPr>
        <w:pStyle w:val="Heading3"/>
      </w:pPr>
      <w:r w:rsidRPr="008E10B0">
        <w:t>Taxation of financial arrangements</w:t>
      </w:r>
    </w:p>
    <w:p w14:paraId="7E3F7DA0" w14:textId="21F96207" w:rsidR="00096308" w:rsidRPr="008E10B0" w:rsidRDefault="00096308" w:rsidP="00096308">
      <w:r w:rsidRPr="008E10B0">
        <w:t xml:space="preserve">Where TOFA applies, a key issue is determining whether a particular arrangement constitutes a </w:t>
      </w:r>
      <w:r w:rsidR="00F75232">
        <w:t>‘</w:t>
      </w:r>
      <w:r w:rsidRPr="008E10B0">
        <w:t>financial arrangement</w:t>
      </w:r>
      <w:r w:rsidR="00F75232">
        <w:t xml:space="preserve">’. </w:t>
      </w:r>
      <w:r w:rsidRPr="008E10B0">
        <w:t>In broad summary, the definition of financial arrangement in section 230</w:t>
      </w:r>
      <w:r w:rsidR="00F75232">
        <w:noBreakHyphen/>
      </w:r>
      <w:r w:rsidRPr="008E10B0">
        <w:t xml:space="preserve">45 </w:t>
      </w:r>
      <w:r w:rsidR="00F57D88">
        <w:t xml:space="preserve">of the ITAA 1997 </w:t>
      </w:r>
      <w:r w:rsidRPr="008E10B0">
        <w:t>refers to an arrangement that has one or more cash settable legal or equitable rights to receive or provide a financial benefit</w:t>
      </w:r>
      <w:r w:rsidR="00F75232">
        <w:t xml:space="preserve">. </w:t>
      </w:r>
      <w:r w:rsidRPr="008E10B0">
        <w:t>A number of financial arrangements are expressly excluded (for example section 230</w:t>
      </w:r>
      <w:r w:rsidR="00F75232">
        <w:noBreakHyphen/>
      </w:r>
      <w:r w:rsidRPr="008E10B0">
        <w:t>450</w:t>
      </w:r>
      <w:r w:rsidR="00F57D88">
        <w:t xml:space="preserve"> of the ITAA 1997</w:t>
      </w:r>
      <w:r w:rsidRPr="008E10B0">
        <w:t xml:space="preserve"> includes an exception for certain short term arrangements involving the acquisition or disposal of non</w:t>
      </w:r>
      <w:r w:rsidR="00F75232">
        <w:noBreakHyphen/>
      </w:r>
      <w:r w:rsidRPr="008E10B0">
        <w:t>money amounts)</w:t>
      </w:r>
      <w:r w:rsidR="00F75232">
        <w:t xml:space="preserve">. </w:t>
      </w:r>
      <w:r w:rsidRPr="008E10B0">
        <w:t xml:space="preserve">  </w:t>
      </w:r>
    </w:p>
    <w:p w14:paraId="64C36473" w14:textId="179B8AB4" w:rsidR="00096308" w:rsidRPr="008E10B0" w:rsidRDefault="00096308" w:rsidP="00096308">
      <w:r w:rsidRPr="008E10B0">
        <w:t>As far as the Board is aware, the current ATO guidance regarding crypto assets is largely silent regarding the application of the TOFA measures to crypto assets (and digital assets more broadly)</w:t>
      </w:r>
      <w:r w:rsidR="00F75232">
        <w:t xml:space="preserve">. </w:t>
      </w:r>
      <w:r w:rsidRPr="008E10B0">
        <w:t>The Board notes that this may be understandable given the particular target market to which much of the ATO guidance is directed (e.g. individual taxpayers that may be expected to have no need to consider the application of the TOFA rules in the preparation of their income tax returns).</w:t>
      </w:r>
    </w:p>
    <w:p w14:paraId="36F17D66" w14:textId="0E9DB806" w:rsidR="00096308" w:rsidRDefault="00096308" w:rsidP="00096308">
      <w:r w:rsidRPr="008E10B0">
        <w:t xml:space="preserve">The Board notes that there is one </w:t>
      </w:r>
      <w:r>
        <w:t xml:space="preserve">published edited extract of a </w:t>
      </w:r>
      <w:r w:rsidRPr="008E10B0">
        <w:t>PBR that considers the application of TOFA to crypto assets</w:t>
      </w:r>
      <w:r w:rsidR="00C80A23">
        <w:t>.</w:t>
      </w:r>
      <w:r w:rsidR="00F57D88" w:rsidRPr="00170ADC">
        <w:rPr>
          <w:rStyle w:val="FootnoteReference"/>
        </w:rPr>
        <w:footnoteReference w:id="430"/>
      </w:r>
      <w:r w:rsidRPr="008E10B0">
        <w:t xml:space="preserve"> </w:t>
      </w:r>
      <w:r>
        <w:t xml:space="preserve">As set out in </w:t>
      </w:r>
      <w:r w:rsidR="00372633">
        <w:t>Chapter </w:t>
      </w:r>
      <w:r>
        <w:t xml:space="preserve">6, reliance upon edited PBRs will not provide a taxpayer with protection from tax shortfalls or penalties. </w:t>
      </w:r>
      <w:r w:rsidRPr="008E10B0">
        <w:t>The PBR is lengthy, complex and concerns, as is relevant to crypto assets, the application of the TOFA rules to two arrangements:</w:t>
      </w:r>
    </w:p>
    <w:p w14:paraId="696481ED" w14:textId="05587C7E" w:rsidR="00096308" w:rsidRPr="008E10B0" w:rsidRDefault="00B437C8" w:rsidP="001C3E8C">
      <w:pPr>
        <w:pStyle w:val="Bullet"/>
      </w:pPr>
      <w:r>
        <w:t>t</w:t>
      </w:r>
      <w:r w:rsidR="00096308" w:rsidRPr="008E10B0">
        <w:t xml:space="preserve">ransactions entered into by a bot to </w:t>
      </w:r>
      <w:r w:rsidR="00F75232">
        <w:t>‘</w:t>
      </w:r>
      <w:r w:rsidR="00096308" w:rsidRPr="00E624D0">
        <w:t>simultaneously swap cryptocurrency types to arbitrage from short term differences in crypto currency conversion rates</w:t>
      </w:r>
      <w:r w:rsidR="00F75232">
        <w:t>’</w:t>
      </w:r>
      <w:r w:rsidR="00096308" w:rsidRPr="008E10B0">
        <w:t xml:space="preserve"> The PBR refers to these transactions as the </w:t>
      </w:r>
      <w:r w:rsidR="00F75232">
        <w:t>‘</w:t>
      </w:r>
      <w:r w:rsidR="00096308" w:rsidRPr="008E10B0">
        <w:t>arbitrage function</w:t>
      </w:r>
      <w:r w:rsidR="00F75232">
        <w:t>’</w:t>
      </w:r>
    </w:p>
    <w:p w14:paraId="4FD95310" w14:textId="21F5684A" w:rsidR="00096308" w:rsidRPr="008E10B0" w:rsidRDefault="00B437C8" w:rsidP="001C3E8C">
      <w:pPr>
        <w:pStyle w:val="Bullet"/>
      </w:pPr>
      <w:r>
        <w:t>o</w:t>
      </w:r>
      <w:r w:rsidR="00096308" w:rsidRPr="008E10B0">
        <w:t>ther cryptocurrency holdings – this covered long</w:t>
      </w:r>
      <w:r w:rsidR="00F75232">
        <w:noBreakHyphen/>
      </w:r>
      <w:r w:rsidR="00096308" w:rsidRPr="008E10B0">
        <w:t xml:space="preserve">term crypto currency investments and stablecoin holdings held for conversion to cash. The PBR refers to these transactions as </w:t>
      </w:r>
      <w:r w:rsidR="00F75232">
        <w:t>‘</w:t>
      </w:r>
      <w:r w:rsidR="00096308" w:rsidRPr="008E10B0">
        <w:t>cryptocurrency holdings</w:t>
      </w:r>
      <w:r w:rsidR="00F75232">
        <w:t>’</w:t>
      </w:r>
      <w:r w:rsidR="00096308" w:rsidRPr="008E10B0">
        <w:t>.</w:t>
      </w:r>
    </w:p>
    <w:p w14:paraId="5F547137" w14:textId="6DAF9CDF" w:rsidR="00096308" w:rsidRPr="008E10B0" w:rsidRDefault="00096308" w:rsidP="00096308">
      <w:pPr>
        <w:rPr>
          <w:rFonts w:asciiTheme="minorHAnsi" w:hAnsiTheme="minorHAnsi" w:cstheme="minorHAnsi"/>
        </w:rPr>
      </w:pPr>
      <w:bookmarkStart w:id="99" w:name="_Hlk157681656"/>
      <w:r w:rsidRPr="008E10B0">
        <w:rPr>
          <w:rFonts w:asciiTheme="minorHAnsi" w:hAnsiTheme="minorHAnsi" w:cstheme="minorHAnsi"/>
        </w:rPr>
        <w:t>The conclusion in the PBR is that the TOFA rules are not applicable to the above transactions. The analysis in the PBR is complex and presented using a series of tables</w:t>
      </w:r>
      <w:r w:rsidR="00F75232">
        <w:rPr>
          <w:rFonts w:asciiTheme="minorHAnsi" w:hAnsiTheme="minorHAnsi" w:cstheme="minorHAnsi"/>
        </w:rPr>
        <w:t xml:space="preserve">. </w:t>
      </w:r>
      <w:r w:rsidRPr="008E10B0">
        <w:rPr>
          <w:rFonts w:asciiTheme="minorHAnsi" w:hAnsiTheme="minorHAnsi" w:cstheme="minorHAnsi"/>
        </w:rPr>
        <w:t>It is difficult to interpret the exact conclusions but in summary, it appears that the Commissioner</w:t>
      </w:r>
      <w:r w:rsidR="00F75232">
        <w:rPr>
          <w:rFonts w:asciiTheme="minorHAnsi" w:hAnsiTheme="minorHAnsi" w:cstheme="minorHAnsi"/>
        </w:rPr>
        <w:t>’</w:t>
      </w:r>
      <w:r w:rsidRPr="008E10B0">
        <w:rPr>
          <w:rFonts w:asciiTheme="minorHAnsi" w:hAnsiTheme="minorHAnsi" w:cstheme="minorHAnsi"/>
        </w:rPr>
        <w:t>s views are as follows:</w:t>
      </w:r>
    </w:p>
    <w:bookmarkEnd w:id="99"/>
    <w:p w14:paraId="4588341B" w14:textId="15C00982" w:rsidR="00096308" w:rsidRPr="008E10B0" w:rsidRDefault="00D37F18" w:rsidP="001C3E8C">
      <w:pPr>
        <w:pStyle w:val="Bullet"/>
      </w:pPr>
      <w:r>
        <w:t>B</w:t>
      </w:r>
      <w:r w:rsidRPr="008E10B0">
        <w:t xml:space="preserve">ecause </w:t>
      </w:r>
      <w:r w:rsidR="00096308" w:rsidRPr="008E10B0">
        <w:t xml:space="preserve">the purpose of the transactions was to acquire crypto currency and a right to receive cryptocurrency is not a cash </w:t>
      </w:r>
      <w:r w:rsidR="00C86066" w:rsidRPr="008E10B0">
        <w:t>settleable</w:t>
      </w:r>
      <w:r w:rsidR="00096308" w:rsidRPr="008E10B0">
        <w:t xml:space="preserve"> right, the crypto currency holdings transactions are not financial arrangements</w:t>
      </w:r>
      <w:r>
        <w:t>.</w:t>
      </w:r>
    </w:p>
    <w:p w14:paraId="1543C395" w14:textId="4D609A57" w:rsidR="00096308" w:rsidRPr="008E10B0" w:rsidRDefault="00D37F18" w:rsidP="001C3E8C">
      <w:pPr>
        <w:pStyle w:val="Bullet"/>
      </w:pPr>
      <w:r>
        <w:t>T</w:t>
      </w:r>
      <w:r w:rsidRPr="008E10B0">
        <w:t xml:space="preserve">he </w:t>
      </w:r>
      <w:r w:rsidR="00096308" w:rsidRPr="008E10B0">
        <w:t>transactions in respect of the arbitrage transactions were potentially financial arrangements on the basis of a number of specific provisions. This includes provisions that relate to dealing in rights or obligations in order to generate a profit from short term fluctuations in prices and (provisions that can apply where to financial benefits readily convertible into money or money equivalent where there is a market for the financial benefit that has a high degree of liquidity. However, the exception for certain short term arrangements involving the acquisition or disposal of non</w:t>
      </w:r>
      <w:r w:rsidR="00F75232">
        <w:noBreakHyphen/>
      </w:r>
      <w:r w:rsidR="00096308" w:rsidRPr="008E10B0">
        <w:t>money amounts in section 230</w:t>
      </w:r>
      <w:r w:rsidR="00F75232">
        <w:noBreakHyphen/>
      </w:r>
      <w:r w:rsidR="00096308" w:rsidRPr="008E10B0">
        <w:t>550</w:t>
      </w:r>
      <w:r w:rsidR="006604AB">
        <w:t xml:space="preserve"> of the ITAA 1997</w:t>
      </w:r>
      <w:r w:rsidR="00096308" w:rsidRPr="008E10B0">
        <w:t xml:space="preserve"> was held to be applicable, with the result that TOFA was not then applicable</w:t>
      </w:r>
      <w:r w:rsidR="008B294C">
        <w:t>.</w:t>
      </w:r>
    </w:p>
    <w:p w14:paraId="63B2E173" w14:textId="7620D91F" w:rsidR="00096308" w:rsidRPr="008E10B0" w:rsidRDefault="00096308" w:rsidP="00096308">
      <w:pPr>
        <w:rPr>
          <w:rFonts w:asciiTheme="minorHAnsi" w:hAnsiTheme="minorHAnsi" w:cstheme="minorHAnsi"/>
        </w:rPr>
      </w:pPr>
      <w:r w:rsidRPr="008E10B0">
        <w:rPr>
          <w:rFonts w:asciiTheme="minorHAnsi" w:hAnsiTheme="minorHAnsi" w:cstheme="minorHAnsi"/>
        </w:rPr>
        <w:t>The Board received feedback regarding the lack of certainty regarding the potential application of the TOFA rules to crypto transactions</w:t>
      </w:r>
      <w:r w:rsidR="00523008">
        <w:rPr>
          <w:rFonts w:asciiTheme="minorHAnsi" w:hAnsiTheme="minorHAnsi" w:cstheme="minorHAnsi"/>
        </w:rPr>
        <w:t>.</w:t>
      </w:r>
      <w:r w:rsidR="00523008" w:rsidRPr="00170ADC">
        <w:rPr>
          <w:rStyle w:val="FootnoteReference"/>
        </w:rPr>
        <w:footnoteReference w:id="431"/>
      </w:r>
      <w:r w:rsidRPr="008E10B0">
        <w:rPr>
          <w:rFonts w:asciiTheme="minorHAnsi" w:hAnsiTheme="minorHAnsi" w:cstheme="minorHAnsi"/>
        </w:rPr>
        <w:t xml:space="preserve"> </w:t>
      </w:r>
    </w:p>
    <w:p w14:paraId="607FED10" w14:textId="77777777" w:rsidR="00096308" w:rsidRPr="008E10B0" w:rsidRDefault="00096308" w:rsidP="00096308">
      <w:pPr>
        <w:rPr>
          <w:rFonts w:asciiTheme="minorHAnsi" w:hAnsiTheme="minorHAnsi" w:cstheme="minorHAnsi"/>
        </w:rPr>
      </w:pPr>
      <w:r w:rsidRPr="008E10B0">
        <w:rPr>
          <w:rFonts w:asciiTheme="minorHAnsi" w:hAnsiTheme="minorHAnsi" w:cstheme="minorHAnsi"/>
        </w:rPr>
        <w:t xml:space="preserve">The Board agrees with stakeholder representations that there is a lack of clarity as to how the TOFA measures apply to crypto assets. </w:t>
      </w:r>
    </w:p>
    <w:p w14:paraId="26B67B6C" w14:textId="01DA6BA7" w:rsidR="00096308" w:rsidRPr="008E10B0" w:rsidRDefault="00096308" w:rsidP="00096308">
      <w:pPr>
        <w:rPr>
          <w:rFonts w:asciiTheme="minorHAnsi" w:hAnsiTheme="minorHAnsi" w:cstheme="minorHAnsi"/>
          <w:b/>
          <w:bCs/>
        </w:rPr>
      </w:pPr>
    </w:p>
    <w:tbl>
      <w:tblPr>
        <w:tblStyle w:val="Style2"/>
        <w:tblW w:w="5000" w:type="pct"/>
        <w:tblLook w:val="0420" w:firstRow="1" w:lastRow="0" w:firstColumn="0" w:lastColumn="0" w:noHBand="0" w:noVBand="1"/>
      </w:tblPr>
      <w:tblGrid>
        <w:gridCol w:w="9641"/>
      </w:tblGrid>
      <w:tr w:rsidR="00435521" w:rsidRPr="00FA1A19" w14:paraId="4C0497DF"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6B4187D3" w14:textId="06C04516" w:rsidR="00435521" w:rsidRPr="00FA1A19" w:rsidRDefault="00372633">
            <w:pPr>
              <w:pStyle w:val="BoxHeading1"/>
            </w:pPr>
            <w:r>
              <w:t>Recommendation </w:t>
            </w:r>
            <w:r w:rsidR="00435521" w:rsidRPr="00FA1A19">
              <w:t>7.</w:t>
            </w:r>
            <w:r w:rsidR="007C1CD2">
              <w:t>5</w:t>
            </w:r>
          </w:p>
        </w:tc>
      </w:tr>
      <w:tr w:rsidR="00435521" w:rsidRPr="00FA1A19" w14:paraId="0DDC7F23"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1133DE1B" w14:textId="12143C99" w:rsidR="00435521" w:rsidRPr="00BF26B3" w:rsidRDefault="00435521" w:rsidP="00435521">
            <w:r w:rsidRPr="00BF26B3">
              <w:rPr>
                <w:rFonts w:asciiTheme="minorHAnsi" w:hAnsiTheme="minorHAnsi" w:cstheme="minorHAnsi"/>
              </w:rPr>
              <w:t>The Board recommends that the ATO, in consultation with</w:t>
            </w:r>
            <w:r w:rsidRPr="00BF26B3">
              <w:t xml:space="preserve"> industry stakeholders and taxpayer representative groups including</w:t>
            </w:r>
            <w:r w:rsidRPr="00BF26B3">
              <w:rPr>
                <w:rFonts w:asciiTheme="minorHAnsi" w:hAnsiTheme="minorHAnsi" w:cstheme="minorHAnsi"/>
              </w:rPr>
              <w:t xml:space="preserve"> the Crypto Industry Working Group, develop guidance regarding the manner in which common crypto asset transactions may be treated under the TOFA rules.</w:t>
            </w:r>
          </w:p>
        </w:tc>
      </w:tr>
    </w:tbl>
    <w:p w14:paraId="3DC54279" w14:textId="3D6A00D1" w:rsidR="00185727" w:rsidRPr="00FA1A19" w:rsidRDefault="00B14839" w:rsidP="00342121">
      <w:pPr>
        <w:pStyle w:val="Heading3"/>
      </w:pPr>
      <w:r w:rsidRPr="00FA1A19">
        <w:t>Deductions</w:t>
      </w:r>
    </w:p>
    <w:p w14:paraId="1AA14572" w14:textId="1B99B34D" w:rsidR="00F04213" w:rsidRPr="00FA1A19" w:rsidRDefault="00F04213" w:rsidP="00F04213">
      <w:r w:rsidRPr="00FA1A19">
        <w:t>The Board received limited feedback in relation to deductions for crypto asset activities, however KPMG highlighted the need for further guidance in relation to what deductions are allowable and in what circumstances</w:t>
      </w:r>
      <w:r w:rsidR="00B605BF" w:rsidRPr="00FA1A19">
        <w:t xml:space="preserve"> (giving as an example, network fees</w:t>
      </w:r>
      <w:r w:rsidR="006625D8" w:rsidRPr="00FA1A19">
        <w:t>)</w:t>
      </w:r>
      <w:r w:rsidRPr="00FA1A19">
        <w:t>.</w:t>
      </w:r>
      <w:r w:rsidRPr="00170ADC">
        <w:rPr>
          <w:rStyle w:val="FootnoteReference"/>
        </w:rPr>
        <w:footnoteReference w:id="432"/>
      </w:r>
      <w:r w:rsidRPr="00FA1A19">
        <w:t xml:space="preserve"> </w:t>
      </w:r>
    </w:p>
    <w:p w14:paraId="61D985CF" w14:textId="6BE7A06E" w:rsidR="00B14839" w:rsidRPr="00FA1A19" w:rsidRDefault="00B14839" w:rsidP="00981F8C">
      <w:pPr>
        <w:pStyle w:val="SingleParagraph"/>
      </w:pPr>
    </w:p>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top w:w="113" w:type="dxa"/>
          <w:left w:w="284" w:type="dxa"/>
          <w:bottom w:w="113" w:type="dxa"/>
          <w:right w:w="284" w:type="dxa"/>
        </w:tblCellMar>
        <w:tblLook w:val="01E0" w:firstRow="1" w:lastRow="1" w:firstColumn="1" w:lastColumn="1" w:noHBand="0" w:noVBand="0"/>
      </w:tblPr>
      <w:tblGrid>
        <w:gridCol w:w="9641"/>
      </w:tblGrid>
      <w:tr w:rsidR="007D2221" w:rsidRPr="00FA1A19" w14:paraId="7D7729FB"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EDBB337" w14:textId="048EBBC6" w:rsidR="007D2221" w:rsidRPr="00FA1A19" w:rsidRDefault="00372633" w:rsidP="003316D7">
            <w:pPr>
              <w:pStyle w:val="BoxHeading1"/>
            </w:pPr>
            <w:r>
              <w:t>Observation </w:t>
            </w:r>
            <w:r w:rsidR="001D279F" w:rsidRPr="00FA1A19">
              <w:t>7.3</w:t>
            </w:r>
          </w:p>
        </w:tc>
      </w:tr>
      <w:tr w:rsidR="007D2221" w:rsidRPr="00FA1A19" w14:paraId="11C66B8B" w14:textId="77777777" w:rsidTr="00EB09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F6F2ED" w:themeFill="accent3" w:themeFillTint="33"/>
          </w:tcPr>
          <w:p w14:paraId="5F927CB1" w14:textId="3154CE0B" w:rsidR="007D2221" w:rsidRPr="00FA1A19" w:rsidRDefault="00922CC4" w:rsidP="00981F8C">
            <w:pPr>
              <w:pStyle w:val="BoxText"/>
            </w:pPr>
            <w:r w:rsidRPr="00FA1A19">
              <w:t xml:space="preserve">The Board observes that </w:t>
            </w:r>
            <w:r w:rsidR="003C7F6D" w:rsidRPr="00FA1A19">
              <w:t xml:space="preserve">crypto asset users may incur expenditure in undertaking their activities. </w:t>
            </w:r>
            <w:r w:rsidR="00C97C3C" w:rsidRPr="00FA1A19">
              <w:t xml:space="preserve">This expenditure </w:t>
            </w:r>
            <w:r w:rsidR="1DE72163" w:rsidRPr="00FA1A19">
              <w:t>may</w:t>
            </w:r>
            <w:r w:rsidR="00C97C3C" w:rsidRPr="00FA1A19">
              <w:t xml:space="preserve"> be deductible to a taxpayer in accordance with</w:t>
            </w:r>
            <w:r w:rsidR="00E651FC" w:rsidRPr="00FA1A19">
              <w:t xml:space="preserve"> the existing law under section 8</w:t>
            </w:r>
            <w:r w:rsidR="00F75232">
              <w:noBreakHyphen/>
            </w:r>
            <w:r w:rsidR="00E651FC" w:rsidRPr="00FA1A19">
              <w:t>1 of the ITAA 1997.</w:t>
            </w:r>
            <w:r w:rsidRPr="00FA1A19">
              <w:t xml:space="preserve"> </w:t>
            </w:r>
          </w:p>
        </w:tc>
      </w:tr>
    </w:tbl>
    <w:p w14:paraId="5CDE1302" w14:textId="77777777" w:rsidR="00981F8C" w:rsidRDefault="00981F8C" w:rsidP="00981F8C">
      <w:pPr>
        <w:pStyle w:val="SingleParagraph"/>
      </w:pPr>
    </w:p>
    <w:p w14:paraId="74B5A04C" w14:textId="1CBB69FF" w:rsidR="00D6743E" w:rsidRPr="00FA1A19" w:rsidRDefault="006625D8" w:rsidP="00342121">
      <w:pPr>
        <w:pStyle w:val="Heading3"/>
      </w:pPr>
      <w:r w:rsidRPr="00FA1A19">
        <w:t>Treatment of Losses</w:t>
      </w:r>
    </w:p>
    <w:p w14:paraId="64ACD2DB" w14:textId="1504F144" w:rsidR="00FE0880" w:rsidRPr="00FA1A19" w:rsidRDefault="00230140" w:rsidP="00185727">
      <w:r w:rsidRPr="00FA1A19">
        <w:t xml:space="preserve">During the </w:t>
      </w:r>
      <w:r w:rsidR="007B5725">
        <w:t>c</w:t>
      </w:r>
      <w:r w:rsidR="007B5725" w:rsidRPr="00FA1A19">
        <w:t xml:space="preserve">onsultation </w:t>
      </w:r>
      <w:r w:rsidRPr="00FA1A19">
        <w:t xml:space="preserve">process, there was some discussion as to whether losses derived from </w:t>
      </w:r>
      <w:r w:rsidR="007B44F3" w:rsidRPr="00FA1A19">
        <w:t>digital assets and transactions</w:t>
      </w:r>
      <w:r w:rsidRPr="00FA1A19">
        <w:t xml:space="preserve"> should be quarantined, </w:t>
      </w:r>
      <w:r w:rsidR="00CF28DA" w:rsidRPr="00FA1A19">
        <w:t>regardless of whether they are characterised as being on revenue or capital account.</w:t>
      </w:r>
      <w:r w:rsidR="004F0A51" w:rsidRPr="00FA1A19">
        <w:t xml:space="preserve"> </w:t>
      </w:r>
      <w:r w:rsidR="00CF28DA" w:rsidRPr="00FA1A19">
        <w:t>If this were to occur,</w:t>
      </w:r>
      <w:r w:rsidR="00FA1C3E" w:rsidRPr="00FA1A19">
        <w:t xml:space="preserve"> crypto</w:t>
      </w:r>
      <w:r w:rsidR="00F75232">
        <w:noBreakHyphen/>
      </w:r>
      <w:r w:rsidR="00FA1C3E" w:rsidRPr="00FA1A19">
        <w:t>related losses could only be deducted against crypto</w:t>
      </w:r>
      <w:r w:rsidR="00F75232">
        <w:noBreakHyphen/>
      </w:r>
      <w:r w:rsidR="00FA1C3E" w:rsidRPr="00FA1A19">
        <w:t>related gains</w:t>
      </w:r>
      <w:r w:rsidR="001C145D" w:rsidRPr="00FA1A19">
        <w:t>.</w:t>
      </w:r>
      <w:r w:rsidR="004F0A51" w:rsidRPr="00FA1A19">
        <w:t xml:space="preserve"> </w:t>
      </w:r>
      <w:r w:rsidR="0038671D" w:rsidRPr="00FA1A19">
        <w:t xml:space="preserve">There is some precedent for quarantining losses in other areas, for example, </w:t>
      </w:r>
      <w:r w:rsidR="003C5F62" w:rsidRPr="00FA1A19">
        <w:t xml:space="preserve">losses from </w:t>
      </w:r>
      <w:r w:rsidR="0038671D" w:rsidRPr="00FA1A19">
        <w:t>non</w:t>
      </w:r>
      <w:r w:rsidR="00F75232">
        <w:noBreakHyphen/>
      </w:r>
      <w:r w:rsidR="0038671D" w:rsidRPr="00FA1A19">
        <w:t xml:space="preserve">commercial </w:t>
      </w:r>
      <w:r w:rsidR="003C5F62" w:rsidRPr="00FA1A19">
        <w:t>business activities</w:t>
      </w:r>
      <w:r w:rsidR="0038671D" w:rsidRPr="00FA1A19">
        <w:t xml:space="preserve"> in Division 35 of the ITAA 1997.</w:t>
      </w:r>
    </w:p>
    <w:p w14:paraId="71D732AE" w14:textId="72767035" w:rsidR="00C934A5" w:rsidRPr="00FA1A19" w:rsidRDefault="0038671D" w:rsidP="00185727">
      <w:r w:rsidRPr="00FA1A19">
        <w:t>If implemented, this</w:t>
      </w:r>
      <w:r w:rsidR="001C145D" w:rsidRPr="00FA1A19">
        <w:t xml:space="preserve"> would be a revenue</w:t>
      </w:r>
      <w:r w:rsidR="00F75232">
        <w:noBreakHyphen/>
      </w:r>
      <w:r w:rsidR="001C145D" w:rsidRPr="00FA1A19">
        <w:t>protecti</w:t>
      </w:r>
      <w:r w:rsidR="00FE0880" w:rsidRPr="00FA1A19">
        <w:t>on</w:t>
      </w:r>
      <w:r w:rsidR="001C145D" w:rsidRPr="00FA1A19">
        <w:t xml:space="preserve"> </w:t>
      </w:r>
      <w:r w:rsidR="00DC2647" w:rsidRPr="00FA1A19">
        <w:t xml:space="preserve">measure in recognition of the highly volatile </w:t>
      </w:r>
      <w:r w:rsidR="00273D41" w:rsidRPr="00FA1A19">
        <w:t>prices</w:t>
      </w:r>
      <w:r w:rsidR="00DC2647" w:rsidRPr="00FA1A19">
        <w:t xml:space="preserve"> of crypto asse</w:t>
      </w:r>
      <w:r w:rsidR="00273D41" w:rsidRPr="00FA1A19">
        <w:t>ts.</w:t>
      </w:r>
      <w:r w:rsidR="004F0A51" w:rsidRPr="00FA1A19">
        <w:t xml:space="preserve"> </w:t>
      </w:r>
      <w:r w:rsidR="00236C43" w:rsidRPr="00FA1A19">
        <w:t>Some have argued that permitting crypto</w:t>
      </w:r>
      <w:r w:rsidR="00F75232">
        <w:noBreakHyphen/>
      </w:r>
      <w:r w:rsidR="00236C43" w:rsidRPr="00FA1A19">
        <w:t>related losses to be offset against other types of assessable income (such as salaries)</w:t>
      </w:r>
      <w:r w:rsidR="00C934A5" w:rsidRPr="00FA1A19">
        <w:t xml:space="preserve"> constitutes the </w:t>
      </w:r>
      <w:r w:rsidR="005471CB">
        <w:t>G</w:t>
      </w:r>
      <w:r w:rsidR="005471CB" w:rsidRPr="00FA1A19">
        <w:t xml:space="preserve">overnment </w:t>
      </w:r>
      <w:r w:rsidR="00C934A5" w:rsidRPr="00FA1A19">
        <w:t xml:space="preserve">effectively subsidising </w:t>
      </w:r>
      <w:r w:rsidR="006158A3" w:rsidRPr="00FA1A19">
        <w:t>crypto losses.</w:t>
      </w:r>
      <w:r w:rsidR="004F0A51" w:rsidRPr="00FA1A19">
        <w:t xml:space="preserve"> </w:t>
      </w:r>
      <w:r w:rsidR="006158A3" w:rsidRPr="00FA1A19">
        <w:t xml:space="preserve">Whilst any gains are commensurately assessable, there may be some concern that </w:t>
      </w:r>
      <w:r w:rsidR="009E267C" w:rsidRPr="00FA1A19">
        <w:t>crypto losses will be more readily claimed to be on revenue account, whereas crypto gains may be more readily claimed to be on capital account and eligible for the CGT discount.</w:t>
      </w:r>
      <w:r w:rsidR="004F0A51" w:rsidRPr="00FA1A19">
        <w:t xml:space="preserve"> </w:t>
      </w:r>
      <w:r w:rsidR="003F6DAE" w:rsidRPr="00FA1A19">
        <w:t xml:space="preserve">In this regard, </w:t>
      </w:r>
      <w:r w:rsidR="007013FA" w:rsidRPr="00FA1A19">
        <w:t>it is noted that</w:t>
      </w:r>
      <w:r w:rsidR="003F6DAE" w:rsidRPr="00FA1A19">
        <w:t xml:space="preserve"> one rational for</w:t>
      </w:r>
      <w:r w:rsidR="00E03ED5" w:rsidRPr="00FA1A19">
        <w:t xml:space="preserve"> the </w:t>
      </w:r>
      <w:r w:rsidR="009241A0">
        <w:t>g</w:t>
      </w:r>
      <w:r w:rsidR="009241A0" w:rsidRPr="00FA1A19">
        <w:t xml:space="preserve">overnment </w:t>
      </w:r>
      <w:r w:rsidR="00E03ED5" w:rsidRPr="00FA1A19">
        <w:t>in 2012</w:t>
      </w:r>
      <w:r w:rsidR="003F6DAE" w:rsidRPr="00FA1A19">
        <w:t xml:space="preserve"> limiting the trading stock exception for superannuation funds (see next section) was that the general industry practice was to tax gains and losses on share transactions according to the CGT provisions, </w:t>
      </w:r>
      <w:r w:rsidR="00F36AA1" w:rsidRPr="00FA1A19">
        <w:t xml:space="preserve">however </w:t>
      </w:r>
      <w:r w:rsidR="00F75232">
        <w:t>‘</w:t>
      </w:r>
      <w:r w:rsidR="003F6DAE" w:rsidRPr="00FA1A19">
        <w:t>during the recent economic downturn, a number of superannuation entities sought, for the first time, to treat some of their shares as trading stock</w:t>
      </w:r>
      <w:r w:rsidR="00F75232">
        <w:t>’</w:t>
      </w:r>
      <w:r w:rsidR="003F6DAE" w:rsidRPr="00FA1A19">
        <w:t>.</w:t>
      </w:r>
      <w:r w:rsidR="004D51AA" w:rsidRPr="00170ADC">
        <w:rPr>
          <w:rStyle w:val="FootnoteReference"/>
        </w:rPr>
        <w:footnoteReference w:id="433"/>
      </w:r>
      <w:r w:rsidR="004F0A51" w:rsidRPr="00FA1A19">
        <w:t xml:space="preserve"> </w:t>
      </w:r>
    </w:p>
    <w:p w14:paraId="432FAE2A" w14:textId="251E3B5A" w:rsidR="000E5442" w:rsidRPr="00FA1A19" w:rsidRDefault="00BE1045" w:rsidP="00185727">
      <w:r w:rsidRPr="00FA1A19">
        <w:t xml:space="preserve">Another way to manage this </w:t>
      </w:r>
      <w:r w:rsidR="008E5668" w:rsidRPr="00FA1A19">
        <w:t>different treatment</w:t>
      </w:r>
      <w:r w:rsidR="00BE1448" w:rsidRPr="00FA1A19">
        <w:t xml:space="preserve"> between </w:t>
      </w:r>
      <w:r w:rsidR="008E5668" w:rsidRPr="00FA1A19">
        <w:t>losses on revenue account and losses on capital account</w:t>
      </w:r>
      <w:r w:rsidRPr="00FA1A19">
        <w:t xml:space="preserve"> would be to deem all crypto assets to be held on either revenue or capital account – see </w:t>
      </w:r>
      <w:r w:rsidR="00372633">
        <w:t>Chapter </w:t>
      </w:r>
      <w:r w:rsidRPr="00FA1A19">
        <w:t>13.</w:t>
      </w:r>
    </w:p>
    <w:p w14:paraId="64E7F3B1" w14:textId="13A34422" w:rsidR="00F575B2" w:rsidRPr="00FA1A19" w:rsidRDefault="00F575B2" w:rsidP="00185727">
      <w:r w:rsidRPr="00FA1A19">
        <w:t>Whether losses from activities in the crypto ecosystem should be quarantined is a matter of policy for the Government</w:t>
      </w:r>
      <w:r w:rsidR="4D787C46" w:rsidRPr="00FA1A19">
        <w:t xml:space="preserve"> to consider</w:t>
      </w:r>
      <w:r w:rsidRPr="00FA1A19">
        <w:t xml:space="preserve">. </w:t>
      </w:r>
    </w:p>
    <w:p w14:paraId="04990C28" w14:textId="77777777" w:rsidR="00326A9F" w:rsidRPr="00FA1A19" w:rsidRDefault="00326A9F" w:rsidP="00981F8C">
      <w:pPr>
        <w:pStyle w:val="SingleParagraph"/>
      </w:pPr>
    </w:p>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top w:w="113" w:type="dxa"/>
          <w:left w:w="284" w:type="dxa"/>
          <w:bottom w:w="113" w:type="dxa"/>
          <w:right w:w="284" w:type="dxa"/>
        </w:tblCellMar>
        <w:tblLook w:val="01E0" w:firstRow="1" w:lastRow="1" w:firstColumn="1" w:lastColumn="1" w:noHBand="0" w:noVBand="0"/>
      </w:tblPr>
      <w:tblGrid>
        <w:gridCol w:w="9641"/>
      </w:tblGrid>
      <w:tr w:rsidR="00A92548" w:rsidRPr="00FA1A19" w14:paraId="5475C395" w14:textId="77777777" w:rsidTr="00EB0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9BF2186" w14:textId="3A3C9A2A" w:rsidR="00A92548" w:rsidRPr="00FA1A19" w:rsidRDefault="00372633" w:rsidP="003316D7">
            <w:pPr>
              <w:pStyle w:val="BoxHeading1"/>
            </w:pPr>
            <w:r>
              <w:t>Observation </w:t>
            </w:r>
            <w:r w:rsidR="00A92548" w:rsidRPr="00FA1A19">
              <w:t>7.4</w:t>
            </w:r>
          </w:p>
        </w:tc>
      </w:tr>
      <w:tr w:rsidR="00A92548" w:rsidRPr="00FA1A19" w14:paraId="6DEC3193" w14:textId="77777777" w:rsidTr="00EB09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F6F2ED" w:themeFill="accent3" w:themeFillTint="33"/>
          </w:tcPr>
          <w:p w14:paraId="44DD03EB" w14:textId="111AD417" w:rsidR="00A92548" w:rsidRPr="00FA1A19" w:rsidRDefault="00A92548">
            <w:r w:rsidRPr="00FA1A19">
              <w:t xml:space="preserve">Whether the legislation should be </w:t>
            </w:r>
            <w:r w:rsidR="00326A9F" w:rsidRPr="00FA1A19">
              <w:t>amended</w:t>
            </w:r>
            <w:r w:rsidRPr="00FA1A19">
              <w:t xml:space="preserve"> to quarantine </w:t>
            </w:r>
            <w:r w:rsidR="000E6D65" w:rsidRPr="00FA1A19">
              <w:t xml:space="preserve">revenue </w:t>
            </w:r>
            <w:r w:rsidR="00326A9F" w:rsidRPr="00FA1A19">
              <w:t xml:space="preserve">losses from </w:t>
            </w:r>
            <w:r w:rsidR="007C1CD2">
              <w:t>crypto</w:t>
            </w:r>
            <w:r w:rsidR="007C1CD2" w:rsidRPr="00FA1A19">
              <w:t xml:space="preserve"> </w:t>
            </w:r>
            <w:r w:rsidR="00326A9F" w:rsidRPr="00FA1A19">
              <w:t>assets and transactions</w:t>
            </w:r>
            <w:r w:rsidRPr="00FA1A19">
              <w:t xml:space="preserve"> is a policy issue for the Government. </w:t>
            </w:r>
          </w:p>
        </w:tc>
      </w:tr>
    </w:tbl>
    <w:p w14:paraId="55B2C662" w14:textId="53F33725" w:rsidR="00185727" w:rsidRPr="00FA1A19" w:rsidRDefault="00185727" w:rsidP="00342121">
      <w:pPr>
        <w:pStyle w:val="Heading3"/>
      </w:pPr>
      <w:r w:rsidRPr="00FA1A19">
        <w:t>Source</w:t>
      </w:r>
    </w:p>
    <w:p w14:paraId="4C79A5DE" w14:textId="0D129E02" w:rsidR="00185727" w:rsidRPr="00FA1A19" w:rsidRDefault="00185727" w:rsidP="0069352C">
      <w:pPr>
        <w:pStyle w:val="Heading4"/>
      </w:pPr>
      <w:bookmarkStart w:id="100" w:name="io699084sl730519469UUlawrefUU1"/>
      <w:bookmarkStart w:id="101" w:name="io699084sl730519469UUlawrefUU2"/>
      <w:bookmarkStart w:id="102" w:name="io699084sl1094919620"/>
      <w:bookmarkStart w:id="103" w:name="io699084sl1261835891"/>
      <w:bookmarkEnd w:id="100"/>
      <w:bookmarkEnd w:id="101"/>
      <w:bookmarkEnd w:id="102"/>
      <w:bookmarkEnd w:id="103"/>
      <w:r w:rsidRPr="00FA1A19">
        <w:t>Challenges in establishing the source of crypto</w:t>
      </w:r>
      <w:r w:rsidR="00266CD3" w:rsidRPr="00FA1A19">
        <w:t xml:space="preserve"> asset</w:t>
      </w:r>
      <w:r w:rsidRPr="00FA1A19">
        <w:t xml:space="preserve"> transactions</w:t>
      </w:r>
    </w:p>
    <w:p w14:paraId="568DAF6B" w14:textId="0B5AC22C" w:rsidR="00EB0037" w:rsidRPr="00FA1A19" w:rsidRDefault="00EB0037" w:rsidP="00EB0037">
      <w:r w:rsidRPr="00FA1A19">
        <w:t>The Board heard that the decentralised and pseudo</w:t>
      </w:r>
      <w:r w:rsidR="00F75232">
        <w:noBreakHyphen/>
      </w:r>
      <w:r w:rsidRPr="00FA1A19">
        <w:t>anonymous features of crypto asset users may create challenges in establishing the facts relevant to determining the source of gains or losses from crypto asset transactions. Consideration such as the place of execution of a contract</w:t>
      </w:r>
      <w:r w:rsidRPr="00170ADC">
        <w:rPr>
          <w:rStyle w:val="FootnoteReference"/>
        </w:rPr>
        <w:footnoteReference w:id="434"/>
      </w:r>
      <w:r w:rsidRPr="00FA1A19">
        <w:t xml:space="preserve"> and performance of the contract</w:t>
      </w:r>
      <w:r w:rsidRPr="00170ADC">
        <w:rPr>
          <w:rStyle w:val="FootnoteReference"/>
        </w:rPr>
        <w:footnoteReference w:id="435"/>
      </w:r>
      <w:r w:rsidRPr="00FA1A19">
        <w:t xml:space="preserve"> are not easily identifiable or necessarily applicable to crypto asset transactions.</w:t>
      </w:r>
      <w:r w:rsidR="004F0A51" w:rsidRPr="00FA1A19">
        <w:t xml:space="preserve"> </w:t>
      </w:r>
      <w:r w:rsidRPr="00FA1A19">
        <w:t>The following outlines some of the challenges that were raised with the Board in consultations.</w:t>
      </w:r>
    </w:p>
    <w:p w14:paraId="71DD0FB6" w14:textId="080A615F" w:rsidR="00185727" w:rsidRPr="00FA1A19" w:rsidRDefault="00EB0037" w:rsidP="00185727">
      <w:pPr>
        <w:tabs>
          <w:tab w:val="left" w:pos="5812"/>
        </w:tabs>
      </w:pPr>
      <w:r w:rsidRPr="00FA1A19">
        <w:t>In particular, a</w:t>
      </w:r>
      <w:r w:rsidR="00185727" w:rsidRPr="00FA1A19">
        <w:t xml:space="preserve"> number of </w:t>
      </w:r>
      <w:r w:rsidR="00555C1A" w:rsidRPr="00FA1A19">
        <w:t xml:space="preserve">features </w:t>
      </w:r>
      <w:r w:rsidR="00185727" w:rsidRPr="00FA1A19">
        <w:t>of crypto asset transactions</w:t>
      </w:r>
      <w:r w:rsidR="008B46E2" w:rsidRPr="00FA1A19">
        <w:t xml:space="preserve"> may</w:t>
      </w:r>
      <w:r w:rsidR="00185727" w:rsidRPr="00FA1A19">
        <w:t xml:space="preserve"> raise </w:t>
      </w:r>
      <w:r w:rsidR="00A618B1" w:rsidRPr="00FA1A19">
        <w:t xml:space="preserve">challenging </w:t>
      </w:r>
      <w:r w:rsidR="00185727" w:rsidRPr="00FA1A19">
        <w:t xml:space="preserve">issues </w:t>
      </w:r>
      <w:r w:rsidR="007D2962" w:rsidRPr="00FA1A19">
        <w:t xml:space="preserve">having regard to </w:t>
      </w:r>
      <w:r w:rsidR="00E56F4E" w:rsidRPr="00FA1A19">
        <w:t xml:space="preserve">the </w:t>
      </w:r>
      <w:r w:rsidR="00185727" w:rsidRPr="00FA1A19">
        <w:t>traditional manner in which the common law has determined the source of income. For example:</w:t>
      </w:r>
    </w:p>
    <w:p w14:paraId="48B09FB2" w14:textId="5D72E7D0" w:rsidR="00185727" w:rsidRPr="00FA1A19" w:rsidRDefault="00185727" w:rsidP="00981F8C">
      <w:pPr>
        <w:pStyle w:val="Bullet"/>
      </w:pPr>
      <w:r w:rsidRPr="00FA1A19">
        <w:t xml:space="preserve">Crypto assets </w:t>
      </w:r>
      <w:r w:rsidR="004A144B" w:rsidRPr="00FA1A19">
        <w:t xml:space="preserve">use </w:t>
      </w:r>
      <w:r w:rsidRPr="00FA1A19">
        <w:t xml:space="preserve">of blockchain technology </w:t>
      </w:r>
      <w:r w:rsidR="00E577B5" w:rsidRPr="00FA1A19">
        <w:t xml:space="preserve">which </w:t>
      </w:r>
      <w:r w:rsidR="00925981" w:rsidRPr="00FA1A19">
        <w:t xml:space="preserve">effectively </w:t>
      </w:r>
      <w:r w:rsidR="00607867" w:rsidRPr="00FA1A19">
        <w:t>implements transactions by recording them, with such recording in a decentralised le</w:t>
      </w:r>
      <w:r w:rsidR="00C4580F" w:rsidRPr="00FA1A19">
        <w:t>dger that could have thousands of nodes located around the world.</w:t>
      </w:r>
      <w:r w:rsidRPr="00FA1A19">
        <w:t xml:space="preserve"> There is no need to rely on traditional transfer mechanisms and transactions through market participants and financial intermediaries.</w:t>
      </w:r>
    </w:p>
    <w:p w14:paraId="3AEB3CC4" w14:textId="004D3FE8" w:rsidR="00185727" w:rsidRPr="00FA1A19" w:rsidRDefault="00185727" w:rsidP="00981F8C">
      <w:pPr>
        <w:pStyle w:val="Bullet"/>
      </w:pPr>
      <w:r w:rsidRPr="00FA1A19">
        <w:t>It may be particularly difficult</w:t>
      </w:r>
      <w:r w:rsidR="00BC6028" w:rsidRPr="00FA1A19">
        <w:t>,</w:t>
      </w:r>
      <w:r w:rsidRPr="00FA1A19">
        <w:t xml:space="preserve"> </w:t>
      </w:r>
      <w:r w:rsidR="00BC6028" w:rsidRPr="00FA1A19">
        <w:t xml:space="preserve">or for all practical purposes impossible, </w:t>
      </w:r>
      <w:r w:rsidRPr="00FA1A19">
        <w:t>to identify the counterparty to a transaction (and therefore where that counterparty is located).</w:t>
      </w:r>
    </w:p>
    <w:p w14:paraId="6D870185" w14:textId="2B2FD822" w:rsidR="00185727" w:rsidRPr="00FA1A19" w:rsidRDefault="004B0C2D" w:rsidP="00981F8C">
      <w:pPr>
        <w:pStyle w:val="Bullet"/>
      </w:pPr>
      <w:r w:rsidRPr="00FA1A19">
        <w:t>C</w:t>
      </w:r>
      <w:r w:rsidR="00185727" w:rsidRPr="00FA1A19">
        <w:t xml:space="preserve">rypto asset transactions </w:t>
      </w:r>
      <w:r w:rsidR="00F5010A" w:rsidRPr="00FA1A19">
        <w:t xml:space="preserve">occurring on a blockchain </w:t>
      </w:r>
      <w:r w:rsidR="001874CD" w:rsidRPr="00FA1A19">
        <w:t xml:space="preserve">do not </w:t>
      </w:r>
      <w:r w:rsidR="00AB3843" w:rsidRPr="00FA1A19">
        <w:t>have</w:t>
      </w:r>
      <w:r w:rsidR="00185727" w:rsidRPr="00FA1A19">
        <w:t xml:space="preserve"> traditional forms of written contracts.</w:t>
      </w:r>
      <w:r w:rsidR="00E66959" w:rsidRPr="00170ADC">
        <w:rPr>
          <w:rStyle w:val="FootnoteReference"/>
        </w:rPr>
        <w:footnoteReference w:id="436"/>
      </w:r>
      <w:r w:rsidR="004F0A51" w:rsidRPr="00FA1A19">
        <w:t xml:space="preserve"> </w:t>
      </w:r>
    </w:p>
    <w:p w14:paraId="6F522EBE" w14:textId="41162522" w:rsidR="00185727" w:rsidRPr="00FA1A19" w:rsidRDefault="00075000" w:rsidP="00185727">
      <w:r w:rsidRPr="00FA1A19">
        <w:t>P</w:t>
      </w:r>
      <w:r>
        <w:t>w</w:t>
      </w:r>
      <w:r w:rsidRPr="00FA1A19">
        <w:t xml:space="preserve">C </w:t>
      </w:r>
      <w:r w:rsidR="00185727" w:rsidRPr="00FA1A19">
        <w:t>explained the challenges in identifying source, noting:</w:t>
      </w:r>
    </w:p>
    <w:p w14:paraId="3ED830BA" w14:textId="783AABFA" w:rsidR="00185727" w:rsidRPr="00FA1A19" w:rsidRDefault="00185727" w:rsidP="00722D65">
      <w:pPr>
        <w:pStyle w:val="Quote"/>
      </w:pPr>
      <w:r w:rsidRPr="00FA1A19">
        <w:t>… there is currently no guidance on the source of income arising from blockchain events (e.g. staking rewards, gas fees, gains on disposal of digital assets where the asset is held on revenue account). While these are only limited situations where this would impact the tax outcome (for example, where the relevant taxpayer was a non</w:t>
      </w:r>
      <w:r w:rsidR="00F75232">
        <w:noBreakHyphen/>
      </w:r>
      <w:r w:rsidRPr="00FA1A19">
        <w:t xml:space="preserve">resident and the income is sourced in Australia), it is unclear whether it is even possible to identify a source for this type of income, where it is not possible to identify: </w:t>
      </w:r>
    </w:p>
    <w:p w14:paraId="06D2133C" w14:textId="11461BE8" w:rsidR="00185727" w:rsidRPr="00FA1A19" w:rsidRDefault="00185727" w:rsidP="00217DA0">
      <w:pPr>
        <w:pStyle w:val="Quotebullet"/>
      </w:pPr>
      <w:r w:rsidRPr="00FA1A19">
        <w:t xml:space="preserve">a counterparty to the transaction </w:t>
      </w:r>
    </w:p>
    <w:p w14:paraId="44389919" w14:textId="49A95511" w:rsidR="00185727" w:rsidRPr="00FA1A19" w:rsidRDefault="00185727" w:rsidP="00217DA0">
      <w:pPr>
        <w:pStyle w:val="Quotebullet"/>
      </w:pPr>
      <w:r w:rsidRPr="00FA1A19">
        <w:t xml:space="preserve">the location of the counterparty if one can be identified, or </w:t>
      </w:r>
    </w:p>
    <w:p w14:paraId="4A5625AE" w14:textId="00315974" w:rsidR="00185727" w:rsidRPr="00FA1A19" w:rsidRDefault="00185727" w:rsidP="00217DA0">
      <w:pPr>
        <w:pStyle w:val="Quotebullet"/>
      </w:pPr>
      <w:r w:rsidRPr="00FA1A19">
        <w:t>the location where a smart contract is executed.</w:t>
      </w:r>
      <w:r w:rsidRPr="00170ADC">
        <w:rPr>
          <w:rStyle w:val="FootnoteReference"/>
        </w:rPr>
        <w:footnoteReference w:id="437"/>
      </w:r>
      <w:r w:rsidRPr="00170ADC">
        <w:rPr>
          <w:rStyle w:val="FootnoteReference"/>
        </w:rPr>
        <w:t xml:space="preserve"> </w:t>
      </w:r>
    </w:p>
    <w:p w14:paraId="65F056A1" w14:textId="26848819" w:rsidR="00185727" w:rsidRPr="00FA1A19" w:rsidRDefault="00185727" w:rsidP="00185727">
      <w:r w:rsidRPr="00FA1A19">
        <w:t xml:space="preserve">PwC also referenced a US Securities and Exchange Commission (SEC) lawsuit, understood to be, </w:t>
      </w:r>
      <w:r w:rsidRPr="00813896">
        <w:rPr>
          <w:rStyle w:val="Emphasis"/>
        </w:rPr>
        <w:t>Civil Action No. 1: 22</w:t>
      </w:r>
      <w:r w:rsidR="00F75232">
        <w:rPr>
          <w:rStyle w:val="Emphasis"/>
        </w:rPr>
        <w:noBreakHyphen/>
      </w:r>
      <w:r w:rsidRPr="00813896">
        <w:rPr>
          <w:rStyle w:val="Emphasis"/>
        </w:rPr>
        <w:t>CV</w:t>
      </w:r>
      <w:r w:rsidR="00F75232">
        <w:rPr>
          <w:rStyle w:val="Emphasis"/>
        </w:rPr>
        <w:noBreakHyphen/>
      </w:r>
      <w:r w:rsidRPr="00813896">
        <w:rPr>
          <w:rStyle w:val="Emphasis"/>
        </w:rPr>
        <w:t>950</w:t>
      </w:r>
      <w:r w:rsidRPr="00170ADC">
        <w:rPr>
          <w:rStyle w:val="FootnoteReference"/>
        </w:rPr>
        <w:footnoteReference w:id="438"/>
      </w:r>
      <w:r w:rsidRPr="00FA1A19">
        <w:t xml:space="preserve"> from September 2022, noting that the SEC: </w:t>
      </w:r>
    </w:p>
    <w:p w14:paraId="50385732" w14:textId="2409965A" w:rsidR="00185727" w:rsidRPr="00FA1A19" w:rsidRDefault="00185727" w:rsidP="00722D65">
      <w:pPr>
        <w:pStyle w:val="Quote"/>
      </w:pPr>
      <w:r w:rsidRPr="00FA1A19">
        <w:t>… claimed that all transactions on the Ethereum network took place in the US, as the transactions are validated by nodes on the Ethereum blockchain, and those nodes are clustered more densely in the US than in any other country. This position (if held to be correct) is likely to have implications as to the source of income earned from transactions taking place on the Ethereum network</w:t>
      </w:r>
      <w:r w:rsidR="00687C56" w:rsidRPr="00FA1A19">
        <w:t>,</w:t>
      </w:r>
      <w:r w:rsidRPr="00FA1A19">
        <w:t xml:space="preserve"> and highlights the needs for globally aligned rules dealing with source of income from digital assets and transactions.</w:t>
      </w:r>
      <w:r w:rsidRPr="00170ADC">
        <w:rPr>
          <w:rStyle w:val="FootnoteReference"/>
        </w:rPr>
        <w:footnoteReference w:id="439"/>
      </w:r>
    </w:p>
    <w:p w14:paraId="1C760AE8" w14:textId="7ECD31C8" w:rsidR="00185727" w:rsidRPr="00FA1A19" w:rsidRDefault="00185727" w:rsidP="0069352C">
      <w:pPr>
        <w:pStyle w:val="Heading4"/>
      </w:pPr>
      <w:r w:rsidRPr="00FA1A19">
        <w:t xml:space="preserve">The </w:t>
      </w:r>
      <w:r w:rsidR="0033351F" w:rsidRPr="00FA1A19">
        <w:t>B</w:t>
      </w:r>
      <w:r w:rsidRPr="00FA1A19">
        <w:t>oard</w:t>
      </w:r>
      <w:r w:rsidR="00F75232">
        <w:t>’</w:t>
      </w:r>
      <w:r w:rsidRPr="00FA1A19">
        <w:t>s Position</w:t>
      </w:r>
    </w:p>
    <w:p w14:paraId="4DEB5B94" w14:textId="197AA6B5" w:rsidR="002A3AC4" w:rsidRPr="00FA1A19" w:rsidRDefault="00185727" w:rsidP="00185727">
      <w:pPr>
        <w:autoSpaceDE w:val="0"/>
        <w:autoSpaceDN w:val="0"/>
        <w:adjustRightInd w:val="0"/>
        <w:spacing w:after="0"/>
      </w:pPr>
      <w:r w:rsidRPr="00FA1A19">
        <w:t xml:space="preserve">The above stakeholder feedback </w:t>
      </w:r>
      <w:r w:rsidR="00AF214C" w:rsidRPr="00FA1A19">
        <w:t>confirms</w:t>
      </w:r>
      <w:r w:rsidR="009626D8" w:rsidRPr="00FA1A19">
        <w:t xml:space="preserve"> </w:t>
      </w:r>
      <w:r w:rsidR="0002103B" w:rsidRPr="00FA1A19">
        <w:t>that many crypto asset users and their advisers consider that</w:t>
      </w:r>
      <w:r w:rsidR="00AF214C" w:rsidRPr="00FA1A19">
        <w:t xml:space="preserve"> </w:t>
      </w:r>
      <w:r w:rsidR="00026C19" w:rsidRPr="00FA1A19">
        <w:t xml:space="preserve">there </w:t>
      </w:r>
      <w:r w:rsidR="0002103B" w:rsidRPr="00FA1A19">
        <w:t>can</w:t>
      </w:r>
      <w:r w:rsidR="00026C19" w:rsidRPr="00FA1A19">
        <w:t xml:space="preserve"> be practical </w:t>
      </w:r>
      <w:r w:rsidRPr="00FA1A19">
        <w:t xml:space="preserve">difficulties </w:t>
      </w:r>
      <w:r w:rsidR="00026C19" w:rsidRPr="00FA1A19">
        <w:t xml:space="preserve">in </w:t>
      </w:r>
      <w:r w:rsidRPr="00FA1A19">
        <w:t xml:space="preserve">establishing </w:t>
      </w:r>
      <w:r w:rsidR="003541C1" w:rsidRPr="00FA1A19">
        <w:t xml:space="preserve">the </w:t>
      </w:r>
      <w:r w:rsidRPr="00FA1A19">
        <w:t>source of gains from crypto asset transactions under general principles</w:t>
      </w:r>
      <w:r w:rsidR="00403901" w:rsidRPr="00FA1A19">
        <w:t xml:space="preserve">, </w:t>
      </w:r>
      <w:r w:rsidR="00DF77F6" w:rsidRPr="00FA1A19">
        <w:t>such as the practical inability to identify the counterparty to the transaction and the location of the counterparty even if one could be identified</w:t>
      </w:r>
      <w:r w:rsidR="00EA7590" w:rsidRPr="00FA1A19">
        <w:t>, and the location of execution of the transaction</w:t>
      </w:r>
      <w:r w:rsidRPr="00FA1A19">
        <w:t xml:space="preserve">. </w:t>
      </w:r>
    </w:p>
    <w:p w14:paraId="7D5D3510" w14:textId="7DD2A85E" w:rsidR="0085090F" w:rsidRPr="00FA1A19" w:rsidRDefault="00714544" w:rsidP="003A3449">
      <w:pPr>
        <w:autoSpaceDE w:val="0"/>
        <w:autoSpaceDN w:val="0"/>
        <w:adjustRightInd w:val="0"/>
        <w:spacing w:after="0"/>
      </w:pPr>
      <w:r w:rsidRPr="00FA1A19">
        <w:t>T</w:t>
      </w:r>
      <w:r w:rsidR="003A3449" w:rsidRPr="00FA1A19">
        <w:t xml:space="preserve">he Board notes that these issues are not necessarily unique to crypto assets, that common law principles have traditionally shown the capacity to adapt to newer forms of commerce, and that there is a good basis for expecting that </w:t>
      </w:r>
      <w:r w:rsidR="000D4978" w:rsidRPr="00FA1A19">
        <w:t xml:space="preserve">the application of </w:t>
      </w:r>
      <w:r w:rsidR="00880B15" w:rsidRPr="00FA1A19">
        <w:t xml:space="preserve">common law principles of source to crypto assets </w:t>
      </w:r>
      <w:r w:rsidR="003A3449" w:rsidRPr="00FA1A19">
        <w:t xml:space="preserve">will become clear </w:t>
      </w:r>
      <w:r w:rsidR="003913D0" w:rsidRPr="00FA1A19">
        <w:t xml:space="preserve">in the future, including </w:t>
      </w:r>
      <w:r w:rsidR="003A3449" w:rsidRPr="00FA1A19">
        <w:t>with judicial guidance</w:t>
      </w:r>
      <w:r w:rsidR="00CF1196" w:rsidRPr="00FA1A19">
        <w:t>:</w:t>
      </w:r>
      <w:r w:rsidR="004F0A51" w:rsidRPr="00FA1A19">
        <w:t xml:space="preserve"> </w:t>
      </w:r>
    </w:p>
    <w:p w14:paraId="6EE346E0" w14:textId="65C3F1F5" w:rsidR="00395396" w:rsidRPr="00FA1A19" w:rsidRDefault="00395396" w:rsidP="00217DA0">
      <w:pPr>
        <w:pStyle w:val="Quote"/>
      </w:pPr>
      <w:r w:rsidRPr="00FA1A19">
        <w:t>Time and again over the years the common law has accommodated technological and business innovations,</w:t>
      </w:r>
      <w:r w:rsidR="005374E4" w:rsidRPr="00FA1A19">
        <w:t xml:space="preserve"> including many which, although now commonplace, were at the time no less novel and disruptive than those with which we are now concerned.</w:t>
      </w:r>
      <w:r w:rsidR="005374E4" w:rsidRPr="00170ADC">
        <w:rPr>
          <w:rStyle w:val="FootnoteReference"/>
        </w:rPr>
        <w:footnoteReference w:id="440"/>
      </w:r>
    </w:p>
    <w:p w14:paraId="2366A29E" w14:textId="79DD65EA" w:rsidR="0073170D" w:rsidRPr="00FA1A19" w:rsidRDefault="0085090F" w:rsidP="00217DA0">
      <w:r w:rsidRPr="00FA1A19">
        <w:t xml:space="preserve">Furthermore, </w:t>
      </w:r>
      <w:r w:rsidR="00880B15" w:rsidRPr="00FA1A19">
        <w:t xml:space="preserve">it may be that </w:t>
      </w:r>
      <w:r w:rsidR="00D77D95" w:rsidRPr="00FA1A19">
        <w:t xml:space="preserve">the question of source </w:t>
      </w:r>
      <w:r w:rsidR="00880B15" w:rsidRPr="00FA1A19">
        <w:t>of crypto asset income is not</w:t>
      </w:r>
      <w:r w:rsidR="00D77D95" w:rsidRPr="00FA1A19">
        <w:t xml:space="preserve"> overly </w:t>
      </w:r>
      <w:r w:rsidR="00B3472D" w:rsidRPr="00FA1A19">
        <w:t>complex</w:t>
      </w:r>
      <w:r w:rsidR="00D77D95" w:rsidRPr="00FA1A19">
        <w:t xml:space="preserve"> </w:t>
      </w:r>
      <w:r w:rsidR="00880B15" w:rsidRPr="00FA1A19">
        <w:t xml:space="preserve">because </w:t>
      </w:r>
      <w:r w:rsidR="00D77D95" w:rsidRPr="00FA1A19">
        <w:t>it</w:t>
      </w:r>
      <w:r w:rsidR="003A3449" w:rsidRPr="00FA1A19">
        <w:t xml:space="preserve"> may be</w:t>
      </w:r>
      <w:r w:rsidR="003913D0" w:rsidRPr="00FA1A19">
        <w:t xml:space="preserve"> </w:t>
      </w:r>
      <w:r w:rsidR="003A3449" w:rsidRPr="00FA1A19">
        <w:t xml:space="preserve">that the correct reflection of the law relating to </w:t>
      </w:r>
      <w:r w:rsidR="00F75232">
        <w:t>‘</w:t>
      </w:r>
      <w:r w:rsidR="003A3449" w:rsidRPr="00FA1A19">
        <w:t>source</w:t>
      </w:r>
      <w:r w:rsidR="00F75232">
        <w:t>’</w:t>
      </w:r>
      <w:r w:rsidRPr="00FA1A19">
        <w:t xml:space="preserve"> in the crypto ecosystem</w:t>
      </w:r>
      <w:r w:rsidR="003A3449" w:rsidRPr="00FA1A19">
        <w:t xml:space="preserve"> </w:t>
      </w:r>
      <w:r w:rsidR="0073170D" w:rsidRPr="00FA1A19">
        <w:t>is:</w:t>
      </w:r>
    </w:p>
    <w:p w14:paraId="138EF4E4" w14:textId="546B8A02" w:rsidR="00F04DAE" w:rsidRPr="00FA1A19" w:rsidRDefault="001A1F7A" w:rsidP="00217DA0">
      <w:pPr>
        <w:pStyle w:val="Bullet"/>
      </w:pPr>
      <w:r>
        <w:t>I</w:t>
      </w:r>
      <w:r w:rsidR="003A3449" w:rsidRPr="00FA1A19">
        <w:t xml:space="preserve">n the context of </w:t>
      </w:r>
      <w:r w:rsidR="003913D0" w:rsidRPr="00FA1A19">
        <w:t>on</w:t>
      </w:r>
      <w:r w:rsidR="00F75232">
        <w:noBreakHyphen/>
      </w:r>
      <w:r w:rsidR="003913D0" w:rsidRPr="00FA1A19">
        <w:t xml:space="preserve">chain </w:t>
      </w:r>
      <w:r w:rsidR="003A3449" w:rsidRPr="00FA1A19">
        <w:t>crypto asset transactions</w:t>
      </w:r>
      <w:r w:rsidR="00156CE5" w:rsidRPr="00FA1A19">
        <w:t xml:space="preserve">: regard should be had </w:t>
      </w:r>
      <w:r w:rsidR="003A3449" w:rsidRPr="00FA1A19">
        <w:t xml:space="preserve">not to the location of any </w:t>
      </w:r>
      <w:r w:rsidR="00F75232">
        <w:t>‘</w:t>
      </w:r>
      <w:r w:rsidR="003A3449" w:rsidRPr="00FA1A19">
        <w:t>counterparty</w:t>
      </w:r>
      <w:r w:rsidR="00F75232">
        <w:t>’</w:t>
      </w:r>
      <w:r w:rsidR="003A3449" w:rsidRPr="00FA1A19">
        <w:t xml:space="preserve"> or any network on which the transaction occurs, but instead </w:t>
      </w:r>
      <w:r w:rsidR="00156CE5" w:rsidRPr="00FA1A19">
        <w:t>to</w:t>
      </w:r>
      <w:r w:rsidR="003A3449" w:rsidRPr="00FA1A19">
        <w:t xml:space="preserve"> the location of the work that is done by a taxpayer to derive the assessable income.</w:t>
      </w:r>
      <w:r w:rsidR="00775B14" w:rsidRPr="00170ADC">
        <w:rPr>
          <w:rStyle w:val="FootnoteReference"/>
        </w:rPr>
        <w:footnoteReference w:id="441"/>
      </w:r>
      <w:r w:rsidR="003A3449" w:rsidRPr="00FA1A19">
        <w:t xml:space="preserve"> </w:t>
      </w:r>
    </w:p>
    <w:p w14:paraId="66A72848" w14:textId="20565B0E" w:rsidR="00F04DAE" w:rsidRPr="00FA1A19" w:rsidRDefault="001A1F7A" w:rsidP="00981F8C">
      <w:pPr>
        <w:pStyle w:val="Bullet"/>
      </w:pPr>
      <w:r>
        <w:t>I</w:t>
      </w:r>
      <w:r w:rsidR="003A3449" w:rsidRPr="00FA1A19">
        <w:t>n the case of miners (on proof of work networks) or stakers/validators (on proof of stake networks), the source of any reward they make</w:t>
      </w:r>
      <w:r w:rsidR="005559D7" w:rsidRPr="00FA1A19">
        <w:t>,</w:t>
      </w:r>
      <w:r w:rsidR="003A3449" w:rsidRPr="00FA1A19">
        <w:t xml:space="preserve"> </w:t>
      </w:r>
      <w:r w:rsidR="00CB0CC5" w:rsidRPr="00FA1A19">
        <w:t>may simply be</w:t>
      </w:r>
      <w:r w:rsidR="003A3449" w:rsidRPr="00FA1A19">
        <w:t xml:space="preserve"> the location of the work that they d</w:t>
      </w:r>
      <w:r w:rsidR="00D62397" w:rsidRPr="00FA1A19">
        <w:t>o</w:t>
      </w:r>
      <w:r w:rsidR="00AD72DA" w:rsidRPr="00FA1A19">
        <w:t xml:space="preserve">, </w:t>
      </w:r>
      <w:r w:rsidR="00D375C6" w:rsidRPr="00FA1A19">
        <w:t>which</w:t>
      </w:r>
      <w:r w:rsidR="00AD72DA" w:rsidRPr="00FA1A19">
        <w:t xml:space="preserve"> in the case of validators would include the steps taken to stake their cryptocurrency on the blockchain</w:t>
      </w:r>
      <w:r w:rsidR="00D62397" w:rsidRPr="00FA1A19">
        <w:t>.</w:t>
      </w:r>
      <w:r w:rsidR="004F0A51" w:rsidRPr="00FA1A19">
        <w:t xml:space="preserve"> </w:t>
      </w:r>
      <w:r w:rsidR="005559D7" w:rsidRPr="00FA1A19">
        <w:t>In a similar way</w:t>
      </w:r>
      <w:r w:rsidR="00072359" w:rsidRPr="00FA1A19">
        <w:t xml:space="preserve">, the source of the income of a call centre </w:t>
      </w:r>
      <w:r w:rsidR="0010318E" w:rsidRPr="00FA1A19">
        <w:t xml:space="preserve">that makes calls around the world </w:t>
      </w:r>
      <w:r w:rsidR="00072359" w:rsidRPr="00FA1A19">
        <w:t xml:space="preserve">will be the location of that call centre, notwithstanding that it uses </w:t>
      </w:r>
      <w:r w:rsidR="0010318E" w:rsidRPr="00FA1A19">
        <w:t xml:space="preserve">communications equipment </w:t>
      </w:r>
      <w:r w:rsidR="00FC6ECF" w:rsidRPr="00FA1A19">
        <w:t xml:space="preserve">situated around the world </w:t>
      </w:r>
      <w:r w:rsidR="005559D7" w:rsidRPr="00FA1A19">
        <w:t>to speak</w:t>
      </w:r>
      <w:r w:rsidR="00FC6ECF" w:rsidRPr="00FA1A19">
        <w:t xml:space="preserve"> to </w:t>
      </w:r>
      <w:r w:rsidR="005559D7" w:rsidRPr="00FA1A19">
        <w:t>people</w:t>
      </w:r>
      <w:r w:rsidR="00FC6ECF" w:rsidRPr="00FA1A19">
        <w:t xml:space="preserve"> around the world.</w:t>
      </w:r>
      <w:r w:rsidR="004F0A51" w:rsidRPr="00FA1A19">
        <w:t xml:space="preserve"> </w:t>
      </w:r>
      <w:r w:rsidR="006004AA" w:rsidRPr="00FA1A19">
        <w:t>Just as fees are paid to access that communications equipment, crypto users pay transaction fees to interact with the network.</w:t>
      </w:r>
    </w:p>
    <w:p w14:paraId="60E40AB6" w14:textId="7C494501" w:rsidR="0073170D" w:rsidRPr="00FA1A19" w:rsidRDefault="001A1F7A" w:rsidP="00981F8C">
      <w:pPr>
        <w:pStyle w:val="Bullet"/>
      </w:pPr>
      <w:r>
        <w:t>I</w:t>
      </w:r>
      <w:r w:rsidR="00DF1C3F" w:rsidRPr="00FA1A19">
        <w:t xml:space="preserve">n </w:t>
      </w:r>
      <w:r w:rsidR="003A3449" w:rsidRPr="00FA1A19">
        <w:t xml:space="preserve">the case of smart contracts, the source of any income that a user derives may simply </w:t>
      </w:r>
      <w:r w:rsidR="005550C8" w:rsidRPr="00FA1A19">
        <w:t xml:space="preserve">be </w:t>
      </w:r>
      <w:r w:rsidR="003A3449" w:rsidRPr="00FA1A19">
        <w:t xml:space="preserve">their location </w:t>
      </w:r>
      <w:r w:rsidR="00D375C6" w:rsidRPr="00FA1A19">
        <w:t>when they take the steps</w:t>
      </w:r>
      <w:r w:rsidR="00FC6ECF" w:rsidRPr="00FA1A19">
        <w:t xml:space="preserve"> required</w:t>
      </w:r>
      <w:r w:rsidR="00D375C6" w:rsidRPr="00FA1A19">
        <w:t xml:space="preserve"> to initiate the </w:t>
      </w:r>
      <w:r w:rsidR="00D77D95" w:rsidRPr="00FA1A19">
        <w:t>self</w:t>
      </w:r>
      <w:r w:rsidR="00F75232">
        <w:noBreakHyphen/>
      </w:r>
      <w:r w:rsidR="00D77D95" w:rsidRPr="00FA1A19">
        <w:t xml:space="preserve">fulfilling </w:t>
      </w:r>
      <w:r w:rsidR="00D375C6" w:rsidRPr="00FA1A19">
        <w:t>smart contract</w:t>
      </w:r>
      <w:r w:rsidR="003A3449" w:rsidRPr="00FA1A19">
        <w:t>.</w:t>
      </w:r>
    </w:p>
    <w:p w14:paraId="7C428C6B" w14:textId="1260DE96" w:rsidR="003A3449" w:rsidRPr="00FA1A19" w:rsidRDefault="0073170D" w:rsidP="00981F8C">
      <w:pPr>
        <w:pStyle w:val="Bullet"/>
      </w:pPr>
      <w:r w:rsidRPr="00FA1A19">
        <w:t>In the case of off</w:t>
      </w:r>
      <w:r w:rsidR="00F75232">
        <w:noBreakHyphen/>
      </w:r>
      <w:r w:rsidRPr="00FA1A19">
        <w:t xml:space="preserve">chain arrangements, such as arrangements involving centralised </w:t>
      </w:r>
      <w:r w:rsidR="00423ED9" w:rsidRPr="00FA1A19">
        <w:t>exchanges</w:t>
      </w:r>
      <w:r w:rsidRPr="00FA1A19">
        <w:t xml:space="preserve">, </w:t>
      </w:r>
      <w:r w:rsidR="00DB3157" w:rsidRPr="00FA1A19">
        <w:t>the general principles</w:t>
      </w:r>
      <w:r w:rsidR="00F82337" w:rsidRPr="00FA1A19">
        <w:t xml:space="preserve"> to determine source should apply, just as </w:t>
      </w:r>
      <w:r w:rsidR="001D2F79" w:rsidRPr="00FA1A19">
        <w:t>off</w:t>
      </w:r>
      <w:r w:rsidR="00F75232">
        <w:noBreakHyphen/>
      </w:r>
      <w:r w:rsidR="001D2F79" w:rsidRPr="00FA1A19">
        <w:t>chain arrangements have been found</w:t>
      </w:r>
      <w:r w:rsidR="00423ED9" w:rsidRPr="00FA1A19">
        <w:t xml:space="preserve"> in cases</w:t>
      </w:r>
      <w:r w:rsidR="001D2F79" w:rsidRPr="00FA1A19">
        <w:t xml:space="preserve"> to be subject to the common law principles</w:t>
      </w:r>
      <w:r w:rsidR="00DB3157" w:rsidRPr="00FA1A19">
        <w:t xml:space="preserve"> of contract, trust and </w:t>
      </w:r>
      <w:r w:rsidR="001A00BA" w:rsidRPr="00FA1A19">
        <w:t>tort</w:t>
      </w:r>
      <w:r w:rsidR="001D2F79" w:rsidRPr="00FA1A19">
        <w:t>.</w:t>
      </w:r>
      <w:r w:rsidR="001D2F79" w:rsidRPr="00170ADC">
        <w:rPr>
          <w:rStyle w:val="FootnoteReference"/>
        </w:rPr>
        <w:footnoteReference w:id="442"/>
      </w:r>
    </w:p>
    <w:p w14:paraId="778D35C7" w14:textId="161E2D4C" w:rsidR="00185727" w:rsidRPr="00FA1A19" w:rsidRDefault="0099451C" w:rsidP="00185727">
      <w:pPr>
        <w:autoSpaceDE w:val="0"/>
        <w:autoSpaceDN w:val="0"/>
        <w:adjustRightInd w:val="0"/>
        <w:spacing w:after="0"/>
      </w:pPr>
      <w:r w:rsidRPr="00FA1A19">
        <w:t xml:space="preserve">However, </w:t>
      </w:r>
      <w:r w:rsidR="007916CC" w:rsidRPr="00FA1A19">
        <w:t xml:space="preserve">at the current stage of understanding of the law in this area and in the absence of judicial guidance, </w:t>
      </w:r>
      <w:r w:rsidR="00FC76FA" w:rsidRPr="00FA1A19">
        <w:t xml:space="preserve">and as stated earlier </w:t>
      </w:r>
      <w:r w:rsidR="00F51979" w:rsidRPr="00FA1A19">
        <w:t xml:space="preserve">in different contexts in this chapter, </w:t>
      </w:r>
      <w:r w:rsidR="00BA06C8" w:rsidRPr="00FA1A19">
        <w:t xml:space="preserve">there is a current and will be a continuing need for increased detailed ATO guidance </w:t>
      </w:r>
      <w:r w:rsidR="006C404E" w:rsidRPr="00FA1A19">
        <w:t>upon which taxpayers can rely</w:t>
      </w:r>
      <w:r w:rsidR="00BA06C8" w:rsidRPr="00FA1A19">
        <w:t xml:space="preserve"> to ensure that the</w:t>
      </w:r>
      <w:r w:rsidR="00EC7F65" w:rsidRPr="00FA1A19">
        <w:t>ir taxation disclosures are acceptable to the ATO.</w:t>
      </w:r>
    </w:p>
    <w:p w14:paraId="7F5508C7" w14:textId="77777777" w:rsidR="00185727" w:rsidRPr="00FA1A19" w:rsidRDefault="00185727" w:rsidP="00981F8C">
      <w:pPr>
        <w:pStyle w:val="SingleParagraph"/>
      </w:pPr>
    </w:p>
    <w:tbl>
      <w:tblPr>
        <w:tblStyle w:val="Style2"/>
        <w:tblW w:w="5000" w:type="pct"/>
        <w:tblLook w:val="0420" w:firstRow="1" w:lastRow="0" w:firstColumn="0" w:lastColumn="0" w:noHBand="0" w:noVBand="1"/>
      </w:tblPr>
      <w:tblGrid>
        <w:gridCol w:w="9641"/>
      </w:tblGrid>
      <w:tr w:rsidR="00185727" w:rsidRPr="00FA1A19" w14:paraId="0C71784D"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7C3EB34C" w14:textId="09063069" w:rsidR="00185727" w:rsidRPr="00FA1A19" w:rsidRDefault="00372633" w:rsidP="00981F8C">
            <w:pPr>
              <w:pStyle w:val="BoxHeading1"/>
            </w:pPr>
            <w:r>
              <w:t>Recommendation </w:t>
            </w:r>
            <w:r w:rsidR="00F422CF" w:rsidRPr="00FA1A19">
              <w:t>7</w:t>
            </w:r>
            <w:r w:rsidR="00185727" w:rsidRPr="00FA1A19">
              <w:t>.</w:t>
            </w:r>
            <w:r w:rsidR="007C1CD2">
              <w:t>6</w:t>
            </w:r>
          </w:p>
        </w:tc>
      </w:tr>
      <w:tr w:rsidR="00185727" w:rsidRPr="00FA1A19" w14:paraId="3935A034"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06DECC88" w14:textId="2EFB47D1" w:rsidR="00777A25" w:rsidRPr="00FA1A19" w:rsidRDefault="00777A25" w:rsidP="00981F8C">
            <w:pPr>
              <w:pStyle w:val="BoxText"/>
            </w:pPr>
            <w:r w:rsidRPr="00FA1A19">
              <w:t>Many crypto asset users and their advisers consider that there can be practical difficulties in establishing the source of gains from crypto asset transactions under general principles.</w:t>
            </w:r>
          </w:p>
          <w:p w14:paraId="1A11819D" w14:textId="133955A9" w:rsidR="00827393" w:rsidRPr="00FA1A19" w:rsidRDefault="00827393" w:rsidP="00981F8C">
            <w:pPr>
              <w:pStyle w:val="BoxText"/>
            </w:pPr>
            <w:r w:rsidRPr="00FA1A19">
              <w:t xml:space="preserve">The Board recommends that the </w:t>
            </w:r>
            <w:r w:rsidR="00F06364" w:rsidRPr="00FA1A19">
              <w:t xml:space="preserve">ATO </w:t>
            </w:r>
            <w:r w:rsidR="00D6748E" w:rsidRPr="00FA1A19">
              <w:t>in consultation</w:t>
            </w:r>
            <w:r w:rsidR="00F271FA" w:rsidRPr="00FA1A19">
              <w:t xml:space="preserve"> </w:t>
            </w:r>
            <w:r w:rsidR="00F06364" w:rsidRPr="00FA1A19">
              <w:t xml:space="preserve">with </w:t>
            </w:r>
            <w:r w:rsidR="00E455CC" w:rsidRPr="00E81174">
              <w:t xml:space="preserve">industry stakeholders and taxpayer representative groups </w:t>
            </w:r>
            <w:r w:rsidR="00E455CC" w:rsidRPr="008A62C8">
              <w:t>including</w:t>
            </w:r>
            <w:r w:rsidR="00E455CC" w:rsidRPr="00E81174">
              <w:t xml:space="preserve"> </w:t>
            </w:r>
            <w:r w:rsidR="00F06364" w:rsidRPr="00FA1A19">
              <w:t xml:space="preserve">the Crypto Industry Working Group </w:t>
            </w:r>
            <w:r w:rsidR="00E03404" w:rsidRPr="00FA1A19">
              <w:t xml:space="preserve">develop </w:t>
            </w:r>
            <w:r w:rsidR="008733B9" w:rsidRPr="00FA1A19">
              <w:t>guidance in relation to the source of ordinary income from crypto</w:t>
            </w:r>
            <w:r w:rsidR="00716B52">
              <w:t xml:space="preserve"> asset</w:t>
            </w:r>
            <w:r w:rsidR="008733B9" w:rsidRPr="00FA1A19">
              <w:t xml:space="preserve"> transactions, upon which taxpayers can rely to ensure that their tax disclosures will be acceptable to the ATO.</w:t>
            </w:r>
          </w:p>
          <w:p w14:paraId="21724E61" w14:textId="7BD492C6" w:rsidR="00185727" w:rsidRPr="00FA1A19" w:rsidRDefault="00AC3E45" w:rsidP="00981F8C">
            <w:pPr>
              <w:pStyle w:val="BoxText"/>
            </w:pPr>
            <w:r w:rsidRPr="00FA1A19">
              <w:t xml:space="preserve">The Board also recommends that </w:t>
            </w:r>
            <w:r w:rsidR="008733B9" w:rsidRPr="00FA1A19">
              <w:t xml:space="preserve">the ATO </w:t>
            </w:r>
            <w:r w:rsidR="00460189" w:rsidRPr="00FA1A19">
              <w:t xml:space="preserve">monitor developments including </w:t>
            </w:r>
            <w:r w:rsidRPr="00FA1A19">
              <w:t xml:space="preserve">international developments in relation to the issue of the source of </w:t>
            </w:r>
            <w:r w:rsidR="00460189" w:rsidRPr="00FA1A19">
              <w:t xml:space="preserve">income from </w:t>
            </w:r>
            <w:r w:rsidRPr="00FA1A19">
              <w:t xml:space="preserve">crypto asset transactions, including positions taken by offshore authorities including </w:t>
            </w:r>
            <w:r w:rsidR="221557BE" w:rsidRPr="00FA1A19">
              <w:t>for example</w:t>
            </w:r>
            <w:r w:rsidR="2A33FCAD" w:rsidRPr="00FA1A19">
              <w:t xml:space="preserve"> </w:t>
            </w:r>
            <w:r w:rsidRPr="00FA1A19">
              <w:t>the</w:t>
            </w:r>
            <w:r w:rsidR="00C02AD7">
              <w:t xml:space="preserve"> </w:t>
            </w:r>
            <w:r w:rsidR="00C02AD7" w:rsidRPr="00C02AD7">
              <w:t xml:space="preserve">US </w:t>
            </w:r>
            <w:r w:rsidR="00262EE6">
              <w:t>IRS</w:t>
            </w:r>
            <w:r w:rsidR="00C02AD7" w:rsidRPr="00C02AD7">
              <w:t xml:space="preserve"> </w:t>
            </w:r>
            <w:r w:rsidR="00486707">
              <w:t xml:space="preserve">and the </w:t>
            </w:r>
            <w:r w:rsidRPr="00FA1A19">
              <w:t>US Securities and Exchange Commission.</w:t>
            </w:r>
          </w:p>
        </w:tc>
      </w:tr>
    </w:tbl>
    <w:p w14:paraId="594FB0DF" w14:textId="77777777" w:rsidR="00185727" w:rsidRPr="00FA1A19" w:rsidRDefault="00185727" w:rsidP="00981F8C">
      <w:pPr>
        <w:pStyle w:val="SingleParagraph"/>
      </w:pPr>
    </w:p>
    <w:p w14:paraId="61414DE0" w14:textId="77777777" w:rsidR="00185727" w:rsidRPr="00FA1A19" w:rsidRDefault="00185727" w:rsidP="00342121">
      <w:pPr>
        <w:pStyle w:val="Heading3"/>
      </w:pPr>
      <w:r w:rsidRPr="00FA1A19">
        <w:t>Valuation</w:t>
      </w:r>
    </w:p>
    <w:p w14:paraId="215575AD" w14:textId="69A7B915" w:rsidR="00185727" w:rsidRPr="00FA1A19" w:rsidRDefault="004F5FA9" w:rsidP="00185727">
      <w:r w:rsidRPr="00FA1A19">
        <w:t xml:space="preserve">As discussed earlier in this chapter, there </w:t>
      </w:r>
      <w:r w:rsidR="0005566F" w:rsidRPr="00FA1A19">
        <w:t xml:space="preserve">are many </w:t>
      </w:r>
      <w:r w:rsidRPr="00FA1A19">
        <w:t xml:space="preserve">circumstances in which it </w:t>
      </w:r>
      <w:r w:rsidR="0005566F" w:rsidRPr="00FA1A19">
        <w:t>is</w:t>
      </w:r>
      <w:r w:rsidRPr="00FA1A19">
        <w:t xml:space="preserve"> necessary </w:t>
      </w:r>
      <w:r w:rsidR="008E7A14" w:rsidRPr="00FA1A19">
        <w:t>for a crypto asset user to determine the value of a crypto asset for the purposes of complying with the tax law (</w:t>
      </w:r>
      <w:r w:rsidR="009767BA" w:rsidRPr="00FA1A19">
        <w:t xml:space="preserve">see under </w:t>
      </w:r>
      <w:r w:rsidR="00F75232">
        <w:t>‘</w:t>
      </w:r>
      <w:r w:rsidR="009767BA" w:rsidRPr="00FA1A19">
        <w:t>Can non</w:t>
      </w:r>
      <w:r w:rsidR="00F75232">
        <w:noBreakHyphen/>
      </w:r>
      <w:r w:rsidR="009767BA" w:rsidRPr="00FA1A19">
        <w:t>cash transactions give rise to ordinary income</w:t>
      </w:r>
      <w:r w:rsidR="00F75232">
        <w:t>’</w:t>
      </w:r>
      <w:r w:rsidR="009767BA" w:rsidRPr="00FA1A19">
        <w:t xml:space="preserve"> above).</w:t>
      </w:r>
      <w:r w:rsidR="00185727" w:rsidRPr="00FA1A19">
        <w:t xml:space="preserve"> </w:t>
      </w:r>
    </w:p>
    <w:p w14:paraId="66902584" w14:textId="4BE42BF5" w:rsidR="00185727" w:rsidRPr="00FA1A19" w:rsidRDefault="00185727" w:rsidP="00185727">
      <w:r w:rsidRPr="00FA1A19">
        <w:t xml:space="preserve">The Board has heard through the consultation process about the difficulties in </w:t>
      </w:r>
      <w:r w:rsidR="008E7A14" w:rsidRPr="00FA1A19">
        <w:t>valuing crypto assets</w:t>
      </w:r>
      <w:r w:rsidRPr="00FA1A19">
        <w:t xml:space="preserve">, including </w:t>
      </w:r>
      <w:r w:rsidR="00262EE6">
        <w:t xml:space="preserve">in the submission </w:t>
      </w:r>
      <w:r w:rsidRPr="00FA1A19">
        <w:t xml:space="preserve">from </w:t>
      </w:r>
      <w:r w:rsidR="00262EE6">
        <w:t>the M</w:t>
      </w:r>
      <w:r w:rsidRPr="00FA1A19">
        <w:t xml:space="preserve">embers of the </w:t>
      </w:r>
      <w:r w:rsidR="00262EE6">
        <w:t>T</w:t>
      </w:r>
      <w:r w:rsidR="008E7A14" w:rsidRPr="00FA1A19">
        <w:t xml:space="preserve">ax </w:t>
      </w:r>
      <w:r w:rsidR="00262EE6">
        <w:t>P</w:t>
      </w:r>
      <w:r w:rsidR="008E7A14" w:rsidRPr="00FA1A19">
        <w:t>rofession</w:t>
      </w:r>
      <w:r w:rsidR="001B2897" w:rsidRPr="00FA1A19">
        <w:t xml:space="preserve">, </w:t>
      </w:r>
      <w:r w:rsidR="00262EE6">
        <w:t>who stated</w:t>
      </w:r>
      <w:r w:rsidRPr="00FA1A19">
        <w:t>:</w:t>
      </w:r>
    </w:p>
    <w:p w14:paraId="42FC3795" w14:textId="77777777" w:rsidR="00185727" w:rsidRPr="00FA1A19" w:rsidRDefault="00185727" w:rsidP="00217DA0">
      <w:pPr>
        <w:pStyle w:val="Quote"/>
      </w:pPr>
      <w:r w:rsidRPr="00FA1A19">
        <w:t>Moreover, underpinning many of the issues that arise are concerns over valuation, particularly in combination with high volatility.</w:t>
      </w:r>
      <w:r w:rsidRPr="00170ADC">
        <w:rPr>
          <w:rStyle w:val="FootnoteReference"/>
        </w:rPr>
        <w:footnoteReference w:id="443"/>
      </w:r>
    </w:p>
    <w:p w14:paraId="60ED27EB" w14:textId="2197540A" w:rsidR="00185727" w:rsidRPr="00FA1A19" w:rsidRDefault="00185727" w:rsidP="00185727">
      <w:r w:rsidRPr="00FA1A19">
        <w:t xml:space="preserve">For many crypto assets, a crypto asset valuation will be readily available from any one of the many exchanges </w:t>
      </w:r>
      <w:r w:rsidR="006253F7" w:rsidRPr="00FA1A19">
        <w:t xml:space="preserve">on which </w:t>
      </w:r>
      <w:r w:rsidRPr="00FA1A19">
        <w:t>the asset is traded.</w:t>
      </w:r>
      <w:r w:rsidR="004F0A51" w:rsidRPr="00FA1A19">
        <w:t xml:space="preserve"> </w:t>
      </w:r>
      <w:r w:rsidR="0079131C" w:rsidRPr="00FA1A19">
        <w:t>However, i</w:t>
      </w:r>
      <w:r w:rsidRPr="00FA1A19">
        <w:t xml:space="preserve">dentifying the relevant value of a specific token at a point in time </w:t>
      </w:r>
      <w:r w:rsidR="0079131C" w:rsidRPr="00FA1A19">
        <w:t>can be</w:t>
      </w:r>
      <w:r w:rsidRPr="00FA1A19">
        <w:t xml:space="preserve"> challenging as there is no standard pricing for crypto assets and different exchanges will list the same token at different prices.</w:t>
      </w:r>
      <w:r w:rsidRPr="00170ADC">
        <w:rPr>
          <w:rStyle w:val="FootnoteReference"/>
        </w:rPr>
        <w:footnoteReference w:id="444"/>
      </w:r>
      <w:r w:rsidRPr="00FA1A19">
        <w:t xml:space="preserve"> The difficulty in finding the appropriate value is further compounded by the rapid price fluctuation. A transaction may occur at a point in time during the day, but by the time that the user logs into the system, the price may have changed significantly. The rigidity in utilising a value at the exact point that a transaction occurs is incongruous with the Board</w:t>
      </w:r>
      <w:r w:rsidR="00F75232">
        <w:t>’</w:t>
      </w:r>
      <w:r w:rsidRPr="00FA1A19">
        <w:t xml:space="preserve">s Principle 1 aimed at achieving simplicity in the tax system. </w:t>
      </w:r>
    </w:p>
    <w:p w14:paraId="05214594" w14:textId="3F2D825E" w:rsidR="00185727" w:rsidRPr="00FA1A19" w:rsidRDefault="00185727" w:rsidP="00185727">
      <w:r w:rsidRPr="00FA1A19">
        <w:t>Currently there is limited ATO guidance in relation to identifying market values for crypto assets, with the majority of the existing guidance focussed on the need to convert values to Australian dollars</w:t>
      </w:r>
      <w:r w:rsidR="006819F4" w:rsidRPr="00FA1A19">
        <w:t>.</w:t>
      </w:r>
      <w:r w:rsidR="004F0A51" w:rsidRPr="00FA1A19">
        <w:t xml:space="preserve"> </w:t>
      </w:r>
      <w:r w:rsidR="006819F4" w:rsidRPr="00FA1A19">
        <w:t>For</w:t>
      </w:r>
      <w:r w:rsidRPr="00FA1A19">
        <w:t xml:space="preserve"> exampl</w:t>
      </w:r>
      <w:r w:rsidR="006819F4" w:rsidRPr="00FA1A19">
        <w:t>e, on its website the ATO has provided the following guidance</w:t>
      </w:r>
      <w:r w:rsidRPr="00FA1A19">
        <w:t xml:space="preserve">: </w:t>
      </w:r>
    </w:p>
    <w:p w14:paraId="6877051F" w14:textId="77777777" w:rsidR="00185727" w:rsidRPr="00FA1A19" w:rsidRDefault="00185727" w:rsidP="00217DA0">
      <w:pPr>
        <w:pStyle w:val="Quote"/>
      </w:pPr>
      <w:r w:rsidRPr="00FA1A19">
        <w:t>You need to know the value of your crypto asset to determine if you make a capital gain or capital loss on the CGT event happening.</w:t>
      </w:r>
    </w:p>
    <w:p w14:paraId="390C659B" w14:textId="77777777" w:rsidR="00185727" w:rsidRPr="00FA1A19" w:rsidRDefault="00185727" w:rsidP="00217DA0">
      <w:pPr>
        <w:pStyle w:val="Quote"/>
      </w:pPr>
      <w:r w:rsidRPr="00FA1A19">
        <w:t>To work out the value of your crypto assets when you acquire or dispose of them you will need to convert their value to Australian dollars. From 1 January 2020, the ATO has used the exchange rates from the Reserve Bank of Australia. If you need daily foreign exchange rates, refer to Reserve Bank of Australia – Exchange rates. If you use a foreign exchange rate for currency not listed, you may use any reasonable externally sourced exchange rate for that currency.</w:t>
      </w:r>
      <w:r w:rsidRPr="00170ADC">
        <w:rPr>
          <w:rStyle w:val="FootnoteReference"/>
        </w:rPr>
        <w:footnoteReference w:id="445"/>
      </w:r>
      <w:r w:rsidRPr="00FA1A19">
        <w:t xml:space="preserve"> </w:t>
      </w:r>
    </w:p>
    <w:p w14:paraId="2BA2C201" w14:textId="01802BE0" w:rsidR="00185727" w:rsidRPr="00FA1A19" w:rsidRDefault="00185727" w:rsidP="00185727">
      <w:r w:rsidRPr="00FA1A19">
        <w:t>Additionally, in the ATO</w:t>
      </w:r>
      <w:r w:rsidR="00F75232">
        <w:t>’</w:t>
      </w:r>
      <w:r w:rsidRPr="00FA1A19">
        <w:t xml:space="preserve">s guidance for crypto asset businesses, it is stated that </w:t>
      </w:r>
      <w:r w:rsidR="00F75232">
        <w:t>‘</w:t>
      </w:r>
      <w:r w:rsidRPr="00FA1A19">
        <w:t>One way of determining the value of a crypto asset in Australian dollars is using a fair market value published by a reputable crypto asset exchange.</w:t>
      </w:r>
      <w:r w:rsidR="00F75232">
        <w:t>’</w:t>
      </w:r>
      <w:r w:rsidRPr="00170ADC">
        <w:rPr>
          <w:rStyle w:val="FootnoteReference"/>
        </w:rPr>
        <w:footnoteReference w:id="446"/>
      </w:r>
    </w:p>
    <w:p w14:paraId="1DF959E9" w14:textId="7FFD89F3" w:rsidR="00185727" w:rsidRPr="00FA1A19" w:rsidRDefault="00185727" w:rsidP="00185727">
      <w:r w:rsidRPr="00FA1A19">
        <w:t>While this acknowledges the ATO</w:t>
      </w:r>
      <w:r w:rsidR="00F75232">
        <w:t>’</w:t>
      </w:r>
      <w:r w:rsidRPr="00FA1A19">
        <w:t>s acceptance of valu</w:t>
      </w:r>
      <w:r w:rsidR="001D2D35" w:rsidRPr="00FA1A19">
        <w:t>ations</w:t>
      </w:r>
      <w:r w:rsidRPr="00FA1A19">
        <w:t xml:space="preserve"> published by exchanges, it provides limited assistance to a taxpayer in determining which exchange</w:t>
      </w:r>
      <w:r w:rsidR="008C3BA2" w:rsidRPr="00FA1A19">
        <w:t xml:space="preserve">s the ATO will consider </w:t>
      </w:r>
      <w:r w:rsidR="00F75232">
        <w:t>‘</w:t>
      </w:r>
      <w:r w:rsidR="008C3BA2" w:rsidRPr="00FA1A19">
        <w:t>reputable</w:t>
      </w:r>
      <w:r w:rsidR="00F75232">
        <w:t>’</w:t>
      </w:r>
      <w:r w:rsidR="008C3BA2" w:rsidRPr="00FA1A19">
        <w:t xml:space="preserve"> </w:t>
      </w:r>
      <w:r w:rsidRPr="00FA1A19">
        <w:t>or what point in time valuation is acceptable</w:t>
      </w:r>
      <w:r w:rsidR="00187CDE" w:rsidRPr="00FA1A19">
        <w:t xml:space="preserve"> to the ATO</w:t>
      </w:r>
      <w:r w:rsidRPr="00FA1A19">
        <w:t xml:space="preserve">. </w:t>
      </w:r>
    </w:p>
    <w:p w14:paraId="01FB064E" w14:textId="516B3A63" w:rsidR="00185727" w:rsidRPr="00FA1A19" w:rsidRDefault="00185727" w:rsidP="00185727">
      <w:r w:rsidRPr="00FA1A19">
        <w:t xml:space="preserve">The Board notes that in other contexts, ATO guidance has addressed issues associated with valuations for specific assets. More broadly in relation to valuations, the ATO has published a guidance product </w:t>
      </w:r>
      <w:r w:rsidRPr="00813896">
        <w:rPr>
          <w:rStyle w:val="Emphasis"/>
        </w:rPr>
        <w:t>Market valuation for tax purposes</w:t>
      </w:r>
      <w:r w:rsidRPr="00170ADC">
        <w:rPr>
          <w:rStyle w:val="FootnoteReference"/>
        </w:rPr>
        <w:footnoteReference w:id="447"/>
      </w:r>
      <w:r w:rsidRPr="00FA1A19">
        <w:rPr>
          <w:i/>
          <w:iCs/>
        </w:rPr>
        <w:t xml:space="preserve"> </w:t>
      </w:r>
      <w:r w:rsidRPr="00FA1A19">
        <w:t>which is designed to assist in understanding the Commissioner</w:t>
      </w:r>
      <w:r w:rsidR="00F75232">
        <w:t>’</w:t>
      </w:r>
      <w:r w:rsidRPr="00FA1A19">
        <w:t xml:space="preserve">s general expectations on market valuations for tax purposes. In the </w:t>
      </w:r>
      <w:r w:rsidR="00F75232">
        <w:t>‘</w:t>
      </w:r>
      <w:r w:rsidRPr="00FA1A19">
        <w:t>references</w:t>
      </w:r>
      <w:r w:rsidR="00F75232">
        <w:t>’</w:t>
      </w:r>
      <w:r w:rsidRPr="00FA1A19">
        <w:t xml:space="preserve"> section of this guidance product, in Table 2, reference is made to </w:t>
      </w:r>
      <w:r w:rsidR="00F75232">
        <w:t>‘</w:t>
      </w:r>
      <w:r w:rsidRPr="00FA1A19">
        <w:t>ATO advice and guidance on market value for various tax topics</w:t>
      </w:r>
      <w:r w:rsidR="00F75232">
        <w:t>’</w:t>
      </w:r>
      <w:r w:rsidRPr="00FA1A19">
        <w:t xml:space="preserve">. There are specific links to various valuation guidance (e.g. CGT, and tax consolidation). The table includes a reference to </w:t>
      </w:r>
      <w:r w:rsidR="00F75232">
        <w:t>‘</w:t>
      </w:r>
      <w:r w:rsidRPr="00FA1A19">
        <w:t>Cryptocurrency</w:t>
      </w:r>
      <w:r w:rsidR="00F75232">
        <w:t>’</w:t>
      </w:r>
      <w:r w:rsidRPr="00FA1A19">
        <w:t xml:space="preserve"> but the link is to the general ATO guidance rather than any specific valuation materials. The Board </w:t>
      </w:r>
      <w:r w:rsidR="43D75B59" w:rsidRPr="00FA1A19">
        <w:t>questions the</w:t>
      </w:r>
      <w:r w:rsidR="002858E8">
        <w:t xml:space="preserve"> </w:t>
      </w:r>
      <w:r w:rsidRPr="00FA1A19">
        <w:t>utility in this reference.</w:t>
      </w:r>
    </w:p>
    <w:p w14:paraId="162D9CD4" w14:textId="77777777" w:rsidR="00185727" w:rsidRPr="00FA1A19" w:rsidRDefault="00185727" w:rsidP="00185727">
      <w:pPr>
        <w:rPr>
          <w:i/>
          <w:iCs/>
        </w:rPr>
      </w:pPr>
      <w:r w:rsidRPr="00FA1A19">
        <w:t xml:space="preserve">The Board notes that previous ATO valuation guidance in relation to listed shares has allowed taxpayers to adopt the volume weighted average price of the shares over a certain period. This has assisted in smoothing the effects of illiquidity and the volatility of share prices over a short period. </w:t>
      </w:r>
    </w:p>
    <w:p w14:paraId="6EE63739" w14:textId="1E08CC39" w:rsidR="00185727" w:rsidRDefault="00185727" w:rsidP="00FE53CB">
      <w:pPr>
        <w:keepLines/>
      </w:pPr>
      <w:r w:rsidRPr="00FA1A19">
        <w:t xml:space="preserve">The Board considers that guidance is required to support taxpayers in what is acceptable to the ATO in relation to the determination of market valuations of crypto assets. The Board considers that there is need for a commonsense approach to this determination, potentially incorporating the use of average valuations. </w:t>
      </w:r>
    </w:p>
    <w:p w14:paraId="70FF7D04" w14:textId="77777777" w:rsidR="000E72DD" w:rsidRPr="00FA1A19" w:rsidRDefault="000E72DD" w:rsidP="000E72DD">
      <w:pPr>
        <w:pStyle w:val="SingleParagraph"/>
      </w:pPr>
    </w:p>
    <w:tbl>
      <w:tblPr>
        <w:tblStyle w:val="Style2"/>
        <w:tblW w:w="5000" w:type="pct"/>
        <w:tblLook w:val="0420" w:firstRow="1" w:lastRow="0" w:firstColumn="0" w:lastColumn="0" w:noHBand="0" w:noVBand="1"/>
      </w:tblPr>
      <w:tblGrid>
        <w:gridCol w:w="9641"/>
      </w:tblGrid>
      <w:tr w:rsidR="00185727" w:rsidRPr="00FA1A19" w14:paraId="35B01AD8"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0E17E1F" w14:textId="2397EFF0" w:rsidR="00185727" w:rsidRPr="00FA1A19" w:rsidRDefault="00372633" w:rsidP="003316D7">
            <w:pPr>
              <w:pStyle w:val="BoxHeading1"/>
            </w:pPr>
            <w:r>
              <w:t>Recommendation </w:t>
            </w:r>
            <w:r w:rsidR="0010069C" w:rsidRPr="00FA1A19">
              <w:t>7</w:t>
            </w:r>
            <w:r w:rsidR="00185727" w:rsidRPr="00FA1A19">
              <w:t>.</w:t>
            </w:r>
            <w:r w:rsidR="00F806DD">
              <w:t>7</w:t>
            </w:r>
          </w:p>
        </w:tc>
      </w:tr>
      <w:tr w:rsidR="00185727" w:rsidRPr="00FA1A19" w14:paraId="3D83B5F4"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5C97EBC7" w14:textId="51434F3B" w:rsidR="006423DB" w:rsidRPr="00FA1A19" w:rsidRDefault="006423DB" w:rsidP="00981F8C">
            <w:pPr>
              <w:pStyle w:val="BoxText"/>
            </w:pPr>
            <w:r w:rsidRPr="00FA1A19">
              <w:t>There are many circumstances in which it is necessary for a crypto asset user to determine the value of a crypto asset for the purposes of complying with the tax law</w:t>
            </w:r>
            <w:r w:rsidR="008F313D" w:rsidRPr="00FA1A19">
              <w:t>.</w:t>
            </w:r>
          </w:p>
          <w:p w14:paraId="4002910F" w14:textId="7720C4DC" w:rsidR="00185727" w:rsidRPr="00FA1A19" w:rsidRDefault="00185727" w:rsidP="00981F8C">
            <w:pPr>
              <w:pStyle w:val="BoxText"/>
            </w:pPr>
            <w:r w:rsidRPr="00FA1A19">
              <w:t>The Board recommends that the ATO</w:t>
            </w:r>
            <w:r w:rsidR="00645392" w:rsidRPr="00FA1A19">
              <w:t>,</w:t>
            </w:r>
            <w:r w:rsidRPr="00FA1A19">
              <w:t xml:space="preserve"> </w:t>
            </w:r>
            <w:r w:rsidR="007727ED" w:rsidRPr="00FA1A19">
              <w:t>in consultation</w:t>
            </w:r>
            <w:r w:rsidR="001B0FF7" w:rsidRPr="00FA1A19">
              <w:t xml:space="preserve"> </w:t>
            </w:r>
            <w:r w:rsidRPr="00FA1A19">
              <w:t xml:space="preserve">with </w:t>
            </w:r>
            <w:r w:rsidR="00E455CC" w:rsidRPr="00E81174">
              <w:t xml:space="preserve">industry stakeholders and taxpayer representative groups </w:t>
            </w:r>
            <w:r w:rsidR="00E455CC" w:rsidRPr="008A62C8">
              <w:t>including</w:t>
            </w:r>
            <w:r w:rsidRPr="00FA1A19">
              <w:t xml:space="preserve"> the Crypto Industry Working Group</w:t>
            </w:r>
            <w:r w:rsidR="00645392" w:rsidRPr="00FA1A19">
              <w:t>,</w:t>
            </w:r>
            <w:r w:rsidRPr="00FA1A19">
              <w:t xml:space="preserve"> develop valuation guidance that is specific to crypto assets.</w:t>
            </w:r>
            <w:r w:rsidR="004F0A51" w:rsidRPr="00FA1A19">
              <w:t xml:space="preserve"> </w:t>
            </w:r>
            <w:r w:rsidRPr="00FA1A19">
              <w:t xml:space="preserve">Where appropriate, the </w:t>
            </w:r>
            <w:r w:rsidR="52BC4092" w:rsidRPr="00FA1A19">
              <w:t xml:space="preserve">ATO may wish to consider providing </w:t>
            </w:r>
            <w:r w:rsidRPr="00FA1A19">
              <w:t xml:space="preserve">valuation guidance </w:t>
            </w:r>
            <w:r w:rsidR="724E1446" w:rsidRPr="00FA1A19">
              <w:t>to</w:t>
            </w:r>
            <w:r w:rsidRPr="00FA1A19">
              <w:t xml:space="preserve"> allow averaging or other </w:t>
            </w:r>
            <w:r w:rsidR="00F75232">
              <w:t>‘</w:t>
            </w:r>
            <w:r w:rsidRPr="00FA1A19">
              <w:t>short</w:t>
            </w:r>
            <w:r w:rsidR="00F75232">
              <w:noBreakHyphen/>
            </w:r>
            <w:r w:rsidRPr="00FA1A19">
              <w:t>cut</w:t>
            </w:r>
            <w:r w:rsidR="00F75232">
              <w:t>’</w:t>
            </w:r>
            <w:r w:rsidRPr="00FA1A19">
              <w:t xml:space="preserve"> methodologies to reduce compliance costs associated with the particular characteristics of crypto asset transactions.</w:t>
            </w:r>
          </w:p>
        </w:tc>
      </w:tr>
    </w:tbl>
    <w:p w14:paraId="3D0BE8D6" w14:textId="77777777" w:rsidR="00981F8C" w:rsidRDefault="00981F8C" w:rsidP="00981F8C"/>
    <w:p w14:paraId="7CD03D06" w14:textId="77777777" w:rsidR="00981F8C" w:rsidRDefault="00981F8C" w:rsidP="00981F8C">
      <w:pPr>
        <w:sectPr w:rsidR="00981F8C" w:rsidSect="00320772">
          <w:pgSz w:w="11909" w:h="16834" w:code="9"/>
          <w:pgMar w:top="1985" w:right="1134" w:bottom="1985" w:left="1134" w:header="1134" w:footer="1134" w:gutter="0"/>
          <w:cols w:space="708"/>
          <w:docGrid w:linePitch="360"/>
        </w:sectPr>
      </w:pPr>
    </w:p>
    <w:p w14:paraId="58EE2487" w14:textId="57ADCB58" w:rsidR="00FE3D3E" w:rsidRPr="00FA1A19" w:rsidRDefault="00372633" w:rsidP="0069352C">
      <w:pPr>
        <w:pStyle w:val="Heading1"/>
      </w:pPr>
      <w:bookmarkStart w:id="104" w:name="_Toc159513609"/>
      <w:r>
        <w:t>Chapter </w:t>
      </w:r>
      <w:r w:rsidR="00FE3D3E" w:rsidRPr="00FA1A19">
        <w:t xml:space="preserve">8: </w:t>
      </w:r>
      <w:r w:rsidR="006912C7" w:rsidRPr="00FA1A19">
        <w:t xml:space="preserve">Income Tax – </w:t>
      </w:r>
      <w:r w:rsidR="00FE3D3E" w:rsidRPr="00FA1A19">
        <w:t>Spe</w:t>
      </w:r>
      <w:r w:rsidR="002D21B0" w:rsidRPr="00FA1A19">
        <w:t>cific Taxation Regimes</w:t>
      </w:r>
      <w:bookmarkEnd w:id="104"/>
    </w:p>
    <w:p w14:paraId="56CF62DC" w14:textId="77777777" w:rsidR="002F667D" w:rsidRPr="00FA1A19" w:rsidRDefault="002F667D" w:rsidP="0069352C">
      <w:pPr>
        <w:pStyle w:val="Heading2"/>
        <w:rPr>
          <w:rStyle w:val="Emphasis"/>
        </w:rPr>
      </w:pPr>
      <w:bookmarkStart w:id="105" w:name="_Toc159513610"/>
      <w:r w:rsidRPr="00FA1A19">
        <w:rPr>
          <w:rStyle w:val="Emphasis"/>
        </w:rPr>
        <w:t>Key Points</w:t>
      </w:r>
      <w:bookmarkEnd w:id="105"/>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1F4D" w:themeFill="accent2"/>
        <w:tblCellMar>
          <w:top w:w="397" w:type="dxa"/>
          <w:left w:w="454" w:type="dxa"/>
          <w:bottom w:w="397" w:type="dxa"/>
          <w:right w:w="454" w:type="dxa"/>
        </w:tblCellMar>
        <w:tblLook w:val="04A0" w:firstRow="1" w:lastRow="0" w:firstColumn="1" w:lastColumn="0" w:noHBand="0" w:noVBand="1"/>
      </w:tblPr>
      <w:tblGrid>
        <w:gridCol w:w="9641"/>
      </w:tblGrid>
      <w:tr w:rsidR="002F667D" w:rsidRPr="00981F8C" w14:paraId="7EDA4C04" w14:textId="77777777" w:rsidTr="004B6636">
        <w:tc>
          <w:tcPr>
            <w:tcW w:w="5000" w:type="pct"/>
            <w:shd w:val="clear" w:color="auto" w:fill="701F4D" w:themeFill="accent2"/>
          </w:tcPr>
          <w:p w14:paraId="1AB816DA" w14:textId="64732BF7" w:rsidR="00105FCD" w:rsidRPr="00981F8C" w:rsidRDefault="00364305" w:rsidP="000E72DD">
            <w:pPr>
              <w:pStyle w:val="BoxBulletWhite"/>
            </w:pPr>
            <w:r w:rsidRPr="00981F8C">
              <w:t>Crypto assets and transactions raise some policy issues for consideration in relation to specific provisions within taxing regimes including managed investment trusts, superannuation funds</w:t>
            </w:r>
            <w:r w:rsidR="009947F2">
              <w:t>, fringe benefits</w:t>
            </w:r>
            <w:r w:rsidR="005E26A3">
              <w:t>,</w:t>
            </w:r>
            <w:r w:rsidRPr="00981F8C">
              <w:t xml:space="preserve"> charitable donations</w:t>
            </w:r>
            <w:r w:rsidR="005E26A3">
              <w:t xml:space="preserve"> and the not</w:t>
            </w:r>
            <w:r w:rsidR="00F75232">
              <w:noBreakHyphen/>
            </w:r>
            <w:r w:rsidR="005E26A3">
              <w:t>for</w:t>
            </w:r>
            <w:r w:rsidR="00F75232">
              <w:noBreakHyphen/>
            </w:r>
            <w:r w:rsidR="005E26A3">
              <w:t>profit sector</w:t>
            </w:r>
            <w:r w:rsidRPr="00981F8C">
              <w:t>.</w:t>
            </w:r>
            <w:r w:rsidR="004F0A51" w:rsidRPr="00981F8C">
              <w:t xml:space="preserve"> </w:t>
            </w:r>
          </w:p>
          <w:p w14:paraId="0F03E49E" w14:textId="280166CB" w:rsidR="002F667D" w:rsidRPr="00981F8C" w:rsidRDefault="00364305" w:rsidP="000E72DD">
            <w:pPr>
              <w:pStyle w:val="BoxBulletWhite"/>
            </w:pPr>
            <w:r w:rsidRPr="00981F8C">
              <w:t xml:space="preserve">These policy issues are a matter for the </w:t>
            </w:r>
            <w:r w:rsidR="00185FA4">
              <w:t>Australian</w:t>
            </w:r>
            <w:r w:rsidR="00185FA4" w:rsidRPr="00981F8C">
              <w:t xml:space="preserve"> </w:t>
            </w:r>
            <w:r w:rsidRPr="00981F8C">
              <w:t>Government.</w:t>
            </w:r>
          </w:p>
        </w:tc>
      </w:tr>
    </w:tbl>
    <w:p w14:paraId="00E832C0" w14:textId="4F1FB546" w:rsidR="00185727" w:rsidRPr="00FA1A19" w:rsidRDefault="002D21B0" w:rsidP="0069352C">
      <w:pPr>
        <w:pStyle w:val="Heading2"/>
      </w:pPr>
      <w:bookmarkStart w:id="106" w:name="_Toc159513611"/>
      <w:r w:rsidRPr="00FA1A19">
        <w:t>Introduction</w:t>
      </w:r>
      <w:bookmarkEnd w:id="106"/>
    </w:p>
    <w:p w14:paraId="5EEF2BC8" w14:textId="0E0DD035" w:rsidR="0033043F" w:rsidRPr="00FA1A19" w:rsidRDefault="00654E3F" w:rsidP="0033043F">
      <w:r w:rsidRPr="00FA1A19">
        <w:t xml:space="preserve">This </w:t>
      </w:r>
      <w:r w:rsidR="002C78F7" w:rsidRPr="00FA1A19">
        <w:t>c</w:t>
      </w:r>
      <w:r w:rsidRPr="00FA1A19">
        <w:t xml:space="preserve">hapter builds on the work undertaken in </w:t>
      </w:r>
      <w:r w:rsidR="00372633">
        <w:t>Chapter </w:t>
      </w:r>
      <w:r w:rsidRPr="00FA1A19">
        <w:t>7 in relation to general tax issues.</w:t>
      </w:r>
      <w:r w:rsidR="004F0A51" w:rsidRPr="00FA1A19">
        <w:t xml:space="preserve"> </w:t>
      </w:r>
      <w:r w:rsidRPr="00FA1A19">
        <w:t xml:space="preserve">In this </w:t>
      </w:r>
      <w:r w:rsidR="002C78F7" w:rsidRPr="00FA1A19">
        <w:t>c</w:t>
      </w:r>
      <w:r w:rsidRPr="00FA1A19">
        <w:t xml:space="preserve">hapter, the </w:t>
      </w:r>
      <w:r w:rsidR="0033043F" w:rsidRPr="00FA1A19">
        <w:t>Board</w:t>
      </w:r>
      <w:r w:rsidR="005A3878" w:rsidRPr="00FA1A19">
        <w:t xml:space="preserve"> considers the application to digital assets and transactions of taxation regimes </w:t>
      </w:r>
      <w:r w:rsidR="00FF170C" w:rsidRPr="00FA1A19">
        <w:t>in Australia</w:t>
      </w:r>
      <w:r w:rsidR="00F75232">
        <w:t>’</w:t>
      </w:r>
      <w:r w:rsidR="00FF170C" w:rsidRPr="00FA1A19">
        <w:t>s legislation that exist to deal with particular taxpayers or trans</w:t>
      </w:r>
      <w:r w:rsidR="0079304A" w:rsidRPr="00FA1A19">
        <w:t>actions.</w:t>
      </w:r>
      <w:r w:rsidR="004F0A51" w:rsidRPr="00FA1A19">
        <w:t xml:space="preserve"> </w:t>
      </w:r>
      <w:r w:rsidR="00347C96" w:rsidRPr="00FA1A19">
        <w:t>The relevance of these</w:t>
      </w:r>
      <w:r w:rsidR="0079304A" w:rsidRPr="00FA1A19">
        <w:t xml:space="preserve"> taxation regimes </w:t>
      </w:r>
      <w:r w:rsidR="00D37F18" w:rsidRPr="00FA1A19">
        <w:t>w</w:t>
      </w:r>
      <w:r w:rsidR="00D37F18">
        <w:t>as</w:t>
      </w:r>
      <w:r w:rsidR="00D37F18" w:rsidRPr="00FA1A19">
        <w:t xml:space="preserve"> </w:t>
      </w:r>
      <w:r w:rsidR="0079304A" w:rsidRPr="00FA1A19">
        <w:t>identified</w:t>
      </w:r>
      <w:r w:rsidR="009338A8" w:rsidRPr="00FA1A19">
        <w:t xml:space="preserve"> in submissions </w:t>
      </w:r>
      <w:r w:rsidR="00347C96" w:rsidRPr="00FA1A19">
        <w:t>to</w:t>
      </w:r>
      <w:r w:rsidR="009338A8" w:rsidRPr="00FA1A19">
        <w:t xml:space="preserve"> the Board as well as</w:t>
      </w:r>
      <w:r w:rsidR="0079304A" w:rsidRPr="00FA1A19">
        <w:t xml:space="preserve"> by the Board in its own </w:t>
      </w:r>
      <w:r w:rsidR="009338A8" w:rsidRPr="00FA1A19">
        <w:t>deliberations.</w:t>
      </w:r>
      <w:r w:rsidR="004F0A51" w:rsidRPr="00FA1A19">
        <w:t xml:space="preserve"> </w:t>
      </w:r>
      <w:r w:rsidR="009338A8" w:rsidRPr="00FA1A19">
        <w:t xml:space="preserve">The specific regimes </w:t>
      </w:r>
      <w:r w:rsidR="00AD62FF">
        <w:t xml:space="preserve">considered below </w:t>
      </w:r>
      <w:r w:rsidR="009338A8" w:rsidRPr="00FA1A19">
        <w:t xml:space="preserve">are those relating to </w:t>
      </w:r>
      <w:r w:rsidR="00AD62FF">
        <w:t>m</w:t>
      </w:r>
      <w:r w:rsidR="0033043F" w:rsidRPr="00FA1A19">
        <w:t xml:space="preserve">anaged </w:t>
      </w:r>
      <w:r w:rsidR="00AD62FF">
        <w:t>i</w:t>
      </w:r>
      <w:r w:rsidR="0033043F" w:rsidRPr="00FA1A19">
        <w:t xml:space="preserve">nvestment </w:t>
      </w:r>
      <w:r w:rsidR="00AD62FF">
        <w:t>t</w:t>
      </w:r>
      <w:r w:rsidR="0033043F" w:rsidRPr="00FA1A19">
        <w:t xml:space="preserve">rusts, taxation of superannuation funds, </w:t>
      </w:r>
      <w:r w:rsidR="00AD62FF">
        <w:t xml:space="preserve">fringe benefits tax </w:t>
      </w:r>
      <w:r w:rsidR="0033043F" w:rsidRPr="00FA1A19">
        <w:t xml:space="preserve">and </w:t>
      </w:r>
      <w:r w:rsidR="00D218B1" w:rsidRPr="00FA1A19">
        <w:t>the not</w:t>
      </w:r>
      <w:r w:rsidR="00F75232">
        <w:noBreakHyphen/>
      </w:r>
      <w:r w:rsidR="00D218B1" w:rsidRPr="00FA1A19">
        <w:t>for</w:t>
      </w:r>
      <w:r w:rsidR="00F75232">
        <w:noBreakHyphen/>
      </w:r>
      <w:r w:rsidR="00D218B1" w:rsidRPr="00FA1A19">
        <w:t>profit sector</w:t>
      </w:r>
      <w:r w:rsidR="00362834">
        <w:t>, including</w:t>
      </w:r>
      <w:r w:rsidR="00362834" w:rsidRPr="00362834">
        <w:t xml:space="preserve"> </w:t>
      </w:r>
      <w:r w:rsidR="00362834" w:rsidRPr="00FA1A19">
        <w:t>charitable donations</w:t>
      </w:r>
      <w:r w:rsidR="0033043F" w:rsidRPr="00FA1A19">
        <w:t>.</w:t>
      </w:r>
    </w:p>
    <w:p w14:paraId="66EFB2CF" w14:textId="77777777" w:rsidR="00185727" w:rsidRPr="00FA1A19" w:rsidRDefault="00185727" w:rsidP="0069352C">
      <w:pPr>
        <w:pStyle w:val="Heading2"/>
      </w:pPr>
      <w:bookmarkStart w:id="107" w:name="_Toc159513612"/>
      <w:r w:rsidRPr="00FA1A19">
        <w:t>Managed Investment Trusts</w:t>
      </w:r>
      <w:bookmarkEnd w:id="107"/>
    </w:p>
    <w:p w14:paraId="14AB9ED9" w14:textId="3219827E" w:rsidR="00185727" w:rsidRPr="00FA1A19" w:rsidRDefault="00185727" w:rsidP="00185727">
      <w:r w:rsidRPr="00FA1A19">
        <w:t xml:space="preserve">A </w:t>
      </w:r>
      <w:r w:rsidR="00362834">
        <w:t>m</w:t>
      </w:r>
      <w:r w:rsidR="00362834" w:rsidRPr="00FA1A19">
        <w:t xml:space="preserve">anaged </w:t>
      </w:r>
      <w:r w:rsidR="00362834">
        <w:t>i</w:t>
      </w:r>
      <w:r w:rsidRPr="00FA1A19">
        <w:t xml:space="preserve">nvestment </w:t>
      </w:r>
      <w:r w:rsidR="00362834">
        <w:t>t</w:t>
      </w:r>
      <w:r w:rsidRPr="00FA1A19">
        <w:t>rust (MIT) is a collective investment vehicle that is afforded concessionary tax treatment. For example, payments made by a MIT to a foreign resident investor in a country which has an effective exchange of information agreement with Australia, are generally subject to a 15% withholding tax.</w:t>
      </w:r>
      <w:r w:rsidRPr="00170ADC">
        <w:rPr>
          <w:rStyle w:val="FootnoteReference"/>
        </w:rPr>
        <w:footnoteReference w:id="448"/>
      </w:r>
      <w:r w:rsidRPr="00FA1A19">
        <w:t xml:space="preserve"> A MIT may also be able to make a </w:t>
      </w:r>
      <w:r w:rsidR="00F75232">
        <w:t>‘</w:t>
      </w:r>
      <w:r w:rsidRPr="00FA1A19">
        <w:t>capital election</w:t>
      </w:r>
      <w:r w:rsidR="00F75232">
        <w:t>’</w:t>
      </w:r>
      <w:r w:rsidRPr="00FA1A19">
        <w:t xml:space="preserve"> confirming that capital treatment will apply to </w:t>
      </w:r>
      <w:r w:rsidR="009B77E5" w:rsidRPr="00FA1A19">
        <w:t xml:space="preserve">certain </w:t>
      </w:r>
      <w:r w:rsidR="00F75232">
        <w:t>‘</w:t>
      </w:r>
      <w:r w:rsidR="00F66CF8" w:rsidRPr="00FA1A19">
        <w:t>covered</w:t>
      </w:r>
      <w:r w:rsidR="009B77E5" w:rsidRPr="00FA1A19">
        <w:t xml:space="preserve"> </w:t>
      </w:r>
      <w:r w:rsidRPr="00FA1A19">
        <w:t>assets</w:t>
      </w:r>
      <w:r w:rsidR="00904ADC">
        <w:t>’</w:t>
      </w:r>
      <w:r w:rsidR="00F66CF8" w:rsidRPr="00FA1A19">
        <w:t>.</w:t>
      </w:r>
      <w:r w:rsidRPr="00FA1A19">
        <w:t xml:space="preserve"> </w:t>
      </w:r>
    </w:p>
    <w:p w14:paraId="16F99C23" w14:textId="54162922" w:rsidR="00185727" w:rsidRPr="00FA1A19" w:rsidRDefault="00185727" w:rsidP="00185727">
      <w:r w:rsidRPr="00FA1A19">
        <w:t>The MIT regime was established to improve the operation of the taxation law for managed investment trusts by increasing certainty, allowing greater flexibility and reducing compliance costs. The reform was intended to enhance the competitiveness of Australia</w:t>
      </w:r>
      <w:r w:rsidR="00F75232">
        <w:t>’</w:t>
      </w:r>
      <w:r w:rsidRPr="00FA1A19">
        <w:t>s managed fund industry.</w:t>
      </w:r>
      <w:r w:rsidRPr="00170ADC">
        <w:rPr>
          <w:rStyle w:val="FootnoteReference"/>
        </w:rPr>
        <w:footnoteReference w:id="449"/>
      </w:r>
      <w:r w:rsidRPr="00FA1A19">
        <w:t xml:space="preserve"> </w:t>
      </w:r>
    </w:p>
    <w:p w14:paraId="00E7B220" w14:textId="26BBE236" w:rsidR="00185727" w:rsidRPr="00FA1A19" w:rsidRDefault="00185727" w:rsidP="00185727">
      <w:r w:rsidRPr="00FA1A19">
        <w:t xml:space="preserve">Some MITs are able to make an election to be treated as </w:t>
      </w:r>
      <w:r w:rsidR="00F75232">
        <w:t>‘</w:t>
      </w:r>
      <w:r w:rsidRPr="00FA1A19">
        <w:t>attribution managed investment trusts</w:t>
      </w:r>
      <w:r w:rsidR="00F75232">
        <w:t>’</w:t>
      </w:r>
      <w:r w:rsidRPr="00FA1A19">
        <w:t xml:space="preserve"> (AMITs). Once a MIT elects to apply these rules, it is no longer taxed under the provisions of Division 6 of the ITAA 1936, and is then taxed under the AMIT rules in Division 276 of the ITAA 1997.</w:t>
      </w:r>
    </w:p>
    <w:p w14:paraId="53A92D12" w14:textId="6B862838" w:rsidR="00185727" w:rsidRPr="00FA1A19" w:rsidRDefault="00185727" w:rsidP="00185727">
      <w:r w:rsidRPr="00FA1A19">
        <w:t xml:space="preserve">A detailed review of </w:t>
      </w:r>
      <w:r w:rsidR="00E6337C" w:rsidRPr="00FA1A19">
        <w:t xml:space="preserve">the existing framework for </w:t>
      </w:r>
      <w:r w:rsidR="00AA171B" w:rsidRPr="00FA1A19">
        <w:t xml:space="preserve">MITs </w:t>
      </w:r>
      <w:r w:rsidRPr="00FA1A19">
        <w:t xml:space="preserve">and AMITs </w:t>
      </w:r>
      <w:r w:rsidR="00E6337C" w:rsidRPr="00FA1A19">
        <w:t xml:space="preserve">and associated issues </w:t>
      </w:r>
      <w:r w:rsidRPr="00FA1A19">
        <w:t>is beyond the scope of the Board</w:t>
      </w:r>
      <w:r w:rsidR="00F75232">
        <w:t>’</w:t>
      </w:r>
      <w:r w:rsidRPr="00FA1A19">
        <w:t xml:space="preserve">s review. The Board did however receive feedback in relation to the potential inability </w:t>
      </w:r>
      <w:r w:rsidR="001364B1" w:rsidRPr="00FA1A19">
        <w:t xml:space="preserve">of a </w:t>
      </w:r>
      <w:r w:rsidR="00A55B5E" w:rsidRPr="00FA1A19">
        <w:t xml:space="preserve">collective investment vehicle that </w:t>
      </w:r>
      <w:r w:rsidR="000060FF" w:rsidRPr="00FA1A19">
        <w:t xml:space="preserve">engages in crypto transactions </w:t>
      </w:r>
      <w:r w:rsidRPr="00FA1A19">
        <w:t xml:space="preserve">to satisfy the qualification rules to be a MIT and in particular, the requirement that the trust not </w:t>
      </w:r>
      <w:r w:rsidR="000060FF" w:rsidRPr="00FA1A19">
        <w:t xml:space="preserve">be </w:t>
      </w:r>
      <w:r w:rsidRPr="00FA1A19">
        <w:t xml:space="preserve">a </w:t>
      </w:r>
      <w:r w:rsidR="00F75232">
        <w:t>‘</w:t>
      </w:r>
      <w:r w:rsidRPr="00FA1A19">
        <w:t>trading trust</w:t>
      </w:r>
      <w:r w:rsidR="00F75232">
        <w:t>’</w:t>
      </w:r>
      <w:r w:rsidRPr="00FA1A19">
        <w:t xml:space="preserve"> or carry</w:t>
      </w:r>
      <w:r w:rsidR="004545D6" w:rsidRPr="00FA1A19">
        <w:t xml:space="preserve"> </w:t>
      </w:r>
      <w:r w:rsidRPr="00FA1A19">
        <w:t xml:space="preserve">on a </w:t>
      </w:r>
      <w:r w:rsidR="00F75232">
        <w:t>‘</w:t>
      </w:r>
      <w:r w:rsidRPr="00FA1A19">
        <w:t>trading business</w:t>
      </w:r>
      <w:r w:rsidR="00F75232">
        <w:t>’</w:t>
      </w:r>
      <w:r w:rsidRPr="00FA1A19">
        <w:t xml:space="preserve"> (or control another person that carries on a trading business).</w:t>
      </w:r>
      <w:r w:rsidR="00A922BA" w:rsidRPr="00170ADC">
        <w:rPr>
          <w:rStyle w:val="FootnoteReference"/>
        </w:rPr>
        <w:footnoteReference w:id="450"/>
      </w:r>
      <w:r w:rsidR="004F0A51" w:rsidRPr="00FA1A19">
        <w:t xml:space="preserve"> </w:t>
      </w:r>
      <w:r w:rsidR="004524BF" w:rsidRPr="00FA1A19">
        <w:t>In light of having received these comments, the Board makes some comments</w:t>
      </w:r>
      <w:r w:rsidR="003021C6" w:rsidRPr="00FA1A19">
        <w:t xml:space="preserve"> in relation to this issue</w:t>
      </w:r>
      <w:r w:rsidR="004524BF" w:rsidRPr="00FA1A19">
        <w:t>.</w:t>
      </w:r>
    </w:p>
    <w:p w14:paraId="1C32F544" w14:textId="40B5E68C" w:rsidR="00185727" w:rsidRPr="00FA1A19" w:rsidRDefault="00185727" w:rsidP="00185727">
      <w:r w:rsidRPr="00FA1A19">
        <w:t>A trading business is</w:t>
      </w:r>
      <w:r w:rsidR="00DE6579" w:rsidRPr="00FA1A19">
        <w:t xml:space="preserve"> defined in s</w:t>
      </w:r>
      <w:r w:rsidR="002F78CD">
        <w:t>ection</w:t>
      </w:r>
      <w:r w:rsidR="00DE6579" w:rsidRPr="00FA1A19">
        <w:t> 102M</w:t>
      </w:r>
      <w:r w:rsidR="00492A93" w:rsidRPr="00FA1A19">
        <w:t xml:space="preserve"> </w:t>
      </w:r>
      <w:r w:rsidR="00DE6579" w:rsidRPr="00FA1A19">
        <w:t>of the ITAA 1936 as</w:t>
      </w:r>
      <w:r w:rsidRPr="00FA1A19">
        <w:t xml:space="preserve"> a business that does not consist wholly of an </w:t>
      </w:r>
      <w:r w:rsidR="00F75232">
        <w:t>‘</w:t>
      </w:r>
      <w:r w:rsidRPr="00FA1A19">
        <w:t>eligible investment business</w:t>
      </w:r>
      <w:r w:rsidR="00F75232">
        <w:t>’</w:t>
      </w:r>
      <w:r w:rsidR="007E2A20" w:rsidRPr="00FA1A19">
        <w:t xml:space="preserve">, which in turn </w:t>
      </w:r>
      <w:r w:rsidRPr="00FA1A19">
        <w:t>is defined to be one or more of:</w:t>
      </w:r>
    </w:p>
    <w:p w14:paraId="69F7FBF4" w14:textId="0632907A" w:rsidR="00185727" w:rsidRPr="00FA1A19" w:rsidRDefault="00185727" w:rsidP="007E34C4">
      <w:pPr>
        <w:pStyle w:val="OutlineNumbered2"/>
        <w:numPr>
          <w:ilvl w:val="1"/>
          <w:numId w:val="22"/>
        </w:numPr>
      </w:pPr>
      <w:r w:rsidRPr="00FA1A19">
        <w:t xml:space="preserve">Investing in </w:t>
      </w:r>
      <w:r w:rsidRPr="00981F8C">
        <w:t>land</w:t>
      </w:r>
      <w:r w:rsidRPr="00FA1A19">
        <w:t xml:space="preserve"> for the purpose, or primarily for the purpose, of deriving rent; or</w:t>
      </w:r>
    </w:p>
    <w:p w14:paraId="6989C011" w14:textId="5FE8B3E5" w:rsidR="00185727" w:rsidRPr="00FA1A19" w:rsidRDefault="00185727" w:rsidP="007E34C4">
      <w:pPr>
        <w:pStyle w:val="OutlineNumbered2"/>
        <w:numPr>
          <w:ilvl w:val="1"/>
          <w:numId w:val="22"/>
        </w:numPr>
      </w:pPr>
      <w:r w:rsidRPr="00FA1A19">
        <w:t>Investing or trading in any or all of the following:</w:t>
      </w:r>
    </w:p>
    <w:p w14:paraId="5D2847D6" w14:textId="2C24B6E1" w:rsidR="00B86742" w:rsidRDefault="00185727" w:rsidP="007E34C4">
      <w:pPr>
        <w:pStyle w:val="OutlineNumbered3"/>
        <w:ind w:left="1568"/>
      </w:pPr>
      <w:r w:rsidRPr="00FA1A19">
        <w:t>secured or unsecured loans (including deposits with a bank or other financial institution</w:t>
      </w:r>
      <w:bookmarkStart w:id="108" w:name="io700805sl643866664UUpUU2UUp1UU2"/>
      <w:bookmarkEnd w:id="108"/>
      <w:r w:rsidRPr="00FA1A19">
        <w:t>);</w:t>
      </w:r>
    </w:p>
    <w:p w14:paraId="0A99E325" w14:textId="266242FD" w:rsidR="00185727" w:rsidRPr="00FA1A19" w:rsidRDefault="00185727" w:rsidP="007E34C4">
      <w:pPr>
        <w:pStyle w:val="OutlineNumbered3"/>
        <w:ind w:left="1568"/>
      </w:pPr>
      <w:r w:rsidRPr="00FA1A19">
        <w:t>bonds, debentures, stock or other securities;</w:t>
      </w:r>
    </w:p>
    <w:p w14:paraId="4CABAB6D" w14:textId="31602597" w:rsidR="00185727" w:rsidRPr="00FA1A19" w:rsidRDefault="00185727" w:rsidP="007E34C4">
      <w:pPr>
        <w:pStyle w:val="OutlineNumbered3"/>
        <w:ind w:left="1568"/>
      </w:pPr>
      <w:bookmarkStart w:id="109" w:name="io700805sl643866664UUpUU2UUp1UU3"/>
      <w:bookmarkEnd w:id="109"/>
      <w:r w:rsidRPr="00FA1A19">
        <w:t>shares in a company, including shares in a foreign hybrid company (as defined in the </w:t>
      </w:r>
      <w:r w:rsidRPr="00751C84">
        <w:rPr>
          <w:i/>
          <w:iCs/>
        </w:rPr>
        <w:t>Income Tax Assessment Act 1997</w:t>
      </w:r>
      <w:r w:rsidRPr="00FA1A19">
        <w:t>);</w:t>
      </w:r>
    </w:p>
    <w:p w14:paraId="70DC5C25" w14:textId="46D049AE" w:rsidR="00185727" w:rsidRPr="00FA1A19" w:rsidRDefault="00185727" w:rsidP="007E34C4">
      <w:pPr>
        <w:pStyle w:val="OutlineNumbered3"/>
        <w:ind w:left="1568"/>
      </w:pPr>
      <w:bookmarkStart w:id="110" w:name="io700805sl643866664UUpUU2UUp1UU4"/>
      <w:bookmarkEnd w:id="110"/>
      <w:r w:rsidRPr="00FA1A19">
        <w:t>units in a unit trust;</w:t>
      </w:r>
    </w:p>
    <w:p w14:paraId="50C7F8B1" w14:textId="22D73EF8" w:rsidR="00185727" w:rsidRPr="00FA1A19" w:rsidRDefault="00185727" w:rsidP="007E34C4">
      <w:pPr>
        <w:pStyle w:val="OutlineNumbered3"/>
        <w:ind w:left="1568"/>
      </w:pPr>
      <w:bookmarkStart w:id="111" w:name="io700805sl643866664UUpUU2UUp1UU5"/>
      <w:bookmarkEnd w:id="111"/>
      <w:r w:rsidRPr="00FA1A19">
        <w:t>futures contracts;</w:t>
      </w:r>
    </w:p>
    <w:p w14:paraId="229C84E1" w14:textId="77E17C3E" w:rsidR="00185727" w:rsidRPr="00FA1A19" w:rsidRDefault="00185727" w:rsidP="007E34C4">
      <w:pPr>
        <w:pStyle w:val="OutlineNumbered3"/>
        <w:ind w:left="1568"/>
      </w:pPr>
      <w:bookmarkStart w:id="112" w:name="io700805sl643866664UUpUU2UUp1UU6"/>
      <w:bookmarkEnd w:id="112"/>
      <w:r w:rsidRPr="00FA1A19">
        <w:t>forward contracts;</w:t>
      </w:r>
    </w:p>
    <w:p w14:paraId="69A278C3" w14:textId="43C99672" w:rsidR="00185727" w:rsidRPr="00FA1A19" w:rsidRDefault="00185727" w:rsidP="007E34C4">
      <w:pPr>
        <w:pStyle w:val="OutlineNumbered3"/>
        <w:ind w:left="1568"/>
      </w:pPr>
      <w:bookmarkStart w:id="113" w:name="io700805sl643866664UUpUU2UUp1UU7"/>
      <w:bookmarkEnd w:id="113"/>
      <w:r w:rsidRPr="00FA1A19">
        <w:t>interest rate swap contracts;</w:t>
      </w:r>
    </w:p>
    <w:p w14:paraId="18FFC68E" w14:textId="4B53EA61" w:rsidR="00185727" w:rsidRPr="00FA1A19" w:rsidRDefault="00185727" w:rsidP="007E34C4">
      <w:pPr>
        <w:pStyle w:val="OutlineNumbered3"/>
        <w:ind w:left="1568"/>
      </w:pPr>
      <w:bookmarkStart w:id="114" w:name="io700805sl643866664UUpUU2UUp1UU8"/>
      <w:bookmarkEnd w:id="114"/>
      <w:r w:rsidRPr="00FA1A19">
        <w:t>currency swap contracts;</w:t>
      </w:r>
    </w:p>
    <w:p w14:paraId="2770F6C6" w14:textId="0DD62EBA" w:rsidR="00185727" w:rsidRPr="00FA1A19" w:rsidRDefault="00185727" w:rsidP="007E34C4">
      <w:pPr>
        <w:pStyle w:val="OutlineNumbered3"/>
        <w:ind w:left="1568"/>
      </w:pPr>
      <w:bookmarkStart w:id="115" w:name="io700805sl643866664UUpUU2UUp1UU9"/>
      <w:bookmarkEnd w:id="115"/>
      <w:r w:rsidRPr="00FA1A19">
        <w:t>forward exchange rate contracts;</w:t>
      </w:r>
    </w:p>
    <w:p w14:paraId="33B7E4D2" w14:textId="1E1ACB5D" w:rsidR="00185727" w:rsidRPr="00FA1A19" w:rsidRDefault="00185727" w:rsidP="007E34C4">
      <w:pPr>
        <w:pStyle w:val="OutlineNumbered3"/>
        <w:ind w:left="1568"/>
      </w:pPr>
      <w:bookmarkStart w:id="116" w:name="io700805sl643866664UUpUU2UUp1UU10"/>
      <w:bookmarkEnd w:id="116"/>
      <w:r w:rsidRPr="00FA1A19">
        <w:t>forward interest rate contracts;</w:t>
      </w:r>
    </w:p>
    <w:p w14:paraId="30D20C6E" w14:textId="26A452F9" w:rsidR="00185727" w:rsidRPr="00FA1A19" w:rsidRDefault="00185727" w:rsidP="007E34C4">
      <w:pPr>
        <w:pStyle w:val="OutlineNumbered3"/>
        <w:ind w:left="1568"/>
      </w:pPr>
      <w:bookmarkStart w:id="117" w:name="io700805sl643866664UUpUU2UUp1UU11"/>
      <w:bookmarkEnd w:id="117"/>
      <w:r w:rsidRPr="00FA1A19">
        <w:t>life assurance policies;</w:t>
      </w:r>
    </w:p>
    <w:p w14:paraId="05339E06" w14:textId="71BB4B45" w:rsidR="00185727" w:rsidRPr="00FA1A19" w:rsidRDefault="00185727" w:rsidP="007E34C4">
      <w:pPr>
        <w:pStyle w:val="OutlineNumbered3"/>
        <w:ind w:left="1568"/>
      </w:pPr>
      <w:bookmarkStart w:id="118" w:name="io700805sl643866664UUpUU2UUp1UU12"/>
      <w:bookmarkEnd w:id="118"/>
      <w:r w:rsidRPr="00FA1A19">
        <w:t>a right or option in respect of such a loan, security, share, unit, contract or policy;</w:t>
      </w:r>
    </w:p>
    <w:p w14:paraId="2841F94A" w14:textId="32472A11" w:rsidR="00185727" w:rsidRPr="00FA1A19" w:rsidRDefault="00185727" w:rsidP="007E34C4">
      <w:pPr>
        <w:pStyle w:val="OutlineNumbered3"/>
        <w:ind w:left="1568"/>
      </w:pPr>
      <w:bookmarkStart w:id="119" w:name="io700805sl643866664UUpUU2UUp1UU13"/>
      <w:bookmarkEnd w:id="119"/>
      <w:r w:rsidRPr="00FA1A19">
        <w:t>any similar financial instruments; or</w:t>
      </w:r>
    </w:p>
    <w:p w14:paraId="06054CB3" w14:textId="50BD5E52" w:rsidR="00185727" w:rsidRPr="00FA1A19" w:rsidRDefault="00185727" w:rsidP="007E34C4">
      <w:pPr>
        <w:pStyle w:val="OutlineNumbered2"/>
      </w:pPr>
      <w:r w:rsidRPr="00FA1A19">
        <w:t>investing</w:t>
      </w:r>
      <w:r w:rsidRPr="00FA1A19">
        <w:rPr>
          <w:shd w:val="clear" w:color="auto" w:fill="FFFFFF"/>
        </w:rPr>
        <w:t xml:space="preserve"> or </w:t>
      </w:r>
      <w:r w:rsidRPr="002931D7">
        <w:t>trading</w:t>
      </w:r>
      <w:r w:rsidRPr="00FA1A19">
        <w:rPr>
          <w:shd w:val="clear" w:color="auto" w:fill="FFFFFF"/>
        </w:rPr>
        <w:t xml:space="preserve"> in financial instruments (not covered by paragraph (b)) that arise under financial arrangements, other than arrangements excepted by section </w:t>
      </w:r>
      <w:bookmarkStart w:id="120" w:name="io700805sl643866665"/>
      <w:bookmarkEnd w:id="120"/>
      <w:r w:rsidRPr="00FA1A19">
        <w:fldChar w:fldCharType="begin"/>
      </w:r>
      <w:r w:rsidRPr="00FA1A19">
        <w:instrText xml:space="preserve"> HYPERLINK "javascript:void(0)" </w:instrText>
      </w:r>
      <w:r w:rsidRPr="00FA1A19">
        <w:fldChar w:fldCharType="separate"/>
      </w:r>
      <w:r w:rsidRPr="00FA1A19">
        <w:rPr>
          <w:rStyle w:val="Hyperlink"/>
          <w:rFonts w:cstheme="minorHAnsi"/>
          <w:color w:val="auto"/>
          <w:u w:val="none"/>
          <w:shd w:val="clear" w:color="auto" w:fill="FFFFFF"/>
        </w:rPr>
        <w:t>102MA</w:t>
      </w:r>
      <w:r w:rsidRPr="00FA1A19">
        <w:fldChar w:fldCharType="end"/>
      </w:r>
      <w:r w:rsidRPr="00FA1A19">
        <w:rPr>
          <w:shd w:val="clear" w:color="auto" w:fill="FFFFFF"/>
        </w:rPr>
        <w:t>.</w:t>
      </w:r>
      <w:r w:rsidRPr="00170ADC">
        <w:rPr>
          <w:rStyle w:val="FootnoteReference"/>
        </w:rPr>
        <w:footnoteReference w:id="451"/>
      </w:r>
    </w:p>
    <w:p w14:paraId="2E53D8A6" w14:textId="4B366C93" w:rsidR="00185727" w:rsidRPr="00FA1A19" w:rsidRDefault="00185727" w:rsidP="00185727">
      <w:r w:rsidRPr="00FA1A19">
        <w:t xml:space="preserve">The above items do not specifically include crypto assets and crypto assets do not </w:t>
      </w:r>
      <w:r w:rsidR="00B41594" w:rsidRPr="00FA1A19">
        <w:t>obviously</w:t>
      </w:r>
      <w:r w:rsidRPr="00FA1A19">
        <w:t xml:space="preserve"> fall within any of the categories referred to above.</w:t>
      </w:r>
      <w:r w:rsidR="00EE34B7" w:rsidRPr="00170ADC">
        <w:rPr>
          <w:rStyle w:val="FootnoteReference"/>
        </w:rPr>
        <w:footnoteReference w:id="452"/>
      </w:r>
      <w:r w:rsidRPr="00FA1A19">
        <w:t xml:space="preserve"> Accordingly, a </w:t>
      </w:r>
      <w:r w:rsidR="00332497" w:rsidRPr="00FA1A19">
        <w:t xml:space="preserve">collective investment vehicle </w:t>
      </w:r>
      <w:r w:rsidRPr="00FA1A19">
        <w:t xml:space="preserve">that </w:t>
      </w:r>
      <w:r w:rsidR="000763C0" w:rsidRPr="00FA1A19">
        <w:t xml:space="preserve">engages in </w:t>
      </w:r>
      <w:r w:rsidRPr="00FA1A19">
        <w:t xml:space="preserve">crypto asset </w:t>
      </w:r>
      <w:r w:rsidR="000763C0" w:rsidRPr="00FA1A19">
        <w:t>transactions</w:t>
      </w:r>
      <w:r w:rsidRPr="00FA1A19">
        <w:t xml:space="preserve"> </w:t>
      </w:r>
      <w:r w:rsidR="00285D41">
        <w:t xml:space="preserve">will </w:t>
      </w:r>
      <w:r w:rsidRPr="00FA1A19">
        <w:t xml:space="preserve">not </w:t>
      </w:r>
      <w:r w:rsidR="00285D41">
        <w:t xml:space="preserve">apparently </w:t>
      </w:r>
      <w:r w:rsidRPr="00FA1A19">
        <w:t xml:space="preserve">be eligible to be a MIT. </w:t>
      </w:r>
    </w:p>
    <w:p w14:paraId="61AB1C7D" w14:textId="2A7A7A93" w:rsidR="00185727" w:rsidRPr="00FA1A19" w:rsidRDefault="002A16F0" w:rsidP="00185727">
      <w:r w:rsidRPr="00FA1A19">
        <w:t xml:space="preserve">Even if </w:t>
      </w:r>
      <w:r w:rsidR="00F62E9C" w:rsidRPr="00FA1A19">
        <w:t xml:space="preserve">a </w:t>
      </w:r>
      <w:r w:rsidR="008B6EA9" w:rsidRPr="00FA1A19">
        <w:t>collective investment vehicle that</w:t>
      </w:r>
      <w:r w:rsidR="000763C0" w:rsidRPr="00FA1A19">
        <w:t xml:space="preserve"> engages in crypto asset transactions </w:t>
      </w:r>
      <w:r w:rsidR="00BF168E" w:rsidRPr="00FA1A19">
        <w:t>could be</w:t>
      </w:r>
      <w:r w:rsidR="000763C0" w:rsidRPr="00FA1A19">
        <w:t xml:space="preserve"> an MIT, </w:t>
      </w:r>
      <w:r w:rsidR="00140A66" w:rsidRPr="00FA1A19">
        <w:t>any capital election that it ma</w:t>
      </w:r>
      <w:r w:rsidR="00BF168E" w:rsidRPr="00FA1A19">
        <w:t>de</w:t>
      </w:r>
      <w:r w:rsidR="00140A66" w:rsidRPr="00FA1A19">
        <w:t xml:space="preserve"> </w:t>
      </w:r>
      <w:r w:rsidR="00BF168E" w:rsidRPr="00FA1A19">
        <w:t>would not apply</w:t>
      </w:r>
      <w:r w:rsidR="00140A66" w:rsidRPr="00FA1A19">
        <w:t xml:space="preserve"> to crypto assets, </w:t>
      </w:r>
      <w:r w:rsidR="00BF168E" w:rsidRPr="00FA1A19">
        <w:t xml:space="preserve">which are </w:t>
      </w:r>
      <w:r w:rsidR="00DB644B" w:rsidRPr="00FA1A19">
        <w:t xml:space="preserve">not included in </w:t>
      </w:r>
      <w:r w:rsidR="00D863A9" w:rsidRPr="00FA1A19">
        <w:t xml:space="preserve">the list of </w:t>
      </w:r>
      <w:r w:rsidR="00F66CF8" w:rsidRPr="00FA1A19">
        <w:t>covered</w:t>
      </w:r>
      <w:r w:rsidR="00D863A9" w:rsidRPr="00FA1A19">
        <w:t xml:space="preserve"> assets (s</w:t>
      </w:r>
      <w:r w:rsidR="00BB17E5">
        <w:t>ection</w:t>
      </w:r>
      <w:r w:rsidR="00D863A9" w:rsidRPr="00FA1A19">
        <w:t> 2</w:t>
      </w:r>
      <w:r w:rsidR="004A7999" w:rsidRPr="00FA1A19">
        <w:t>7</w:t>
      </w:r>
      <w:r w:rsidR="00D863A9" w:rsidRPr="00FA1A19">
        <w:t>5</w:t>
      </w:r>
      <w:r w:rsidR="00F75232">
        <w:noBreakHyphen/>
      </w:r>
      <w:r w:rsidR="00D863A9" w:rsidRPr="00FA1A19">
        <w:t>105 of the ITAA 1997).</w:t>
      </w:r>
      <w:r w:rsidR="004F0A51" w:rsidRPr="00FA1A19">
        <w:t xml:space="preserve"> </w:t>
      </w:r>
      <w:r w:rsidR="00BB1398" w:rsidRPr="00FA1A19">
        <w:t>The list in s</w:t>
      </w:r>
      <w:r w:rsidR="00BB17E5">
        <w:t>ection</w:t>
      </w:r>
      <w:r w:rsidR="00BB1398" w:rsidRPr="00FA1A19">
        <w:t> 275</w:t>
      </w:r>
      <w:r w:rsidR="00F75232">
        <w:noBreakHyphen/>
      </w:r>
      <w:r w:rsidR="00BB1398" w:rsidRPr="00FA1A19">
        <w:t>105 broadly covers shares and non</w:t>
      </w:r>
      <w:r w:rsidR="00F75232">
        <w:noBreakHyphen/>
      </w:r>
      <w:r w:rsidR="00BB1398" w:rsidRPr="00FA1A19">
        <w:t>share equity interests in a company, units in a unit trust, land including interests in land, and rights or options in respect of any of these.</w:t>
      </w:r>
    </w:p>
    <w:p w14:paraId="7C70CC7C" w14:textId="01F02EC7" w:rsidR="00185727" w:rsidRPr="00FA1A19" w:rsidRDefault="00185727" w:rsidP="00185727">
      <w:r w:rsidRPr="00FA1A19">
        <w:t xml:space="preserve">The Board received a number of submissions in relation to the inability for a managed fund investing to crypto to meet the eligibility requirements or, should the trust be eligible, elect capital treatment on disposal of crypto assets. In relation to both these issues, EY recommended: </w:t>
      </w:r>
    </w:p>
    <w:p w14:paraId="0E61B287" w14:textId="77777777" w:rsidR="00185727" w:rsidRPr="00FA1A19" w:rsidRDefault="00185727" w:rsidP="00722D65">
      <w:pPr>
        <w:pStyle w:val="Quote"/>
      </w:pPr>
      <w:r w:rsidRPr="00FA1A19">
        <w:t>If the policy intention is to support the growth of active investment management services in respect of cryptocurrencies in Australia, we recommend that a specific paragraph addressing cryptocurrencies is included in the definition of EIB to enable cryptocurrency to qualify as EIB.</w:t>
      </w:r>
    </w:p>
    <w:p w14:paraId="550A93B9" w14:textId="77777777" w:rsidR="00185727" w:rsidRPr="00FA1A19" w:rsidRDefault="00185727" w:rsidP="00185727">
      <w:r w:rsidRPr="00FA1A19">
        <w:t>and</w:t>
      </w:r>
    </w:p>
    <w:p w14:paraId="11D20045" w14:textId="5B137301" w:rsidR="00185727" w:rsidRPr="00FA1A19" w:rsidRDefault="00185727" w:rsidP="00722D65">
      <w:pPr>
        <w:pStyle w:val="Quote"/>
      </w:pPr>
      <w:r w:rsidRPr="00FA1A19">
        <w:t xml:space="preserve">If the definition of EIB in section 102M of ITAA 1936 is amended to include direct investment in cryptocurrency, we recommend that a corresponding amendment is made to the definition of </w:t>
      </w:r>
      <w:r w:rsidR="00F75232">
        <w:t>‘</w:t>
      </w:r>
      <w:r w:rsidRPr="00FA1A19">
        <w:t>covered asset</w:t>
      </w:r>
      <w:r w:rsidR="00F75232">
        <w:t>’</w:t>
      </w:r>
      <w:r w:rsidRPr="00FA1A19">
        <w:t xml:space="preserve"> in section 275</w:t>
      </w:r>
      <w:r w:rsidR="00F75232">
        <w:noBreakHyphen/>
      </w:r>
      <w:r w:rsidRPr="00FA1A19">
        <w:t>105 of ITAA 1997 to allow gains realised on trading cryptocurrencies to qualify for deemed capital account treatment.</w:t>
      </w:r>
      <w:r w:rsidRPr="00170ADC">
        <w:rPr>
          <w:rStyle w:val="FootnoteReference"/>
        </w:rPr>
        <w:footnoteReference w:id="453"/>
      </w:r>
    </w:p>
    <w:p w14:paraId="4061054C" w14:textId="1F208157" w:rsidR="00185727" w:rsidRPr="00FA1A19" w:rsidRDefault="0050545C" w:rsidP="00185727">
      <w:r w:rsidRPr="00FA1A19">
        <w:t xml:space="preserve">HopgoodGanim </w:t>
      </w:r>
      <w:r>
        <w:t xml:space="preserve">Lawyers </w:t>
      </w:r>
      <w:r w:rsidR="00185727" w:rsidRPr="00FA1A19">
        <w:t xml:space="preserve">explained why </w:t>
      </w:r>
      <w:r w:rsidR="00433602">
        <w:t xml:space="preserve">they </w:t>
      </w:r>
      <w:r w:rsidR="00CE4B2E">
        <w:t>considered</w:t>
      </w:r>
      <w:r w:rsidR="00433602">
        <w:t xml:space="preserve"> </w:t>
      </w:r>
      <w:r w:rsidR="00185727" w:rsidRPr="00FA1A19">
        <w:t>this was important:</w:t>
      </w:r>
    </w:p>
    <w:p w14:paraId="65151138" w14:textId="473E48F4" w:rsidR="00185727" w:rsidRPr="00FA1A19" w:rsidRDefault="00185727" w:rsidP="00722D65">
      <w:pPr>
        <w:pStyle w:val="Quote"/>
      </w:pPr>
      <w:r w:rsidRPr="00FA1A19">
        <w:t>… to ensure parity with qualifying MITs investing in such assets, section 275</w:t>
      </w:r>
      <w:r w:rsidR="00F75232">
        <w:noBreakHyphen/>
      </w:r>
      <w:r w:rsidRPr="00FA1A19">
        <w:t>105 should be amended to clearly include cryptocurrencies, sovereign digital currencies and other similar crypto</w:t>
      </w:r>
      <w:r w:rsidR="00F75232">
        <w:noBreakHyphen/>
      </w:r>
      <w:r w:rsidRPr="00FA1A19">
        <w:t>assets.</w:t>
      </w:r>
    </w:p>
    <w:p w14:paraId="74427EA9" w14:textId="70CAA970" w:rsidR="00185727" w:rsidRPr="00FA1A19" w:rsidRDefault="00185727" w:rsidP="00722D65">
      <w:pPr>
        <w:pStyle w:val="Quote"/>
      </w:pPr>
      <w:r w:rsidRPr="00FA1A19">
        <w:t>Further</w:t>
      </w:r>
      <w:r w:rsidR="00997946">
        <w:t>,</w:t>
      </w:r>
      <w:r w:rsidRPr="00FA1A19">
        <w:t xml:space="preserve"> in order to provide certainty that such crypto funds are able to access the flow</w:t>
      </w:r>
      <w:r w:rsidR="00F75232">
        <w:noBreakHyphen/>
      </w:r>
      <w:r w:rsidRPr="00FA1A19">
        <w:t>through taxation treatment that the Board has regarded as an important design feature of an attractive fund manager regime, investment and trading in cryptocurrencies, sovereign digital currencies and other similar crypto</w:t>
      </w:r>
      <w:r w:rsidR="00F75232">
        <w:noBreakHyphen/>
      </w:r>
      <w:r w:rsidRPr="00FA1A19">
        <w:t xml:space="preserve">assets should be expressly included as a type of </w:t>
      </w:r>
      <w:r w:rsidR="00F75232">
        <w:t>“</w:t>
      </w:r>
      <w:r w:rsidRPr="00FA1A19">
        <w:t>eligible investment business</w:t>
      </w:r>
      <w:r w:rsidR="00F75232">
        <w:t>”</w:t>
      </w:r>
      <w:r w:rsidRPr="00FA1A19">
        <w:t xml:space="preserve"> ….</w:t>
      </w:r>
      <w:r w:rsidRPr="00170ADC">
        <w:rPr>
          <w:rStyle w:val="FootnoteReference"/>
        </w:rPr>
        <w:footnoteReference w:id="454"/>
      </w:r>
      <w:r w:rsidRPr="00FA1A19">
        <w:t xml:space="preserve"> </w:t>
      </w:r>
    </w:p>
    <w:p w14:paraId="36021A1F" w14:textId="42F92824" w:rsidR="00185727" w:rsidRPr="00FA1A19" w:rsidRDefault="00185727" w:rsidP="00185727">
      <w:r w:rsidRPr="00FA1A19">
        <w:t>Similar representations were made by Gilbert</w:t>
      </w:r>
      <w:r w:rsidR="00E072AD">
        <w:t xml:space="preserve"> + </w:t>
      </w:r>
      <w:r w:rsidRPr="00FA1A19">
        <w:t>Tobin, PwC, Law Council</w:t>
      </w:r>
      <w:r w:rsidR="00E072AD">
        <w:t xml:space="preserve"> of Australia</w:t>
      </w:r>
      <w:r w:rsidRPr="00FA1A19">
        <w:t xml:space="preserve">, Financial Services Council, </w:t>
      </w:r>
      <w:r w:rsidR="004B1048">
        <w:t>Blockchain &amp; Digital Assets – Services + Law</w:t>
      </w:r>
      <w:r w:rsidRPr="00FA1A19">
        <w:t xml:space="preserve">, Blockchain Australia, </w:t>
      </w:r>
      <w:r w:rsidR="004C0029">
        <w:t>King &amp; Wood Mallesons</w:t>
      </w:r>
      <w:r w:rsidRPr="00FA1A19">
        <w:t xml:space="preserve">, </w:t>
      </w:r>
      <w:r w:rsidRPr="00FA1A19">
        <w:rPr>
          <w:rFonts w:ascii="Trebuchet MS" w:hAnsi="Trebuchet MS" w:cs="Trebuchet MS"/>
          <w:color w:val="000000"/>
          <w:sz w:val="20"/>
          <w:szCs w:val="20"/>
        </w:rPr>
        <w:t>Cadena Legal and the Joint Bodies.</w:t>
      </w:r>
      <w:r w:rsidRPr="00170ADC">
        <w:rPr>
          <w:rStyle w:val="FootnoteReference"/>
        </w:rPr>
        <w:footnoteReference w:id="455"/>
      </w:r>
      <w:r w:rsidRPr="00FA1A19">
        <w:rPr>
          <w:rFonts w:ascii="Trebuchet MS" w:hAnsi="Trebuchet MS" w:cs="Trebuchet MS"/>
          <w:color w:val="000000"/>
          <w:sz w:val="20"/>
          <w:szCs w:val="20"/>
        </w:rPr>
        <w:t xml:space="preserve"> </w:t>
      </w:r>
    </w:p>
    <w:p w14:paraId="09B0F381" w14:textId="734ADF03" w:rsidR="00185727" w:rsidRPr="00FA1A19" w:rsidRDefault="00964721" w:rsidP="00185727">
      <w:pPr>
        <w:autoSpaceDE w:val="0"/>
        <w:autoSpaceDN w:val="0"/>
        <w:adjustRightInd w:val="0"/>
        <w:spacing w:after="0"/>
        <w:rPr>
          <w:rFonts w:asciiTheme="minorHAnsi" w:hAnsiTheme="minorHAnsi" w:cstheme="minorBidi"/>
          <w:color w:val="000000"/>
        </w:rPr>
      </w:pPr>
      <w:r w:rsidRPr="00FA1A19">
        <w:rPr>
          <w:rFonts w:asciiTheme="minorHAnsi" w:hAnsiTheme="minorHAnsi" w:cstheme="minorBidi"/>
          <w:color w:val="000000" w:themeColor="text1"/>
        </w:rPr>
        <w:t xml:space="preserve">The question of whether the </w:t>
      </w:r>
      <w:r w:rsidR="0039744F">
        <w:rPr>
          <w:rFonts w:asciiTheme="minorHAnsi" w:hAnsiTheme="minorHAnsi" w:cstheme="minorBidi"/>
          <w:color w:val="000000" w:themeColor="text1"/>
        </w:rPr>
        <w:t xml:space="preserve">definition of eligible investment should be expanded </w:t>
      </w:r>
      <w:r w:rsidRPr="00FA1A19">
        <w:rPr>
          <w:rFonts w:asciiTheme="minorHAnsi" w:hAnsiTheme="minorHAnsi" w:cstheme="minorBidi"/>
          <w:color w:val="000000" w:themeColor="text1"/>
        </w:rPr>
        <w:t xml:space="preserve">in respect of cryptocurrencies is a policy question for the </w:t>
      </w:r>
      <w:r w:rsidR="00185FA4">
        <w:rPr>
          <w:rFonts w:asciiTheme="minorHAnsi" w:hAnsiTheme="minorHAnsi" w:cstheme="minorBidi"/>
          <w:color w:val="000000" w:themeColor="text1"/>
        </w:rPr>
        <w:t>Australian</w:t>
      </w:r>
      <w:r w:rsidR="00185FA4" w:rsidRPr="00FA1A19">
        <w:rPr>
          <w:rFonts w:asciiTheme="minorHAnsi" w:hAnsiTheme="minorHAnsi" w:cstheme="minorBidi"/>
          <w:color w:val="000000" w:themeColor="text1"/>
        </w:rPr>
        <w:t xml:space="preserve"> </w:t>
      </w:r>
      <w:r w:rsidRPr="00FA1A19">
        <w:rPr>
          <w:rFonts w:asciiTheme="minorHAnsi" w:hAnsiTheme="minorHAnsi" w:cstheme="minorBidi"/>
          <w:color w:val="000000" w:themeColor="text1"/>
        </w:rPr>
        <w:t>Government.</w:t>
      </w:r>
      <w:r w:rsidR="004F0A51" w:rsidRPr="00FA1A19">
        <w:rPr>
          <w:rFonts w:asciiTheme="minorHAnsi" w:hAnsiTheme="minorHAnsi" w:cstheme="minorBidi"/>
          <w:color w:val="000000" w:themeColor="text1"/>
        </w:rPr>
        <w:t xml:space="preserve"> </w:t>
      </w:r>
      <w:r w:rsidRPr="00FA1A19">
        <w:rPr>
          <w:rFonts w:asciiTheme="minorHAnsi" w:hAnsiTheme="minorHAnsi" w:cstheme="minorBidi"/>
          <w:color w:val="000000" w:themeColor="text1"/>
        </w:rPr>
        <w:t>Should the Government decide to consider this issue, t</w:t>
      </w:r>
      <w:r w:rsidR="00185727" w:rsidRPr="00FA1A19">
        <w:rPr>
          <w:rFonts w:asciiTheme="minorHAnsi" w:hAnsiTheme="minorHAnsi" w:cstheme="minorBidi"/>
          <w:color w:val="000000" w:themeColor="text1"/>
        </w:rPr>
        <w:t xml:space="preserve">he Board notes </w:t>
      </w:r>
      <w:r w:rsidR="00492A93" w:rsidRPr="00FA1A19">
        <w:rPr>
          <w:rFonts w:asciiTheme="minorHAnsi" w:hAnsiTheme="minorHAnsi" w:cstheme="minorBidi"/>
          <w:color w:val="000000" w:themeColor="text1"/>
        </w:rPr>
        <w:t>t</w:t>
      </w:r>
      <w:r w:rsidR="00185727" w:rsidRPr="00FA1A19">
        <w:rPr>
          <w:rFonts w:asciiTheme="minorHAnsi" w:hAnsiTheme="minorHAnsi" w:cstheme="minorBidi"/>
          <w:color w:val="000000" w:themeColor="text1"/>
        </w:rPr>
        <w:t xml:space="preserve">hat there is a </w:t>
      </w:r>
      <w:r w:rsidR="003D3269" w:rsidRPr="00FA1A19">
        <w:rPr>
          <w:rFonts w:asciiTheme="minorHAnsi" w:hAnsiTheme="minorHAnsi" w:cstheme="minorBidi"/>
          <w:color w:val="000000" w:themeColor="text1"/>
        </w:rPr>
        <w:t xml:space="preserve">wider </w:t>
      </w:r>
      <w:r w:rsidR="00185727" w:rsidRPr="00FA1A19">
        <w:rPr>
          <w:rFonts w:asciiTheme="minorHAnsi" w:hAnsiTheme="minorHAnsi" w:cstheme="minorBidi"/>
          <w:color w:val="000000" w:themeColor="text1"/>
        </w:rPr>
        <w:t>issue</w:t>
      </w:r>
      <w:r w:rsidR="00185727" w:rsidRPr="00FA1A19" w:rsidDel="003D3269">
        <w:rPr>
          <w:rFonts w:asciiTheme="minorHAnsi" w:hAnsiTheme="minorHAnsi" w:cstheme="minorBidi"/>
          <w:color w:val="000000" w:themeColor="text1"/>
        </w:rPr>
        <w:t xml:space="preserve"> </w:t>
      </w:r>
      <w:r w:rsidR="003D3269" w:rsidRPr="00FA1A19">
        <w:rPr>
          <w:rFonts w:asciiTheme="minorHAnsi" w:hAnsiTheme="minorHAnsi" w:cstheme="minorBidi"/>
          <w:color w:val="000000" w:themeColor="text1"/>
        </w:rPr>
        <w:t xml:space="preserve">as to </w:t>
      </w:r>
      <w:r w:rsidR="00185727" w:rsidRPr="00FA1A19">
        <w:rPr>
          <w:rFonts w:asciiTheme="minorHAnsi" w:hAnsiTheme="minorHAnsi" w:cstheme="minorBidi"/>
          <w:color w:val="000000" w:themeColor="text1"/>
        </w:rPr>
        <w:t xml:space="preserve">whether the definition of eligible investment business </w:t>
      </w:r>
      <w:r w:rsidR="00492A93" w:rsidRPr="00FA1A19">
        <w:rPr>
          <w:rFonts w:asciiTheme="minorHAnsi" w:hAnsiTheme="minorHAnsi" w:cstheme="minorBidi"/>
          <w:color w:val="000000" w:themeColor="text1"/>
        </w:rPr>
        <w:t>in s</w:t>
      </w:r>
      <w:r w:rsidR="00EF1D41">
        <w:rPr>
          <w:rFonts w:asciiTheme="minorHAnsi" w:hAnsiTheme="minorHAnsi" w:cstheme="minorBidi"/>
          <w:color w:val="000000" w:themeColor="text1"/>
        </w:rPr>
        <w:t>ection</w:t>
      </w:r>
      <w:r w:rsidR="00492A93" w:rsidRPr="00FA1A19">
        <w:rPr>
          <w:rFonts w:asciiTheme="minorHAnsi" w:hAnsiTheme="minorHAnsi" w:cstheme="minorBidi"/>
          <w:color w:val="000000" w:themeColor="text1"/>
        </w:rPr>
        <w:t xml:space="preserve"> 102M </w:t>
      </w:r>
      <w:r w:rsidR="00EF1D41">
        <w:rPr>
          <w:rFonts w:asciiTheme="minorHAnsi" w:hAnsiTheme="minorHAnsi" w:cstheme="minorBidi"/>
          <w:color w:val="000000" w:themeColor="text1"/>
        </w:rPr>
        <w:t xml:space="preserve">of the ITAA 1997 </w:t>
      </w:r>
      <w:r w:rsidR="00185727" w:rsidRPr="00FA1A19">
        <w:rPr>
          <w:rFonts w:asciiTheme="minorHAnsi" w:hAnsiTheme="minorHAnsi" w:cstheme="minorBidi"/>
          <w:color w:val="000000" w:themeColor="text1"/>
        </w:rPr>
        <w:t>needs to be the subject of ongoing amendment to keep pace with developments in financial products.</w:t>
      </w:r>
      <w:r w:rsidR="004F0A51" w:rsidRPr="00FA1A19">
        <w:rPr>
          <w:rFonts w:asciiTheme="minorHAnsi" w:hAnsiTheme="minorHAnsi" w:cstheme="minorBidi"/>
          <w:color w:val="000000" w:themeColor="text1"/>
        </w:rPr>
        <w:t xml:space="preserve"> </w:t>
      </w:r>
      <w:r w:rsidR="00185727" w:rsidRPr="00FA1A19">
        <w:rPr>
          <w:rFonts w:asciiTheme="minorHAnsi" w:hAnsiTheme="minorHAnsi" w:cstheme="minorBidi"/>
          <w:color w:val="000000" w:themeColor="text1"/>
        </w:rPr>
        <w:t xml:space="preserve">The Board considers that the wider policy issues associated with amending the definition of eligible investment business to include additional specific asset classes should be considered as part of any </w:t>
      </w:r>
      <w:r w:rsidR="006B16CF" w:rsidRPr="00FA1A19">
        <w:rPr>
          <w:rFonts w:asciiTheme="minorHAnsi" w:hAnsiTheme="minorHAnsi" w:cstheme="minorBidi"/>
          <w:color w:val="000000" w:themeColor="text1"/>
        </w:rPr>
        <w:t xml:space="preserve">consideration of whether </w:t>
      </w:r>
      <w:r w:rsidR="00185727" w:rsidRPr="00FA1A19">
        <w:rPr>
          <w:rFonts w:asciiTheme="minorHAnsi" w:hAnsiTheme="minorHAnsi" w:cstheme="minorBidi"/>
          <w:color w:val="000000" w:themeColor="text1"/>
        </w:rPr>
        <w:t xml:space="preserve">to extend the definition to include crypto </w:t>
      </w:r>
      <w:r w:rsidR="00156537" w:rsidRPr="00FA1A19">
        <w:rPr>
          <w:rFonts w:asciiTheme="minorHAnsi" w:hAnsiTheme="minorHAnsi" w:cstheme="minorBidi"/>
          <w:color w:val="000000" w:themeColor="text1"/>
        </w:rPr>
        <w:t>assets</w:t>
      </w:r>
      <w:r w:rsidR="00185727" w:rsidRPr="00FA1A19">
        <w:rPr>
          <w:rFonts w:asciiTheme="minorHAnsi" w:hAnsiTheme="minorHAnsi" w:cstheme="minorBidi"/>
          <w:color w:val="000000" w:themeColor="text1"/>
        </w:rPr>
        <w:t xml:space="preserve">. </w:t>
      </w:r>
    </w:p>
    <w:p w14:paraId="647A3FFA" w14:textId="77777777" w:rsidR="00185727" w:rsidRPr="00FA1A19" w:rsidRDefault="00185727" w:rsidP="001B3385">
      <w:pPr>
        <w:pStyle w:val="SingleParagraph"/>
      </w:pPr>
    </w:p>
    <w:tbl>
      <w:tblPr>
        <w:tblStyle w:val="BoTObservation"/>
        <w:tblW w:w="5000" w:type="pct"/>
        <w:tblLook w:val="0420" w:firstRow="1" w:lastRow="0" w:firstColumn="0" w:lastColumn="0" w:noHBand="0" w:noVBand="1"/>
      </w:tblPr>
      <w:tblGrid>
        <w:gridCol w:w="9641"/>
      </w:tblGrid>
      <w:tr w:rsidR="00185727" w:rsidRPr="00FA1A19" w14:paraId="1CF64799"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0F548CA" w14:textId="24D8769F" w:rsidR="00185727" w:rsidRPr="00FA1A19" w:rsidRDefault="00372633" w:rsidP="001B3385">
            <w:pPr>
              <w:pStyle w:val="BoxHeading1"/>
            </w:pPr>
            <w:r>
              <w:t>Observation </w:t>
            </w:r>
            <w:r w:rsidR="00185727" w:rsidRPr="00FA1A19">
              <w:t>8.</w:t>
            </w:r>
            <w:r w:rsidR="003D100E" w:rsidRPr="00FA1A19">
              <w:t>1</w:t>
            </w:r>
          </w:p>
        </w:tc>
      </w:tr>
      <w:tr w:rsidR="00185727" w:rsidRPr="00FA1A19" w14:paraId="4DAE9F15"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2F2586BC" w14:textId="0CA5B869" w:rsidR="00185727" w:rsidRPr="00FA1A19" w:rsidRDefault="005149A2" w:rsidP="001B3385">
            <w:pPr>
              <w:pStyle w:val="BoxText"/>
            </w:pPr>
            <w:r w:rsidRPr="00FA1A19">
              <w:t xml:space="preserve">Whether </w:t>
            </w:r>
            <w:r w:rsidR="00863593" w:rsidRPr="00FA1A19">
              <w:t>the legislation should be changed to permit a managed investment trust to engage in crypto asset transactions</w:t>
            </w:r>
            <w:r w:rsidR="009D5F22" w:rsidRPr="00FA1A19">
              <w:t xml:space="preserve">, and whether crypto asset transactions should be </w:t>
            </w:r>
            <w:r w:rsidR="009174AA" w:rsidRPr="00FA1A19">
              <w:t>covered by the capital election,</w:t>
            </w:r>
            <w:r w:rsidR="00863593" w:rsidRPr="00FA1A19">
              <w:t xml:space="preserve"> is a policy issue for the </w:t>
            </w:r>
            <w:r w:rsidR="00185FA4">
              <w:t>Australian</w:t>
            </w:r>
            <w:r w:rsidR="00185FA4" w:rsidRPr="00FA1A19">
              <w:t xml:space="preserve"> </w:t>
            </w:r>
            <w:r w:rsidR="00863593" w:rsidRPr="00FA1A19">
              <w:t>Government.</w:t>
            </w:r>
            <w:r w:rsidR="00185727" w:rsidRPr="00FA1A19">
              <w:t xml:space="preserve"> </w:t>
            </w:r>
          </w:p>
        </w:tc>
      </w:tr>
    </w:tbl>
    <w:p w14:paraId="6EECFCB2" w14:textId="2E465831" w:rsidR="00185727" w:rsidRPr="00FA1A19" w:rsidRDefault="00185727" w:rsidP="0069352C">
      <w:pPr>
        <w:pStyle w:val="Heading2"/>
      </w:pPr>
      <w:bookmarkStart w:id="121" w:name="_Toc159513613"/>
      <w:r w:rsidRPr="00FA1A19">
        <w:t>Superannuation Funds</w:t>
      </w:r>
      <w:bookmarkEnd w:id="121"/>
    </w:p>
    <w:p w14:paraId="2026ED04" w14:textId="372E6BF3" w:rsidR="008302BA" w:rsidRPr="00FA1A19" w:rsidRDefault="0004310A" w:rsidP="00185727">
      <w:r w:rsidRPr="00FA1A19">
        <w:t>In Australia, there are five main types of s</w:t>
      </w:r>
      <w:r w:rsidR="008302BA" w:rsidRPr="00FA1A19">
        <w:t xml:space="preserve">uperannuation </w:t>
      </w:r>
      <w:r w:rsidRPr="00FA1A19">
        <w:t>funds</w:t>
      </w:r>
      <w:r w:rsidR="00B84BB1" w:rsidRPr="00FA1A19">
        <w:t xml:space="preserve">: Industry funds, Retail funds, Public </w:t>
      </w:r>
      <w:r w:rsidR="002D6598" w:rsidRPr="00FA1A19">
        <w:t>S</w:t>
      </w:r>
      <w:r w:rsidR="00B84BB1" w:rsidRPr="00FA1A19">
        <w:t xml:space="preserve">ector </w:t>
      </w:r>
      <w:r w:rsidR="00E431DB" w:rsidRPr="00FA1A19">
        <w:t>f</w:t>
      </w:r>
      <w:r w:rsidR="00B84BB1" w:rsidRPr="00FA1A19">
        <w:t xml:space="preserve">unds, </w:t>
      </w:r>
      <w:r w:rsidR="002D6598" w:rsidRPr="00FA1A19">
        <w:t>C</w:t>
      </w:r>
      <w:r w:rsidR="00B84BB1" w:rsidRPr="00FA1A19">
        <w:t xml:space="preserve">orporate </w:t>
      </w:r>
      <w:r w:rsidR="00E431DB" w:rsidRPr="00FA1A19">
        <w:t>f</w:t>
      </w:r>
      <w:r w:rsidR="00B84BB1" w:rsidRPr="00FA1A19">
        <w:t>unds</w:t>
      </w:r>
      <w:r w:rsidR="002D6598" w:rsidRPr="00FA1A19">
        <w:t xml:space="preserve">, and </w:t>
      </w:r>
      <w:r w:rsidR="00627295" w:rsidRPr="00FA1A19">
        <w:t>Self</w:t>
      </w:r>
      <w:r w:rsidR="00F75232">
        <w:noBreakHyphen/>
      </w:r>
      <w:r w:rsidR="002D6598" w:rsidRPr="00FA1A19">
        <w:t xml:space="preserve">managed </w:t>
      </w:r>
      <w:r w:rsidR="002650E9" w:rsidRPr="00FA1A19">
        <w:t xml:space="preserve">superannuation </w:t>
      </w:r>
      <w:r w:rsidR="002D6598" w:rsidRPr="00FA1A19">
        <w:t>fu</w:t>
      </w:r>
      <w:r w:rsidR="00E431DB" w:rsidRPr="00FA1A19">
        <w:t>nds</w:t>
      </w:r>
      <w:r w:rsidR="002650E9" w:rsidRPr="00FA1A19">
        <w:t xml:space="preserve"> (SMSFs)</w:t>
      </w:r>
      <w:r w:rsidR="00E431DB" w:rsidRPr="00FA1A19">
        <w:t>.</w:t>
      </w:r>
      <w:r w:rsidR="00A15E9D" w:rsidRPr="00FA1A19">
        <w:t xml:space="preserve"> </w:t>
      </w:r>
      <w:r w:rsidR="001079A3" w:rsidRPr="00FA1A19">
        <w:t xml:space="preserve">ASIC and </w:t>
      </w:r>
      <w:r w:rsidR="004B27F7" w:rsidRPr="00FA1A19">
        <w:t>the Australian Prudential Regulation Authority (</w:t>
      </w:r>
      <w:r w:rsidR="001079A3" w:rsidRPr="00FA1A19">
        <w:t>APRA</w:t>
      </w:r>
      <w:r w:rsidR="004B27F7" w:rsidRPr="00FA1A19">
        <w:t>)</w:t>
      </w:r>
      <w:r w:rsidR="001079A3" w:rsidRPr="00FA1A19">
        <w:t xml:space="preserve"> are primarily responsible for the supervision of the Corporations Act and the </w:t>
      </w:r>
      <w:r w:rsidR="003D17F0" w:rsidRPr="00813896">
        <w:rPr>
          <w:rStyle w:val="Emphasis"/>
        </w:rPr>
        <w:t xml:space="preserve">Superannuation Industry (Supervision) Act </w:t>
      </w:r>
      <w:r w:rsidR="003D17F0" w:rsidRPr="00FA1A19">
        <w:t xml:space="preserve">1993 (SIS Act) </w:t>
      </w:r>
      <w:r w:rsidR="001079A3" w:rsidRPr="00FA1A19">
        <w:t>respectively. The ATO is the primary regulator in relation to SMSFs. Superannuation trustees also have important reporting and administrative obligations to the ATO</w:t>
      </w:r>
      <w:r w:rsidR="009868C8" w:rsidRPr="00FA1A19">
        <w:t>,</w:t>
      </w:r>
      <w:r w:rsidR="00F44ED5" w:rsidRPr="00170ADC">
        <w:rPr>
          <w:rStyle w:val="FootnoteReference"/>
        </w:rPr>
        <w:footnoteReference w:id="456"/>
      </w:r>
      <w:r w:rsidR="009868C8" w:rsidRPr="00FA1A19">
        <w:t xml:space="preserve"> </w:t>
      </w:r>
      <w:r w:rsidR="006461D2" w:rsidRPr="00FA1A19">
        <w:t>and crypto assets must be included in satisfying these reporting obligations.</w:t>
      </w:r>
      <w:r w:rsidR="002650E9" w:rsidRPr="00FA1A19">
        <w:t xml:space="preserve"> </w:t>
      </w:r>
    </w:p>
    <w:p w14:paraId="4CFCDF7C" w14:textId="4D8D2422" w:rsidR="00190678" w:rsidRPr="00FA1A19" w:rsidRDefault="00627295" w:rsidP="00185727">
      <w:r w:rsidRPr="00FA1A19">
        <w:t xml:space="preserve">A SMSF </w:t>
      </w:r>
      <w:r w:rsidR="001B07F6" w:rsidRPr="00FA1A19">
        <w:t xml:space="preserve">is a superannuation fund that </w:t>
      </w:r>
      <w:r w:rsidR="00235331" w:rsidRPr="00FA1A19">
        <w:t xml:space="preserve">is generally set up and managed by </w:t>
      </w:r>
      <w:r w:rsidR="004E370D" w:rsidRPr="00FA1A19">
        <w:t xml:space="preserve">an individual or family group. </w:t>
      </w:r>
    </w:p>
    <w:p w14:paraId="514D1B10" w14:textId="2FD92F6F" w:rsidR="009E6FE6" w:rsidRPr="00FA1A19" w:rsidRDefault="003D17F0" w:rsidP="00185727">
      <w:r w:rsidRPr="00FA1A19">
        <w:t xml:space="preserve">Superannuation fund </w:t>
      </w:r>
      <w:r w:rsidR="00C71BAB" w:rsidRPr="00FA1A19">
        <w:t xml:space="preserve">trustees </w:t>
      </w:r>
      <w:r w:rsidR="000C6F4C" w:rsidRPr="00FA1A19">
        <w:t>are required to manage the fund</w:t>
      </w:r>
      <w:r w:rsidR="00F75232">
        <w:t>’</w:t>
      </w:r>
      <w:r w:rsidR="000C6F4C" w:rsidRPr="00FA1A19">
        <w:t>s investments in the best financial interests of fund members</w:t>
      </w:r>
      <w:r w:rsidR="00C71BAB" w:rsidRPr="00170ADC">
        <w:rPr>
          <w:rStyle w:val="FootnoteReference"/>
        </w:rPr>
        <w:footnoteReference w:id="457"/>
      </w:r>
      <w:r w:rsidR="000C6F4C" w:rsidRPr="00FA1A19">
        <w:t xml:space="preserve"> and the fund</w:t>
      </w:r>
      <w:r w:rsidR="00F75232">
        <w:t>’</w:t>
      </w:r>
      <w:r w:rsidR="000C6F4C" w:rsidRPr="00FA1A19">
        <w:t>s investment must be for the sole purpose of providing retirement benefits to members</w:t>
      </w:r>
      <w:r w:rsidR="00D802AF" w:rsidRPr="00170ADC">
        <w:rPr>
          <w:rStyle w:val="FootnoteReference"/>
        </w:rPr>
        <w:footnoteReference w:id="458"/>
      </w:r>
      <w:r w:rsidR="000C6F4C" w:rsidRPr="00FA1A19">
        <w:t xml:space="preserve">. </w:t>
      </w:r>
      <w:r w:rsidR="006A12D2" w:rsidRPr="00FA1A19">
        <w:t>The Board</w:t>
      </w:r>
      <w:r w:rsidR="0061056F" w:rsidRPr="00FA1A19">
        <w:t xml:space="preserve"> notes that </w:t>
      </w:r>
      <w:r w:rsidR="00A276A5" w:rsidRPr="00FA1A19">
        <w:t>as a SMSF is subject to less regulatory oversight and public scrutiny</w:t>
      </w:r>
      <w:r w:rsidR="00C445B2" w:rsidRPr="00FA1A19">
        <w:t>, there is a</w:t>
      </w:r>
      <w:r w:rsidR="0087083F" w:rsidRPr="00FA1A19">
        <w:t xml:space="preserve">n increased risk </w:t>
      </w:r>
      <w:r w:rsidR="00444896" w:rsidRPr="00FA1A19">
        <w:t xml:space="preserve">associated with crypto asset investment through these funds over </w:t>
      </w:r>
      <w:r w:rsidR="00DE34A8" w:rsidRPr="00FA1A19">
        <w:t>APRA regulated funds.</w:t>
      </w:r>
      <w:r w:rsidR="000C6F4C" w:rsidRPr="00FA1A19">
        <w:t xml:space="preserve"> </w:t>
      </w:r>
    </w:p>
    <w:p w14:paraId="14A72457" w14:textId="132815E8" w:rsidR="00185727" w:rsidRPr="00FA1A19" w:rsidRDefault="00185727" w:rsidP="00185727">
      <w:r w:rsidRPr="00FA1A19">
        <w:t xml:space="preserve">As at 30 June 2022, there were over 603,000 </w:t>
      </w:r>
      <w:r w:rsidR="003A5ACB" w:rsidRPr="00FA1A19">
        <w:t>SMSFs</w:t>
      </w:r>
      <w:r w:rsidRPr="00FA1A19">
        <w:t xml:space="preserve"> in Australia, collectively holding assets of $868.7</w:t>
      </w:r>
      <w:r w:rsidR="00372633">
        <w:t> billion</w:t>
      </w:r>
      <w:r w:rsidRPr="00FA1A19">
        <w:t>.</w:t>
      </w:r>
      <w:r w:rsidRPr="00170ADC">
        <w:rPr>
          <w:rStyle w:val="FootnoteReference"/>
        </w:rPr>
        <w:footnoteReference w:id="459"/>
      </w:r>
      <w:r w:rsidRPr="00FA1A19">
        <w:t xml:space="preserve"> SMSF trustees are subject a number of strict tax and regulatory conditions in relation to how the fund may be operated and the manner in which it may make investments. </w:t>
      </w:r>
    </w:p>
    <w:p w14:paraId="6B29D1D4" w14:textId="0D1B40AD" w:rsidR="00185727" w:rsidRPr="00FA1A19" w:rsidRDefault="00652C4C" w:rsidP="00185727">
      <w:r w:rsidRPr="00FA1A19">
        <w:t>Superannuation funds</w:t>
      </w:r>
      <w:r w:rsidR="00E90BB0" w:rsidRPr="00FA1A19">
        <w:t xml:space="preserve"> are subject to various </w:t>
      </w:r>
      <w:r w:rsidR="00E5633A" w:rsidRPr="00FA1A19">
        <w:t>reporting obligations</w:t>
      </w:r>
      <w:r w:rsidRPr="00FA1A19">
        <w:t xml:space="preserve"> with the ATO.</w:t>
      </w:r>
      <w:r w:rsidR="004F0A51" w:rsidRPr="00FA1A19">
        <w:t xml:space="preserve"> </w:t>
      </w:r>
      <w:r w:rsidR="0005779B" w:rsidRPr="00FA1A19">
        <w:t xml:space="preserve">For SMSFs, this </w:t>
      </w:r>
      <w:r w:rsidR="004A2475" w:rsidRPr="00FA1A19">
        <w:t>includ</w:t>
      </w:r>
      <w:r w:rsidR="0005779B" w:rsidRPr="00FA1A19">
        <w:t>es</w:t>
      </w:r>
      <w:r w:rsidR="00E5633A" w:rsidRPr="00FA1A19">
        <w:t xml:space="preserve"> </w:t>
      </w:r>
      <w:r w:rsidR="004A2475" w:rsidRPr="00FA1A19">
        <w:t>the</w:t>
      </w:r>
      <w:r w:rsidR="00185727" w:rsidRPr="00FA1A19" w:rsidDel="004A2475">
        <w:t xml:space="preserve"> </w:t>
      </w:r>
      <w:r w:rsidR="004A2475" w:rsidRPr="00FA1A19">
        <w:t xml:space="preserve">provision of </w:t>
      </w:r>
      <w:r w:rsidR="00185727" w:rsidRPr="00FA1A19">
        <w:t>a market value breakdown of the amount invested by the fund across relevant asset classes as part of the</w:t>
      </w:r>
      <w:r w:rsidR="00C31170" w:rsidRPr="00FA1A19">
        <w:t>ir</w:t>
      </w:r>
      <w:r w:rsidR="00185727" w:rsidRPr="00FA1A19">
        <w:t xml:space="preserve"> annual tax return disclosures. As at 30 June 2022, the most popular asset classes held by SMSFs </w:t>
      </w:r>
      <w:r w:rsidR="00C31170" w:rsidRPr="00FA1A19">
        <w:t xml:space="preserve">were </w:t>
      </w:r>
      <w:r w:rsidR="00185727" w:rsidRPr="00FA1A19">
        <w:t>listed shares (30.4%), cash and term deposits (16.9%) and non</w:t>
      </w:r>
      <w:r w:rsidR="00F75232">
        <w:noBreakHyphen/>
      </w:r>
      <w:r w:rsidR="00185727" w:rsidRPr="00FA1A19">
        <w:t>residential real property (8.1%).</w:t>
      </w:r>
      <w:r w:rsidR="00185727" w:rsidRPr="00170ADC">
        <w:rPr>
          <w:rStyle w:val="FootnoteReference"/>
        </w:rPr>
        <w:footnoteReference w:id="460"/>
      </w:r>
      <w:r w:rsidR="00185727" w:rsidRPr="00FA1A19">
        <w:t xml:space="preserve"> Investments not falling under one of the categories listed on the return are grouped together as </w:t>
      </w:r>
      <w:r w:rsidR="00F75232">
        <w:t>‘</w:t>
      </w:r>
      <w:r w:rsidR="00185727" w:rsidRPr="00FA1A19">
        <w:t>All other</w:t>
      </w:r>
      <w:r w:rsidR="003A0E25" w:rsidRPr="00FA1A19">
        <w:t xml:space="preserve"> </w:t>
      </w:r>
      <w:r w:rsidR="00185727" w:rsidRPr="00FA1A19">
        <w:t>assets</w:t>
      </w:r>
      <w:r w:rsidR="00F75232">
        <w:t>’</w:t>
      </w:r>
      <w:r w:rsidR="00156537" w:rsidRPr="00FA1A19">
        <w:t xml:space="preserve">. </w:t>
      </w:r>
      <w:r w:rsidR="00185727" w:rsidRPr="00FA1A19">
        <w:t xml:space="preserve">As crypto assets are not one of the available categories, there is no reliable data to indicate what portion of SMSFs are holding crypto assets. </w:t>
      </w:r>
    </w:p>
    <w:p w14:paraId="3E63A302" w14:textId="77777777" w:rsidR="00185727" w:rsidRPr="00FA1A19" w:rsidRDefault="00185727" w:rsidP="00185727">
      <w:r w:rsidRPr="00FA1A19">
        <w:t xml:space="preserve">It is however apparent that SMSF trustees are choosing to invest in crypto assets, and as noted by the SMSF Association: </w:t>
      </w:r>
    </w:p>
    <w:p w14:paraId="0F715A46" w14:textId="77777777" w:rsidR="00185727" w:rsidRPr="004B6636" w:rsidRDefault="00185727" w:rsidP="000E72DD">
      <w:pPr>
        <w:pStyle w:val="Quote"/>
        <w:rPr>
          <w:spacing w:val="-1"/>
        </w:rPr>
      </w:pPr>
      <w:r w:rsidRPr="004B6636">
        <w:rPr>
          <w:spacing w:val="-1"/>
        </w:rPr>
        <w:t>It is concerning to see the increase in spruiking activity around these assets. A range of investors are targeted, including SMSFs and inexperienced investors. The promotion of these products is at times accompanied by misleading taxation advice including the promotion of tax exemptions. The inability to obtain professional advice, the lack of credible guidance and consumer education materials has created a vacuum which enables these activities to flourish.</w:t>
      </w:r>
      <w:r w:rsidRPr="004B6636">
        <w:rPr>
          <w:rStyle w:val="FootnoteReference"/>
          <w:spacing w:val="-1"/>
        </w:rPr>
        <w:footnoteReference w:id="461"/>
      </w:r>
    </w:p>
    <w:p w14:paraId="0AA0DB0B" w14:textId="7BAACF72" w:rsidR="00185727" w:rsidRPr="00FA1A19" w:rsidRDefault="00185727" w:rsidP="00185727">
      <w:r w:rsidRPr="00FA1A19">
        <w:t>As regulator of SMSFs, the ATO provides guidance on its website in relation to SMSF investment in crypto assets and regulatory requirements. The guidance sets out that SMSFs are not prohibited from investing in crypto assets, but they must:</w:t>
      </w:r>
    </w:p>
    <w:p w14:paraId="57FFDD88" w14:textId="7A102543" w:rsidR="00185727" w:rsidRPr="00FA1A19" w:rsidRDefault="00185727" w:rsidP="001B3385">
      <w:pPr>
        <w:pStyle w:val="Bullet"/>
      </w:pPr>
      <w:r w:rsidRPr="00FA1A19">
        <w:t>be allowed under the fund</w:t>
      </w:r>
      <w:r w:rsidR="00F75232">
        <w:t>’</w:t>
      </w:r>
      <w:r w:rsidRPr="00FA1A19">
        <w:t xml:space="preserve">s trust deed </w:t>
      </w:r>
    </w:p>
    <w:p w14:paraId="0DE28E84" w14:textId="08CBAD2B" w:rsidR="00185727" w:rsidRPr="00FA1A19" w:rsidRDefault="00185727" w:rsidP="001B3385">
      <w:pPr>
        <w:pStyle w:val="Bullet"/>
      </w:pPr>
      <w:r w:rsidRPr="00FA1A19">
        <w:t>be in accordance with the fund</w:t>
      </w:r>
      <w:r w:rsidR="00F75232">
        <w:t>’</w:t>
      </w:r>
      <w:r w:rsidRPr="00FA1A19">
        <w:t>s investment strategy</w:t>
      </w:r>
    </w:p>
    <w:p w14:paraId="478204D7" w14:textId="6C879C22" w:rsidR="00185727" w:rsidRPr="00FA1A19" w:rsidRDefault="00185727" w:rsidP="001B3385">
      <w:pPr>
        <w:pStyle w:val="Bullet"/>
      </w:pPr>
      <w:r w:rsidRPr="00FA1A19">
        <w:t>comply with the same regulatory requirements as apply to other investments.</w:t>
      </w:r>
      <w:r w:rsidR="007E5815" w:rsidRPr="00170ADC">
        <w:rPr>
          <w:rStyle w:val="FootnoteReference"/>
        </w:rPr>
        <w:t xml:space="preserve"> </w:t>
      </w:r>
      <w:r w:rsidR="007E5815" w:rsidRPr="00170ADC">
        <w:rPr>
          <w:rStyle w:val="FootnoteReference"/>
        </w:rPr>
        <w:footnoteReference w:id="462"/>
      </w:r>
    </w:p>
    <w:p w14:paraId="7A5514E5" w14:textId="59807F87" w:rsidR="00CC6A5D" w:rsidRPr="00FA1A19" w:rsidRDefault="002A1146" w:rsidP="00185727">
      <w:r w:rsidRPr="00FA1A19">
        <w:t xml:space="preserve">APRA provided a </w:t>
      </w:r>
      <w:r w:rsidR="00B016E5" w:rsidRPr="00FA1A19">
        <w:t>letter to all APRA</w:t>
      </w:r>
      <w:r w:rsidR="00F75232">
        <w:noBreakHyphen/>
      </w:r>
      <w:r w:rsidR="00B016E5" w:rsidRPr="00FA1A19">
        <w:t xml:space="preserve">Regulated entities in April 2022 </w:t>
      </w:r>
      <w:r w:rsidR="00403F23" w:rsidRPr="00FA1A19">
        <w:t xml:space="preserve">titled </w:t>
      </w:r>
      <w:r w:rsidR="00F75232">
        <w:t>‘</w:t>
      </w:r>
      <w:r w:rsidR="00403F23" w:rsidRPr="00FA1A19">
        <w:t>Crypto</w:t>
      </w:r>
      <w:r w:rsidR="00F75232">
        <w:noBreakHyphen/>
      </w:r>
      <w:r w:rsidR="00403F23" w:rsidRPr="00FA1A19">
        <w:t>Assets: Risk Management Expectations and Policy Roadmap</w:t>
      </w:r>
      <w:r w:rsidR="00F75232">
        <w:t>’</w:t>
      </w:r>
      <w:r w:rsidR="007C2D75" w:rsidRPr="00FA1A19">
        <w:t xml:space="preserve">, setting out </w:t>
      </w:r>
      <w:r w:rsidR="000813ED" w:rsidRPr="00FA1A19">
        <w:t>APRA</w:t>
      </w:r>
      <w:r w:rsidR="00F75232">
        <w:t>’</w:t>
      </w:r>
      <w:r w:rsidR="000813ED" w:rsidRPr="00FA1A19">
        <w:t xml:space="preserve">s initial risk management expectations </w:t>
      </w:r>
      <w:r w:rsidR="003A3973" w:rsidRPr="00FA1A19">
        <w:t xml:space="preserve">for all regulated entities that engage </w:t>
      </w:r>
      <w:r w:rsidR="001F5D84" w:rsidRPr="00FA1A19">
        <w:t>in activities associated with crypto assets</w:t>
      </w:r>
      <w:r w:rsidR="003C3CF0" w:rsidRPr="00FA1A19">
        <w:t>, noting that these entities need to engage with their responsible supervisor if they are undertaking such activities</w:t>
      </w:r>
      <w:r w:rsidR="00403F23" w:rsidRPr="00FA1A19">
        <w:t>.</w:t>
      </w:r>
      <w:r w:rsidR="00403F23" w:rsidRPr="00170ADC">
        <w:rPr>
          <w:rStyle w:val="FootnoteReference"/>
        </w:rPr>
        <w:footnoteReference w:id="463"/>
      </w:r>
    </w:p>
    <w:p w14:paraId="6200905C" w14:textId="648B3BBC" w:rsidR="00185727" w:rsidRPr="00FA1A19" w:rsidRDefault="00185727" w:rsidP="00185727">
      <w:r w:rsidRPr="00FA1A19">
        <w:t>While</w:t>
      </w:r>
      <w:r w:rsidRPr="00FA1A19" w:rsidDel="00C31170">
        <w:t xml:space="preserve"> </w:t>
      </w:r>
      <w:r w:rsidRPr="00FA1A19">
        <w:t xml:space="preserve">extensive feedback in relation to </w:t>
      </w:r>
      <w:r w:rsidR="001237A7" w:rsidRPr="00FA1A19">
        <w:t>superannuation funds</w:t>
      </w:r>
      <w:r w:rsidRPr="00FA1A19">
        <w:t xml:space="preserve"> </w:t>
      </w:r>
      <w:r w:rsidR="00C31170" w:rsidRPr="00FA1A19">
        <w:t xml:space="preserve">was not received </w:t>
      </w:r>
      <w:r w:rsidRPr="00FA1A19">
        <w:t>throughout the consultation process,</w:t>
      </w:r>
      <w:r w:rsidR="00C31170" w:rsidRPr="00FA1A19">
        <w:t xml:space="preserve"> the Board notes that </w:t>
      </w:r>
      <w:r w:rsidR="2058DF48" w:rsidRPr="00FA1A19">
        <w:t xml:space="preserve">a number of </w:t>
      </w:r>
      <w:r w:rsidR="00C31170" w:rsidRPr="00FA1A19">
        <w:t xml:space="preserve">issues </w:t>
      </w:r>
      <w:r w:rsidR="005464CB" w:rsidRPr="00FA1A19">
        <w:t xml:space="preserve">including </w:t>
      </w:r>
      <w:r w:rsidR="00BD259D" w:rsidRPr="00FA1A19">
        <w:t>the</w:t>
      </w:r>
      <w:r w:rsidR="00C31170" w:rsidRPr="00FA1A19">
        <w:t xml:space="preserve"> following</w:t>
      </w:r>
      <w:r w:rsidR="00052252" w:rsidRPr="00FA1A19">
        <w:t xml:space="preserve"> </w:t>
      </w:r>
      <w:r w:rsidR="00584D90" w:rsidRPr="00FA1A19">
        <w:t>were raised:</w:t>
      </w:r>
      <w:r w:rsidR="009237D0" w:rsidRPr="00170ADC">
        <w:rPr>
          <w:rStyle w:val="FootnoteReference"/>
        </w:rPr>
        <w:footnoteReference w:id="464"/>
      </w:r>
    </w:p>
    <w:p w14:paraId="4AAEF49C" w14:textId="4EB16A00" w:rsidR="00185727" w:rsidRPr="00FA1A19" w:rsidRDefault="00185727" w:rsidP="00342121">
      <w:pPr>
        <w:pStyle w:val="Bullet"/>
      </w:pPr>
      <w:r w:rsidRPr="00FA1A19">
        <w:t>How crypto assets should be valued for SMSF purposes.</w:t>
      </w:r>
    </w:p>
    <w:p w14:paraId="34EAE0AF" w14:textId="77777777" w:rsidR="00185727" w:rsidRPr="00FA1A19" w:rsidRDefault="00185727" w:rsidP="00342121">
      <w:pPr>
        <w:pStyle w:val="Bullet"/>
      </w:pPr>
      <w:r w:rsidRPr="00FA1A19">
        <w:t>Recognition of ownership of crypto assets and record keeping requirements.</w:t>
      </w:r>
      <w:r w:rsidRPr="00170ADC">
        <w:rPr>
          <w:rStyle w:val="FootnoteReference"/>
        </w:rPr>
        <w:footnoteReference w:id="465"/>
      </w:r>
    </w:p>
    <w:p w14:paraId="0C46F29D" w14:textId="23D6E03F" w:rsidR="00D06063" w:rsidRPr="00FA1A19" w:rsidRDefault="00185727" w:rsidP="004B6636">
      <w:pPr>
        <w:pStyle w:val="Bullet"/>
      </w:pPr>
      <w:r w:rsidRPr="00FA1A19">
        <w:t xml:space="preserve">The application of the trading stock exemption under section </w:t>
      </w:r>
      <w:r w:rsidR="00A56AA5" w:rsidRPr="00FA1A19">
        <w:t>295</w:t>
      </w:r>
      <w:r w:rsidR="00F75232">
        <w:noBreakHyphen/>
      </w:r>
      <w:r w:rsidR="00A56AA5" w:rsidRPr="00FA1A19">
        <w:t>85(4) of the</w:t>
      </w:r>
      <w:r w:rsidRPr="00FA1A19">
        <w:t xml:space="preserve"> </w:t>
      </w:r>
      <w:r w:rsidRPr="004B6636">
        <w:t>ITAA</w:t>
      </w:r>
      <w:r w:rsidRPr="00FA1A19">
        <w:t xml:space="preserve"> 1997.</w:t>
      </w:r>
      <w:r w:rsidR="00E724D1" w:rsidRPr="00FA1A19">
        <w:t xml:space="preserve"> </w:t>
      </w:r>
    </w:p>
    <w:p w14:paraId="3D5FA141" w14:textId="2B8E7394" w:rsidR="00BB7FA9" w:rsidRPr="00FA1A19" w:rsidRDefault="00F62138" w:rsidP="004B6636">
      <w:r>
        <w:t xml:space="preserve">In relation to the trading stock exemption, </w:t>
      </w:r>
      <w:r w:rsidR="007F6959" w:rsidRPr="00FA1A19">
        <w:t>in</w:t>
      </w:r>
      <w:r w:rsidR="004A309D" w:rsidRPr="00FA1A19">
        <w:t xml:space="preserve"> accordance with s</w:t>
      </w:r>
      <w:r w:rsidR="007C52A3" w:rsidRPr="00FA1A19">
        <w:t>ection</w:t>
      </w:r>
      <w:r w:rsidR="004A309D" w:rsidRPr="00FA1A19">
        <w:t> </w:t>
      </w:r>
      <w:r w:rsidR="00E724D1" w:rsidRPr="00FA1A19">
        <w:t>295</w:t>
      </w:r>
      <w:r w:rsidR="00F75232">
        <w:noBreakHyphen/>
      </w:r>
      <w:r w:rsidR="00E724D1" w:rsidRPr="00FA1A19">
        <w:t>85</w:t>
      </w:r>
      <w:r w:rsidR="009C504D" w:rsidRPr="00FA1A19">
        <w:t>(2)</w:t>
      </w:r>
      <w:r w:rsidR="004A309D" w:rsidRPr="00FA1A19">
        <w:t xml:space="preserve">, CGT </w:t>
      </w:r>
      <w:r w:rsidR="00513606" w:rsidRPr="00FA1A19">
        <w:t>is t</w:t>
      </w:r>
      <w:r w:rsidR="004A309D" w:rsidRPr="00FA1A19">
        <w:t>he primary code for assessing complying superannuation funds</w:t>
      </w:r>
      <w:r w:rsidR="00CF396A" w:rsidRPr="00FA1A19">
        <w:t xml:space="preserve"> on CGT events, rather than </w:t>
      </w:r>
      <w:r w:rsidR="008264C4" w:rsidRPr="00FA1A19">
        <w:t xml:space="preserve">the other provisions that would </w:t>
      </w:r>
      <w:r w:rsidR="009C504D" w:rsidRPr="00FA1A19">
        <w:t>otherwise (i</w:t>
      </w:r>
      <w:r w:rsidR="009538CF" w:rsidRPr="00FA1A19">
        <w:t>.</w:t>
      </w:r>
      <w:r w:rsidR="009C504D" w:rsidRPr="00FA1A19">
        <w:t>e</w:t>
      </w:r>
      <w:r w:rsidR="009538CF" w:rsidRPr="00FA1A19">
        <w:t>.</w:t>
      </w:r>
      <w:r w:rsidR="009C504D" w:rsidRPr="00FA1A19">
        <w:t xml:space="preserve"> in the absence of s</w:t>
      </w:r>
      <w:r w:rsidR="007C52A3" w:rsidRPr="00FA1A19">
        <w:t>ubsection</w:t>
      </w:r>
      <w:r w:rsidR="009C504D" w:rsidRPr="00FA1A19">
        <w:t> 295</w:t>
      </w:r>
      <w:r w:rsidR="00F75232">
        <w:noBreakHyphen/>
      </w:r>
      <w:r w:rsidR="009C504D" w:rsidRPr="00FA1A19">
        <w:t>85(2))</w:t>
      </w:r>
      <w:r w:rsidR="008264C4" w:rsidRPr="00FA1A19">
        <w:t xml:space="preserve"> take priority (such as s</w:t>
      </w:r>
      <w:r w:rsidR="007C52A3" w:rsidRPr="00FA1A19">
        <w:t>ection</w:t>
      </w:r>
      <w:r w:rsidR="008264C4" w:rsidRPr="00FA1A19">
        <w:t> 6</w:t>
      </w:r>
      <w:r w:rsidR="00F75232">
        <w:noBreakHyphen/>
      </w:r>
      <w:r w:rsidR="008264C4" w:rsidRPr="00FA1A19">
        <w:t>5 ordinary income).</w:t>
      </w:r>
      <w:r w:rsidR="004F0A51" w:rsidRPr="00FA1A19">
        <w:t xml:space="preserve"> </w:t>
      </w:r>
      <w:r w:rsidR="008264C4" w:rsidRPr="00FA1A19">
        <w:t xml:space="preserve">An exception is </w:t>
      </w:r>
      <w:r w:rsidR="008166FC" w:rsidRPr="00FA1A19">
        <w:t>for trading stock,</w:t>
      </w:r>
      <w:r w:rsidR="00907B3E" w:rsidRPr="00170ADC">
        <w:rPr>
          <w:rStyle w:val="FootnoteReference"/>
        </w:rPr>
        <w:footnoteReference w:id="466"/>
      </w:r>
      <w:r w:rsidR="008166FC" w:rsidRPr="00FA1A19">
        <w:t xml:space="preserve"> </w:t>
      </w:r>
      <w:r w:rsidR="007F6959" w:rsidRPr="00FA1A19">
        <w:t xml:space="preserve">which will still be assessed under the trading stock provisions in </w:t>
      </w:r>
      <w:r w:rsidR="00795E7F" w:rsidRPr="00FA1A19">
        <w:t>Division 70.</w:t>
      </w:r>
      <w:r w:rsidR="004F0A51" w:rsidRPr="00FA1A19">
        <w:t xml:space="preserve"> </w:t>
      </w:r>
      <w:r w:rsidR="00795E7F" w:rsidRPr="00FA1A19">
        <w:t xml:space="preserve">However, </w:t>
      </w:r>
      <w:r w:rsidR="00840EFC" w:rsidRPr="00FA1A19">
        <w:t>s</w:t>
      </w:r>
      <w:r w:rsidR="007C52A3" w:rsidRPr="00FA1A19">
        <w:t>ubsection</w:t>
      </w:r>
      <w:r w:rsidR="00840EFC" w:rsidRPr="00FA1A19">
        <w:t> 70</w:t>
      </w:r>
      <w:r w:rsidR="00F75232">
        <w:noBreakHyphen/>
      </w:r>
      <w:r w:rsidR="00840EFC" w:rsidRPr="00FA1A19">
        <w:t xml:space="preserve">10(2) </w:t>
      </w:r>
      <w:r w:rsidR="00795E7F" w:rsidRPr="00FA1A19">
        <w:t>provides that trading</w:t>
      </w:r>
      <w:r w:rsidR="00BF002D" w:rsidRPr="00FA1A19">
        <w:t xml:space="preserve"> stock for a </w:t>
      </w:r>
      <w:r w:rsidR="00705453" w:rsidRPr="00FA1A19">
        <w:t xml:space="preserve">complying </w:t>
      </w:r>
      <w:r w:rsidR="009C504D" w:rsidRPr="00FA1A19">
        <w:t xml:space="preserve">superannuation fund does not include an </w:t>
      </w:r>
      <w:r w:rsidR="00840EFC" w:rsidRPr="00FA1A19">
        <w:t>asset covered by s</w:t>
      </w:r>
      <w:r w:rsidR="007C52A3" w:rsidRPr="00FA1A19">
        <w:t>ection</w:t>
      </w:r>
      <w:r w:rsidR="00840EFC" w:rsidRPr="00FA1A19">
        <w:t> </w:t>
      </w:r>
      <w:r w:rsidR="00BD52A3" w:rsidRPr="00FA1A19">
        <w:t>2</w:t>
      </w:r>
      <w:r w:rsidR="00840EFC" w:rsidRPr="00FA1A19">
        <w:t>75</w:t>
      </w:r>
      <w:r w:rsidR="00F75232">
        <w:noBreakHyphen/>
      </w:r>
      <w:r w:rsidR="00840EFC" w:rsidRPr="00FA1A19">
        <w:t xml:space="preserve">105 </w:t>
      </w:r>
      <w:r w:rsidR="00BD52A3" w:rsidRPr="00FA1A19">
        <w:t>(broadly shares</w:t>
      </w:r>
      <w:r w:rsidR="00B75EBF" w:rsidRPr="00FA1A19">
        <w:t xml:space="preserve"> and other equity interests in a company, units in a unit trust, land, and rights or options in relation to any of these</w:t>
      </w:r>
      <w:r w:rsidR="003C261E" w:rsidRPr="00FA1A19">
        <w:t xml:space="preserve"> – see above under Managed Investment Trusts</w:t>
      </w:r>
      <w:r w:rsidR="00B75EBF" w:rsidRPr="00FA1A19">
        <w:t>).</w:t>
      </w:r>
      <w:r w:rsidR="004F0A51" w:rsidRPr="00FA1A19">
        <w:t xml:space="preserve"> </w:t>
      </w:r>
      <w:r w:rsidR="009D0DD5" w:rsidRPr="00FA1A19">
        <w:t xml:space="preserve">It follows that </w:t>
      </w:r>
      <w:r w:rsidR="00BF224C" w:rsidRPr="00FA1A19">
        <w:t xml:space="preserve">a </w:t>
      </w:r>
      <w:r w:rsidR="00FC330C" w:rsidRPr="00FA1A19">
        <w:t xml:space="preserve">complying </w:t>
      </w:r>
      <w:r w:rsidR="00BF224C" w:rsidRPr="00FA1A19">
        <w:t xml:space="preserve">superannuation fund </w:t>
      </w:r>
      <w:r w:rsidR="00B93226" w:rsidRPr="00FA1A19">
        <w:t>transacting in the</w:t>
      </w:r>
      <w:r w:rsidR="007B3E4E" w:rsidRPr="00FA1A19">
        <w:t xml:space="preserve"> s</w:t>
      </w:r>
      <w:r w:rsidR="007C52A3" w:rsidRPr="00FA1A19">
        <w:t>ection</w:t>
      </w:r>
      <w:r w:rsidR="007B3E4E" w:rsidRPr="00FA1A19">
        <w:t> 275</w:t>
      </w:r>
      <w:r w:rsidR="00F75232">
        <w:noBreakHyphen/>
      </w:r>
      <w:r w:rsidR="007B3E4E" w:rsidRPr="00FA1A19">
        <w:t xml:space="preserve">105 </w:t>
      </w:r>
      <w:r w:rsidR="00F75232">
        <w:t>‘</w:t>
      </w:r>
      <w:r w:rsidR="007C52A3" w:rsidRPr="00FA1A19">
        <w:t>c</w:t>
      </w:r>
      <w:r w:rsidR="007B3E4E" w:rsidRPr="00FA1A19">
        <w:t xml:space="preserve">overed </w:t>
      </w:r>
      <w:r w:rsidR="001F7644" w:rsidRPr="00FA1A19">
        <w:t>assets</w:t>
      </w:r>
      <w:r w:rsidR="00F75232">
        <w:t>’</w:t>
      </w:r>
      <w:r w:rsidR="007B3E4E" w:rsidRPr="00FA1A19">
        <w:t xml:space="preserve"> will be </w:t>
      </w:r>
      <w:r w:rsidR="001F7644" w:rsidRPr="00FA1A19">
        <w:t>assessed under the CGT regime</w:t>
      </w:r>
      <w:r w:rsidR="00FC330C" w:rsidRPr="00FA1A19">
        <w:t xml:space="preserve"> and therefore eligible for the CGT discount on gains (although capital losses may only be offset against capital gains)</w:t>
      </w:r>
      <w:r w:rsidR="001F7644" w:rsidRPr="00FA1A19">
        <w:t>.</w:t>
      </w:r>
      <w:r w:rsidR="004F0A51" w:rsidRPr="00FA1A19">
        <w:t xml:space="preserve"> </w:t>
      </w:r>
      <w:r w:rsidR="001A2777" w:rsidRPr="00FA1A19">
        <w:t xml:space="preserve">The SMSF Association indicated that it would welcome </w:t>
      </w:r>
      <w:r w:rsidR="005539D7" w:rsidRPr="00FA1A19">
        <w:t xml:space="preserve">the inclusion </w:t>
      </w:r>
      <w:r w:rsidR="00FC330C" w:rsidRPr="00FA1A19">
        <w:t>of crypto assets in this list.</w:t>
      </w:r>
      <w:r w:rsidR="009174AA" w:rsidRPr="00FA1A19">
        <w:t xml:space="preserve"> </w:t>
      </w:r>
    </w:p>
    <w:p w14:paraId="38A6B33C" w14:textId="77777777" w:rsidR="00620D4B" w:rsidRDefault="00620D4B" w:rsidP="004B6636">
      <w:r w:rsidRPr="00FA1A19">
        <w:t>The</w:t>
      </w:r>
      <w:r>
        <w:t>re</w:t>
      </w:r>
      <w:r w:rsidRPr="00FA1A19">
        <w:t xml:space="preserve"> </w:t>
      </w:r>
      <w:r>
        <w:t>appears to be a clear policy underpinning the taxation of superannuation assets that, while CGT is to be the primary code, items of trading stock are generally not given that exclusive treatment. While an exception is made for land, shares and units, other asset classes do fall within the exception (e.g. financial assets, other property and contractual rights). Accordingly, the Board is of the view that adding a further exception to the treatment of superannuation fund held trading stock is not compelling.</w:t>
      </w:r>
    </w:p>
    <w:p w14:paraId="05BA3638" w14:textId="77777777" w:rsidR="00D63A78" w:rsidRPr="00FA1A19" w:rsidRDefault="00D63A78" w:rsidP="00342121">
      <w:pPr>
        <w:pStyle w:val="SingleParagraph"/>
      </w:pPr>
    </w:p>
    <w:tbl>
      <w:tblPr>
        <w:tblStyle w:val="BoTObservation"/>
        <w:tblW w:w="5000" w:type="pct"/>
        <w:tblLook w:val="01E0" w:firstRow="1" w:lastRow="1" w:firstColumn="1" w:lastColumn="1" w:noHBand="0" w:noVBand="0"/>
      </w:tblPr>
      <w:tblGrid>
        <w:gridCol w:w="9641"/>
      </w:tblGrid>
      <w:tr w:rsidR="00185727" w:rsidRPr="000E72DD" w14:paraId="4638020A"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593AF78F" w14:textId="2A88E60F" w:rsidR="00185727" w:rsidRPr="000E72DD" w:rsidRDefault="00372633" w:rsidP="000E72DD">
            <w:pPr>
              <w:pStyle w:val="BoxHeading1"/>
            </w:pPr>
            <w:r>
              <w:t>Observation </w:t>
            </w:r>
            <w:r w:rsidR="00185727" w:rsidRPr="000E72DD">
              <w:t>8.</w:t>
            </w:r>
            <w:r w:rsidR="00932CE5" w:rsidRPr="000E72DD">
              <w:t>2</w:t>
            </w:r>
          </w:p>
        </w:tc>
      </w:tr>
      <w:tr w:rsidR="00185727" w:rsidRPr="00FA1A19" w14:paraId="09D3BC93"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30751FFC" w14:textId="17889706" w:rsidR="00EA5098" w:rsidRPr="00FA1A19" w:rsidRDefault="00EA5098" w:rsidP="000E72DD">
            <w:pPr>
              <w:pStyle w:val="BoxText"/>
            </w:pPr>
            <w:r w:rsidRPr="00FA1A19">
              <w:t xml:space="preserve">SMSF trustees are currently facing challenges in complying with their obligations under the </w:t>
            </w:r>
            <w:r w:rsidRPr="00813896">
              <w:rPr>
                <w:rStyle w:val="Emphasis"/>
              </w:rPr>
              <w:t>Superannuation Industry (Supervision) Act 1993</w:t>
            </w:r>
            <w:r w:rsidRPr="00FA1A19">
              <w:t xml:space="preserve"> and associated regulations.</w:t>
            </w:r>
          </w:p>
          <w:p w14:paraId="30219386" w14:textId="29F626D5" w:rsidR="00DB708E" w:rsidRPr="00FA1A19" w:rsidRDefault="00CA6271" w:rsidP="00342121">
            <w:pPr>
              <w:pStyle w:val="BoxText"/>
            </w:pPr>
            <w:r w:rsidRPr="00FA1A19">
              <w:t>Superannuation</w:t>
            </w:r>
            <w:r w:rsidR="00185727" w:rsidRPr="00FA1A19">
              <w:t xml:space="preserve"> trustees </w:t>
            </w:r>
            <w:r w:rsidR="00B63056" w:rsidRPr="00FA1A19">
              <w:t xml:space="preserve">who choose to </w:t>
            </w:r>
            <w:r w:rsidR="00085F7B" w:rsidRPr="00FA1A19">
              <w:t>engage in</w:t>
            </w:r>
            <w:r w:rsidR="00B63056" w:rsidRPr="00FA1A19">
              <w:t xml:space="preserve"> crypto asset transactions face </w:t>
            </w:r>
            <w:r w:rsidR="00614154">
              <w:t>similar</w:t>
            </w:r>
            <w:r w:rsidR="00B63056" w:rsidRPr="00FA1A19">
              <w:t xml:space="preserve"> </w:t>
            </w:r>
            <w:r w:rsidR="00085F7B" w:rsidRPr="00FA1A19">
              <w:t>income taxation issues</w:t>
            </w:r>
            <w:r w:rsidR="00581A0C" w:rsidRPr="00FA1A19">
              <w:t xml:space="preserve"> as those faced by </w:t>
            </w:r>
            <w:r w:rsidR="00FB00E0" w:rsidRPr="00FA1A19">
              <w:t>other taxpayers</w:t>
            </w:r>
            <w:r w:rsidR="008F1329" w:rsidRPr="00FA1A19">
              <w:t xml:space="preserve"> who choose to engage in crypto asset transactions</w:t>
            </w:r>
            <w:r w:rsidR="00FB00E0" w:rsidRPr="00FA1A19">
              <w:t>.</w:t>
            </w:r>
            <w:r w:rsidR="004F0A51" w:rsidRPr="00FA1A19">
              <w:t xml:space="preserve"> </w:t>
            </w:r>
            <w:r w:rsidR="00030686" w:rsidRPr="00FA1A19">
              <w:t>In addition, they mu</w:t>
            </w:r>
            <w:r w:rsidR="0059325D" w:rsidRPr="00FA1A19">
              <w:t>st</w:t>
            </w:r>
            <w:r w:rsidR="00030686" w:rsidRPr="00FA1A19">
              <w:t xml:space="preserve"> comply with applicable regulatory requirements.</w:t>
            </w:r>
          </w:p>
          <w:p w14:paraId="6DB31258" w14:textId="2A280D30" w:rsidR="00185727" w:rsidRPr="00FA1A19" w:rsidRDefault="00DB708E" w:rsidP="00342121">
            <w:pPr>
              <w:pStyle w:val="BoxText"/>
            </w:pPr>
            <w:r w:rsidRPr="00FA1A19">
              <w:t>It was put to the Board th</w:t>
            </w:r>
            <w:r w:rsidR="00070AED" w:rsidRPr="00FA1A19">
              <w:t xml:space="preserve">at </w:t>
            </w:r>
            <w:r w:rsidR="00CB05C1" w:rsidRPr="00FA1A19">
              <w:t xml:space="preserve">crypto assets should be </w:t>
            </w:r>
            <w:r w:rsidR="00070AED" w:rsidRPr="00FA1A19">
              <w:t>taxed</w:t>
            </w:r>
            <w:r w:rsidR="00CB05C1" w:rsidRPr="00FA1A19">
              <w:t xml:space="preserve"> </w:t>
            </w:r>
            <w:r w:rsidR="00754C68">
              <w:t xml:space="preserve">to superannuation funds </w:t>
            </w:r>
            <w:r w:rsidR="00CB05C1" w:rsidRPr="00FA1A19">
              <w:t xml:space="preserve">in the same way as shares, units in unit trusts and land </w:t>
            </w:r>
            <w:r w:rsidR="00070AED" w:rsidRPr="00FA1A19">
              <w:t xml:space="preserve">for superannuation funds – that is, </w:t>
            </w:r>
            <w:r w:rsidR="006E3E6E" w:rsidRPr="00FA1A19">
              <w:t>under the CGT provisions.</w:t>
            </w:r>
            <w:r w:rsidR="004F0A51" w:rsidRPr="00FA1A19">
              <w:t xml:space="preserve"> </w:t>
            </w:r>
            <w:r w:rsidR="571C9EB4" w:rsidRPr="00FA1A19">
              <w:t>It is the Board</w:t>
            </w:r>
            <w:r w:rsidR="00F75232">
              <w:t>’</w:t>
            </w:r>
            <w:r w:rsidR="571C9EB4" w:rsidRPr="00FA1A19">
              <w:t xml:space="preserve">s view that </w:t>
            </w:r>
            <w:r w:rsidR="00026D06">
              <w:t>that adding a further exception to the treatment of superannuation fund held trading stock is not compelling</w:t>
            </w:r>
            <w:r w:rsidR="00026D06" w:rsidRPr="00FA1A19">
              <w:t>.</w:t>
            </w:r>
          </w:p>
        </w:tc>
      </w:tr>
    </w:tbl>
    <w:p w14:paraId="1DBF8D6A" w14:textId="77777777" w:rsidR="00357A15" w:rsidRPr="00FA1A19" w:rsidRDefault="00357A15" w:rsidP="00357A15">
      <w:pPr>
        <w:pStyle w:val="Heading2"/>
      </w:pPr>
      <w:bookmarkStart w:id="122" w:name="_Toc159513614"/>
      <w:r w:rsidRPr="00FA1A19">
        <w:t>Fringe Benefits Tax</w:t>
      </w:r>
      <w:bookmarkEnd w:id="122"/>
    </w:p>
    <w:p w14:paraId="58A0DE45" w14:textId="77777777" w:rsidR="00357A15" w:rsidRPr="00FA1A19" w:rsidRDefault="00357A15" w:rsidP="00357A15">
      <w:r w:rsidRPr="00FA1A19">
        <w:t xml:space="preserve">The ATO has issued </w:t>
      </w:r>
      <w:hyperlink r:id="rId60" w:history="1">
        <w:r w:rsidRPr="0007341F">
          <w:rPr>
            <w:rStyle w:val="Hyperlink"/>
          </w:rPr>
          <w:t>TD 2014/28</w:t>
        </w:r>
      </w:hyperlink>
      <w:r w:rsidRPr="00FA1A19">
        <w:t xml:space="preserve"> </w:t>
      </w:r>
      <w:r w:rsidRPr="00813896">
        <w:rPr>
          <w:rStyle w:val="Emphasis"/>
        </w:rPr>
        <w:t xml:space="preserve">Fringe benefits tax: is the provision of bitcoin by an employer to an employee in respect of their employment a property fringe benefit for the purposes of subsection 136(1) of the Fringe Benefits Tax Assessment Act 1986? </w:t>
      </w:r>
      <w:r w:rsidRPr="00FA1A19">
        <w:t>(TD 2014/28) and provided web guidance in relation to carrying on a business and remunerating employees.</w:t>
      </w:r>
      <w:r w:rsidRPr="00170ADC">
        <w:rPr>
          <w:rStyle w:val="FootnoteReference"/>
        </w:rPr>
        <w:footnoteReference w:id="467"/>
      </w:r>
      <w:r w:rsidRPr="00FA1A19">
        <w:t xml:space="preserve"> </w:t>
      </w:r>
    </w:p>
    <w:p w14:paraId="2E7BDC57" w14:textId="77777777" w:rsidR="00357A15" w:rsidRPr="00FA1A19" w:rsidRDefault="00357A15" w:rsidP="00357A15">
      <w:r w:rsidRPr="00FA1A19">
        <w:t>The ATO sets out that where an employee has a valid salary sacrifice arrangement to receive crypto assets as remuneration instead of Australia dollars, the payment is a property benefit. In the absence of a salary sacrifice agreement the employee receives their normal salary and wages, and the payment is subject to pay as you go (PAYG) withholding and superannuation obligations. This situation may arise where the employee directs the employer to satisfy their salary obligation by transferring an equivalent value of crypto assets.</w:t>
      </w:r>
      <w:r w:rsidRPr="00170ADC">
        <w:rPr>
          <w:rStyle w:val="FootnoteReference"/>
        </w:rPr>
        <w:footnoteReference w:id="468"/>
      </w:r>
    </w:p>
    <w:p w14:paraId="60C0BA8A" w14:textId="508C6BBD" w:rsidR="00357A15" w:rsidRPr="00FA1A19" w:rsidRDefault="00357A15" w:rsidP="00357A15">
      <w:r w:rsidRPr="00FA1A19">
        <w:t xml:space="preserve">No published </w:t>
      </w:r>
      <w:r w:rsidR="003355F8">
        <w:t>e</w:t>
      </w:r>
      <w:r w:rsidRPr="00FA1A19">
        <w:t xml:space="preserve">dited </w:t>
      </w:r>
      <w:r w:rsidR="00F41347">
        <w:t>PBRs</w:t>
      </w:r>
      <w:r w:rsidRPr="00FA1A19">
        <w:t xml:space="preserve"> have been identified in relation to wage payments and crypto assets. </w:t>
      </w:r>
    </w:p>
    <w:p w14:paraId="5CC11E2B" w14:textId="42D98F19" w:rsidR="00357A15" w:rsidRPr="00FA1A19" w:rsidRDefault="00357A15" w:rsidP="00357A15">
      <w:r w:rsidRPr="00FA1A19">
        <w:t xml:space="preserve">For completeness, the Board notes that when an entity transfers crypto assets to an employee (or to any other party) in satisfaction of a wage or other obligation, that the entity will make a disposal of that crypto asset and the resulting tax consequences will need to be considered (see further in </w:t>
      </w:r>
      <w:r w:rsidR="00372633">
        <w:t>Chapter </w:t>
      </w:r>
      <w:r w:rsidRPr="00FA1A19">
        <w:t xml:space="preserve">7). </w:t>
      </w:r>
    </w:p>
    <w:p w14:paraId="77AF2FE2" w14:textId="02CA8F95" w:rsidR="00357A15" w:rsidRPr="00FA1A19" w:rsidRDefault="00357A15" w:rsidP="00357A15">
      <w:r w:rsidRPr="00FA1A19">
        <w:t xml:space="preserve">Some submissions to the review raised a broader concern about the ability for a wage to </w:t>
      </w:r>
      <w:r w:rsidR="00F75232">
        <w:t>‘</w:t>
      </w:r>
      <w:r w:rsidRPr="00FA1A19">
        <w:t>paid</w:t>
      </w:r>
      <w:r w:rsidR="00F75232">
        <w:t>’</w:t>
      </w:r>
      <w:r w:rsidRPr="00FA1A19">
        <w:t xml:space="preserve"> in crypto under employment law.</w:t>
      </w:r>
      <w:r w:rsidRPr="00170ADC">
        <w:rPr>
          <w:rStyle w:val="FootnoteReference"/>
        </w:rPr>
        <w:footnoteReference w:id="469"/>
      </w:r>
      <w:r w:rsidRPr="00FA1A19">
        <w:t xml:space="preserve"> If this is not possible, there are concerns about the suitability of the position taken in TD 2014/28.</w:t>
      </w:r>
    </w:p>
    <w:p w14:paraId="16CCF042" w14:textId="77777777" w:rsidR="00357A15" w:rsidRPr="00FA1A19" w:rsidRDefault="00357A15" w:rsidP="00357A15">
      <w:r w:rsidRPr="00FA1A19">
        <w:t xml:space="preserve">The Board has not made an observation in relation to this issue, noting that matters of wage payment and employment law are not within the remit of the Board. </w:t>
      </w:r>
    </w:p>
    <w:p w14:paraId="692851CA" w14:textId="1FA6B47A" w:rsidR="00185727" w:rsidRPr="00FA1A19" w:rsidRDefault="00185727" w:rsidP="0069352C">
      <w:pPr>
        <w:pStyle w:val="Heading2"/>
      </w:pPr>
      <w:bookmarkStart w:id="123" w:name="_Toc159513615"/>
      <w:r w:rsidRPr="00FA1A19">
        <w:t>Charitable donations</w:t>
      </w:r>
      <w:bookmarkEnd w:id="123"/>
    </w:p>
    <w:p w14:paraId="4AD6AED7" w14:textId="4E1A6890" w:rsidR="00185727" w:rsidRPr="00FA1A19" w:rsidRDefault="00150F95" w:rsidP="00185727">
      <w:r w:rsidRPr="00FA1A19">
        <w:t>Cr</w:t>
      </w:r>
      <w:r w:rsidR="00185727" w:rsidRPr="00FA1A19">
        <w:t>ypto assets are</w:t>
      </w:r>
      <w:r w:rsidRPr="00FA1A19">
        <w:t xml:space="preserve"> increasingly</w:t>
      </w:r>
      <w:r w:rsidR="00185727" w:rsidRPr="00FA1A19">
        <w:t xml:space="preserve"> being used for transactions that typically would have been undertaken using fiat currency in the past. One area where this is apparent is with philanthropy and donations. </w:t>
      </w:r>
    </w:p>
    <w:p w14:paraId="28FE3CA2" w14:textId="5AC9EBAB" w:rsidR="00185727" w:rsidRPr="00FA1A19" w:rsidRDefault="00185727" w:rsidP="00185727">
      <w:r w:rsidRPr="00FA1A19">
        <w:t>In May 2022, the University of New South Wales Sydney announced that it had received a USD Coin 4</w:t>
      </w:r>
      <w:r w:rsidR="00372633">
        <w:t> million</w:t>
      </w:r>
      <w:r w:rsidRPr="00FA1A19">
        <w:t xml:space="preserve"> cryptocurrency donation, which it described as the largest known cryptocurrency donation to an Australian higher education institution.</w:t>
      </w:r>
      <w:r w:rsidRPr="00170ADC">
        <w:rPr>
          <w:rStyle w:val="FootnoteReference"/>
        </w:rPr>
        <w:footnoteReference w:id="470"/>
      </w:r>
      <w:r w:rsidRPr="00FA1A19">
        <w:t xml:space="preserve"> Major charities, including UNICEF Australia</w:t>
      </w:r>
      <w:r w:rsidRPr="00170ADC">
        <w:rPr>
          <w:rStyle w:val="FootnoteReference"/>
        </w:rPr>
        <w:footnoteReference w:id="471"/>
      </w:r>
      <w:r w:rsidR="00B40E83" w:rsidRPr="00FA1A19">
        <w:t xml:space="preserve"> and Oxfam Australia</w:t>
      </w:r>
      <w:r w:rsidR="00CC0EE3" w:rsidRPr="00170ADC">
        <w:rPr>
          <w:rStyle w:val="FootnoteReference"/>
        </w:rPr>
        <w:footnoteReference w:id="472"/>
      </w:r>
      <w:r w:rsidRPr="00FA1A19">
        <w:t xml:space="preserve"> provide facilities through their websites to enable cryptocurrency donations. The Board</w:t>
      </w:r>
      <w:r w:rsidR="00F75232">
        <w:t>’</w:t>
      </w:r>
      <w:r w:rsidRPr="00FA1A19">
        <w:t>s observations on this emerging space follow.</w:t>
      </w:r>
    </w:p>
    <w:p w14:paraId="3C68D41D" w14:textId="77777777" w:rsidR="00185727" w:rsidRPr="00FA1A19" w:rsidRDefault="00185727" w:rsidP="00342121">
      <w:pPr>
        <w:pStyle w:val="Heading3"/>
      </w:pPr>
      <w:r w:rsidRPr="00FA1A19">
        <w:t>Deductible gift recipients</w:t>
      </w:r>
    </w:p>
    <w:p w14:paraId="60D97A7C" w14:textId="2305421F" w:rsidR="00762CB5" w:rsidRPr="00FA1A19" w:rsidRDefault="00185727" w:rsidP="00762CB5">
      <w:r w:rsidRPr="00FA1A19">
        <w:t>The Australian Charities and Not</w:t>
      </w:r>
      <w:r w:rsidR="00F75232">
        <w:noBreakHyphen/>
      </w:r>
      <w:r w:rsidRPr="00FA1A19">
        <w:t>for</w:t>
      </w:r>
      <w:r w:rsidR="00F75232">
        <w:noBreakHyphen/>
      </w:r>
      <w:r w:rsidRPr="00FA1A19">
        <w:t>profits Commission (ACNC) and the ATO both have a role in relation to the endorsement and regulation of charitable organisations. The ACNC is the national regulator of charities</w:t>
      </w:r>
      <w:r w:rsidR="00762CB5" w:rsidRPr="00FA1A19">
        <w:t xml:space="preserve"> and </w:t>
      </w:r>
      <w:r w:rsidR="00DC1AA7" w:rsidRPr="00FA1A19">
        <w:t>endorses</w:t>
      </w:r>
      <w:r w:rsidR="00E929F5" w:rsidRPr="00FA1A19">
        <w:t xml:space="preserve"> entities as charities for Commonwealth purposes, although </w:t>
      </w:r>
      <w:r w:rsidR="00762CB5" w:rsidRPr="00FA1A19">
        <w:t>an entity that is seeking to access tax concessions as a charity, and/or receive deductible gift recipient (DGR) status</w:t>
      </w:r>
      <w:r w:rsidR="00162551" w:rsidRPr="00FA1A19">
        <w:t>,</w:t>
      </w:r>
      <w:r w:rsidR="00762CB5" w:rsidRPr="00FA1A19">
        <w:t xml:space="preserve"> </w:t>
      </w:r>
      <w:r w:rsidR="00E929F5" w:rsidRPr="00FA1A19">
        <w:t xml:space="preserve">must </w:t>
      </w:r>
      <w:r w:rsidR="00762CB5" w:rsidRPr="00FA1A19">
        <w:t xml:space="preserve">apply to the ATO for endorsement. </w:t>
      </w:r>
    </w:p>
    <w:p w14:paraId="1C9E3E65" w14:textId="403C02B5" w:rsidR="00185727" w:rsidRPr="00FA1A19" w:rsidRDefault="00762CB5" w:rsidP="00185727">
      <w:r w:rsidRPr="00FA1A19">
        <w:t>The ACNC</w:t>
      </w:r>
      <w:r w:rsidR="00E165F4" w:rsidRPr="00FA1A19">
        <w:t xml:space="preserve"> </w:t>
      </w:r>
      <w:r w:rsidR="00185727" w:rsidRPr="00FA1A19">
        <w:t>have published a guide on their website in relation to charities and crypto assets, covering:</w:t>
      </w:r>
    </w:p>
    <w:p w14:paraId="7DCC64B5" w14:textId="090FB754" w:rsidR="00185727" w:rsidRPr="00FA1A19" w:rsidRDefault="00023699" w:rsidP="00342121">
      <w:pPr>
        <w:pStyle w:val="Bullet"/>
      </w:pPr>
      <w:r>
        <w:t>a</w:t>
      </w:r>
      <w:r w:rsidR="00185727" w:rsidRPr="00FA1A19">
        <w:t>ccepting crypto assets as donations</w:t>
      </w:r>
    </w:p>
    <w:p w14:paraId="2540608D" w14:textId="257CDB63" w:rsidR="00185727" w:rsidRPr="00FA1A19" w:rsidRDefault="00023699" w:rsidP="00342121">
      <w:pPr>
        <w:pStyle w:val="Bullet"/>
      </w:pPr>
      <w:r>
        <w:t>i</w:t>
      </w:r>
      <w:r w:rsidR="00185727" w:rsidRPr="00FA1A19">
        <w:t>nvesting in crypto assets</w:t>
      </w:r>
    </w:p>
    <w:p w14:paraId="31C4D12C" w14:textId="77455F0C" w:rsidR="00185727" w:rsidRPr="00FA1A19" w:rsidRDefault="00023699" w:rsidP="00342121">
      <w:pPr>
        <w:pStyle w:val="Bullet"/>
      </w:pPr>
      <w:r>
        <w:t>r</w:t>
      </w:r>
      <w:r w:rsidR="00185727" w:rsidRPr="00FA1A19">
        <w:t>ecording and reporting crypto</w:t>
      </w:r>
      <w:r w:rsidR="00F75232">
        <w:noBreakHyphen/>
      </w:r>
      <w:r w:rsidR="00185727" w:rsidRPr="00FA1A19">
        <w:t>donations in the Annual Information Statement</w:t>
      </w:r>
    </w:p>
    <w:p w14:paraId="6699578E" w14:textId="5C264370" w:rsidR="00185727" w:rsidRPr="00FA1A19" w:rsidRDefault="00023699" w:rsidP="00342121">
      <w:pPr>
        <w:pStyle w:val="Bullet"/>
      </w:pPr>
      <w:r>
        <w:t>r</w:t>
      </w:r>
      <w:r w:rsidR="00185727" w:rsidRPr="00FA1A19">
        <w:t>egulation of crypto assets.</w:t>
      </w:r>
      <w:r w:rsidR="00185727" w:rsidRPr="00170ADC">
        <w:rPr>
          <w:rStyle w:val="FootnoteReference"/>
        </w:rPr>
        <w:footnoteReference w:id="473"/>
      </w:r>
    </w:p>
    <w:p w14:paraId="23C0C2DF" w14:textId="77777777" w:rsidR="00185727" w:rsidRPr="00FA1A19" w:rsidRDefault="00185727" w:rsidP="00185727">
      <w:r w:rsidRPr="00FA1A19">
        <w:t xml:space="preserve">At a high level, the guidance sets out the risks associated with a charity investing in and receiving crypto assets, the additional governance required to manage this and associated reporting obligations. The ACNC neither prohibit nor endorse the receipt or holding of crypto assets by charities. </w:t>
      </w:r>
    </w:p>
    <w:p w14:paraId="753F8A0D" w14:textId="30425314" w:rsidR="00185727" w:rsidRPr="00FA1A19" w:rsidRDefault="00185727" w:rsidP="00185727">
      <w:r w:rsidRPr="00FA1A19">
        <w:t>The ATO also provide web content in relation to the tax obligations of charities that are in receipt of crypto assets. This guidance sets out</w:t>
      </w:r>
      <w:r w:rsidR="00084103" w:rsidRPr="00FA1A19">
        <w:t xml:space="preserve"> that</w:t>
      </w:r>
      <w:r w:rsidRPr="00FA1A19">
        <w:t>:</w:t>
      </w:r>
    </w:p>
    <w:p w14:paraId="21A0032B" w14:textId="48B25D80" w:rsidR="00185727" w:rsidRPr="00FA1A19" w:rsidRDefault="00185727" w:rsidP="00342121">
      <w:pPr>
        <w:pStyle w:val="Bullet"/>
      </w:pPr>
      <w:r w:rsidRPr="00FA1A19">
        <w:t>there are no CGT implications at the time the crypto asset is received</w:t>
      </w:r>
    </w:p>
    <w:p w14:paraId="12A65893" w14:textId="46D9CAF3" w:rsidR="00185727" w:rsidRPr="00FA1A19" w:rsidRDefault="00185727" w:rsidP="00342121">
      <w:pPr>
        <w:pStyle w:val="Bullet"/>
      </w:pPr>
      <w:r w:rsidRPr="00FA1A19">
        <w:t xml:space="preserve">a CGT event may happen </w:t>
      </w:r>
      <w:r w:rsidR="00704891" w:rsidRPr="00FA1A19">
        <w:t>wit</w:t>
      </w:r>
      <w:r w:rsidR="007B4A4F" w:rsidRPr="00FA1A19">
        <w:t xml:space="preserve">h a later disposal or transaction with </w:t>
      </w:r>
      <w:r w:rsidRPr="00FA1A19">
        <w:t>the crypto asset</w:t>
      </w:r>
    </w:p>
    <w:p w14:paraId="12A0AB9D" w14:textId="11A20E94" w:rsidR="00185727" w:rsidRPr="00FA1A19" w:rsidRDefault="00A92E48" w:rsidP="00342121">
      <w:pPr>
        <w:pStyle w:val="Bullet"/>
      </w:pPr>
      <w:r w:rsidRPr="00FA1A19">
        <w:t xml:space="preserve">the </w:t>
      </w:r>
      <w:r w:rsidR="00FD0F0B" w:rsidRPr="00FA1A19">
        <w:t xml:space="preserve">charity must </w:t>
      </w:r>
      <w:r w:rsidR="00FB67D9" w:rsidRPr="00FA1A19">
        <w:t>check that it has</w:t>
      </w:r>
      <w:r w:rsidR="00EB48BC" w:rsidRPr="00FA1A19">
        <w:t xml:space="preserve"> the </w:t>
      </w:r>
      <w:r w:rsidR="00185727" w:rsidRPr="00FA1A19">
        <w:t xml:space="preserve">capacity to receive </w:t>
      </w:r>
      <w:r w:rsidR="00185727" w:rsidRPr="00FA1A19" w:rsidDel="00EB48BC">
        <w:t>crypto assets</w:t>
      </w:r>
    </w:p>
    <w:p w14:paraId="38E45FF5" w14:textId="38915CF6" w:rsidR="00185727" w:rsidRPr="00FA1A19" w:rsidRDefault="00FB67D9" w:rsidP="00342121">
      <w:pPr>
        <w:pStyle w:val="Bullet"/>
      </w:pPr>
      <w:r w:rsidRPr="00FA1A19">
        <w:t xml:space="preserve">the charity must </w:t>
      </w:r>
      <w:r w:rsidR="004B1407" w:rsidRPr="00FA1A19">
        <w:t>ensure it keeps the required records of the receipt</w:t>
      </w:r>
    </w:p>
    <w:p w14:paraId="2C41FD24" w14:textId="53C9CC46" w:rsidR="00185727" w:rsidRPr="00FA1A19" w:rsidRDefault="004B1407" w:rsidP="00342121">
      <w:pPr>
        <w:pStyle w:val="Bullet"/>
      </w:pPr>
      <w:r w:rsidRPr="00FA1A19">
        <w:t xml:space="preserve">the charity must </w:t>
      </w:r>
      <w:r w:rsidR="00B0501D" w:rsidRPr="00FA1A19">
        <w:t xml:space="preserve">check that the </w:t>
      </w:r>
      <w:r w:rsidR="00305CAF" w:rsidRPr="00FA1A19">
        <w:t>ownership of the crypto asset is transferred into its legal name</w:t>
      </w:r>
      <w:r w:rsidR="002C2F3E" w:rsidRPr="00170ADC">
        <w:rPr>
          <w:rStyle w:val="FootnoteReference"/>
        </w:rPr>
        <w:footnoteReference w:id="474"/>
      </w:r>
      <w:r w:rsidR="00305CAF" w:rsidRPr="00FA1A19">
        <w:t xml:space="preserve"> (</w:t>
      </w:r>
      <w:r w:rsidR="002C2F3E" w:rsidRPr="00FA1A19">
        <w:t>which will presumably be</w:t>
      </w:r>
      <w:r w:rsidR="0008517C" w:rsidRPr="00FA1A19">
        <w:t xml:space="preserve"> satisfied if the crypto assets are </w:t>
      </w:r>
      <w:r w:rsidR="00CE642B" w:rsidRPr="00FA1A19">
        <w:t xml:space="preserve">controlled by </w:t>
      </w:r>
      <w:r w:rsidR="002C2F3E" w:rsidRPr="00FA1A19">
        <w:t xml:space="preserve">the </w:t>
      </w:r>
      <w:r w:rsidR="00815FDB" w:rsidRPr="00FA1A19">
        <w:t xml:space="preserve">charity for </w:t>
      </w:r>
      <w:r w:rsidR="00D34588" w:rsidRPr="00FA1A19">
        <w:t>example</w:t>
      </w:r>
      <w:r w:rsidR="00815FDB" w:rsidRPr="00FA1A19">
        <w:t xml:space="preserve"> by </w:t>
      </w:r>
      <w:r w:rsidR="00CE642B" w:rsidRPr="00FA1A19">
        <w:t xml:space="preserve">a private key that is </w:t>
      </w:r>
      <w:r w:rsidR="00815FDB" w:rsidRPr="00FA1A19">
        <w:t>they hold or that is held for them by a</w:t>
      </w:r>
      <w:r w:rsidR="00D34588" w:rsidRPr="00FA1A19">
        <w:t>nother</w:t>
      </w:r>
      <w:r w:rsidR="00815FDB" w:rsidRPr="00FA1A19">
        <w:t>, or under a custodial arrangement with an intermediary</w:t>
      </w:r>
      <w:r w:rsidR="00CE642B" w:rsidRPr="00FA1A19">
        <w:t>)</w:t>
      </w:r>
      <w:r w:rsidR="00185727" w:rsidRPr="00FA1A19">
        <w:t>.</w:t>
      </w:r>
    </w:p>
    <w:p w14:paraId="7A991E53" w14:textId="72B7237D" w:rsidR="00185727" w:rsidRPr="00FA1A19" w:rsidRDefault="00185727" w:rsidP="00217DA0">
      <w:r w:rsidRPr="00FA1A19">
        <w:t>The Law Council</w:t>
      </w:r>
      <w:r w:rsidR="00C41D1E">
        <w:t xml:space="preserve"> of Australia</w:t>
      </w:r>
      <w:r w:rsidRPr="00FA1A19">
        <w:t xml:space="preserve"> provided proposals</w:t>
      </w:r>
      <w:r w:rsidR="00B27FBA" w:rsidRPr="00FA1A19">
        <w:t xml:space="preserve"> including the </w:t>
      </w:r>
      <w:r w:rsidR="00B27FBA" w:rsidRPr="00217DA0">
        <w:t>following</w:t>
      </w:r>
      <w:r w:rsidRPr="00FA1A19">
        <w:t xml:space="preserve"> in their submission to the Review in relation to charities and not</w:t>
      </w:r>
      <w:r w:rsidR="00C41D1E">
        <w:t>-</w:t>
      </w:r>
      <w:r w:rsidRPr="00FA1A19">
        <w:t>for</w:t>
      </w:r>
      <w:r w:rsidR="00C41D1E">
        <w:t>-</w:t>
      </w:r>
      <w:r w:rsidRPr="00FA1A19">
        <w:t>profit</w:t>
      </w:r>
      <w:r w:rsidR="00C41D1E">
        <w:t xml:space="preserve"> entitie</w:t>
      </w:r>
      <w:r w:rsidRPr="00FA1A19">
        <w:t xml:space="preserve">s: </w:t>
      </w:r>
    </w:p>
    <w:p w14:paraId="5F2D4498" w14:textId="4F082001" w:rsidR="00185727" w:rsidRPr="00FA1A19" w:rsidRDefault="00185727" w:rsidP="00217DA0">
      <w:pPr>
        <w:pStyle w:val="Bullet"/>
      </w:pPr>
      <w:r w:rsidRPr="00FA1A19">
        <w:t>The Ministerial Guidelines for Private Ancillary Funds and Public Ancillary Funds should be altered to include provisions about digital assets in relation to investment strategy or investment limitations and distributions in digital assets</w:t>
      </w:r>
      <w:r w:rsidR="005C7CC8" w:rsidRPr="00FA1A19">
        <w:t>.</w:t>
      </w:r>
    </w:p>
    <w:p w14:paraId="61D412C7" w14:textId="7759C640" w:rsidR="005C7CC8" w:rsidRPr="00FA1A19" w:rsidRDefault="00277CD2" w:rsidP="00217DA0">
      <w:pPr>
        <w:pStyle w:val="Bullet"/>
      </w:pPr>
      <w:r w:rsidRPr="00FA1A19">
        <w:t xml:space="preserve">It is likely that Distributed Ledger </w:t>
      </w:r>
      <w:r w:rsidR="00576F26">
        <w:t>T</w:t>
      </w:r>
      <w:r w:rsidRPr="00FA1A19">
        <w:t>echnologies will be able to streamline the operations of DGRs and charities that operate overseas, and the ATO and/or the ACNC should consider providing guidance in relation to prudent governance in relation to fraud, money laundering, and terrorism financing. It may be that ACNC governance standards require amendment to cater for such developments which are proportionate to the risk and do not hamper beneficial innovation.</w:t>
      </w:r>
    </w:p>
    <w:p w14:paraId="40002FE6" w14:textId="76346E47" w:rsidR="00277CD2" w:rsidRPr="00FA1A19" w:rsidRDefault="00277CD2" w:rsidP="00342121">
      <w:pPr>
        <w:pStyle w:val="Bullet"/>
      </w:pPr>
      <w:r w:rsidRPr="00FA1A19">
        <w:t>The Board should also consider the principles of taxation for new legal forms associated with DAOs that are formed for altruistic purposes akin to what are known as giving circles (groups of individuals who donate money and/or time and have a say in the distribution of these resources).</w:t>
      </w:r>
      <w:r w:rsidRPr="00170ADC">
        <w:rPr>
          <w:rStyle w:val="FootnoteReference"/>
        </w:rPr>
        <w:footnoteReference w:id="475"/>
      </w:r>
    </w:p>
    <w:p w14:paraId="76A7A9F1" w14:textId="12A3B110" w:rsidR="00185727" w:rsidRPr="00FA1A19" w:rsidRDefault="00185727" w:rsidP="00185727">
      <w:r w:rsidRPr="00FA1A19">
        <w:t>The Board</w:t>
      </w:r>
      <w:r w:rsidRPr="00FA1A19" w:rsidDel="00414F99">
        <w:t xml:space="preserve"> </w:t>
      </w:r>
      <w:r w:rsidRPr="00FA1A19">
        <w:t>notes that any consideration of reform in the area of charities and not</w:t>
      </w:r>
      <w:r w:rsidR="00853165">
        <w:t>-</w:t>
      </w:r>
      <w:r w:rsidRPr="00FA1A19">
        <w:t>for</w:t>
      </w:r>
      <w:r w:rsidR="00853165">
        <w:t>-</w:t>
      </w:r>
      <w:r w:rsidRPr="00FA1A19">
        <w:t xml:space="preserve">profit entities would require an analysis of the policy objectives, engagement with </w:t>
      </w:r>
      <w:r w:rsidR="003C767C">
        <w:t>g</w:t>
      </w:r>
      <w:r w:rsidR="003C767C" w:rsidRPr="00FA1A19">
        <w:t xml:space="preserve">overnment </w:t>
      </w:r>
      <w:r w:rsidRPr="00FA1A19">
        <w:t xml:space="preserve">stakeholders (including the ACNC) and targeted industry consultation. </w:t>
      </w:r>
    </w:p>
    <w:p w14:paraId="33F2ABF0" w14:textId="77777777" w:rsidR="00D30D45" w:rsidRPr="00FA1A19" w:rsidRDefault="00D30D45" w:rsidP="00342121">
      <w:pPr>
        <w:pStyle w:val="SingleParagraph"/>
      </w:pPr>
    </w:p>
    <w:tbl>
      <w:tblPr>
        <w:tblStyle w:val="BoTObservation"/>
        <w:tblW w:w="5000" w:type="pct"/>
        <w:tblLook w:val="01E0" w:firstRow="1" w:lastRow="1" w:firstColumn="1" w:lastColumn="1" w:noHBand="0" w:noVBand="0"/>
      </w:tblPr>
      <w:tblGrid>
        <w:gridCol w:w="9641"/>
      </w:tblGrid>
      <w:tr w:rsidR="00185727" w:rsidRPr="00FA1A19" w14:paraId="4D48086A"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92F792A" w14:textId="3ACEBF02" w:rsidR="00185727" w:rsidRPr="00FA1A19" w:rsidRDefault="00185727" w:rsidP="003316D7">
            <w:pPr>
              <w:pStyle w:val="BoxHeading1"/>
            </w:pPr>
            <w:r w:rsidRPr="00FA1A19">
              <w:t xml:space="preserve"> </w:t>
            </w:r>
            <w:r w:rsidR="00372633">
              <w:t>Observation </w:t>
            </w:r>
            <w:r w:rsidRPr="00FA1A19">
              <w:t>8.</w:t>
            </w:r>
            <w:r w:rsidR="001F7C55" w:rsidRPr="00FA1A19">
              <w:t>3</w:t>
            </w:r>
          </w:p>
        </w:tc>
      </w:tr>
      <w:tr w:rsidR="00185727" w:rsidRPr="00FA1A19" w14:paraId="0B72E14F"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5F77A146" w14:textId="466707E0" w:rsidR="00185727" w:rsidRPr="00FA1A19" w:rsidRDefault="00E65ADA">
            <w:r w:rsidRPr="00FA1A19">
              <w:t>Various refor</w:t>
            </w:r>
            <w:r w:rsidR="00AD1473" w:rsidRPr="00FA1A19">
              <w:t>ms in the area of charities and not</w:t>
            </w:r>
            <w:r w:rsidR="00F75232">
              <w:noBreakHyphen/>
            </w:r>
            <w:r w:rsidR="00AD1473" w:rsidRPr="00FA1A19">
              <w:t>for</w:t>
            </w:r>
            <w:r w:rsidR="00F75232">
              <w:noBreakHyphen/>
            </w:r>
            <w:r w:rsidR="00AD1473" w:rsidRPr="00FA1A19">
              <w:t>profit entities</w:t>
            </w:r>
            <w:r w:rsidR="0063019D" w:rsidRPr="00FA1A19">
              <w:t xml:space="preserve"> in relation to digital assets</w:t>
            </w:r>
            <w:r w:rsidR="00AD1473" w:rsidRPr="00FA1A19">
              <w:t xml:space="preserve"> were </w:t>
            </w:r>
            <w:r w:rsidR="006A5A68" w:rsidRPr="00FA1A19">
              <w:t xml:space="preserve">suggested </w:t>
            </w:r>
            <w:r w:rsidR="0063019D" w:rsidRPr="00FA1A19">
              <w:t>to the Board</w:t>
            </w:r>
            <w:r w:rsidR="006A5A68" w:rsidRPr="00FA1A19">
              <w:t>.</w:t>
            </w:r>
            <w:r w:rsidR="004F0A51" w:rsidRPr="00FA1A19">
              <w:t xml:space="preserve"> </w:t>
            </w:r>
            <w:r w:rsidR="5FD5A2DF" w:rsidRPr="00FA1A19">
              <w:t>It is the Board</w:t>
            </w:r>
            <w:r w:rsidR="00F75232">
              <w:t>’</w:t>
            </w:r>
            <w:r w:rsidR="5FD5A2DF" w:rsidRPr="00FA1A19">
              <w:t xml:space="preserve">s view that there are broader considerations </w:t>
            </w:r>
            <w:r w:rsidR="1FCD3E9D" w:rsidRPr="00FA1A19">
              <w:t xml:space="preserve">involved </w:t>
            </w:r>
            <w:r w:rsidR="68D528DC" w:rsidRPr="00FA1A19">
              <w:t>than just taxation affecting charities and not</w:t>
            </w:r>
            <w:r w:rsidR="00F75232">
              <w:noBreakHyphen/>
            </w:r>
            <w:r w:rsidR="68D528DC" w:rsidRPr="00FA1A19">
              <w:t>for</w:t>
            </w:r>
            <w:r w:rsidR="00F75232">
              <w:noBreakHyphen/>
            </w:r>
            <w:r w:rsidR="68D528DC" w:rsidRPr="00FA1A19">
              <w:t>profit entities</w:t>
            </w:r>
            <w:r w:rsidR="58F757D8" w:rsidRPr="00FA1A19">
              <w:t xml:space="preserve"> and as such </w:t>
            </w:r>
            <w:r w:rsidR="5FD5A2DF" w:rsidRPr="00FA1A19">
              <w:t>t</w:t>
            </w:r>
            <w:r w:rsidR="006A5A68" w:rsidRPr="00FA1A19">
              <w:t xml:space="preserve">hese are matters of policy </w:t>
            </w:r>
            <w:r w:rsidR="0036435C" w:rsidRPr="00FA1A19">
              <w:t xml:space="preserve">for the </w:t>
            </w:r>
            <w:r w:rsidR="002419AA">
              <w:t>Australian</w:t>
            </w:r>
            <w:r w:rsidR="002419AA" w:rsidRPr="00FA1A19">
              <w:t xml:space="preserve"> </w:t>
            </w:r>
            <w:r w:rsidR="0036435C" w:rsidRPr="00FA1A19">
              <w:t>Government</w:t>
            </w:r>
            <w:r w:rsidR="109FF252" w:rsidRPr="00FA1A19">
              <w:t xml:space="preserve"> to consider</w:t>
            </w:r>
            <w:r w:rsidR="007B69AF" w:rsidRPr="00FA1A19">
              <w:t>.</w:t>
            </w:r>
          </w:p>
        </w:tc>
      </w:tr>
    </w:tbl>
    <w:p w14:paraId="460B2106" w14:textId="77777777" w:rsidR="00185727" w:rsidRPr="00FA1A19" w:rsidRDefault="00185727" w:rsidP="00342121">
      <w:pPr>
        <w:pStyle w:val="Heading3"/>
      </w:pPr>
      <w:r w:rsidRPr="00FA1A19">
        <w:t>Deductions for donations</w:t>
      </w:r>
    </w:p>
    <w:p w14:paraId="33FECC3B" w14:textId="7D3330C4" w:rsidR="00185727" w:rsidRPr="00FA1A19" w:rsidRDefault="00185727" w:rsidP="00185727">
      <w:r w:rsidRPr="00FA1A19">
        <w:t>The concept of tax deductibility for donations is widely promoted by charities</w:t>
      </w:r>
      <w:r w:rsidRPr="00FA1A19" w:rsidDel="00EC1A31">
        <w:t xml:space="preserve"> </w:t>
      </w:r>
      <w:r w:rsidR="00EC1A31" w:rsidRPr="00FA1A19">
        <w:t>and c</w:t>
      </w:r>
      <w:r w:rsidRPr="00FA1A19">
        <w:t>onsequently there is a broad community understanding of the linkage between charitable donations and obtaining a tax deduction.</w:t>
      </w:r>
    </w:p>
    <w:p w14:paraId="50EDC03C" w14:textId="483A9982" w:rsidR="00185727" w:rsidRPr="00FA1A19" w:rsidRDefault="00185727" w:rsidP="00185727">
      <w:r w:rsidRPr="00FA1A19">
        <w:t>In determining the actual entitlement to a deduction for a gift or contribution</w:t>
      </w:r>
      <w:r w:rsidR="00AD6DE2" w:rsidRPr="00FA1A19">
        <w:t>,</w:t>
      </w:r>
      <w:r w:rsidRPr="00FA1A19">
        <w:t xml:space="preserve"> consideration must be provided to factors including: </w:t>
      </w:r>
    </w:p>
    <w:p w14:paraId="4BF49E9B" w14:textId="6EF0B6B4" w:rsidR="00185727" w:rsidRPr="00FA1A19" w:rsidRDefault="00185727" w:rsidP="00342121">
      <w:pPr>
        <w:pStyle w:val="Bullet"/>
      </w:pPr>
      <w:r w:rsidRPr="00FA1A19">
        <w:t>who the recipient of the gift or contribution is</w:t>
      </w:r>
    </w:p>
    <w:p w14:paraId="02756DDD" w14:textId="40E0C41C" w:rsidR="00185727" w:rsidRPr="00FA1A19" w:rsidRDefault="00185727" w:rsidP="00342121">
      <w:pPr>
        <w:pStyle w:val="Bullet"/>
      </w:pPr>
      <w:r w:rsidRPr="00FA1A19">
        <w:t>the type of gift or contribution that can be made</w:t>
      </w:r>
    </w:p>
    <w:p w14:paraId="6E046AAF" w14:textId="27592217" w:rsidR="00185727" w:rsidRPr="00FA1A19" w:rsidRDefault="00185727" w:rsidP="00342121">
      <w:pPr>
        <w:pStyle w:val="Bullet"/>
      </w:pPr>
      <w:r w:rsidRPr="00FA1A19">
        <w:t>how much can be deducted for the gift or contribution</w:t>
      </w:r>
    </w:p>
    <w:p w14:paraId="3A7DACA5" w14:textId="77777777" w:rsidR="00185727" w:rsidRPr="00FA1A19" w:rsidRDefault="00185727" w:rsidP="00342121">
      <w:pPr>
        <w:pStyle w:val="Bullet"/>
      </w:pPr>
      <w:r w:rsidRPr="00FA1A19">
        <w:t>any special conditions that apply.</w:t>
      </w:r>
      <w:r w:rsidRPr="00170ADC">
        <w:rPr>
          <w:rStyle w:val="FootnoteReference"/>
        </w:rPr>
        <w:footnoteReference w:id="476"/>
      </w:r>
      <w:r w:rsidRPr="00FA1A19">
        <w:t xml:space="preserve"> </w:t>
      </w:r>
    </w:p>
    <w:p w14:paraId="02550419" w14:textId="032F6D88" w:rsidR="00185727" w:rsidRPr="00FA1A19" w:rsidRDefault="00093B2D" w:rsidP="00185727">
      <w:r w:rsidRPr="00FA1A19">
        <w:t>S</w:t>
      </w:r>
      <w:r w:rsidR="00185727" w:rsidRPr="00FA1A19">
        <w:t>ection 30</w:t>
      </w:r>
      <w:r w:rsidR="00F75232">
        <w:noBreakHyphen/>
      </w:r>
      <w:r w:rsidR="00185727" w:rsidRPr="00FA1A19">
        <w:t xml:space="preserve">15 of the ITAA 1997 </w:t>
      </w:r>
      <w:r w:rsidRPr="00FA1A19">
        <w:t xml:space="preserve">contains a table setting out gifts or contributions that taxpayers can deduct, including details </w:t>
      </w:r>
      <w:r w:rsidR="00D468A9" w:rsidRPr="00FA1A19">
        <w:t>of eligible recipients, the type of gift or contribution, how much can be deducted and any special conditions.</w:t>
      </w:r>
      <w:r w:rsidR="00185727" w:rsidRPr="00FA1A19">
        <w:t xml:space="preserve"> </w:t>
      </w:r>
    </w:p>
    <w:p w14:paraId="128AD182" w14:textId="032D1118" w:rsidR="00185727" w:rsidRPr="00FA1A19" w:rsidRDefault="00185727" w:rsidP="00185727">
      <w:r w:rsidRPr="00FA1A19">
        <w:t xml:space="preserve">The first </w:t>
      </w:r>
      <w:r w:rsidR="000008F4" w:rsidRPr="00FA1A19">
        <w:t xml:space="preserve">type </w:t>
      </w:r>
      <w:r w:rsidRPr="00FA1A19">
        <w:t>of recipient</w:t>
      </w:r>
      <w:r w:rsidR="00BB44F6" w:rsidRPr="00FA1A19">
        <w:t xml:space="preserve"> in the table</w:t>
      </w:r>
      <w:r w:rsidRPr="00FA1A19">
        <w:t xml:space="preserve"> (item 1) </w:t>
      </w:r>
      <w:r w:rsidR="00BB44F6" w:rsidRPr="00FA1A19">
        <w:t>is</w:t>
      </w:r>
      <w:r w:rsidRPr="00FA1A19">
        <w:t xml:space="preserve"> </w:t>
      </w:r>
      <w:r w:rsidR="00F75232">
        <w:t>‘</w:t>
      </w:r>
      <w:r w:rsidRPr="00FA1A19">
        <w:t>A fund, authority or institution covered by an item in any of the tables in Subdivision 30</w:t>
      </w:r>
      <w:r w:rsidR="00F75232">
        <w:noBreakHyphen/>
      </w:r>
      <w:r w:rsidRPr="00FA1A19">
        <w:t>B</w:t>
      </w:r>
      <w:r w:rsidR="00F75232">
        <w:t>’</w:t>
      </w:r>
      <w:r w:rsidRPr="00FA1A19">
        <w:t>.</w:t>
      </w:r>
      <w:r w:rsidR="004F0A51" w:rsidRPr="00FA1A19">
        <w:t xml:space="preserve"> </w:t>
      </w:r>
      <w:r w:rsidR="00ED2CA5" w:rsidRPr="00FA1A19">
        <w:t>The s</w:t>
      </w:r>
      <w:r w:rsidRPr="00FA1A19">
        <w:t>ubdivision 30</w:t>
      </w:r>
      <w:r w:rsidR="00F75232">
        <w:noBreakHyphen/>
      </w:r>
      <w:r w:rsidRPr="00FA1A19">
        <w:t xml:space="preserve">B </w:t>
      </w:r>
      <w:r w:rsidR="00ED2CA5" w:rsidRPr="00FA1A19">
        <w:t xml:space="preserve">tables are divided into different categories (such as health, education, welfare and rights) and </w:t>
      </w:r>
      <w:r w:rsidR="001E0CD6" w:rsidRPr="00FA1A19">
        <w:t xml:space="preserve">list certain types of entities </w:t>
      </w:r>
      <w:r w:rsidR="00B37AC1" w:rsidRPr="00FA1A19">
        <w:t>(e.g</w:t>
      </w:r>
      <w:r w:rsidR="00ED2CA5" w:rsidRPr="00FA1A19">
        <w:t xml:space="preserve">. public hospitals) </w:t>
      </w:r>
      <w:r w:rsidR="001E0CD6" w:rsidRPr="00FA1A19">
        <w:t>as well as</w:t>
      </w:r>
      <w:r w:rsidR="00ED2CA5" w:rsidRPr="00FA1A19">
        <w:t xml:space="preserve"> </w:t>
      </w:r>
      <w:r w:rsidR="001E0CD6" w:rsidRPr="00FA1A19">
        <w:t>specific entities</w:t>
      </w:r>
      <w:r w:rsidR="00231D85" w:rsidRPr="00FA1A19">
        <w:t xml:space="preserve"> (such as the </w:t>
      </w:r>
      <w:r w:rsidR="00E97FC1" w:rsidRPr="00FA1A19">
        <w:t>New South Wales College of Nursing)</w:t>
      </w:r>
      <w:r w:rsidR="00B14A6D" w:rsidRPr="00FA1A19">
        <w:t>.</w:t>
      </w:r>
      <w:r w:rsidRPr="00FA1A19">
        <w:t xml:space="preserve"> Item 2 of the Table </w:t>
      </w:r>
      <w:r w:rsidR="00E97FC1" w:rsidRPr="00FA1A19">
        <w:t>in s</w:t>
      </w:r>
      <w:r w:rsidR="001B287C">
        <w:t>ection</w:t>
      </w:r>
      <w:r w:rsidR="00E97FC1" w:rsidRPr="00FA1A19">
        <w:t> 30</w:t>
      </w:r>
      <w:r w:rsidR="00F75232">
        <w:noBreakHyphen/>
      </w:r>
      <w:r w:rsidR="00E97FC1" w:rsidRPr="00FA1A19">
        <w:t xml:space="preserve">15 </w:t>
      </w:r>
      <w:r w:rsidRPr="00FA1A19">
        <w:t>deals with ancillary funds.</w:t>
      </w:r>
      <w:r w:rsidR="0038279F" w:rsidRPr="00170ADC">
        <w:rPr>
          <w:rStyle w:val="FootnoteReference"/>
        </w:rPr>
        <w:t xml:space="preserve"> </w:t>
      </w:r>
      <w:r w:rsidR="0038279F" w:rsidRPr="00170ADC">
        <w:rPr>
          <w:rStyle w:val="FootnoteReference"/>
        </w:rPr>
        <w:footnoteReference w:id="477"/>
      </w:r>
      <w:r w:rsidRPr="00FA1A19">
        <w:t xml:space="preserve"> </w:t>
      </w:r>
    </w:p>
    <w:p w14:paraId="729411F6" w14:textId="3103C73D" w:rsidR="00185727" w:rsidRDefault="00185727" w:rsidP="00185727">
      <w:r w:rsidRPr="00FA1A19">
        <w:t xml:space="preserve">For item 1 and item 2 DGRs, there are specific rules that deal with deductions that are available and </w:t>
      </w:r>
      <w:r w:rsidR="0038279F" w:rsidRPr="00FA1A19">
        <w:t xml:space="preserve">associated </w:t>
      </w:r>
      <w:r w:rsidRPr="00FA1A19">
        <w:t xml:space="preserve">valuation requirements, where property is donated to a </w:t>
      </w:r>
      <w:r w:rsidR="0038279F" w:rsidRPr="00FA1A19">
        <w:t>DGR</w:t>
      </w:r>
      <w:r w:rsidRPr="00FA1A19">
        <w:t xml:space="preserve">. On the basis that crypto assets are property (refer </w:t>
      </w:r>
      <w:r w:rsidR="00372633">
        <w:t>Chapter </w:t>
      </w:r>
      <w:r w:rsidR="001351CD" w:rsidRPr="00FA1A19">
        <w:t xml:space="preserve">4 </w:t>
      </w:r>
      <w:r w:rsidRPr="00FA1A19">
        <w:t>of the Report) these rules are applicable to crypto assets and are summarised below</w:t>
      </w:r>
      <w:r w:rsidR="0038279F" w:rsidRPr="00FA1A19">
        <w:t>:</w:t>
      </w:r>
      <w:r w:rsidRPr="00170ADC">
        <w:rPr>
          <w:rStyle w:val="FootnoteReference"/>
        </w:rPr>
        <w:footnoteReference w:id="478"/>
      </w:r>
    </w:p>
    <w:p w14:paraId="553990FC" w14:textId="77777777" w:rsidR="00217DA0" w:rsidRDefault="00217DA0" w:rsidP="00217DA0">
      <w:pPr>
        <w:pStyle w:val="SingleParagraph"/>
      </w:pPr>
    </w:p>
    <w:tbl>
      <w:tblPr>
        <w:tblStyle w:val="ListTable3-Accent1"/>
        <w:tblW w:w="5000" w:type="pct"/>
        <w:tblLook w:val="0420" w:firstRow="1" w:lastRow="0" w:firstColumn="0" w:lastColumn="0" w:noHBand="0" w:noVBand="1"/>
      </w:tblPr>
      <w:tblGrid>
        <w:gridCol w:w="4530"/>
        <w:gridCol w:w="5101"/>
      </w:tblGrid>
      <w:tr w:rsidR="00185727" w:rsidRPr="00FA1A19" w14:paraId="1FC58810" w14:textId="77777777" w:rsidTr="00EB09BD">
        <w:trPr>
          <w:cnfStyle w:val="100000000000" w:firstRow="1" w:lastRow="0" w:firstColumn="0" w:lastColumn="0" w:oddVBand="0" w:evenVBand="0" w:oddHBand="0" w:evenHBand="0" w:firstRowFirstColumn="0" w:firstRowLastColumn="0" w:lastRowFirstColumn="0" w:lastRowLastColumn="0"/>
          <w:tblHeader/>
        </w:trPr>
        <w:tc>
          <w:tcPr>
            <w:tcW w:w="2352" w:type="pct"/>
          </w:tcPr>
          <w:p w14:paraId="358201E1" w14:textId="77777777" w:rsidR="00185727" w:rsidRPr="00FA1A19" w:rsidRDefault="00185727" w:rsidP="00342121">
            <w:pPr>
              <w:pStyle w:val="TableColumnHeadingLeft"/>
              <w:rPr>
                <w:bCs w:val="0"/>
              </w:rPr>
            </w:pPr>
            <w:r w:rsidRPr="00FA1A19">
              <w:t>Asset holding period and type</w:t>
            </w:r>
          </w:p>
        </w:tc>
        <w:tc>
          <w:tcPr>
            <w:tcW w:w="2648" w:type="pct"/>
          </w:tcPr>
          <w:p w14:paraId="578EE3C9" w14:textId="77777777" w:rsidR="00185727" w:rsidRPr="00FA1A19" w:rsidRDefault="00185727" w:rsidP="00342121">
            <w:pPr>
              <w:pStyle w:val="TableColumnHeadingLeft"/>
              <w:rPr>
                <w:bCs w:val="0"/>
              </w:rPr>
            </w:pPr>
            <w:r w:rsidRPr="00FA1A19">
              <w:t>Treatment</w:t>
            </w:r>
          </w:p>
        </w:tc>
      </w:tr>
      <w:tr w:rsidR="00185727" w:rsidRPr="00FA1A19" w14:paraId="60097C64" w14:textId="77777777" w:rsidTr="00EB09BD">
        <w:trPr>
          <w:cnfStyle w:val="000000100000" w:firstRow="0" w:lastRow="0" w:firstColumn="0" w:lastColumn="0" w:oddVBand="0" w:evenVBand="0" w:oddHBand="1" w:evenHBand="0" w:firstRowFirstColumn="0" w:firstRowLastColumn="0" w:lastRowFirstColumn="0" w:lastRowLastColumn="0"/>
        </w:trPr>
        <w:tc>
          <w:tcPr>
            <w:tcW w:w="2352" w:type="pct"/>
          </w:tcPr>
          <w:p w14:paraId="780192D2" w14:textId="77777777" w:rsidR="00185727" w:rsidRPr="00FA1A19" w:rsidRDefault="00185727" w:rsidP="00342121">
            <w:pPr>
              <w:pStyle w:val="TableTextLeft"/>
            </w:pPr>
            <w:r w:rsidRPr="00FA1A19">
              <w:t>Held &lt; 12 months other property</w:t>
            </w:r>
          </w:p>
        </w:tc>
        <w:tc>
          <w:tcPr>
            <w:tcW w:w="2648" w:type="pct"/>
          </w:tcPr>
          <w:p w14:paraId="6F6A674A" w14:textId="77777777" w:rsidR="00185727" w:rsidRPr="00FA1A19" w:rsidRDefault="00185727" w:rsidP="00342121">
            <w:pPr>
              <w:pStyle w:val="TableTextLeft"/>
            </w:pPr>
            <w:r w:rsidRPr="00FA1A19">
              <w:t>Deduction equal to lesser of cost or market value</w:t>
            </w:r>
          </w:p>
        </w:tc>
      </w:tr>
      <w:tr w:rsidR="00185727" w:rsidRPr="00FA1A19" w14:paraId="57BE9082" w14:textId="77777777" w:rsidTr="00EB09BD">
        <w:tc>
          <w:tcPr>
            <w:tcW w:w="2352" w:type="pct"/>
          </w:tcPr>
          <w:p w14:paraId="66F5E191" w14:textId="77777777" w:rsidR="00185727" w:rsidRPr="00FA1A19" w:rsidRDefault="00185727" w:rsidP="00342121">
            <w:pPr>
              <w:pStyle w:val="TableTextLeft"/>
            </w:pPr>
            <w:r w:rsidRPr="00FA1A19">
              <w:t>Held &lt; 12 months and property is listed shares</w:t>
            </w:r>
          </w:p>
        </w:tc>
        <w:tc>
          <w:tcPr>
            <w:tcW w:w="2648" w:type="pct"/>
          </w:tcPr>
          <w:p w14:paraId="01DB5E55" w14:textId="77777777" w:rsidR="00185727" w:rsidRPr="00FA1A19" w:rsidRDefault="00185727" w:rsidP="00342121">
            <w:pPr>
              <w:pStyle w:val="TableTextLeft"/>
            </w:pPr>
            <w:r w:rsidRPr="00FA1A19">
              <w:t>Deduction equal to the market value of the shares</w:t>
            </w:r>
          </w:p>
        </w:tc>
      </w:tr>
      <w:tr w:rsidR="00185727" w:rsidRPr="00FA1A19" w14:paraId="25904BDC" w14:textId="77777777" w:rsidTr="00EB09BD">
        <w:trPr>
          <w:cnfStyle w:val="000000100000" w:firstRow="0" w:lastRow="0" w:firstColumn="0" w:lastColumn="0" w:oddVBand="0" w:evenVBand="0" w:oddHBand="1" w:evenHBand="0" w:firstRowFirstColumn="0" w:firstRowLastColumn="0" w:lastRowFirstColumn="0" w:lastRowLastColumn="0"/>
        </w:trPr>
        <w:tc>
          <w:tcPr>
            <w:tcW w:w="2352" w:type="pct"/>
          </w:tcPr>
          <w:p w14:paraId="44BABCD2" w14:textId="77777777" w:rsidR="00185727" w:rsidRPr="00FA1A19" w:rsidRDefault="00185727" w:rsidP="00342121">
            <w:pPr>
              <w:pStyle w:val="TableTextLeft"/>
            </w:pPr>
            <w:r w:rsidRPr="00FA1A19">
              <w:t>Held &gt; 12 months and market value less than $5,000</w:t>
            </w:r>
          </w:p>
        </w:tc>
        <w:tc>
          <w:tcPr>
            <w:tcW w:w="2648" w:type="pct"/>
          </w:tcPr>
          <w:p w14:paraId="4AEA9CDB" w14:textId="77777777" w:rsidR="00185727" w:rsidRPr="00FA1A19" w:rsidRDefault="00185727" w:rsidP="00342121">
            <w:pPr>
              <w:pStyle w:val="TableTextLeft"/>
            </w:pPr>
            <w:r w:rsidRPr="00FA1A19">
              <w:t>No deduction</w:t>
            </w:r>
          </w:p>
        </w:tc>
      </w:tr>
      <w:tr w:rsidR="00185727" w:rsidRPr="00FA1A19" w14:paraId="2B70615E" w14:textId="77777777" w:rsidTr="00EB09BD">
        <w:tc>
          <w:tcPr>
            <w:tcW w:w="2352" w:type="pct"/>
          </w:tcPr>
          <w:p w14:paraId="2BBB09A5" w14:textId="77777777" w:rsidR="00185727" w:rsidRPr="00FA1A19" w:rsidRDefault="00185727" w:rsidP="00342121">
            <w:pPr>
              <w:pStyle w:val="TableTextLeft"/>
            </w:pPr>
            <w:r w:rsidRPr="00FA1A19">
              <w:t>Held &gt; 12 months and market value more than $5,000</w:t>
            </w:r>
          </w:p>
        </w:tc>
        <w:tc>
          <w:tcPr>
            <w:tcW w:w="2648" w:type="pct"/>
          </w:tcPr>
          <w:p w14:paraId="416DC6CC" w14:textId="02739354" w:rsidR="00185727" w:rsidRPr="00FA1A19" w:rsidRDefault="00185727" w:rsidP="00342121">
            <w:pPr>
              <w:pStyle w:val="TableTextLeft"/>
            </w:pPr>
            <w:r w:rsidRPr="00FA1A19">
              <w:t>Deduction equal to market value</w:t>
            </w:r>
            <w:r w:rsidR="00C45697" w:rsidRPr="00FA1A19">
              <w:t xml:space="preserve"> as determined</w:t>
            </w:r>
            <w:r w:rsidRPr="00FA1A19">
              <w:t xml:space="preserve"> by </w:t>
            </w:r>
            <w:r w:rsidR="00C45697" w:rsidRPr="00FA1A19">
              <w:t xml:space="preserve">the </w:t>
            </w:r>
            <w:r w:rsidRPr="00FA1A19">
              <w:t>Commissioner</w:t>
            </w:r>
          </w:p>
        </w:tc>
      </w:tr>
    </w:tbl>
    <w:p w14:paraId="7C80122A" w14:textId="77777777" w:rsidR="00342121" w:rsidRDefault="00342121" w:rsidP="00342121">
      <w:pPr>
        <w:pStyle w:val="SingleParagraph"/>
      </w:pPr>
    </w:p>
    <w:p w14:paraId="55E3DEA1" w14:textId="3A06AFA7" w:rsidR="006E1FE5" w:rsidRPr="00FA1A19" w:rsidRDefault="006E1FE5" w:rsidP="00185727">
      <w:r w:rsidRPr="00FA1A19">
        <w:t>Other items in s</w:t>
      </w:r>
      <w:r w:rsidR="000D0C6E">
        <w:t>ection</w:t>
      </w:r>
      <w:r w:rsidRPr="00FA1A19">
        <w:t> 30</w:t>
      </w:r>
      <w:r w:rsidR="00F75232">
        <w:noBreakHyphen/>
      </w:r>
      <w:r w:rsidRPr="00FA1A19">
        <w:t xml:space="preserve">15 </w:t>
      </w:r>
      <w:r w:rsidR="000D0C6E">
        <w:t xml:space="preserve">of the ITAA 1997 </w:t>
      </w:r>
      <w:r w:rsidRPr="00FA1A19">
        <w:t xml:space="preserve">also permit </w:t>
      </w:r>
      <w:r w:rsidR="0026306A" w:rsidRPr="00FA1A19">
        <w:t xml:space="preserve">deductions for </w:t>
      </w:r>
      <w:r w:rsidRPr="00FA1A19">
        <w:t xml:space="preserve">donations of property, with the </w:t>
      </w:r>
      <w:r w:rsidR="0026306A" w:rsidRPr="00FA1A19">
        <w:t>amount of the deduction</w:t>
      </w:r>
      <w:r w:rsidR="00CA2FB2" w:rsidRPr="00FA1A19">
        <w:t xml:space="preserve"> based on </w:t>
      </w:r>
      <w:r w:rsidR="0026306A" w:rsidRPr="00FA1A19">
        <w:t xml:space="preserve">the market value of </w:t>
      </w:r>
      <w:r w:rsidR="00CA2FB2" w:rsidRPr="00FA1A19">
        <w:t>the</w:t>
      </w:r>
      <w:r w:rsidR="0026306A" w:rsidRPr="00FA1A19">
        <w:t xml:space="preserve"> property.</w:t>
      </w:r>
    </w:p>
    <w:p w14:paraId="6C238EB4" w14:textId="77777777" w:rsidR="00185727" w:rsidRPr="00FA1A19" w:rsidRDefault="00185727" w:rsidP="00185727">
      <w:r w:rsidRPr="00FA1A19">
        <w:t>PwC noted the valuation issues in their submission and proposed a simplified approach in relation the need to obtain valuations:</w:t>
      </w:r>
    </w:p>
    <w:p w14:paraId="2B269045" w14:textId="77777777" w:rsidR="00185727" w:rsidRPr="00FA1A19" w:rsidRDefault="00185727" w:rsidP="00217DA0">
      <w:pPr>
        <w:pStyle w:val="Quote"/>
      </w:pPr>
      <w:r w:rsidRPr="00FA1A19">
        <w:t xml:space="preserve">Current tax rules providing a deduction for donations of property to DGRs or other recognised organisations require a valuation to be obtained from the Commissioner where the Commissioner values the gift at more than $5,000, and the property was purchased more than 12 months ago or the donor did not purchase the property (for example, it was won or inherit). The ATO charges a fee for this valuation equal to the cost of obtaining the valuation. </w:t>
      </w:r>
    </w:p>
    <w:p w14:paraId="01796ABB" w14:textId="77777777" w:rsidR="00185727" w:rsidRPr="00FA1A19" w:rsidRDefault="00185727" w:rsidP="00217DA0">
      <w:pPr>
        <w:pStyle w:val="Quote"/>
      </w:pPr>
      <w:r w:rsidRPr="00FA1A19">
        <w:t>As this may be seen as a barrier to donating digital assets (which under the current law are treated as property), we suggest considering the introduction of an alternative approach or a streamlined process for obtaining valuations. For example, the law could be amended to remove the valuation requirement in circumstances where the deduction is calculated based on the value of digital assets according to specified trusted exchanges, similar to the 2015 proposal</w:t>
      </w:r>
      <w:r w:rsidRPr="00170ADC">
        <w:rPr>
          <w:rStyle w:val="FootnoteReference"/>
        </w:rPr>
        <w:footnoteReference w:id="479"/>
      </w:r>
      <w:r w:rsidRPr="00FA1A19">
        <w:t xml:space="preserve"> to remove the need to obtain a valuation for donations of listed shares and managed funds greater than $5,000.</w:t>
      </w:r>
      <w:r w:rsidRPr="00170ADC">
        <w:rPr>
          <w:rStyle w:val="FootnoteReference"/>
        </w:rPr>
        <w:footnoteReference w:id="480"/>
      </w:r>
    </w:p>
    <w:p w14:paraId="193D4F9E" w14:textId="02B98227" w:rsidR="00185727" w:rsidRPr="00FA1A19" w:rsidRDefault="006534EE" w:rsidP="0038279F">
      <w:r w:rsidRPr="00FA1A19">
        <w:t>T</w:t>
      </w:r>
      <w:r w:rsidR="00185727" w:rsidRPr="00FA1A19">
        <w:t xml:space="preserve">he Law Council </w:t>
      </w:r>
      <w:r w:rsidR="00105AD6">
        <w:t xml:space="preserve">of Australia </w:t>
      </w:r>
      <w:r w:rsidR="00185727" w:rsidRPr="00FA1A19">
        <w:t>highlighted the need for the ATO to provide guidance in relation to the valuation requirements</w:t>
      </w:r>
      <w:r w:rsidR="00185727" w:rsidRPr="00FA1A19" w:rsidDel="003D6050">
        <w:t>.</w:t>
      </w:r>
      <w:r w:rsidR="00185727" w:rsidRPr="00170ADC">
        <w:rPr>
          <w:rStyle w:val="FootnoteReference"/>
        </w:rPr>
        <w:footnoteReference w:id="481"/>
      </w:r>
      <w:r w:rsidR="00185727" w:rsidRPr="00FA1A19">
        <w:rPr>
          <w:i/>
          <w:iCs/>
        </w:rPr>
        <w:t xml:space="preserve"> </w:t>
      </w:r>
    </w:p>
    <w:p w14:paraId="57576596" w14:textId="42A6D29C" w:rsidR="00EF6978" w:rsidRPr="00FA1A19" w:rsidRDefault="00EF6978" w:rsidP="00D10B39">
      <w:r w:rsidRPr="00FA1A19">
        <w:t xml:space="preserve">It is </w:t>
      </w:r>
      <w:r w:rsidR="00D10B39" w:rsidRPr="00FA1A19">
        <w:t xml:space="preserve">therefore </w:t>
      </w:r>
      <w:r w:rsidRPr="00FA1A19">
        <w:t>apparent that the current limitations on donations of property result in inconsistent tax outcomes for taxpayers that donate crypto assets directly as compared with those liquidating crypto assets prior to donation. This is particularly relevant where the crypto asset has been held for more than 12</w:t>
      </w:r>
      <w:r w:rsidR="001A7896">
        <w:t> </w:t>
      </w:r>
      <w:r w:rsidRPr="00FA1A19">
        <w:t>months and is valued at under $5,000 and no deduction is available</w:t>
      </w:r>
      <w:r w:rsidR="0086662A">
        <w:t>, however t</w:t>
      </w:r>
      <w:r w:rsidRPr="00FA1A19">
        <w:t>he disparity exists across all circumstances</w:t>
      </w:r>
      <w:r w:rsidR="0086662A">
        <w:t xml:space="preserve">. For </w:t>
      </w:r>
      <w:r w:rsidRPr="00FA1A19">
        <w:t>short</w:t>
      </w:r>
      <w:r w:rsidR="0086662A">
        <w:t>-</w:t>
      </w:r>
      <w:r w:rsidRPr="00FA1A19">
        <w:t>term holdings the deduction limited to the lesser of cost or market value and for high value long term holdings</w:t>
      </w:r>
      <w:r w:rsidR="00D10C61">
        <w:t>,</w:t>
      </w:r>
      <w:r w:rsidRPr="00FA1A19">
        <w:t xml:space="preserve"> a valuation must be sought from the Commissioner. </w:t>
      </w:r>
    </w:p>
    <w:p w14:paraId="09FF5AE7" w14:textId="6B622642" w:rsidR="001529E9" w:rsidRPr="00FA1A19" w:rsidRDefault="00D10B39" w:rsidP="0038279F">
      <w:r w:rsidRPr="00FA1A19">
        <w:t>T</w:t>
      </w:r>
      <w:r w:rsidR="001529E9" w:rsidRPr="00FA1A19">
        <w:t xml:space="preserve">he Board notes, however, that </w:t>
      </w:r>
      <w:r w:rsidRPr="00FA1A19">
        <w:t xml:space="preserve">the current discrepancy could be overcome by </w:t>
      </w:r>
      <w:r w:rsidR="006F3774" w:rsidRPr="00FA1A19">
        <w:t>liquidating the crypto assets prior to donation</w:t>
      </w:r>
      <w:r w:rsidR="0066538F" w:rsidRPr="00FA1A19">
        <w:t xml:space="preserve"> – that is, disposing of the digital asset for fiat currency.</w:t>
      </w:r>
      <w:r w:rsidR="004F0A51" w:rsidRPr="00FA1A19">
        <w:t xml:space="preserve"> </w:t>
      </w:r>
      <w:r w:rsidR="0066538F" w:rsidRPr="00FA1A19">
        <w:t xml:space="preserve">As there may be CGT implications for </w:t>
      </w:r>
      <w:r w:rsidR="0084188C" w:rsidRPr="00FA1A19">
        <w:t xml:space="preserve">the disposal of the digital asset in both circumstances, it is not readily apparent </w:t>
      </w:r>
      <w:r w:rsidR="00757160" w:rsidRPr="00FA1A19">
        <w:t xml:space="preserve">that there is a disincentive to a taxpayer taking this step, and </w:t>
      </w:r>
      <w:r w:rsidR="001960CB" w:rsidRPr="00FA1A19">
        <w:t xml:space="preserve">a legislative change or administrative measure to deal with </w:t>
      </w:r>
      <w:r w:rsidR="00BC6C3A" w:rsidRPr="00FA1A19">
        <w:t xml:space="preserve">the situation where the taxpayer </w:t>
      </w:r>
      <w:r w:rsidR="00E863A6" w:rsidRPr="00FA1A19">
        <w:t>chooses to</w:t>
      </w:r>
      <w:r w:rsidR="00BC6C3A" w:rsidRPr="00FA1A19">
        <w:t xml:space="preserve"> not liquidate the crypto assets prior to donation</w:t>
      </w:r>
      <w:r w:rsidR="00E863A6" w:rsidRPr="00FA1A19">
        <w:t>,</w:t>
      </w:r>
      <w:r w:rsidR="00BC6C3A" w:rsidRPr="00FA1A19">
        <w:t xml:space="preserve"> </w:t>
      </w:r>
      <w:r w:rsidR="00E863A6" w:rsidRPr="00FA1A19">
        <w:t>may not be justified.</w:t>
      </w:r>
    </w:p>
    <w:p w14:paraId="5F92534A" w14:textId="77777777" w:rsidR="00185727" w:rsidRPr="00FA1A19" w:rsidRDefault="00185727" w:rsidP="00342121">
      <w:pPr>
        <w:pStyle w:val="SingleParagraph"/>
      </w:pPr>
    </w:p>
    <w:tbl>
      <w:tblPr>
        <w:tblStyle w:val="BoTObservation"/>
        <w:tblW w:w="5000" w:type="pct"/>
        <w:tblLook w:val="01E0" w:firstRow="1" w:lastRow="1" w:firstColumn="1" w:lastColumn="1" w:noHBand="0" w:noVBand="0"/>
      </w:tblPr>
      <w:tblGrid>
        <w:gridCol w:w="9641"/>
      </w:tblGrid>
      <w:tr w:rsidR="00E53AD9" w:rsidRPr="00FA1A19" w14:paraId="521CE147"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5F4E18DE" w14:textId="335D0BEB" w:rsidR="00E53AD9" w:rsidRPr="00FA1A19" w:rsidRDefault="00372633" w:rsidP="003316D7">
            <w:pPr>
              <w:pStyle w:val="BoxHeading1"/>
            </w:pPr>
            <w:r>
              <w:t>Observation </w:t>
            </w:r>
            <w:r w:rsidR="00E53AD9" w:rsidRPr="00FA1A19">
              <w:t>8.</w:t>
            </w:r>
            <w:r w:rsidR="00A3147D" w:rsidRPr="00FA1A19">
              <w:t>4</w:t>
            </w:r>
          </w:p>
        </w:tc>
      </w:tr>
      <w:tr w:rsidR="00E53AD9" w:rsidRPr="00FA1A19" w14:paraId="18B1CE47"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3D637A48" w14:textId="45333E9B" w:rsidR="00E53AD9" w:rsidRPr="00FA1A19" w:rsidRDefault="00E53AD9" w:rsidP="00342121">
            <w:pPr>
              <w:pStyle w:val="BoxText"/>
            </w:pPr>
            <w:r w:rsidRPr="00FA1A19">
              <w:t>Donations of crypto will be treated as donations of other forms of property, which gives rise to the same valuation issues for crypto as in other income tax contexts.</w:t>
            </w:r>
            <w:r w:rsidR="004F0A51" w:rsidRPr="00FA1A19">
              <w:t xml:space="preserve"> </w:t>
            </w:r>
            <w:r w:rsidRPr="00FA1A19">
              <w:t xml:space="preserve">However, there is an added complexity for donations of property held for more than 12 months and valued at more than $5,000, as the value must be determined by the Commissioner. </w:t>
            </w:r>
          </w:p>
          <w:p w14:paraId="38FB3876" w14:textId="764F37FE" w:rsidR="00E53AD9" w:rsidRPr="00FA1A19" w:rsidRDefault="00E53AD9" w:rsidP="00342121">
            <w:pPr>
              <w:pStyle w:val="BoxText"/>
            </w:pPr>
            <w:r w:rsidRPr="00FA1A19">
              <w:t xml:space="preserve">As this issue can be avoided by a taxpayer simply liquidating the </w:t>
            </w:r>
            <w:r w:rsidR="00FC441B">
              <w:t>crypto</w:t>
            </w:r>
            <w:r w:rsidR="00FC441B" w:rsidRPr="00FA1A19">
              <w:t xml:space="preserve"> </w:t>
            </w:r>
            <w:r w:rsidRPr="00FA1A19">
              <w:t>asset prior to donation, it is not apparent to the Board that any measure (whether legislative or administrative) is required to deal with this issue.</w:t>
            </w:r>
          </w:p>
        </w:tc>
      </w:tr>
    </w:tbl>
    <w:p w14:paraId="61FB1CAE" w14:textId="77777777" w:rsidR="00342121" w:rsidRDefault="00342121" w:rsidP="00342121">
      <w:pPr>
        <w:pStyle w:val="SingleParagraph"/>
      </w:pPr>
    </w:p>
    <w:p w14:paraId="4AA80E83" w14:textId="22418F85" w:rsidR="00086132" w:rsidRPr="00FA1A19" w:rsidRDefault="00F52A52" w:rsidP="0069352C">
      <w:pPr>
        <w:pStyle w:val="Heading2"/>
      </w:pPr>
      <w:bookmarkStart w:id="125" w:name="_Toc159513616"/>
      <w:r w:rsidRPr="00FA1A19">
        <w:t>Not</w:t>
      </w:r>
      <w:r w:rsidR="00F75232">
        <w:noBreakHyphen/>
      </w:r>
      <w:r w:rsidRPr="00FA1A19">
        <w:t>for</w:t>
      </w:r>
      <w:r w:rsidR="00F75232">
        <w:noBreakHyphen/>
      </w:r>
      <w:r w:rsidRPr="00FA1A19">
        <w:t>profit sector</w:t>
      </w:r>
      <w:bookmarkEnd w:id="125"/>
    </w:p>
    <w:p w14:paraId="0184BCB1" w14:textId="653C303A" w:rsidR="00F52A52" w:rsidRPr="00FA1A19" w:rsidRDefault="00F52A52" w:rsidP="00F52A52">
      <w:r w:rsidRPr="00FA1A19">
        <w:t>In addition to the general taxation issues that are raised in this Report, specific issues arise for the not</w:t>
      </w:r>
      <w:r w:rsidR="00F75232">
        <w:noBreakHyphen/>
      </w:r>
      <w:r w:rsidRPr="00FA1A19">
        <w:t>for</w:t>
      </w:r>
      <w:r w:rsidR="00F75232">
        <w:noBreakHyphen/>
      </w:r>
      <w:r w:rsidRPr="00FA1A19">
        <w:t>profit sector in relation to crypto assets.</w:t>
      </w:r>
      <w:r w:rsidR="004F0A51" w:rsidRPr="00FA1A19">
        <w:t xml:space="preserve"> </w:t>
      </w:r>
      <w:r w:rsidRPr="00FA1A19">
        <w:t xml:space="preserve">The Board has not undertaken a detailed review of </w:t>
      </w:r>
      <w:r w:rsidR="00C64254" w:rsidRPr="00FA1A19">
        <w:t xml:space="preserve">crypto issues specific to the </w:t>
      </w:r>
      <w:r w:rsidRPr="00FA1A19">
        <w:t>not</w:t>
      </w:r>
      <w:r w:rsidR="00F75232">
        <w:noBreakHyphen/>
      </w:r>
      <w:r w:rsidRPr="00FA1A19">
        <w:t>for</w:t>
      </w:r>
      <w:r w:rsidR="00F75232">
        <w:noBreakHyphen/>
      </w:r>
      <w:r w:rsidRPr="00FA1A19">
        <w:t xml:space="preserve">profit sector, but acknowledges that issues including the following </w:t>
      </w:r>
      <w:r w:rsidR="00C64254" w:rsidRPr="00FA1A19">
        <w:t xml:space="preserve">may </w:t>
      </w:r>
      <w:r w:rsidRPr="00FA1A19">
        <w:t>arise:</w:t>
      </w:r>
    </w:p>
    <w:p w14:paraId="24F5361F" w14:textId="77777777" w:rsidR="00E67EE5" w:rsidRPr="00FA1A19" w:rsidRDefault="00C3427A" w:rsidP="00342121">
      <w:pPr>
        <w:pStyle w:val="Bullet"/>
      </w:pPr>
      <w:r w:rsidRPr="00FA1A19">
        <w:t>Public and Private Ancillary funds</w:t>
      </w:r>
      <w:r w:rsidR="00CF1177" w:rsidRPr="00FA1A19">
        <w:t xml:space="preserve"> </w:t>
      </w:r>
      <w:r w:rsidR="0081043B" w:rsidRPr="00FA1A19">
        <w:t>are</w:t>
      </w:r>
      <w:r w:rsidR="00E67EE5" w:rsidRPr="00FA1A19">
        <w:t xml:space="preserve"> in some cases to estimate the value of net assets for the purposes of minimum annual distribution requirements, which raises issues relating to the valuation of any crypto assets they may hold and/or distribute.</w:t>
      </w:r>
    </w:p>
    <w:p w14:paraId="4ABA66B2" w14:textId="68E6E089" w:rsidR="00FE12E7" w:rsidRPr="00FA1A19" w:rsidRDefault="00E67EE5" w:rsidP="00342121">
      <w:pPr>
        <w:pStyle w:val="Bullet"/>
      </w:pPr>
      <w:r w:rsidRPr="00FA1A19">
        <w:t>Public and Private Ancillary funds are required to maintain an investment strategy that considers, among other things, the risk and the expected return of making certain investments</w:t>
      </w:r>
      <w:r w:rsidR="001D4BED" w:rsidRPr="00FA1A19">
        <w:t>.</w:t>
      </w:r>
      <w:r w:rsidR="004F0A51" w:rsidRPr="00FA1A19">
        <w:t xml:space="preserve"> </w:t>
      </w:r>
      <w:r w:rsidR="001D4BED" w:rsidRPr="00FA1A19">
        <w:t xml:space="preserve">Holdings </w:t>
      </w:r>
      <w:r w:rsidRPr="00FA1A19">
        <w:t xml:space="preserve">of crypto assets may be relevant </w:t>
      </w:r>
      <w:r w:rsidR="001D4BED" w:rsidRPr="00FA1A19">
        <w:t>to these issues</w:t>
      </w:r>
      <w:r w:rsidRPr="00FA1A19">
        <w:t>.</w:t>
      </w:r>
    </w:p>
    <w:p w14:paraId="0C16A76F" w14:textId="50061004" w:rsidR="00002C67" w:rsidRPr="00FA1A19" w:rsidRDefault="00680CFD" w:rsidP="00342121">
      <w:pPr>
        <w:pStyle w:val="Bullet"/>
      </w:pPr>
      <w:r w:rsidRPr="00FA1A19">
        <w:t xml:space="preserve">Integrity concerns may arise </w:t>
      </w:r>
      <w:r w:rsidR="00404EBE" w:rsidRPr="00FA1A19">
        <w:t>in relation to</w:t>
      </w:r>
      <w:r w:rsidRPr="00FA1A19">
        <w:t xml:space="preserve"> not</w:t>
      </w:r>
      <w:r w:rsidR="00F75232">
        <w:noBreakHyphen/>
      </w:r>
      <w:r w:rsidRPr="00FA1A19">
        <w:t>for</w:t>
      </w:r>
      <w:r w:rsidR="00F75232">
        <w:noBreakHyphen/>
      </w:r>
      <w:r w:rsidRPr="00FA1A19">
        <w:t xml:space="preserve">profit entities who hold crypto assets </w:t>
      </w:r>
      <w:r w:rsidR="007C5817" w:rsidRPr="00FA1A19">
        <w:t xml:space="preserve">as it may be more difficult to monitor the use to which crypto assets are put: the diversion of these assets to </w:t>
      </w:r>
      <w:r w:rsidR="00002C67" w:rsidRPr="00FA1A19">
        <w:t>purposes inconsistent with the entity</w:t>
      </w:r>
      <w:r w:rsidR="00F75232">
        <w:t>’</w:t>
      </w:r>
      <w:r w:rsidR="00002C67" w:rsidRPr="00FA1A19">
        <w:t>s purposes may be easier to achieve</w:t>
      </w:r>
      <w:r w:rsidR="00404EBE" w:rsidRPr="00FA1A19">
        <w:t xml:space="preserve"> and more difficult to monitor</w:t>
      </w:r>
      <w:r w:rsidR="00002C67" w:rsidRPr="00FA1A19">
        <w:t>.</w:t>
      </w:r>
    </w:p>
    <w:p w14:paraId="170E10E9" w14:textId="77777777" w:rsidR="00404EBE" w:rsidRPr="00FA1A19" w:rsidRDefault="00404EBE" w:rsidP="00342121">
      <w:pPr>
        <w:pStyle w:val="SingleParagraph"/>
      </w:pPr>
    </w:p>
    <w:tbl>
      <w:tblPr>
        <w:tblStyle w:val="BoTObservation"/>
        <w:tblW w:w="5000" w:type="pct"/>
        <w:tblLook w:val="01E0" w:firstRow="1" w:lastRow="1" w:firstColumn="1" w:lastColumn="1" w:noHBand="0" w:noVBand="0"/>
      </w:tblPr>
      <w:tblGrid>
        <w:gridCol w:w="9641"/>
      </w:tblGrid>
      <w:tr w:rsidR="00404EBE" w:rsidRPr="00FA1A19" w14:paraId="7B822B3C"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7D6A8BCD" w14:textId="553B5BF3" w:rsidR="00404EBE" w:rsidRPr="00FA1A19" w:rsidRDefault="00372633" w:rsidP="003316D7">
            <w:pPr>
              <w:pStyle w:val="BoxHeading1"/>
            </w:pPr>
            <w:r>
              <w:t>Observation </w:t>
            </w:r>
            <w:r w:rsidR="00404EBE" w:rsidRPr="00FA1A19">
              <w:t>8.5</w:t>
            </w:r>
          </w:p>
        </w:tc>
      </w:tr>
      <w:tr w:rsidR="00404EBE" w:rsidRPr="00FA1A19" w14:paraId="459BC215"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1B459C1C" w14:textId="38A3764E" w:rsidR="00404EBE" w:rsidRPr="00FA1A19" w:rsidRDefault="005341FD">
            <w:pPr>
              <w:rPr>
                <w:bCs/>
              </w:rPr>
            </w:pPr>
            <w:r w:rsidRPr="00FA1A19">
              <w:t>The receipt, holding and distribution of crypto assets raise particular issues, including integrity and risk issues, for not</w:t>
            </w:r>
            <w:r w:rsidR="00F75232">
              <w:noBreakHyphen/>
            </w:r>
            <w:r w:rsidRPr="00FA1A19">
              <w:t>for</w:t>
            </w:r>
            <w:r w:rsidR="00F75232">
              <w:noBreakHyphen/>
            </w:r>
            <w:r w:rsidRPr="00FA1A19">
              <w:t>profit entities which may often be under</w:t>
            </w:r>
            <w:r w:rsidR="00F75232">
              <w:noBreakHyphen/>
            </w:r>
            <w:r w:rsidRPr="00FA1A19">
              <w:t xml:space="preserve">resourced </w:t>
            </w:r>
            <w:r w:rsidR="004A7A9C" w:rsidRPr="00FA1A19">
              <w:t>and operated by volunteers without the expertise to deal in crypto assets.</w:t>
            </w:r>
            <w:r w:rsidR="004F0A51" w:rsidRPr="00FA1A19">
              <w:t xml:space="preserve"> </w:t>
            </w:r>
          </w:p>
          <w:p w14:paraId="029D61F4" w14:textId="77777777" w:rsidR="004A7A9C" w:rsidRPr="00FA1A19" w:rsidRDefault="004A7A9C">
            <w:pPr>
              <w:rPr>
                <w:bCs/>
              </w:rPr>
            </w:pPr>
            <w:r w:rsidRPr="00FA1A19">
              <w:t>Holdings in crypto assets may also impact compliance obligations of public and private ancillary funds.</w:t>
            </w:r>
          </w:p>
          <w:p w14:paraId="5B9A32CD" w14:textId="527E3C71" w:rsidR="004A7A9C" w:rsidRPr="00FA1A19" w:rsidRDefault="004A7A9C">
            <w:r w:rsidRPr="00FA1A19">
              <w:t>The interaction of crypto assets and transactions with the not</w:t>
            </w:r>
            <w:r w:rsidR="00F75232">
              <w:noBreakHyphen/>
            </w:r>
            <w:r w:rsidRPr="00FA1A19">
              <w:t>for</w:t>
            </w:r>
            <w:r w:rsidR="00F75232">
              <w:noBreakHyphen/>
            </w:r>
            <w:r w:rsidRPr="00FA1A19">
              <w:t>profit sector is an area that the Government may like to consider in the future.</w:t>
            </w:r>
          </w:p>
        </w:tc>
      </w:tr>
    </w:tbl>
    <w:p w14:paraId="11930387" w14:textId="77777777" w:rsidR="00342121" w:rsidRPr="00342121" w:rsidRDefault="00342121" w:rsidP="00342121">
      <w:pPr>
        <w:sectPr w:rsidR="00342121" w:rsidRPr="00342121" w:rsidSect="00320772">
          <w:pgSz w:w="11909" w:h="16834" w:code="9"/>
          <w:pgMar w:top="1985" w:right="1134" w:bottom="1985" w:left="1134" w:header="1134" w:footer="1134" w:gutter="0"/>
          <w:cols w:space="708"/>
          <w:docGrid w:linePitch="360"/>
        </w:sectPr>
      </w:pPr>
    </w:p>
    <w:p w14:paraId="74EAE3FC" w14:textId="72673047" w:rsidR="00217978" w:rsidRPr="00FA1A19" w:rsidRDefault="00372633" w:rsidP="0069352C">
      <w:pPr>
        <w:pStyle w:val="Heading1"/>
      </w:pPr>
      <w:bookmarkStart w:id="126" w:name="_Toc159513617"/>
      <w:r>
        <w:t>Chapter </w:t>
      </w:r>
      <w:r w:rsidR="00A90DDE" w:rsidRPr="00FA1A19">
        <w:t>9</w:t>
      </w:r>
      <w:r w:rsidR="00D51E0B" w:rsidRPr="00FA1A19">
        <w:t>:</w:t>
      </w:r>
      <w:r w:rsidR="006860CA" w:rsidRPr="00FA1A19">
        <w:t xml:space="preserve"> Income Tax </w:t>
      </w:r>
      <w:r w:rsidR="00721B12" w:rsidRPr="00FA1A19">
        <w:t>–</w:t>
      </w:r>
      <w:r w:rsidR="006912C7" w:rsidRPr="00FA1A19">
        <w:t xml:space="preserve"> </w:t>
      </w:r>
      <w:r w:rsidR="00A90DDE" w:rsidRPr="00FA1A19">
        <w:t xml:space="preserve">Specific </w:t>
      </w:r>
      <w:r w:rsidR="00AD6273" w:rsidRPr="00FA1A19">
        <w:t>Digital Asset Transactions</w:t>
      </w:r>
      <w:bookmarkEnd w:id="126"/>
      <w:r w:rsidR="00217978" w:rsidRPr="00FA1A19">
        <w:t xml:space="preserve"> </w:t>
      </w:r>
    </w:p>
    <w:p w14:paraId="7239222C" w14:textId="77777777" w:rsidR="00217978" w:rsidRPr="00FA1A19" w:rsidRDefault="00217978" w:rsidP="0069352C">
      <w:pPr>
        <w:pStyle w:val="Heading2"/>
        <w:rPr>
          <w:rStyle w:val="Emphasis"/>
        </w:rPr>
      </w:pPr>
      <w:bookmarkStart w:id="127" w:name="_Toc159513618"/>
      <w:r w:rsidRPr="00FA1A19">
        <w:rPr>
          <w:rStyle w:val="Emphasis"/>
        </w:rPr>
        <w:t>Key Points</w:t>
      </w:r>
      <w:bookmarkEnd w:id="127"/>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1F4D" w:themeFill="accent2"/>
        <w:tblCellMar>
          <w:top w:w="397" w:type="dxa"/>
          <w:left w:w="454" w:type="dxa"/>
          <w:bottom w:w="397" w:type="dxa"/>
          <w:right w:w="454" w:type="dxa"/>
        </w:tblCellMar>
        <w:tblLook w:val="04A0" w:firstRow="1" w:lastRow="0" w:firstColumn="1" w:lastColumn="0" w:noHBand="0" w:noVBand="1"/>
      </w:tblPr>
      <w:tblGrid>
        <w:gridCol w:w="9641"/>
      </w:tblGrid>
      <w:tr w:rsidR="00217978" w:rsidRPr="00FA1A19" w14:paraId="132F4E84" w14:textId="77777777" w:rsidTr="009C584D">
        <w:tc>
          <w:tcPr>
            <w:tcW w:w="5000" w:type="pct"/>
            <w:shd w:val="clear" w:color="auto" w:fill="701F4D" w:themeFill="accent2"/>
          </w:tcPr>
          <w:p w14:paraId="61502219" w14:textId="7CAB89FD" w:rsidR="00410C8A" w:rsidRPr="00342121" w:rsidRDefault="00495337" w:rsidP="000E72DD">
            <w:pPr>
              <w:pStyle w:val="BoxBulletWhite"/>
            </w:pPr>
            <w:r w:rsidRPr="00342121">
              <w:t xml:space="preserve">Particular transactions </w:t>
            </w:r>
            <w:r w:rsidR="00410C8A" w:rsidRPr="00342121">
              <w:t xml:space="preserve">of significance to Australian taxpayers </w:t>
            </w:r>
            <w:r w:rsidRPr="00342121">
              <w:t xml:space="preserve">can be identified in the context of different stages in the lifecycle of </w:t>
            </w:r>
            <w:r w:rsidR="00410C8A" w:rsidRPr="00342121">
              <w:t xml:space="preserve">cryptocurrency. </w:t>
            </w:r>
          </w:p>
          <w:p w14:paraId="08B4FA8D" w14:textId="1E6E227B" w:rsidR="00217978" w:rsidRPr="00342121" w:rsidRDefault="00410C8A" w:rsidP="000E72DD">
            <w:pPr>
              <w:pStyle w:val="BoxBulletWhite"/>
            </w:pPr>
            <w:r w:rsidRPr="00342121">
              <w:t xml:space="preserve">Accordingly, the board has </w:t>
            </w:r>
            <w:r w:rsidR="00F75232">
              <w:t>‘</w:t>
            </w:r>
            <w:r w:rsidRPr="00342121">
              <w:t>mapped</w:t>
            </w:r>
            <w:r w:rsidR="00F75232">
              <w:t>’</w:t>
            </w:r>
            <w:r w:rsidRPr="00342121">
              <w:t xml:space="preserve"> the lifecycle of cryptocurrency and identified four distinct stages: </w:t>
            </w:r>
            <w:r w:rsidR="00F361B1" w:rsidRPr="00342121">
              <w:t>acquiring, holding, evolution, and disposing</w:t>
            </w:r>
            <w:r w:rsidR="002E65E9" w:rsidRPr="00342121">
              <w:t xml:space="preserve"> of cryptocurrency</w:t>
            </w:r>
            <w:r w:rsidRPr="00342121">
              <w:t>.</w:t>
            </w:r>
          </w:p>
          <w:p w14:paraId="1AD2A3AB" w14:textId="77777777" w:rsidR="00410C8A" w:rsidRPr="00342121" w:rsidRDefault="004C61D4" w:rsidP="000E72DD">
            <w:pPr>
              <w:pStyle w:val="BoxBulletWhite"/>
            </w:pPr>
            <w:r w:rsidRPr="00342121">
              <w:t xml:space="preserve">Taxpayers and their advisers would benefit from comprehensive guidance upon which they can rely from the ATO in relation to taxation transactions including mining, staking/validating, airdrops, </w:t>
            </w:r>
            <w:r w:rsidR="0094673C" w:rsidRPr="00342121">
              <w:t>and DeFi transactions.</w:t>
            </w:r>
          </w:p>
          <w:p w14:paraId="4EE26716" w14:textId="77777777" w:rsidR="0094673C" w:rsidRPr="00342121" w:rsidRDefault="00DF3271" w:rsidP="000E72DD">
            <w:pPr>
              <w:pStyle w:val="BoxBulletWhite"/>
            </w:pPr>
            <w:r w:rsidRPr="00342121">
              <w:t>In light of the complexity and the quickly and continually evolving nature of crypto asset transactions and DeFi in particular, Board recommends that there be no new legislation to establish a new and prescriptive taxation regime to deal with crypto and in particular DeFi transactions (including bridging and wrapping) at this time, as the Board considers that this would lead to more complexity and potentially more uncertainty.</w:t>
            </w:r>
          </w:p>
          <w:p w14:paraId="67F3E89A" w14:textId="5BD9A166" w:rsidR="00671B78" w:rsidRPr="00342121" w:rsidRDefault="00190E6C" w:rsidP="000E72DD">
            <w:pPr>
              <w:pStyle w:val="BoxBulletWhite"/>
            </w:pPr>
            <w:r w:rsidRPr="00342121">
              <w:t>To assist taxpayers to ensure that their taxation disclosures are acceptable to the ATO, the Board recommends that the ATO consider whether it can explore with the Crypto Industry Working Group any potential acceptable simple and practical solutions to determining the correct assessable income derived by a taxpayer from DeFi transactions.</w:t>
            </w:r>
          </w:p>
        </w:tc>
      </w:tr>
    </w:tbl>
    <w:p w14:paraId="7556AC9B" w14:textId="77777777" w:rsidR="00217978" w:rsidRPr="00FA1A19" w:rsidRDefault="00217978" w:rsidP="0069352C">
      <w:pPr>
        <w:pStyle w:val="Heading2"/>
      </w:pPr>
      <w:bookmarkStart w:id="128" w:name="_Toc159513619"/>
      <w:r w:rsidRPr="00FA1A19">
        <w:t>Introduction</w:t>
      </w:r>
      <w:bookmarkEnd w:id="128"/>
    </w:p>
    <w:p w14:paraId="0CA4A108" w14:textId="60E16299" w:rsidR="00F20DC7" w:rsidRPr="00FA1A19" w:rsidRDefault="00372633" w:rsidP="00217978">
      <w:r>
        <w:t>Chapter </w:t>
      </w:r>
      <w:r w:rsidR="00F20DC7" w:rsidRPr="00FA1A19">
        <w:t xml:space="preserve">7 </w:t>
      </w:r>
      <w:r w:rsidR="00E05378" w:rsidRPr="00FA1A19">
        <w:t>considered the current Australian taxation treatment of digital assets and transactions by first explaining</w:t>
      </w:r>
      <w:r w:rsidR="00F20DC7" w:rsidRPr="00FA1A19">
        <w:t xml:space="preserve"> tax principles that are fundamental to Australia</w:t>
      </w:r>
      <w:r w:rsidR="00F75232">
        <w:t>’</w:t>
      </w:r>
      <w:r w:rsidR="00F20DC7" w:rsidRPr="00FA1A19">
        <w:t xml:space="preserve">s tax framework, and then </w:t>
      </w:r>
      <w:r w:rsidR="00AD08D1" w:rsidRPr="00FA1A19">
        <w:t>discussing</w:t>
      </w:r>
      <w:r w:rsidR="00F20DC7" w:rsidRPr="00FA1A19">
        <w:t xml:space="preserve"> how these can apply to crypto assets and transactions</w:t>
      </w:r>
      <w:r w:rsidR="00AD08D1" w:rsidRPr="00FA1A19">
        <w:t xml:space="preserve">, </w:t>
      </w:r>
      <w:r w:rsidR="00915694" w:rsidRPr="00FA1A19">
        <w:t>and</w:t>
      </w:r>
      <w:r w:rsidR="00636567" w:rsidRPr="00FA1A19">
        <w:t xml:space="preserve"> particular</w:t>
      </w:r>
      <w:r w:rsidR="00915694" w:rsidRPr="00FA1A19">
        <w:t xml:space="preserve"> issues that arise.</w:t>
      </w:r>
    </w:p>
    <w:p w14:paraId="5362B948" w14:textId="5CD36870" w:rsidR="00AD6273" w:rsidRPr="00FA1A19" w:rsidRDefault="00372633" w:rsidP="00217978">
      <w:r>
        <w:t>Chapter </w:t>
      </w:r>
      <w:r w:rsidR="00AD6273" w:rsidRPr="00FA1A19">
        <w:t xml:space="preserve">8 considered </w:t>
      </w:r>
      <w:r w:rsidR="00636567" w:rsidRPr="00FA1A19">
        <w:t xml:space="preserve">specific taxation regimes and how they may apply to digital assets and transactions, </w:t>
      </w:r>
      <w:r w:rsidR="00015234" w:rsidRPr="00FA1A19">
        <w:t xml:space="preserve">identifying some issues requiring clarification and some issues </w:t>
      </w:r>
      <w:r w:rsidR="00BD6118" w:rsidRPr="00FA1A19">
        <w:t>that are matters of policy.</w:t>
      </w:r>
    </w:p>
    <w:p w14:paraId="444E3972" w14:textId="21AFB4D5" w:rsidR="009F6B96" w:rsidRPr="009C584D" w:rsidRDefault="00372633" w:rsidP="00EB09BD">
      <w:pPr>
        <w:rPr>
          <w:spacing w:val="-3"/>
        </w:rPr>
      </w:pPr>
      <w:r w:rsidRPr="009C584D">
        <w:rPr>
          <w:spacing w:val="-3"/>
        </w:rPr>
        <w:t>Chapter </w:t>
      </w:r>
      <w:r w:rsidR="00915694" w:rsidRPr="009C584D">
        <w:rPr>
          <w:spacing w:val="-3"/>
        </w:rPr>
        <w:t xml:space="preserve">9 </w:t>
      </w:r>
      <w:r w:rsidR="00995216" w:rsidRPr="009C584D">
        <w:rPr>
          <w:spacing w:val="-3"/>
        </w:rPr>
        <w:t>approaches the question of the current Australian taxation treatment of digital assets and transactions from the perspective of particular common crypto asset transaction</w:t>
      </w:r>
      <w:r w:rsidR="00F826EA" w:rsidRPr="009C584D">
        <w:rPr>
          <w:spacing w:val="-3"/>
        </w:rPr>
        <w:t>s that</w:t>
      </w:r>
      <w:r w:rsidR="00280F49" w:rsidRPr="009C584D">
        <w:rPr>
          <w:spacing w:val="-3"/>
        </w:rPr>
        <w:t xml:space="preserve"> raise more challenging tax questions.</w:t>
      </w:r>
      <w:r w:rsidR="004F0A51" w:rsidRPr="009C584D">
        <w:rPr>
          <w:spacing w:val="-3"/>
        </w:rPr>
        <w:t xml:space="preserve"> </w:t>
      </w:r>
      <w:r w:rsidR="00280F49" w:rsidRPr="009C584D">
        <w:rPr>
          <w:spacing w:val="-3"/>
        </w:rPr>
        <w:t xml:space="preserve">These transactions </w:t>
      </w:r>
      <w:r w:rsidR="00113DDA" w:rsidRPr="009C584D">
        <w:rPr>
          <w:spacing w:val="-3"/>
        </w:rPr>
        <w:t>typically</w:t>
      </w:r>
      <w:r w:rsidR="00280F49" w:rsidRPr="009C584D">
        <w:rPr>
          <w:spacing w:val="-3"/>
        </w:rPr>
        <w:t xml:space="preserve"> relate to </w:t>
      </w:r>
      <w:r w:rsidR="00F66262" w:rsidRPr="009C584D">
        <w:rPr>
          <w:spacing w:val="-3"/>
        </w:rPr>
        <w:t>digital</w:t>
      </w:r>
      <w:r w:rsidR="00ED4A46" w:rsidRPr="009C584D">
        <w:rPr>
          <w:spacing w:val="-3"/>
        </w:rPr>
        <w:t xml:space="preserve"> transactions and tokens </w:t>
      </w:r>
      <w:r w:rsidR="00F66262" w:rsidRPr="009C584D">
        <w:rPr>
          <w:spacing w:val="-3"/>
        </w:rPr>
        <w:t xml:space="preserve">that are entirely </w:t>
      </w:r>
      <w:r w:rsidR="00F75232" w:rsidRPr="009C584D">
        <w:rPr>
          <w:spacing w:val="-3"/>
        </w:rPr>
        <w:t>‘</w:t>
      </w:r>
      <w:r w:rsidR="00F66262" w:rsidRPr="009C584D">
        <w:rPr>
          <w:spacing w:val="-3"/>
        </w:rPr>
        <w:t>on</w:t>
      </w:r>
      <w:r w:rsidR="009C584D" w:rsidRPr="009C584D">
        <w:rPr>
          <w:spacing w:val="-3"/>
        </w:rPr>
        <w:noBreakHyphen/>
      </w:r>
      <w:r w:rsidR="00F66262" w:rsidRPr="009C584D">
        <w:rPr>
          <w:spacing w:val="-3"/>
        </w:rPr>
        <w:t>chain</w:t>
      </w:r>
      <w:r w:rsidR="00F75232" w:rsidRPr="009C584D">
        <w:rPr>
          <w:spacing w:val="-3"/>
        </w:rPr>
        <w:t>’</w:t>
      </w:r>
      <w:r w:rsidR="009C584D" w:rsidRPr="009C584D">
        <w:rPr>
          <w:spacing w:val="-3"/>
        </w:rPr>
        <w:t> </w:t>
      </w:r>
      <w:r w:rsidR="00ED4A46" w:rsidRPr="009C584D">
        <w:rPr>
          <w:spacing w:val="-3"/>
        </w:rPr>
        <w:t xml:space="preserve">– that is, </w:t>
      </w:r>
      <w:r w:rsidR="00BF0BEE" w:rsidRPr="009C584D">
        <w:rPr>
          <w:spacing w:val="-3"/>
        </w:rPr>
        <w:t>tokens</w:t>
      </w:r>
      <w:r w:rsidR="009B684A" w:rsidRPr="009C584D">
        <w:rPr>
          <w:spacing w:val="-3"/>
        </w:rPr>
        <w:t xml:space="preserve"> that are </w:t>
      </w:r>
      <w:r w:rsidR="00ED4A46" w:rsidRPr="009C584D">
        <w:rPr>
          <w:spacing w:val="-3"/>
        </w:rPr>
        <w:t>commonly</w:t>
      </w:r>
      <w:r w:rsidR="00BE4DBA" w:rsidRPr="009C584D">
        <w:rPr>
          <w:spacing w:val="-3"/>
        </w:rPr>
        <w:t xml:space="preserve"> referred to as payment tokens</w:t>
      </w:r>
      <w:r w:rsidR="009B684A" w:rsidRPr="009C584D">
        <w:rPr>
          <w:spacing w:val="-3"/>
        </w:rPr>
        <w:t xml:space="preserve"> (see </w:t>
      </w:r>
      <w:r w:rsidRPr="009C584D">
        <w:rPr>
          <w:spacing w:val="-3"/>
        </w:rPr>
        <w:t>Chapter </w:t>
      </w:r>
      <w:r w:rsidR="009B684A" w:rsidRPr="009C584D">
        <w:rPr>
          <w:spacing w:val="-3"/>
        </w:rPr>
        <w:t>4)</w:t>
      </w:r>
      <w:r w:rsidR="00BF0BEE" w:rsidRPr="009C584D">
        <w:rPr>
          <w:spacing w:val="-3"/>
        </w:rPr>
        <w:t>,</w:t>
      </w:r>
      <w:r w:rsidR="00BE4DBA" w:rsidRPr="009C584D">
        <w:rPr>
          <w:spacing w:val="-3"/>
        </w:rPr>
        <w:t xml:space="preserve"> or cryptocurrencies.</w:t>
      </w:r>
      <w:r w:rsidR="004F0A51" w:rsidRPr="009C584D">
        <w:rPr>
          <w:spacing w:val="-3"/>
        </w:rPr>
        <w:t xml:space="preserve"> </w:t>
      </w:r>
    </w:p>
    <w:p w14:paraId="1928B371" w14:textId="754415AB" w:rsidR="00217978" w:rsidRPr="00FA1A19" w:rsidRDefault="00C14EAE" w:rsidP="00217978">
      <w:r w:rsidRPr="00FA1A19">
        <w:t>The approach in this chapter</w:t>
      </w:r>
      <w:r w:rsidR="00113DDA" w:rsidRPr="00FA1A19">
        <w:t xml:space="preserve"> is consistent with a</w:t>
      </w:r>
      <w:r w:rsidR="00BB3268" w:rsidRPr="00FA1A19">
        <w:t xml:space="preserve"> </w:t>
      </w:r>
      <w:r w:rsidR="00217978" w:rsidRPr="00FA1A19">
        <w:t>number of submissions to the Board</w:t>
      </w:r>
      <w:r w:rsidR="00113DDA" w:rsidRPr="00FA1A19">
        <w:t xml:space="preserve"> which</w:t>
      </w:r>
      <w:r w:rsidR="00217978" w:rsidRPr="00FA1A19">
        <w:t xml:space="preserve"> proposed that the taxation of digital assets and in particular cryptocurrencies might best be considered </w:t>
      </w:r>
      <w:r w:rsidRPr="00FA1A19">
        <w:t xml:space="preserve">by focussing on specific </w:t>
      </w:r>
      <w:r w:rsidR="00D8148B" w:rsidRPr="00FA1A19">
        <w:t>crypto asset transactions</w:t>
      </w:r>
      <w:r w:rsidR="00BA7ED8" w:rsidRPr="00FA1A19">
        <w:t>.</w:t>
      </w:r>
      <w:r w:rsidR="004F0A51" w:rsidRPr="00FA1A19">
        <w:t xml:space="preserve"> </w:t>
      </w:r>
      <w:r w:rsidR="00BA7ED8" w:rsidRPr="00FA1A19">
        <w:t xml:space="preserve">These submissions proposed that different crypto asset transactions might </w:t>
      </w:r>
      <w:r w:rsidR="00D817D8" w:rsidRPr="00FA1A19">
        <w:t xml:space="preserve">best be </w:t>
      </w:r>
      <w:r w:rsidR="00D8148B" w:rsidRPr="00FA1A19">
        <w:t>understood by mapping the</w:t>
      </w:r>
      <w:r w:rsidR="007F777C" w:rsidRPr="00FA1A19">
        <w:t xml:space="preserve"> </w:t>
      </w:r>
      <w:r w:rsidR="00217978" w:rsidRPr="00FA1A19">
        <w:t>lifecycle</w:t>
      </w:r>
      <w:r w:rsidR="00D8148B" w:rsidRPr="00FA1A19">
        <w:t xml:space="preserve"> of cry</w:t>
      </w:r>
      <w:r w:rsidRPr="00FA1A19">
        <w:t>ptocurrency</w:t>
      </w:r>
      <w:r w:rsidR="00F20DC7" w:rsidRPr="00FA1A19">
        <w:t>.</w:t>
      </w:r>
      <w:r w:rsidR="004F0A51" w:rsidRPr="00FA1A19">
        <w:t xml:space="preserve"> </w:t>
      </w:r>
      <w:r w:rsidR="00D817D8" w:rsidRPr="00FA1A19">
        <w:t>The</w:t>
      </w:r>
      <w:r w:rsidR="00F20DC7" w:rsidRPr="00FA1A19">
        <w:t xml:space="preserve"> submissions</w:t>
      </w:r>
      <w:r w:rsidR="00217978" w:rsidRPr="00FA1A19">
        <w:t xml:space="preserve"> proposed ways in which this lifecycle might be mapped with an emphasis on the events which give rise to taxation issues that are currently of particular interest to participants in the crypto ecosystem and their advisers. </w:t>
      </w:r>
    </w:p>
    <w:p w14:paraId="4978B6B7" w14:textId="10B5A595" w:rsidR="00217978" w:rsidRPr="00FA1A19" w:rsidRDefault="00217978" w:rsidP="00217978">
      <w:r w:rsidRPr="00FA1A19">
        <w:t xml:space="preserve">The OECD demonstrated this mapping approach in its 2020 publication </w:t>
      </w:r>
      <w:r w:rsidR="00F75232">
        <w:rPr>
          <w:rStyle w:val="Emphasis"/>
          <w:i w:val="0"/>
          <w:iCs w:val="0"/>
        </w:rPr>
        <w:t>‘</w:t>
      </w:r>
      <w:r w:rsidRPr="00174659">
        <w:rPr>
          <w:rStyle w:val="Emphasis"/>
          <w:i w:val="0"/>
          <w:iCs w:val="0"/>
        </w:rPr>
        <w:t>Taxing Virtual Currencies</w:t>
      </w:r>
      <w:r w:rsidR="00F75232">
        <w:rPr>
          <w:i/>
          <w:iCs/>
        </w:rPr>
        <w:t>’</w:t>
      </w:r>
      <w:r w:rsidRPr="00FA1A19">
        <w:t xml:space="preserve"> when it described the </w:t>
      </w:r>
      <w:r w:rsidR="00F75232">
        <w:t>‘</w:t>
      </w:r>
      <w:r w:rsidRPr="00FA1A19">
        <w:t>typical lifecycle</w:t>
      </w:r>
      <w:r w:rsidR="00F75232">
        <w:t>’</w:t>
      </w:r>
      <w:r w:rsidRPr="00FA1A19">
        <w:t xml:space="preserve"> of a unit of cryptocurrency, emphasising the key stages in which the tax consequences for a unit of cryptocurrency might arise.</w:t>
      </w:r>
      <w:r w:rsidRPr="00170ADC">
        <w:rPr>
          <w:rStyle w:val="FootnoteReference"/>
        </w:rPr>
        <w:footnoteReference w:id="482"/>
      </w:r>
    </w:p>
    <w:p w14:paraId="37065AF4" w14:textId="77777777" w:rsidR="00217978" w:rsidRPr="00FA1A19" w:rsidRDefault="00217978" w:rsidP="00217978">
      <w:r w:rsidRPr="00FA1A19">
        <w:t>The Board agrees that in considering the taxation implications of cryptocurrency, it can be helpful to undertake a mapping exercise of the typical lifecycle of a unit of cryptocurrency.</w:t>
      </w:r>
    </w:p>
    <w:p w14:paraId="09DC1FA1" w14:textId="7702A07F" w:rsidR="00217978" w:rsidRPr="00FA1A19" w:rsidRDefault="00BE5BFC" w:rsidP="00217978">
      <w:r w:rsidRPr="00FA1A19">
        <w:t>The first section in this</w:t>
      </w:r>
      <w:r w:rsidR="00FF59F8" w:rsidRPr="00FA1A19">
        <w:t xml:space="preserve"> </w:t>
      </w:r>
      <w:r w:rsidR="00372633">
        <w:t>Chapter </w:t>
      </w:r>
      <w:r w:rsidR="00FF59F8" w:rsidRPr="00FA1A19">
        <w:t xml:space="preserve">9 therefore </w:t>
      </w:r>
      <w:r w:rsidR="006E62C8" w:rsidRPr="00FA1A19">
        <w:t xml:space="preserve">maps </w:t>
      </w:r>
      <w:r w:rsidR="00217978" w:rsidRPr="00FA1A19">
        <w:t>the lifecycle of a unit of cryptocurrency</w:t>
      </w:r>
      <w:r w:rsidR="00370BFA" w:rsidRPr="00FA1A19">
        <w:t>.</w:t>
      </w:r>
      <w:r w:rsidR="004F0A51" w:rsidRPr="00FA1A19">
        <w:t xml:space="preserve"> </w:t>
      </w:r>
      <w:r w:rsidR="00217978" w:rsidRPr="00FA1A19">
        <w:t>Th</w:t>
      </w:r>
      <w:r w:rsidR="006E62C8" w:rsidRPr="00FA1A19">
        <w:t>is mapping exercise d</w:t>
      </w:r>
      <w:r w:rsidR="00217978" w:rsidRPr="00FA1A19">
        <w:t>raws particularly (although not exclusively) on submissions made to the Board in the course of the Review.</w:t>
      </w:r>
      <w:r w:rsidR="004F0A51" w:rsidRPr="00FA1A19">
        <w:t xml:space="preserve"> </w:t>
      </w:r>
      <w:r w:rsidR="002A0E83" w:rsidRPr="00FA1A19">
        <w:t xml:space="preserve">The </w:t>
      </w:r>
      <w:r w:rsidR="00211F8F" w:rsidRPr="00FA1A19">
        <w:t>life</w:t>
      </w:r>
      <w:r w:rsidR="00211F8F">
        <w:t>cycle</w:t>
      </w:r>
      <w:r w:rsidR="00211F8F" w:rsidRPr="00FA1A19">
        <w:t xml:space="preserve"> </w:t>
      </w:r>
      <w:r w:rsidR="002A0E83" w:rsidRPr="00FA1A19">
        <w:t>stages identified are</w:t>
      </w:r>
      <w:r w:rsidR="000F401A">
        <w:t>:</w:t>
      </w:r>
      <w:r w:rsidR="002A0E83" w:rsidRPr="00FA1A19">
        <w:t xml:space="preserve"> acquiring cryptocurrency, holding cryptocurrency, </w:t>
      </w:r>
      <w:r w:rsidR="00427FDF" w:rsidRPr="00FA1A19">
        <w:t xml:space="preserve">the evolution of cryptocurrency, and </w:t>
      </w:r>
      <w:r w:rsidR="002A0E83" w:rsidRPr="00FA1A19">
        <w:t>disposing of cryptocurrency.</w:t>
      </w:r>
    </w:p>
    <w:p w14:paraId="5266414E" w14:textId="6D418BB3" w:rsidR="00671F53" w:rsidRPr="00FA1A19" w:rsidRDefault="003D2072" w:rsidP="00671F53">
      <w:r w:rsidRPr="00FA1A19">
        <w:t xml:space="preserve">The subsequent sections in this chapter </w:t>
      </w:r>
      <w:r w:rsidR="00671F53" w:rsidRPr="00FA1A19">
        <w:t xml:space="preserve">consider the current Australian taxation treatment of common crypto asset transactions within the framework of </w:t>
      </w:r>
      <w:r w:rsidR="00E615AB" w:rsidRPr="00FA1A19">
        <w:t xml:space="preserve">mapped lifecycle, focussing on </w:t>
      </w:r>
      <w:r w:rsidR="00671F53" w:rsidRPr="00FA1A19">
        <w:t>transactions which the Board</w:t>
      </w:r>
      <w:r w:rsidR="00F75232">
        <w:t>’</w:t>
      </w:r>
      <w:r w:rsidR="00671F53" w:rsidRPr="00FA1A19">
        <w:t>s consultation processes indicated were of particular interest to stakeholders.</w:t>
      </w:r>
    </w:p>
    <w:p w14:paraId="530017DB" w14:textId="1F72EBD4" w:rsidR="00217978" w:rsidRPr="00FA1A19" w:rsidRDefault="00E615AB" w:rsidP="0069352C">
      <w:pPr>
        <w:pStyle w:val="Heading2"/>
      </w:pPr>
      <w:bookmarkStart w:id="129" w:name="_Toc159513620"/>
      <w:r w:rsidRPr="00FA1A19">
        <w:t>Mapping the Lifecycle</w:t>
      </w:r>
      <w:r w:rsidR="00217978" w:rsidRPr="00FA1A19">
        <w:t xml:space="preserve"> of Cryptocurrency</w:t>
      </w:r>
      <w:bookmarkEnd w:id="129"/>
    </w:p>
    <w:p w14:paraId="5598D619" w14:textId="797B5C55" w:rsidR="00C057DF" w:rsidRPr="00FA1A19" w:rsidRDefault="00C057DF" w:rsidP="00C057DF">
      <w:r w:rsidRPr="00FA1A19">
        <w:t>The explanation in the following paragraphs should be read with the explanation of digital assets and transactions in Chapters 3 and 4.</w:t>
      </w:r>
    </w:p>
    <w:p w14:paraId="45A00A85" w14:textId="024C3E61" w:rsidR="00217978" w:rsidRPr="00FA1A19" w:rsidRDefault="00217978" w:rsidP="00217978">
      <w:r w:rsidRPr="00FA1A19">
        <w:t>The OECD has identified the following stages in the</w:t>
      </w:r>
      <w:r w:rsidR="00CC0879" w:rsidRPr="00FA1A19">
        <w:t xml:space="preserve"> </w:t>
      </w:r>
      <w:r w:rsidR="00F75232">
        <w:t>‘</w:t>
      </w:r>
      <w:r w:rsidRPr="00FA1A19">
        <w:t>typical lifecycle</w:t>
      </w:r>
      <w:r w:rsidR="00F75232">
        <w:t>’</w:t>
      </w:r>
      <w:r w:rsidRPr="00FA1A19">
        <w:t xml:space="preserve"> of cryptocurrency: Creation; Storage and Transfer; Exchange; and Evolution.</w:t>
      </w:r>
      <w:r w:rsidRPr="00170ADC">
        <w:rPr>
          <w:rStyle w:val="FootnoteReference"/>
        </w:rPr>
        <w:footnoteReference w:id="483"/>
      </w:r>
      <w:r w:rsidR="004F0A51" w:rsidRPr="00FA1A19">
        <w:t xml:space="preserve"> </w:t>
      </w:r>
      <w:r w:rsidRPr="00FA1A19">
        <w:t>Somewhat similarly, Capaccioli has identified the following typical stages in the lifecycle of cryptocurrencies: Emission, Storage, and Use.</w:t>
      </w:r>
      <w:r w:rsidRPr="00170ADC">
        <w:rPr>
          <w:rStyle w:val="FootnoteReference"/>
        </w:rPr>
        <w:footnoteReference w:id="484"/>
      </w:r>
      <w:r w:rsidR="004F0A51" w:rsidRPr="00FA1A19">
        <w:t xml:space="preserve"> </w:t>
      </w:r>
    </w:p>
    <w:p w14:paraId="27C0619E" w14:textId="77777777" w:rsidR="00217978" w:rsidRPr="00FA1A19" w:rsidRDefault="00217978" w:rsidP="00217978">
      <w:r w:rsidRPr="00FA1A19">
        <w:t>The Board has identified the following stages in the typical lifecycle of a unit of cryptocurrency:</w:t>
      </w:r>
    </w:p>
    <w:p w14:paraId="1A6DA0F3" w14:textId="409C9CCE" w:rsidR="00217978" w:rsidRPr="009C584D" w:rsidRDefault="002C6CDA" w:rsidP="009C584D">
      <w:pPr>
        <w:pStyle w:val="Bullet"/>
      </w:pPr>
      <w:r w:rsidRPr="009C584D">
        <w:t>acquiring</w:t>
      </w:r>
    </w:p>
    <w:p w14:paraId="7AC446BE" w14:textId="3386E906" w:rsidR="00217978" w:rsidRPr="009C584D" w:rsidRDefault="002C6CDA" w:rsidP="009C584D">
      <w:pPr>
        <w:pStyle w:val="Bullet"/>
      </w:pPr>
      <w:r w:rsidRPr="009C584D">
        <w:t>holding</w:t>
      </w:r>
    </w:p>
    <w:p w14:paraId="7DCABE0F" w14:textId="5DA6D7B2" w:rsidR="00CC0879" w:rsidRPr="00FA1A19" w:rsidRDefault="002C6CDA" w:rsidP="009C584D">
      <w:pPr>
        <w:pStyle w:val="Bullet"/>
      </w:pPr>
      <w:r w:rsidRPr="009C584D">
        <w:t>evolution</w:t>
      </w:r>
    </w:p>
    <w:p w14:paraId="24812971" w14:textId="3465F25F" w:rsidR="00217978" w:rsidRPr="00FA1A19" w:rsidRDefault="00217978" w:rsidP="009C584D">
      <w:pPr>
        <w:pStyle w:val="Bullet"/>
      </w:pPr>
      <w:r w:rsidRPr="00FA1A19">
        <w:t>disposing.</w:t>
      </w:r>
    </w:p>
    <w:p w14:paraId="0A1F9072" w14:textId="66ACF027" w:rsidR="00217978" w:rsidRPr="00FA1A19" w:rsidRDefault="00217978" w:rsidP="00342121">
      <w:pPr>
        <w:pStyle w:val="Heading3"/>
      </w:pPr>
      <w:r w:rsidRPr="00FA1A19">
        <w:t>Acquiring Cryptocurrency</w:t>
      </w:r>
    </w:p>
    <w:p w14:paraId="77F52852" w14:textId="3D6AB1A5" w:rsidR="00217978" w:rsidRPr="00FA1A19" w:rsidRDefault="00217978" w:rsidP="00217978">
      <w:r w:rsidRPr="00FA1A19">
        <w:t>The method of the acquisition of cryptocurrency can be different depending on the design scheme and the main distribution purpose to the user.</w:t>
      </w:r>
      <w:r w:rsidRPr="00170ADC">
        <w:rPr>
          <w:rStyle w:val="FootnoteReference"/>
        </w:rPr>
        <w:footnoteReference w:id="485"/>
      </w:r>
    </w:p>
    <w:p w14:paraId="1318D9DD" w14:textId="0EE76440" w:rsidR="00217978" w:rsidRPr="00FA1A19" w:rsidRDefault="00217978" w:rsidP="0069352C">
      <w:pPr>
        <w:pStyle w:val="Heading4"/>
      </w:pPr>
      <w:r w:rsidRPr="00FA1A19">
        <w:t>Acquiring New Cryptocurrency</w:t>
      </w:r>
    </w:p>
    <w:p w14:paraId="3B6AA15E" w14:textId="77777777" w:rsidR="00217978" w:rsidRPr="00FA1A19" w:rsidRDefault="00217978" w:rsidP="00217978">
      <w:r w:rsidRPr="00FA1A19">
        <w:t>Some of more common ways in which newly minted cryptocurrency can be acquired include:</w:t>
      </w:r>
      <w:r w:rsidRPr="00170ADC">
        <w:rPr>
          <w:rStyle w:val="FootnoteReference"/>
        </w:rPr>
        <w:footnoteReference w:id="486"/>
      </w:r>
    </w:p>
    <w:p w14:paraId="04BD61D4" w14:textId="08E552C3" w:rsidR="00217978" w:rsidRPr="00FA1A19" w:rsidRDefault="00217978" w:rsidP="00342121">
      <w:pPr>
        <w:pStyle w:val="Bullet"/>
      </w:pPr>
      <w:r w:rsidRPr="00FA1A19">
        <w:t>mining (in a proof of work protocol)</w:t>
      </w:r>
    </w:p>
    <w:p w14:paraId="705EAAD9" w14:textId="67C1B340" w:rsidR="00217978" w:rsidRPr="00FA1A19" w:rsidRDefault="00217978" w:rsidP="00342121">
      <w:pPr>
        <w:pStyle w:val="Bullet"/>
      </w:pPr>
      <w:r w:rsidRPr="00FA1A19">
        <w:t>staking/forging (in a proof of stake protocol)</w:t>
      </w:r>
    </w:p>
    <w:p w14:paraId="7ACD46CE" w14:textId="38B2707E" w:rsidR="00217978" w:rsidRPr="00FA1A19" w:rsidRDefault="00217978" w:rsidP="00342121">
      <w:pPr>
        <w:pStyle w:val="Bullet"/>
      </w:pPr>
      <w:r w:rsidRPr="00FA1A19">
        <w:t>initial coin offerings</w:t>
      </w:r>
    </w:p>
    <w:p w14:paraId="30225655" w14:textId="77777777" w:rsidR="00217978" w:rsidRPr="00FA1A19" w:rsidRDefault="00217978" w:rsidP="00342121">
      <w:pPr>
        <w:pStyle w:val="Bullet"/>
      </w:pPr>
      <w:r w:rsidRPr="00FA1A19">
        <w:t>airdropping.</w:t>
      </w:r>
    </w:p>
    <w:p w14:paraId="0A37960B" w14:textId="77777777" w:rsidR="00217978" w:rsidRPr="00FA1A19" w:rsidRDefault="00217978" w:rsidP="0069352C">
      <w:pPr>
        <w:pStyle w:val="Heading4"/>
      </w:pPr>
      <w:r w:rsidRPr="00FA1A19">
        <w:t>Acquiring Existing Cryptocurrencies</w:t>
      </w:r>
    </w:p>
    <w:p w14:paraId="1183CFD5" w14:textId="77777777" w:rsidR="00217978" w:rsidRPr="00FA1A19" w:rsidRDefault="00217978" w:rsidP="00217978">
      <w:r w:rsidRPr="00FA1A19">
        <w:t>Existing cryptocurrencies may be acquired under transactions including the following:</w:t>
      </w:r>
      <w:r w:rsidRPr="00170ADC">
        <w:rPr>
          <w:rStyle w:val="FootnoteReference"/>
        </w:rPr>
        <w:footnoteReference w:id="487"/>
      </w:r>
    </w:p>
    <w:p w14:paraId="08C8DBD3" w14:textId="5EF8BBA0" w:rsidR="00217978" w:rsidRPr="00FA1A19" w:rsidRDefault="00217978" w:rsidP="00342121">
      <w:pPr>
        <w:pStyle w:val="Bullet"/>
      </w:pPr>
      <w:r w:rsidRPr="00FA1A19">
        <w:t>purchasing cryptocurrency</w:t>
      </w:r>
    </w:p>
    <w:p w14:paraId="1CA5DF08" w14:textId="33992268" w:rsidR="00217978" w:rsidRPr="00FA1A19" w:rsidRDefault="00217978" w:rsidP="00342121">
      <w:pPr>
        <w:pStyle w:val="Bullet"/>
      </w:pPr>
      <w:r w:rsidRPr="00FA1A19">
        <w:t>receiving cryptocurrency as payment for wages or services</w:t>
      </w:r>
    </w:p>
    <w:p w14:paraId="226A0449" w14:textId="12D14E58" w:rsidR="00217978" w:rsidRPr="00FA1A19" w:rsidRDefault="00217978" w:rsidP="00342121">
      <w:pPr>
        <w:pStyle w:val="Bullet"/>
      </w:pPr>
      <w:r w:rsidRPr="00FA1A19">
        <w:t>receiving cryptocurrency in exchange for property</w:t>
      </w:r>
    </w:p>
    <w:p w14:paraId="583317D8" w14:textId="46AA8FBD" w:rsidR="00217978" w:rsidRPr="00FA1A19" w:rsidRDefault="00217978" w:rsidP="00342121">
      <w:pPr>
        <w:pStyle w:val="Bullet"/>
      </w:pPr>
      <w:r w:rsidRPr="00FA1A19">
        <w:t>receiving cryptocurrency as payment for money owed</w:t>
      </w:r>
    </w:p>
    <w:p w14:paraId="3B26A391" w14:textId="0ED118A0" w:rsidR="00217978" w:rsidRPr="00FA1A19" w:rsidRDefault="00217978" w:rsidP="00342121">
      <w:pPr>
        <w:pStyle w:val="Bullet"/>
      </w:pPr>
      <w:r w:rsidRPr="00FA1A19">
        <w:t>receiving cryptocurrency as a rebate when using a debit or credit card</w:t>
      </w:r>
    </w:p>
    <w:p w14:paraId="545DD34E" w14:textId="3525BC3E" w:rsidR="00217978" w:rsidRPr="00FA1A19" w:rsidRDefault="00217978" w:rsidP="00342121">
      <w:pPr>
        <w:pStyle w:val="Bullet"/>
      </w:pPr>
      <w:r w:rsidRPr="00FA1A19">
        <w:t>learn to earn (some crypto exchanges/platforms entice participants to view educational content on their websites by the depositing a token into their account for doing so)</w:t>
      </w:r>
    </w:p>
    <w:p w14:paraId="2E804B2D" w14:textId="1BD47607" w:rsidR="00217978" w:rsidRPr="00FA1A19" w:rsidRDefault="00217978" w:rsidP="00342121">
      <w:pPr>
        <w:pStyle w:val="Bullet"/>
      </w:pPr>
      <w:r w:rsidRPr="00FA1A19">
        <w:t>receiving gifts</w:t>
      </w:r>
    </w:p>
    <w:p w14:paraId="0AD0D026" w14:textId="07BC8512" w:rsidR="00217978" w:rsidRPr="00FA1A19" w:rsidRDefault="00112468" w:rsidP="00342121">
      <w:pPr>
        <w:pStyle w:val="Bullet"/>
      </w:pPr>
      <w:r>
        <w:t>i</w:t>
      </w:r>
      <w:r w:rsidRPr="00FA1A19">
        <w:t>nheritance</w:t>
      </w:r>
    </w:p>
    <w:p w14:paraId="07CDEA45" w14:textId="730D35B2" w:rsidR="00217978" w:rsidRPr="00FA1A19" w:rsidRDefault="00217978" w:rsidP="00342121">
      <w:pPr>
        <w:pStyle w:val="Bullet"/>
      </w:pPr>
      <w:r w:rsidRPr="00FA1A19">
        <w:t>earning cryptocurrency (</w:t>
      </w:r>
      <w:r w:rsidR="00B252FA">
        <w:t>e.g.</w:t>
      </w:r>
      <w:r w:rsidRPr="00FA1A19">
        <w:t xml:space="preserve"> a miner or validator)</w:t>
      </w:r>
    </w:p>
    <w:p w14:paraId="01A10FD8" w14:textId="1C86FB97" w:rsidR="00217978" w:rsidRPr="00FA1A19" w:rsidRDefault="00217978" w:rsidP="00342121">
      <w:pPr>
        <w:pStyle w:val="Bullet"/>
      </w:pPr>
      <w:r w:rsidRPr="00FA1A19">
        <w:t>transferring cryptocurrency from another person or entity by way of, for example, gift or transfer from a co</w:t>
      </w:r>
      <w:r w:rsidR="00F75232">
        <w:noBreakHyphen/>
      </w:r>
      <w:r w:rsidRPr="00FA1A19">
        <w:t>owner.</w:t>
      </w:r>
    </w:p>
    <w:p w14:paraId="1AE97C7B" w14:textId="1E41EB18" w:rsidR="00217978" w:rsidRPr="00FA1A19" w:rsidRDefault="00217978" w:rsidP="00EB09BD">
      <w:pPr>
        <w:keepNext/>
      </w:pPr>
      <w:r w:rsidRPr="00FA1A19">
        <w:t xml:space="preserve">Acquiring </w:t>
      </w:r>
      <w:r w:rsidRPr="00342121">
        <w:t>or</w:t>
      </w:r>
      <w:r w:rsidRPr="00FA1A19">
        <w:t xml:space="preserve"> receiving cryptocurrency may occur via methods including the following:</w:t>
      </w:r>
    </w:p>
    <w:p w14:paraId="0A593834" w14:textId="5255E2A9" w:rsidR="00217978" w:rsidRPr="00FA1A19" w:rsidRDefault="00217978" w:rsidP="00342121">
      <w:pPr>
        <w:pStyle w:val="Bullet"/>
      </w:pPr>
      <w:r w:rsidRPr="00FA1A19">
        <w:t>Centralised Exchanges</w:t>
      </w:r>
    </w:p>
    <w:p w14:paraId="1BCDE6BE" w14:textId="12933357" w:rsidR="00217978" w:rsidRPr="00FA1A19" w:rsidRDefault="00217978" w:rsidP="00342121">
      <w:pPr>
        <w:pStyle w:val="Bullet"/>
      </w:pPr>
      <w:r w:rsidRPr="00FA1A19">
        <w:t>Decentralised Exchanges</w:t>
      </w:r>
    </w:p>
    <w:p w14:paraId="4519B990" w14:textId="50B03607" w:rsidR="00217978" w:rsidRPr="00FA1A19" w:rsidRDefault="00217978" w:rsidP="00342121">
      <w:pPr>
        <w:pStyle w:val="Bullet"/>
      </w:pPr>
      <w:r w:rsidRPr="00FA1A19">
        <w:t>Over</w:t>
      </w:r>
      <w:r w:rsidR="00F75232">
        <w:noBreakHyphen/>
      </w:r>
      <w:r w:rsidRPr="00FA1A19">
        <w:t>the</w:t>
      </w:r>
      <w:r w:rsidR="00F75232">
        <w:noBreakHyphen/>
      </w:r>
      <w:r w:rsidRPr="00FA1A19">
        <w:t>Counter (OTC) brokers.</w:t>
      </w:r>
      <w:r w:rsidR="005A12A5" w:rsidRPr="00170ADC">
        <w:rPr>
          <w:rStyle w:val="FootnoteReference"/>
        </w:rPr>
        <w:t xml:space="preserve"> </w:t>
      </w:r>
      <w:r w:rsidR="005A12A5" w:rsidRPr="00170ADC">
        <w:rPr>
          <w:rStyle w:val="FootnoteReference"/>
        </w:rPr>
        <w:footnoteReference w:id="488"/>
      </w:r>
    </w:p>
    <w:p w14:paraId="58C84FB4" w14:textId="77777777" w:rsidR="00217978" w:rsidRPr="00FA1A19" w:rsidRDefault="00217978" w:rsidP="00342121">
      <w:pPr>
        <w:pStyle w:val="Heading3"/>
      </w:pPr>
      <w:r w:rsidRPr="00FA1A19">
        <w:t xml:space="preserve">Holding </w:t>
      </w:r>
      <w:r w:rsidRPr="00342121">
        <w:t>Cryptocurrency</w:t>
      </w:r>
    </w:p>
    <w:p w14:paraId="17A685A2" w14:textId="78A09D66" w:rsidR="00217978" w:rsidRPr="00FA1A19" w:rsidRDefault="00217978" w:rsidP="00217978">
      <w:r w:rsidRPr="00FA1A19">
        <w:t xml:space="preserve">A crypto asset is held in a virtual crypto wallet which allows for the sending and receiving of cryptocurrency. </w:t>
      </w:r>
      <w:r w:rsidR="00867C7B" w:rsidRPr="00FA1A19">
        <w:t xml:space="preserve">As explained in </w:t>
      </w:r>
      <w:r w:rsidR="00372633">
        <w:t>Chapter </w:t>
      </w:r>
      <w:r w:rsidR="00867C7B" w:rsidRPr="00FA1A19">
        <w:t xml:space="preserve">3 </w:t>
      </w:r>
      <w:r w:rsidR="00F75232">
        <w:t>‘</w:t>
      </w:r>
      <w:r w:rsidR="00867C7B" w:rsidRPr="00FA1A19">
        <w:t>Wallets</w:t>
      </w:r>
      <w:r w:rsidR="00F75232">
        <w:t>’</w:t>
      </w:r>
      <w:r w:rsidR="00867C7B" w:rsidRPr="00FA1A19">
        <w:t>, c</w:t>
      </w:r>
      <w:r w:rsidRPr="00FA1A19">
        <w:t>rypto wallets can be online (hot wallet), or offline, via a specially configured USB (cold wallet)</w:t>
      </w:r>
      <w:r w:rsidR="00F75232">
        <w:t>’</w:t>
      </w:r>
      <w:r w:rsidRPr="00FA1A19">
        <w:t>.</w:t>
      </w:r>
      <w:r w:rsidRPr="00170ADC">
        <w:rPr>
          <w:rStyle w:val="FootnoteReference"/>
        </w:rPr>
        <w:footnoteReference w:id="489"/>
      </w:r>
    </w:p>
    <w:p w14:paraId="6A615823" w14:textId="1587D085" w:rsidR="00217978" w:rsidRPr="00FA1A19" w:rsidRDefault="00217978" w:rsidP="00217978">
      <w:r w:rsidRPr="00FA1A19">
        <w:t>Holders of crypto assets can exploit those assets in various ways to obtain returns.</w:t>
      </w:r>
      <w:r w:rsidR="004F0A51" w:rsidRPr="00FA1A19">
        <w:t xml:space="preserve"> </w:t>
      </w:r>
      <w:r w:rsidRPr="00FA1A19">
        <w:t>For example, they can stake those assets in a proof</w:t>
      </w:r>
      <w:r w:rsidR="00F75232">
        <w:noBreakHyphen/>
      </w:r>
      <w:r w:rsidRPr="00FA1A19">
        <w:t>of</w:t>
      </w:r>
      <w:r w:rsidR="00F75232">
        <w:noBreakHyphen/>
      </w:r>
      <w:r w:rsidRPr="00FA1A19">
        <w:t xml:space="preserve">stake protocol (such as the Ethereum blockchain) or may use DeFi protocols to earn </w:t>
      </w:r>
      <w:r w:rsidR="00F75232">
        <w:t>‘</w:t>
      </w:r>
      <w:r w:rsidRPr="00FA1A19">
        <w:t>lock</w:t>
      </w:r>
      <w:r w:rsidR="00F75232">
        <w:noBreakHyphen/>
      </w:r>
      <w:r w:rsidRPr="00FA1A19">
        <w:t>up yields</w:t>
      </w:r>
      <w:r w:rsidR="00F75232">
        <w:t>’</w:t>
      </w:r>
      <w:r w:rsidRPr="00FA1A19">
        <w:t xml:space="preserve"> or returns from liquidity mining or yield farming.</w:t>
      </w:r>
      <w:r w:rsidR="004F0A51" w:rsidRPr="00FA1A19">
        <w:t xml:space="preserve"> </w:t>
      </w:r>
      <w:r w:rsidR="007A15CA" w:rsidRPr="00FA1A19">
        <w:t>They may also be used for bridging or wrapping.</w:t>
      </w:r>
      <w:r w:rsidR="004F0A51" w:rsidRPr="00FA1A19">
        <w:t xml:space="preserve"> </w:t>
      </w:r>
      <w:r w:rsidRPr="00FA1A19">
        <w:t>Airdrops may also be distributed on the basis of holdings of crypto assets.</w:t>
      </w:r>
      <w:r w:rsidR="004F0A51" w:rsidRPr="00FA1A19">
        <w:t xml:space="preserve"> </w:t>
      </w:r>
      <w:r w:rsidRPr="00FA1A19">
        <w:t xml:space="preserve">For further, see </w:t>
      </w:r>
      <w:r w:rsidR="00372633">
        <w:t>Chapter </w:t>
      </w:r>
      <w:r w:rsidRPr="00FA1A19">
        <w:t xml:space="preserve">3 and in particular </w:t>
      </w:r>
      <w:r w:rsidR="00F75232">
        <w:t>‘</w:t>
      </w:r>
      <w:r w:rsidRPr="00FA1A19">
        <w:t>Proof</w:t>
      </w:r>
      <w:r w:rsidR="00F75232">
        <w:noBreakHyphen/>
      </w:r>
      <w:r w:rsidRPr="00FA1A19">
        <w:t>of</w:t>
      </w:r>
      <w:r w:rsidR="00F75232">
        <w:noBreakHyphen/>
      </w:r>
      <w:r w:rsidRPr="00FA1A19">
        <w:t>stake</w:t>
      </w:r>
      <w:r w:rsidR="00F75232">
        <w:t>’</w:t>
      </w:r>
      <w:r w:rsidRPr="00FA1A19">
        <w:t xml:space="preserve"> and </w:t>
      </w:r>
      <w:r w:rsidR="00F75232">
        <w:t>‘</w:t>
      </w:r>
      <w:r w:rsidRPr="00FA1A19">
        <w:t>Returns available from holdings of crypto assets</w:t>
      </w:r>
      <w:r w:rsidR="00F75232">
        <w:t>’</w:t>
      </w:r>
      <w:r w:rsidRPr="00FA1A19">
        <w:t>.</w:t>
      </w:r>
    </w:p>
    <w:p w14:paraId="6A3FDCC1" w14:textId="09165A7A" w:rsidR="00AC1EAC" w:rsidRPr="00FA1A19" w:rsidRDefault="00AC1EAC" w:rsidP="00342121">
      <w:pPr>
        <w:pStyle w:val="Heading3"/>
      </w:pPr>
      <w:r w:rsidRPr="00FA1A19">
        <w:t xml:space="preserve">Evolution of </w:t>
      </w:r>
      <w:r w:rsidR="002D3E21" w:rsidRPr="00342121">
        <w:t>C</w:t>
      </w:r>
      <w:r w:rsidRPr="00342121">
        <w:t>ryptocurrency</w:t>
      </w:r>
      <w:r w:rsidRPr="00FA1A19">
        <w:t xml:space="preserve"> </w:t>
      </w:r>
    </w:p>
    <w:p w14:paraId="2F04C729" w14:textId="2C880E9D" w:rsidR="00AC1EAC" w:rsidRPr="00FA1A19" w:rsidRDefault="00AC1EAC" w:rsidP="00AC1EAC">
      <w:r w:rsidRPr="00FA1A19">
        <w:t xml:space="preserve">As explained in </w:t>
      </w:r>
      <w:r w:rsidR="00372633">
        <w:t>Chapter </w:t>
      </w:r>
      <w:r w:rsidRPr="00FA1A19">
        <w:t>3, the off</w:t>
      </w:r>
      <w:r w:rsidR="00F75232">
        <w:noBreakHyphen/>
      </w:r>
      <w:r w:rsidRPr="00FA1A19">
        <w:t xml:space="preserve">chain governance arrangements in relation to a blockchain network may cause a </w:t>
      </w:r>
      <w:r w:rsidR="00F75232">
        <w:t>‘</w:t>
      </w:r>
      <w:r w:rsidRPr="00FA1A19">
        <w:t>hard fork</w:t>
      </w:r>
      <w:r w:rsidR="00F75232">
        <w:t>’</w:t>
      </w:r>
      <w:r w:rsidRPr="00FA1A19">
        <w:t xml:space="preserve"> in the blockchain, which is caused by a change in the protocol that is not adopted by all nodes.</w:t>
      </w:r>
      <w:r w:rsidR="004F0A51" w:rsidRPr="00FA1A19">
        <w:t xml:space="preserve"> </w:t>
      </w:r>
      <w:r w:rsidRPr="00FA1A19">
        <w:t>The result of a hard fork is that there are now two blockchains, and the original holders do</w:t>
      </w:r>
      <w:r w:rsidR="001D4951">
        <w:t xml:space="preserve"> </w:t>
      </w:r>
      <w:r w:rsidRPr="00FA1A19">
        <w:t>n</w:t>
      </w:r>
      <w:r w:rsidR="001D4951">
        <w:t>o</w:t>
      </w:r>
      <w:r w:rsidRPr="00FA1A19">
        <w:t>t lose any of their existing digital coin but instead will get a unit of the new crypto as well.</w:t>
      </w:r>
      <w:r w:rsidRPr="00170ADC">
        <w:rPr>
          <w:rStyle w:val="FootnoteReference"/>
        </w:rPr>
        <w:footnoteReference w:id="490"/>
      </w:r>
    </w:p>
    <w:p w14:paraId="337F3113" w14:textId="77777777" w:rsidR="00217978" w:rsidRPr="00FA1A19" w:rsidRDefault="00217978" w:rsidP="00342121">
      <w:pPr>
        <w:pStyle w:val="Heading3"/>
      </w:pPr>
      <w:r w:rsidRPr="00FA1A19">
        <w:t xml:space="preserve">Disposing of </w:t>
      </w:r>
      <w:r w:rsidRPr="00342121">
        <w:t>Cryptocurrency</w:t>
      </w:r>
    </w:p>
    <w:p w14:paraId="318A7122" w14:textId="5614B284" w:rsidR="00217978" w:rsidRPr="00FA1A19" w:rsidRDefault="00217978" w:rsidP="00217978">
      <w:r w:rsidRPr="00FA1A19">
        <w:t>The users of cryptocurrency may dispose of their currency by:</w:t>
      </w:r>
    </w:p>
    <w:p w14:paraId="2722E6EA" w14:textId="36A9BF3A" w:rsidR="00217978" w:rsidRPr="00FA1A19" w:rsidRDefault="00217978" w:rsidP="00342121">
      <w:pPr>
        <w:pStyle w:val="Bullet"/>
      </w:pPr>
      <w:r w:rsidRPr="00FA1A19">
        <w:t>converting it to fiat currency (usually via an exchange or OTC trading)</w:t>
      </w:r>
    </w:p>
    <w:p w14:paraId="01017661" w14:textId="754289A2" w:rsidR="00217978" w:rsidRPr="00FA1A19" w:rsidRDefault="00217978" w:rsidP="00342121">
      <w:pPr>
        <w:pStyle w:val="Bullet"/>
      </w:pPr>
      <w:r w:rsidRPr="00FA1A19">
        <w:t>converting it to another crypto asset (usually via an exchange or OTC trading)</w:t>
      </w:r>
    </w:p>
    <w:p w14:paraId="302712C6" w14:textId="3405A187" w:rsidR="00217978" w:rsidRPr="00FA1A19" w:rsidRDefault="00217978" w:rsidP="00342121">
      <w:pPr>
        <w:pStyle w:val="Bullet"/>
      </w:pPr>
      <w:r w:rsidRPr="00FA1A19">
        <w:t>using cryptocurrency as payment for goods and services</w:t>
      </w:r>
    </w:p>
    <w:p w14:paraId="6607FDDC" w14:textId="7D49573A" w:rsidR="00217978" w:rsidRPr="00FA1A19" w:rsidRDefault="00217978" w:rsidP="00342121">
      <w:pPr>
        <w:pStyle w:val="Bullet"/>
      </w:pPr>
      <w:r w:rsidRPr="00FA1A19">
        <w:t>gifting it</w:t>
      </w:r>
    </w:p>
    <w:p w14:paraId="345969EA" w14:textId="7133EC36" w:rsidR="00B47EB2" w:rsidRPr="00FA1A19" w:rsidRDefault="00217978" w:rsidP="00342121">
      <w:pPr>
        <w:pStyle w:val="Bullet"/>
      </w:pPr>
      <w:r w:rsidRPr="00FA1A19">
        <w:t>donating i</w:t>
      </w:r>
      <w:r w:rsidR="00561D88">
        <w:t>t</w:t>
      </w:r>
    </w:p>
    <w:p w14:paraId="64D3CFB2" w14:textId="609E5D07" w:rsidR="000D7C0E" w:rsidRPr="00FA1A19" w:rsidRDefault="00B47EB2" w:rsidP="00342121">
      <w:pPr>
        <w:pStyle w:val="Bullet"/>
      </w:pPr>
      <w:r w:rsidRPr="00FA1A19">
        <w:t xml:space="preserve">burning it or sending it to a </w:t>
      </w:r>
      <w:r w:rsidR="00F75232">
        <w:t>‘</w:t>
      </w:r>
      <w:r w:rsidRPr="00FA1A19">
        <w:t>blackhole</w:t>
      </w:r>
      <w:r w:rsidR="00F75232">
        <w:t>’</w:t>
      </w:r>
      <w:r w:rsidRPr="00FA1A19">
        <w:t xml:space="preserve"> account that non one controls</w:t>
      </w:r>
      <w:r w:rsidR="00217978" w:rsidRPr="00FA1A19">
        <w:t>.</w:t>
      </w:r>
      <w:r w:rsidR="00D046AF" w:rsidRPr="00170ADC">
        <w:rPr>
          <w:rStyle w:val="FootnoteReference"/>
        </w:rPr>
        <w:t xml:space="preserve"> </w:t>
      </w:r>
      <w:r w:rsidR="00D046AF" w:rsidRPr="00170ADC">
        <w:rPr>
          <w:rStyle w:val="FootnoteReference"/>
        </w:rPr>
        <w:footnoteReference w:id="491"/>
      </w:r>
    </w:p>
    <w:p w14:paraId="02792C1C" w14:textId="3C077AC9" w:rsidR="00217978" w:rsidRPr="00FA1A19" w:rsidRDefault="000D7C0E" w:rsidP="00217978">
      <w:r w:rsidRPr="00FA1A19">
        <w:t>The users of cryptocurrency may also</w:t>
      </w:r>
      <w:r w:rsidR="00B722EC" w:rsidRPr="00FA1A19">
        <w:t xml:space="preserve"> effectively</w:t>
      </w:r>
      <w:r w:rsidRPr="00FA1A19">
        <w:t xml:space="preserve"> lose their cryptocurrency by </w:t>
      </w:r>
      <w:r w:rsidR="00EA20B0">
        <w:t>losing or</w:t>
      </w:r>
      <w:r w:rsidR="00C05D76">
        <w:t xml:space="preserve"> </w:t>
      </w:r>
      <w:r w:rsidRPr="00FA1A19">
        <w:t>forgetting their private key</w:t>
      </w:r>
      <w:r w:rsidR="00EA20B0">
        <w:t>, or as a result of theft</w:t>
      </w:r>
      <w:r w:rsidR="00217978" w:rsidRPr="00FA1A19">
        <w:t>.</w:t>
      </w:r>
    </w:p>
    <w:p w14:paraId="0F0124CF" w14:textId="00327755" w:rsidR="00217978" w:rsidRPr="00342121" w:rsidRDefault="00217978" w:rsidP="0069352C">
      <w:pPr>
        <w:pStyle w:val="Heading2"/>
        <w:rPr>
          <w:rStyle w:val="Emphasis"/>
          <w:i w:val="0"/>
          <w:iCs/>
        </w:rPr>
      </w:pPr>
      <w:bookmarkStart w:id="130" w:name="_Toc159513621"/>
      <w:r w:rsidRPr="00342121">
        <w:rPr>
          <w:rStyle w:val="Emphasis"/>
          <w:i w:val="0"/>
          <w:iCs/>
        </w:rPr>
        <w:t>Tax treatment of specific crypto asset transactions</w:t>
      </w:r>
      <w:bookmarkEnd w:id="130"/>
    </w:p>
    <w:p w14:paraId="75FC760C" w14:textId="583EE74F" w:rsidR="00217978" w:rsidRPr="00FA1A19" w:rsidRDefault="00217978" w:rsidP="00217978">
      <w:r w:rsidRPr="00FA1A19">
        <w:t>Various submissions suggested that the correct tax treatment of crypto asset transactions is best considered by addressing a series of factual questions about the transaction and its features.</w:t>
      </w:r>
      <w:r w:rsidR="004F0A51" w:rsidRPr="00FA1A19">
        <w:t xml:space="preserve"> </w:t>
      </w:r>
      <w:r w:rsidRPr="00FA1A19">
        <w:t>Such factual questions may cover issues such as</w:t>
      </w:r>
      <w:r w:rsidRPr="00FA1A19">
        <w:rPr>
          <w:b/>
          <w:bCs/>
          <w:i/>
          <w:iCs/>
        </w:rPr>
        <w:t>:</w:t>
      </w:r>
    </w:p>
    <w:p w14:paraId="71499EDF" w14:textId="0C0C0F99" w:rsidR="00217978" w:rsidRPr="00FA1A19" w:rsidRDefault="00217978" w:rsidP="00342121">
      <w:pPr>
        <w:pStyle w:val="Bullet"/>
      </w:pPr>
      <w:r w:rsidRPr="00FA1A19">
        <w:t>the subjective intention and purpose of the taxpayer at the time of entering into the transaction</w:t>
      </w:r>
    </w:p>
    <w:p w14:paraId="3060BC3C" w14:textId="4C88053B" w:rsidR="00217978" w:rsidRPr="00FA1A19" w:rsidRDefault="00217978" w:rsidP="00342121">
      <w:pPr>
        <w:pStyle w:val="Bullet"/>
      </w:pPr>
      <w:r w:rsidRPr="00FA1A19">
        <w:t>the type of cryptocurrency or digital asset involved in the transaction</w:t>
      </w:r>
    </w:p>
    <w:p w14:paraId="0A2220F1" w14:textId="781BD9DB" w:rsidR="00217978" w:rsidRPr="00FA1A19" w:rsidRDefault="00217978" w:rsidP="00342121">
      <w:pPr>
        <w:pStyle w:val="Bullet"/>
      </w:pPr>
      <w:r w:rsidRPr="00FA1A19">
        <w:t>any associated rights, embedded or otherwise, attached to the asset including any rights to a revenue stream</w:t>
      </w:r>
    </w:p>
    <w:p w14:paraId="5A567A8B" w14:textId="6A29B98F" w:rsidR="00217978" w:rsidRPr="00FA1A19" w:rsidRDefault="00217978" w:rsidP="00342121">
      <w:pPr>
        <w:pStyle w:val="Bullet"/>
      </w:pPr>
      <w:r w:rsidRPr="00FA1A19">
        <w:t>how the crypto asset was acquired by the taxpayer</w:t>
      </w:r>
    </w:p>
    <w:p w14:paraId="42A7FACA" w14:textId="1FACF53E" w:rsidR="00217978" w:rsidRPr="00FA1A19" w:rsidRDefault="00217978" w:rsidP="00342121">
      <w:pPr>
        <w:pStyle w:val="Bullet"/>
      </w:pPr>
      <w:r w:rsidRPr="00FA1A19">
        <w:t>the platform on which the transaction was executed (e.g. via decentralised exchange, centralised exchange, wallet to wallet transaction, or gaming)</w:t>
      </w:r>
    </w:p>
    <w:p w14:paraId="414CFE7C" w14:textId="0A5D3DAB" w:rsidR="00217978" w:rsidRPr="00FA1A19" w:rsidRDefault="00217978" w:rsidP="00342121">
      <w:pPr>
        <w:pStyle w:val="Bullet"/>
      </w:pPr>
      <w:r w:rsidRPr="00FA1A19">
        <w:t xml:space="preserve">where the platform is operated by a </w:t>
      </w:r>
      <w:r w:rsidR="00FC3B7A" w:rsidRPr="00FA1A19">
        <w:t>third</w:t>
      </w:r>
      <w:r w:rsidR="00F75232">
        <w:noBreakHyphen/>
      </w:r>
      <w:r w:rsidR="00FC3B7A" w:rsidRPr="00FA1A19">
        <w:t>party</w:t>
      </w:r>
      <w:r w:rsidRPr="00FA1A19">
        <w:t xml:space="preserve"> intermediary, the jurisdiction/location of the platform, its role and purpose in the transaction (e.g. issuer, agent, custodian) and any relevant contractual terms</w:t>
      </w:r>
    </w:p>
    <w:p w14:paraId="41CBB27D" w14:textId="4966E28B" w:rsidR="00217978" w:rsidRPr="00FA1A19" w:rsidRDefault="00217978" w:rsidP="00342121">
      <w:pPr>
        <w:pStyle w:val="Bullet"/>
      </w:pPr>
      <w:r w:rsidRPr="00FA1A19">
        <w:t>the volume of transactions (e.g. were the assets acquired in a systematic fashion, volume of transactions, period the assets were held).</w:t>
      </w:r>
    </w:p>
    <w:p w14:paraId="7EE0ED99" w14:textId="2CBBACB4" w:rsidR="00217978" w:rsidRPr="00FA1A19" w:rsidRDefault="00217978" w:rsidP="00342121">
      <w:r w:rsidRPr="00FA1A19">
        <w:t xml:space="preserve">In their submission, PwC highlighted some of the factors potentially relevant to determining the </w:t>
      </w:r>
      <w:r w:rsidRPr="00342121">
        <w:t>correct</w:t>
      </w:r>
      <w:r w:rsidRPr="00FA1A19">
        <w:t xml:space="preserve"> and appropriate taxation treatment when they noted that there is greater difficultly in determining the appropriate tax treatment of payment, utility and governance tokens over security tokens and NFTs, and further highlighted the need to consider the tax treatment of actions that are outside the holder</w:t>
      </w:r>
      <w:r w:rsidR="00F75232">
        <w:t>’</w:t>
      </w:r>
      <w:r w:rsidRPr="00FA1A19">
        <w:t>s control</w:t>
      </w:r>
      <w:r w:rsidRPr="00FA1A19" w:rsidDel="00F117AA">
        <w:t xml:space="preserve"> </w:t>
      </w:r>
      <w:r w:rsidRPr="00FA1A19">
        <w:t>compared with those instituted by the holder.</w:t>
      </w:r>
      <w:r w:rsidRPr="00170ADC">
        <w:rPr>
          <w:rStyle w:val="FootnoteReference"/>
        </w:rPr>
        <w:footnoteReference w:id="492"/>
      </w:r>
    </w:p>
    <w:p w14:paraId="20542A68" w14:textId="087F1EBE" w:rsidR="0092227F" w:rsidRPr="00FA1A19" w:rsidRDefault="00217978" w:rsidP="00217978">
      <w:r w:rsidRPr="00FA1A19">
        <w:t>Notably and consistent with P</w:t>
      </w:r>
      <w:r w:rsidR="6E4157CA" w:rsidRPr="00FA1A19">
        <w:t>w</w:t>
      </w:r>
      <w:r w:rsidRPr="00FA1A19">
        <w:t>C</w:t>
      </w:r>
      <w:r w:rsidR="00F75232">
        <w:t>’</w:t>
      </w:r>
      <w:r w:rsidRPr="00FA1A19">
        <w:t>s comments, in the Board</w:t>
      </w:r>
      <w:r w:rsidR="00F75232">
        <w:t>’</w:t>
      </w:r>
      <w:r w:rsidRPr="00FA1A19">
        <w:t xml:space="preserve">s view the greater difficulty arises when considering tokens that are entirely </w:t>
      </w:r>
      <w:r w:rsidR="00F75232">
        <w:t>‘</w:t>
      </w:r>
      <w:r w:rsidRPr="00FA1A19">
        <w:t>on</w:t>
      </w:r>
      <w:r w:rsidR="008F4B27">
        <w:t>-</w:t>
      </w:r>
      <w:r w:rsidRPr="00FA1A19">
        <w:t>chain</w:t>
      </w:r>
      <w:r w:rsidR="00F75232">
        <w:t>’</w:t>
      </w:r>
      <w:r w:rsidRPr="00FA1A19">
        <w:t xml:space="preserve"> (ordinarily payment, utility and governance tokens which are not associated</w:t>
      </w:r>
      <w:r w:rsidR="00974BCD" w:rsidRPr="00FA1A19">
        <w:t xml:space="preserve"> with </w:t>
      </w:r>
      <w:r w:rsidR="00F75232">
        <w:t>‘</w:t>
      </w:r>
      <w:r w:rsidR="00974BCD" w:rsidRPr="00FA1A19">
        <w:t>real world</w:t>
      </w:r>
      <w:r w:rsidR="00F75232">
        <w:t>’</w:t>
      </w:r>
      <w:r w:rsidR="00974BCD" w:rsidRPr="00FA1A19">
        <w:t xml:space="preserve"> assets or transactions</w:t>
      </w:r>
      <w:r w:rsidRPr="00FA1A19">
        <w:t>)</w:t>
      </w:r>
      <w:r w:rsidR="00361D85" w:rsidRPr="00FA1A19">
        <w:t xml:space="preserve"> because these have features </w:t>
      </w:r>
      <w:r w:rsidR="002479D2" w:rsidRPr="00FA1A19">
        <w:t>such as decentralisation and pseudo</w:t>
      </w:r>
      <w:r w:rsidR="00F75232">
        <w:noBreakHyphen/>
      </w:r>
      <w:r w:rsidR="002479D2" w:rsidRPr="00FA1A19">
        <w:t xml:space="preserve">anonymity </w:t>
      </w:r>
      <w:r w:rsidR="00361D85" w:rsidRPr="00FA1A19">
        <w:t>that may not be found in more traditional transactions</w:t>
      </w:r>
      <w:r w:rsidRPr="00FA1A19">
        <w:t>.</w:t>
      </w:r>
      <w:r w:rsidR="004F0A51" w:rsidRPr="00FA1A19">
        <w:t xml:space="preserve"> </w:t>
      </w:r>
      <w:r w:rsidRPr="00FA1A19">
        <w:t xml:space="preserve">Accordingly, the Board has focussed on taxation issues associated with these tokens, and predominantly on the foundational cryptocurrency which is native to a blockchain </w:t>
      </w:r>
      <w:r w:rsidR="00B37AC1" w:rsidRPr="00FA1A19">
        <w:t>(i.e.</w:t>
      </w:r>
      <w:r w:rsidR="0092227F" w:rsidRPr="00FA1A19">
        <w:t xml:space="preserve"> </w:t>
      </w:r>
      <w:r w:rsidRPr="00FA1A19">
        <w:t>a payment token).</w:t>
      </w:r>
      <w:r w:rsidR="004F0A51" w:rsidRPr="00FA1A19">
        <w:t xml:space="preserve"> </w:t>
      </w:r>
    </w:p>
    <w:p w14:paraId="1608158C" w14:textId="1C4E15C0" w:rsidR="00217978" w:rsidRPr="00FA1A19" w:rsidRDefault="00217978" w:rsidP="00217978">
      <w:r w:rsidRPr="00FA1A19">
        <w:t>Accordingly, set out below is the Board</w:t>
      </w:r>
      <w:r w:rsidR="00F75232">
        <w:t>’</w:t>
      </w:r>
      <w:r w:rsidRPr="00FA1A19">
        <w:t>s analysis of the taxation issues arising when consideration is given to specific crypto asset transactions</w:t>
      </w:r>
      <w:r w:rsidR="00FE6D04" w:rsidRPr="00FA1A19">
        <w:t xml:space="preserve"> with a focus on cryptocurrencies</w:t>
      </w:r>
      <w:r w:rsidRPr="00FA1A19">
        <w:t xml:space="preserve">, based on the lifecycle stages identified </w:t>
      </w:r>
      <w:r w:rsidR="007F310B" w:rsidRPr="00FA1A19">
        <w:t>in the first section of this chapter</w:t>
      </w:r>
      <w:r w:rsidRPr="00FA1A19">
        <w:t xml:space="preserve">: acquiring and receiving crypto assets, holding crypto assets, </w:t>
      </w:r>
      <w:r w:rsidR="007F310B" w:rsidRPr="00FA1A19">
        <w:t xml:space="preserve">the evolution </w:t>
      </w:r>
      <w:r w:rsidR="00542225" w:rsidRPr="00FA1A19">
        <w:t xml:space="preserve">crypto assets, and </w:t>
      </w:r>
      <w:r w:rsidRPr="00FA1A19">
        <w:t xml:space="preserve">disposing of crypto assets, focussing on cryptocurrencies. </w:t>
      </w:r>
    </w:p>
    <w:p w14:paraId="4F2F6537" w14:textId="77777777" w:rsidR="00217978" w:rsidRPr="00FA1A19" w:rsidRDefault="00217978" w:rsidP="008F0C3C">
      <w:pPr>
        <w:pStyle w:val="Heading3"/>
      </w:pPr>
      <w:r w:rsidRPr="00FA1A19">
        <w:t>Acquiring Crypto Assets</w:t>
      </w:r>
    </w:p>
    <w:p w14:paraId="684AC226" w14:textId="2A6394B8" w:rsidR="00217978" w:rsidRPr="00FA1A19" w:rsidRDefault="00217978" w:rsidP="0069352C">
      <w:pPr>
        <w:pStyle w:val="Heading4"/>
      </w:pPr>
      <w:r w:rsidRPr="00FA1A19">
        <w:t>Crypto asset mining (proof of work</w:t>
      </w:r>
      <w:r w:rsidRPr="00FA1A19" w:rsidDel="00D73D7A">
        <w:t xml:space="preserve"> </w:t>
      </w:r>
      <w:r w:rsidRPr="00FA1A19">
        <w:t>protocol)</w:t>
      </w:r>
    </w:p>
    <w:p w14:paraId="17071D79" w14:textId="458532B2" w:rsidR="00217978" w:rsidRPr="00FA1A19" w:rsidRDefault="00217978" w:rsidP="00217978">
      <w:r w:rsidRPr="00FA1A19">
        <w:t xml:space="preserve">As explained in </w:t>
      </w:r>
      <w:r w:rsidR="00372633">
        <w:t>Chapter </w:t>
      </w:r>
      <w:r w:rsidRPr="00FA1A19">
        <w:t>3, a miner is a person or entity that operates a proof of work network to verify and add</w:t>
      </w:r>
      <w:r w:rsidRPr="00FA1A19" w:rsidDel="00684CDE">
        <w:t xml:space="preserve"> </w:t>
      </w:r>
      <w:r w:rsidRPr="00FA1A19">
        <w:t>transactions to a blockchain</w:t>
      </w:r>
      <w:r w:rsidR="00F75232">
        <w:noBreakHyphen/>
      </w:r>
      <w:r w:rsidRPr="00FA1A19">
        <w:t>based ledger. This mining activity involves processing crypto transactions on the Blockchain (the creation of new blocks on the Blockchain) by miners. As a reward for being the first to solve the problem, the miner receives newly created crypto assets (tokens or coins) and transaction fees.</w:t>
      </w:r>
      <w:r w:rsidR="004F0A51" w:rsidRPr="00FA1A19">
        <w:t xml:space="preserve"> </w:t>
      </w:r>
      <w:r w:rsidR="00D52E81" w:rsidRPr="00FA1A19">
        <w:t xml:space="preserve">See </w:t>
      </w:r>
      <w:r w:rsidR="00372633">
        <w:t>Chapter </w:t>
      </w:r>
      <w:r w:rsidR="00D52E81" w:rsidRPr="00FA1A19">
        <w:t>3 for further details.</w:t>
      </w:r>
    </w:p>
    <w:p w14:paraId="0702737E" w14:textId="77777777" w:rsidR="00217978" w:rsidRPr="00FA1A19" w:rsidRDefault="00217978" w:rsidP="00217978">
      <w:r w:rsidRPr="00FA1A19">
        <w:t>The following potential events may occur for a taxpayer undertaking crypto asset mining:</w:t>
      </w:r>
    </w:p>
    <w:p w14:paraId="041555A9" w14:textId="77777777" w:rsidR="00217978" w:rsidRPr="00FA1A19" w:rsidRDefault="00217978" w:rsidP="008F0C3C">
      <w:pPr>
        <w:pStyle w:val="Bullet"/>
      </w:pPr>
      <w:r w:rsidRPr="00FA1A19">
        <w:t>receive by way of reward for being the first to solve the problem:</w:t>
      </w:r>
    </w:p>
    <w:p w14:paraId="4183E04E" w14:textId="0127CC44" w:rsidR="00217978" w:rsidRPr="00FA1A19" w:rsidRDefault="00217978" w:rsidP="008F0C3C">
      <w:pPr>
        <w:pStyle w:val="Dash"/>
      </w:pPr>
      <w:r w:rsidRPr="00FA1A19">
        <w:t xml:space="preserve">the </w:t>
      </w:r>
      <w:r w:rsidR="00F75232">
        <w:t>‘</w:t>
      </w:r>
      <w:r w:rsidRPr="00FA1A19">
        <w:t>Block Subsidy</w:t>
      </w:r>
      <w:r w:rsidR="00F75232">
        <w:t>’</w:t>
      </w:r>
      <w:r w:rsidRPr="00FA1A19">
        <w:t xml:space="preserve"> being newly minted crypto assets</w:t>
      </w:r>
    </w:p>
    <w:p w14:paraId="7B40D4BE" w14:textId="54CC7461" w:rsidR="00217978" w:rsidRPr="00FA1A19" w:rsidRDefault="00217978" w:rsidP="008F0C3C">
      <w:pPr>
        <w:pStyle w:val="Dash"/>
      </w:pPr>
      <w:r w:rsidRPr="00FA1A19">
        <w:t>transaction fees in the form of existing crypto asset tokens paid by the user to get their transaction included in the blockchain</w:t>
      </w:r>
      <w:r w:rsidR="00561D88">
        <w:t>.</w:t>
      </w:r>
    </w:p>
    <w:p w14:paraId="012E7703" w14:textId="5481C2EF" w:rsidR="00217978" w:rsidRPr="00FA1A19" w:rsidRDefault="00217978" w:rsidP="008F0C3C">
      <w:pPr>
        <w:pStyle w:val="Bullet"/>
      </w:pPr>
      <w:r w:rsidRPr="00FA1A19">
        <w:t>incur costs in relation to undertaking mining activities (such as electricity)</w:t>
      </w:r>
    </w:p>
    <w:p w14:paraId="6E985679" w14:textId="77777777" w:rsidR="00217978" w:rsidRPr="00FA1A19" w:rsidRDefault="00217978" w:rsidP="008F0C3C">
      <w:pPr>
        <w:pStyle w:val="Bullet"/>
      </w:pPr>
      <w:r w:rsidRPr="00FA1A19">
        <w:t>potentially transfer the crypto assets to a buyer or crypto exchange.</w:t>
      </w:r>
    </w:p>
    <w:p w14:paraId="653A5C7D" w14:textId="77777777" w:rsidR="00217978" w:rsidRPr="00FA1A19" w:rsidRDefault="00217978" w:rsidP="00217978">
      <w:r w:rsidRPr="00FA1A19">
        <w:t xml:space="preserve">In determining the appropriate tax treatment of mining activities, it is necessary to consider the characterisation of the reward received by the miner. As Cadena Legal stated in its submission to the Review: </w:t>
      </w:r>
    </w:p>
    <w:p w14:paraId="0AFB0872" w14:textId="32D018A4" w:rsidR="00217978" w:rsidRPr="00FA1A19" w:rsidRDefault="00217978" w:rsidP="00217DA0">
      <w:pPr>
        <w:pStyle w:val="Quote"/>
      </w:pPr>
      <w:r w:rsidRPr="00FA1A19">
        <w:t xml:space="preserve">There is significant uncertainty as to whether proof of work validation activities should be characterised as the provision of services in exchange of the mining rewards, either to the network as a whole or the parties to the transaction that is being validated, or as the miner creating the rewards through their own efforts …. This legal characterisation is essential to determining whether </w:t>
      </w:r>
      <w:r w:rsidR="00F75232">
        <w:t>‘</w:t>
      </w:r>
      <w:r w:rsidRPr="00FA1A19">
        <w:t>received</w:t>
      </w:r>
      <w:r w:rsidR="00F75232">
        <w:t>’</w:t>
      </w:r>
      <w:r w:rsidRPr="00FA1A19">
        <w:t xml:space="preserve"> mining rewards are income of the miner – rewards for services are clearly income, while the manufacture of an asset does not typically result in the market value of the manufactured asset being included as assessable income.</w:t>
      </w:r>
      <w:r w:rsidRPr="00170ADC">
        <w:rPr>
          <w:rStyle w:val="FootnoteReference"/>
        </w:rPr>
        <w:footnoteReference w:id="493"/>
      </w:r>
      <w:r w:rsidR="004F0A51" w:rsidRPr="00FA1A19">
        <w:t xml:space="preserve"> </w:t>
      </w:r>
    </w:p>
    <w:p w14:paraId="5B7FB981" w14:textId="716F1489" w:rsidR="00217978" w:rsidRPr="00FA1A19" w:rsidRDefault="00217978" w:rsidP="00217978">
      <w:r w:rsidRPr="00FA1A19">
        <w:t>The Board notes that the two different components to the miner</w:t>
      </w:r>
      <w:r w:rsidR="00F75232">
        <w:t>’</w:t>
      </w:r>
      <w:r w:rsidRPr="00FA1A19">
        <w:t xml:space="preserve">s reward (being the newly minted crypto asset and the transaction fees) might add to this uncertainty, with the former arguably more in the nature of a creation by the miner, and the latter a reward in exchange for the provision of services. </w:t>
      </w:r>
    </w:p>
    <w:p w14:paraId="4DFC7DA1" w14:textId="03D5896B" w:rsidR="00217978" w:rsidRPr="00FA1A19" w:rsidRDefault="00217978" w:rsidP="008F0C3C">
      <w:pPr>
        <w:pStyle w:val="Heading5"/>
      </w:pPr>
      <w:r w:rsidRPr="00FA1A19">
        <w:t>ATO guidance</w:t>
      </w:r>
    </w:p>
    <w:p w14:paraId="6A6C5550" w14:textId="51DB0DD0" w:rsidR="00217978" w:rsidRPr="00FA1A19" w:rsidRDefault="00217978" w:rsidP="00217978">
      <w:r w:rsidRPr="00FA1A19">
        <w:t>In the explanatory section of its Taxation Determination TD 2014/27,</w:t>
      </w:r>
      <w:r w:rsidRPr="00170ADC">
        <w:rPr>
          <w:rStyle w:val="FootnoteReference"/>
        </w:rPr>
        <w:footnoteReference w:id="494"/>
      </w:r>
      <w:r w:rsidRPr="00FA1A19">
        <w:t xml:space="preserve"> the ATO states that </w:t>
      </w:r>
      <w:r w:rsidR="00F75232">
        <w:t>‘</w:t>
      </w:r>
      <w:r w:rsidRPr="00FA1A19">
        <w:t>Bitcoin held by a taxpayer carrying on a business of mining and selling bitcoin, or a taxpayer carrying on a Bitcoin exchange business will be considered to be trading stock</w:t>
      </w:r>
      <w:r w:rsidR="00F75232">
        <w:t>’</w:t>
      </w:r>
      <w:r w:rsidRPr="00FA1A19">
        <w:t>.</w:t>
      </w:r>
      <w:r w:rsidRPr="00170ADC">
        <w:rPr>
          <w:rStyle w:val="FootnoteReference"/>
        </w:rPr>
        <w:footnoteReference w:id="495"/>
      </w:r>
      <w:r w:rsidRPr="00FA1A19">
        <w:t xml:space="preserve"> </w:t>
      </w:r>
    </w:p>
    <w:p w14:paraId="5911D75F" w14:textId="37FB0F53" w:rsidR="00217978" w:rsidRPr="00FA1A19" w:rsidRDefault="00217978" w:rsidP="00217978">
      <w:r w:rsidRPr="00FA1A19">
        <w:t xml:space="preserve">More generally, the ATO provides in their web content that </w:t>
      </w:r>
      <w:r w:rsidR="00F75232">
        <w:t>‘</w:t>
      </w:r>
      <w:r w:rsidRPr="00FA1A19">
        <w:t>if you are carrying on a business in crypto mining, either by yourself or by providing services to a mining pool operator, then the crypto assets you receive from mining are treated as trading stock of your business.</w:t>
      </w:r>
      <w:r w:rsidR="00F75232">
        <w:t>’</w:t>
      </w:r>
      <w:r w:rsidRPr="00FA1A19">
        <w:t xml:space="preserve"> It further notes that </w:t>
      </w:r>
      <w:r w:rsidR="00F75232">
        <w:t>‘</w:t>
      </w:r>
      <w:r w:rsidRPr="00FA1A19">
        <w:t>not all crypto miners will be carrying on a business and whether you are depends on your own circumstances</w:t>
      </w:r>
      <w:r w:rsidR="00F75232">
        <w:t>’</w:t>
      </w:r>
      <w:r w:rsidRPr="00FA1A19">
        <w:t>.</w:t>
      </w:r>
      <w:r w:rsidRPr="00170ADC">
        <w:rPr>
          <w:rStyle w:val="FootnoteReference"/>
        </w:rPr>
        <w:footnoteReference w:id="496"/>
      </w:r>
      <w:r w:rsidRPr="00FA1A19">
        <w:t xml:space="preserve"> </w:t>
      </w:r>
    </w:p>
    <w:p w14:paraId="1C803447" w14:textId="0D6B72BB" w:rsidR="00217978" w:rsidRPr="00FA1A19" w:rsidRDefault="00217978" w:rsidP="00217978">
      <w:r w:rsidRPr="00FA1A19">
        <w:t xml:space="preserve">While not in any way authoritative (refer to </w:t>
      </w:r>
      <w:r w:rsidR="00372633">
        <w:t>Chapter </w:t>
      </w:r>
      <w:r w:rsidRPr="00FA1A19">
        <w:t xml:space="preserve">6 in relation to ATO guidance), the ATO provides the following response to a question on the ATO Community page: </w:t>
      </w:r>
    </w:p>
    <w:p w14:paraId="7D623652" w14:textId="77777777" w:rsidR="00217978" w:rsidRPr="00FA1A19" w:rsidRDefault="00217978" w:rsidP="00217DA0">
      <w:pPr>
        <w:pStyle w:val="Quote"/>
      </w:pPr>
      <w:r w:rsidRPr="00FA1A19">
        <w:t>As a hobby miner, the mining rewards you receive are not assessable income when you receive them. The mining rewards (cryptocurrency) you generate through your hobby mining are CGT assets and you will have a CGT event when you dispose of (or otherwise deal with) your tokens.</w:t>
      </w:r>
    </w:p>
    <w:p w14:paraId="3BCAE046" w14:textId="77777777" w:rsidR="00217978" w:rsidRPr="00FA1A19" w:rsidRDefault="00217978" w:rsidP="00217DA0">
      <w:pPr>
        <w:pStyle w:val="Quote"/>
      </w:pPr>
      <w:r w:rsidRPr="00FA1A19">
        <w:t>The cost base of the cryptocurrency you generate as mining rewards will be zero. The cost of the miner and the electricity to run it are not included in any of the elements of the cost base of the cryptocurrency you generate through your hobby mining.</w:t>
      </w:r>
      <w:r w:rsidRPr="00170ADC">
        <w:rPr>
          <w:rStyle w:val="FootnoteReference"/>
        </w:rPr>
        <w:footnoteReference w:id="497"/>
      </w:r>
    </w:p>
    <w:p w14:paraId="710ABA43" w14:textId="349240A0" w:rsidR="00217978" w:rsidRPr="00FA1A19" w:rsidRDefault="00217978" w:rsidP="00217978">
      <w:r w:rsidRPr="00FA1A19">
        <w:t>The Board recognises that the ATO</w:t>
      </w:r>
      <w:r w:rsidR="00F75232">
        <w:t>’</w:t>
      </w:r>
      <w:r w:rsidRPr="00FA1A19">
        <w:t>s guidance is direct</w:t>
      </w:r>
      <w:r w:rsidR="00AB1D76" w:rsidRPr="00FA1A19">
        <w:t>ed</w:t>
      </w:r>
      <w:r w:rsidRPr="00FA1A19">
        <w:t xml:space="preserve"> towards specific issues raised and so does not comprehensively deal with all aspects of mining, but notes the following issues that might arise for taxpayers who are miners and are seeking to establish their taxation liabilities to the satisfaction of the ATO:</w:t>
      </w:r>
    </w:p>
    <w:p w14:paraId="43989E91" w14:textId="1CAE9BB8" w:rsidR="00217978" w:rsidRPr="00FA1A19" w:rsidRDefault="00217978" w:rsidP="008F0C3C">
      <w:pPr>
        <w:pStyle w:val="Bullet"/>
      </w:pPr>
      <w:r w:rsidRPr="00FA1A19">
        <w:t>The web content does not entirely align with the position in TD 2014/27 because it does not identify that for bitcoin to be trading stock, the relevant business must involve the intention of selling or exchanging the bitcoin.</w:t>
      </w:r>
      <w:r w:rsidRPr="00170ADC">
        <w:rPr>
          <w:rStyle w:val="FootnoteReference"/>
        </w:rPr>
        <w:footnoteReference w:id="498"/>
      </w:r>
      <w:r w:rsidR="004F0A51" w:rsidRPr="00FA1A19">
        <w:t xml:space="preserve"> </w:t>
      </w:r>
      <w:r w:rsidRPr="00FA1A19">
        <w:t>The Board suggests that the website content be amended to align with the potion in TD 2014/27.</w:t>
      </w:r>
    </w:p>
    <w:p w14:paraId="5107EED3" w14:textId="713A29EA" w:rsidR="00217978" w:rsidRPr="00FA1A19" w:rsidRDefault="00217978" w:rsidP="008F0C3C">
      <w:pPr>
        <w:pStyle w:val="Bullet"/>
      </w:pPr>
      <w:r w:rsidRPr="00FA1A19">
        <w:t xml:space="preserve">The ATO does not provide guidance as to the tax consequences if a miner is carrying on a business, but that business does not involve the intention of selling or exchanging the crypto assets rewarded – such as if a miner intends to hold the bitcoin for investment using DeFi. In these circumstances, is the profit or gain on the disposal of the crypto assets subject to the CGT provisions or could it in some circumstances be characterised as revenue (see </w:t>
      </w:r>
      <w:r w:rsidR="00372633">
        <w:t>Chapter </w:t>
      </w:r>
      <w:r w:rsidRPr="00FA1A19">
        <w:t xml:space="preserve">7 discussion of and references to </w:t>
      </w:r>
      <w:r w:rsidRPr="00813896">
        <w:rPr>
          <w:rStyle w:val="Emphasis"/>
        </w:rPr>
        <w:t xml:space="preserve">Myer Emporium </w:t>
      </w:r>
      <w:r w:rsidRPr="00FA1A19">
        <w:t xml:space="preserve">and </w:t>
      </w:r>
      <w:r w:rsidR="00F65037" w:rsidRPr="00F65037">
        <w:rPr>
          <w:rStyle w:val="Emphasis"/>
          <w:i w:val="0"/>
          <w:iCs w:val="0"/>
          <w:u w:val="single"/>
        </w:rPr>
        <w:t>associated case law</w:t>
      </w:r>
      <w:r w:rsidRPr="00FA1A19">
        <w:t>)</w:t>
      </w:r>
      <w:r w:rsidR="00A56B83">
        <w:t>.</w:t>
      </w:r>
    </w:p>
    <w:p w14:paraId="3861FFCD" w14:textId="7EF0E892" w:rsidR="00217978" w:rsidRPr="00FA1A19" w:rsidRDefault="00217978" w:rsidP="008F0C3C">
      <w:pPr>
        <w:pStyle w:val="Bullet"/>
      </w:pPr>
      <w:r w:rsidRPr="00FA1A19">
        <w:t>The ATO</w:t>
      </w:r>
      <w:r w:rsidR="00F75232">
        <w:t>’</w:t>
      </w:r>
      <w:r w:rsidRPr="00FA1A19">
        <w:t>s analysis does not appear to deal with the taxation treatment of the receipt by the miners of the transaction fees in the form of existing bitcoin paid into the transaction by users to get their transaction included in the blockchain.</w:t>
      </w:r>
      <w:r w:rsidR="004F0A51" w:rsidRPr="00FA1A19">
        <w:t xml:space="preserve"> </w:t>
      </w:r>
      <w:r w:rsidRPr="00FA1A19">
        <w:t>The transaction fee component of the mining operation may be more in the nature of a fee for services and therefore income under ordinary concepts.</w:t>
      </w:r>
      <w:r w:rsidR="004F0A51" w:rsidRPr="00FA1A19">
        <w:t xml:space="preserve"> </w:t>
      </w:r>
      <w:r w:rsidRPr="00FA1A19">
        <w:t>If it is income under ordinary concepts and the newly minted crypto assets are not, then miners would have to distinguish between the tax treatment of their reward by way of newly minted crypto assets, and their reward by way of transaction fees.</w:t>
      </w:r>
      <w:r w:rsidR="004F0A51" w:rsidRPr="00FA1A19">
        <w:t xml:space="preserve"> </w:t>
      </w:r>
      <w:r w:rsidRPr="00FA1A19">
        <w:t>There must be some question as to whether this would be a practical or appropriate outcome.</w:t>
      </w:r>
    </w:p>
    <w:p w14:paraId="229F2B93" w14:textId="327E2635" w:rsidR="00217978" w:rsidRPr="00FA1A19" w:rsidRDefault="00217978" w:rsidP="00217978">
      <w:r w:rsidRPr="00FA1A19">
        <w:t>The Board considers that further comprehensive guidance for miners is required so that taxpayers who are engaged in crypto mining can understand their full taxation responsibilities as viewed by the ATO.</w:t>
      </w:r>
      <w:r w:rsidR="004F0A51" w:rsidRPr="00FA1A19">
        <w:t xml:space="preserve"> </w:t>
      </w:r>
      <w:r w:rsidRPr="00FA1A19">
        <w:t>This guidance should also cover:</w:t>
      </w:r>
    </w:p>
    <w:p w14:paraId="661FB2E6" w14:textId="3CFDBFC7" w:rsidR="00217978" w:rsidRPr="00FA1A19" w:rsidRDefault="00217978" w:rsidP="008F0C3C">
      <w:pPr>
        <w:pStyle w:val="Bullet"/>
      </w:pPr>
      <w:r w:rsidRPr="00FA1A19">
        <w:t>deductibility of expenditure incurred by miners</w:t>
      </w:r>
    </w:p>
    <w:p w14:paraId="691F0BCD" w14:textId="3FD23A8B" w:rsidR="00217978" w:rsidRPr="00FA1A19" w:rsidRDefault="00217978" w:rsidP="008F0C3C">
      <w:pPr>
        <w:pStyle w:val="Bullet"/>
      </w:pPr>
      <w:r w:rsidRPr="00FA1A19">
        <w:t>tax consequences of the disposal of mined crypto assets (which will differ for crypto assets held as trading stock, for crypto assets not held as trading stock but disposed of in the ordinary course of a business or in a one</w:t>
      </w:r>
      <w:r w:rsidR="00F75232">
        <w:noBreakHyphen/>
      </w:r>
      <w:r w:rsidRPr="00FA1A19">
        <w:t>off commercial transaction, and crypto assets subject to the CGT regime).</w:t>
      </w:r>
    </w:p>
    <w:p w14:paraId="1E59163B" w14:textId="77777777" w:rsidR="00217978" w:rsidRPr="00FA1A19" w:rsidRDefault="00217978" w:rsidP="008F0C3C">
      <w:r w:rsidRPr="00FA1A19">
        <w:t xml:space="preserve">The ATO guidance also sets out that miners carrying on an enterprise that is registered or required to be registered for GST, will have GST </w:t>
      </w:r>
      <w:r w:rsidRPr="008F0C3C">
        <w:t>consequences</w:t>
      </w:r>
      <w:r w:rsidRPr="00FA1A19">
        <w:t xml:space="preserve"> when mining digital currency:</w:t>
      </w:r>
    </w:p>
    <w:p w14:paraId="5AB6A8FA" w14:textId="2E995FAB" w:rsidR="00217978" w:rsidRPr="00FA1A19" w:rsidRDefault="00217978" w:rsidP="008F0C3C">
      <w:pPr>
        <w:pStyle w:val="Bullet"/>
      </w:pPr>
      <w:r w:rsidRPr="00FA1A19">
        <w:t>If the miner supplies a mining service located in Australia, the miner</w:t>
      </w:r>
      <w:r w:rsidR="00F75232">
        <w:t>’</w:t>
      </w:r>
      <w:r w:rsidRPr="00FA1A19">
        <w:t>s supply will be a taxable supply for GST purposes. The miner is required to pay GST on any taxable supplies and may claim GST credits on eligible purchases.</w:t>
      </w:r>
    </w:p>
    <w:p w14:paraId="2C7D6CF7" w14:textId="5FEE842A" w:rsidR="00217978" w:rsidRPr="00FA1A19" w:rsidRDefault="00217978" w:rsidP="008F0C3C">
      <w:pPr>
        <w:pStyle w:val="Bullet"/>
      </w:pPr>
      <w:r w:rsidRPr="00FA1A19">
        <w:t>If the miner supplies the mining services to a non</w:t>
      </w:r>
      <w:r w:rsidR="00F75232">
        <w:noBreakHyphen/>
      </w:r>
      <w:r w:rsidRPr="00FA1A19">
        <w:t>resident entity who is not located in Australia, the supply of mining services will be GST</w:t>
      </w:r>
      <w:r w:rsidR="00F75232">
        <w:noBreakHyphen/>
      </w:r>
      <w:r w:rsidRPr="00FA1A19">
        <w:t>free. The miner does not need to pay GST on any GST</w:t>
      </w:r>
      <w:r w:rsidR="00F75232">
        <w:noBreakHyphen/>
      </w:r>
      <w:r w:rsidRPr="00FA1A19">
        <w:t>free supplies the miner makes. However, the miner may be able to claim GST credits.</w:t>
      </w:r>
    </w:p>
    <w:p w14:paraId="62CA1A04" w14:textId="6649B943" w:rsidR="00217978" w:rsidRPr="00FA1A19" w:rsidRDefault="00217978" w:rsidP="008F0C3C">
      <w:pPr>
        <w:pStyle w:val="Bullet"/>
      </w:pPr>
      <w:r w:rsidRPr="00FA1A19">
        <w:t>A miner carrying on a business in crypto mining may claim GST credits for purchases related to making taxable or GST</w:t>
      </w:r>
      <w:r w:rsidR="00F75232">
        <w:noBreakHyphen/>
      </w:r>
      <w:r w:rsidRPr="00FA1A19">
        <w:t>free supplies of mining services.</w:t>
      </w:r>
      <w:r w:rsidRPr="00170ADC">
        <w:rPr>
          <w:rStyle w:val="FootnoteReference"/>
        </w:rPr>
        <w:footnoteReference w:id="499"/>
      </w:r>
    </w:p>
    <w:p w14:paraId="7E5506EE" w14:textId="09FADEA5" w:rsidR="00217978" w:rsidRPr="00FA1A19" w:rsidRDefault="00217978" w:rsidP="00217978">
      <w:pPr>
        <w:spacing w:before="0" w:after="240" w:line="300" w:lineRule="exact"/>
      </w:pPr>
      <w:r w:rsidRPr="00FA1A19">
        <w:t xml:space="preserve">In </w:t>
      </w:r>
      <w:r w:rsidR="00372633">
        <w:t>Chapter </w:t>
      </w:r>
      <w:r w:rsidR="00CF7162" w:rsidRPr="00FA1A19">
        <w:t>10</w:t>
      </w:r>
      <w:r w:rsidRPr="00FA1A19">
        <w:t xml:space="preserve">, the Board </w:t>
      </w:r>
      <w:r w:rsidR="00CF7162" w:rsidRPr="00FA1A19">
        <w:t>details</w:t>
      </w:r>
      <w:r w:rsidRPr="00FA1A19">
        <w:t xml:space="preserve"> the complexity facing crypto asset users in determining the location of counterparties to crypto asset transactions. The anonymity of parties to crypto asset transactions may result in compliance challenges for taxpayers seeking to align with the ATO</w:t>
      </w:r>
      <w:r w:rsidR="00F75232">
        <w:t>’</w:t>
      </w:r>
      <w:r w:rsidRPr="00FA1A19">
        <w:t xml:space="preserve">s position. </w:t>
      </w:r>
    </w:p>
    <w:p w14:paraId="1EF7E5DA" w14:textId="77777777" w:rsidR="00217978" w:rsidRPr="00FA1A19" w:rsidRDefault="00217978" w:rsidP="008F0C3C">
      <w:pPr>
        <w:pStyle w:val="Heading5"/>
        <w:rPr>
          <w:i/>
        </w:rPr>
      </w:pPr>
      <w:r w:rsidRPr="00FA1A19">
        <w:t>International comparison</w:t>
      </w:r>
    </w:p>
    <w:p w14:paraId="2739ACBF" w14:textId="28A3E3FE" w:rsidR="00217978" w:rsidRDefault="00217978" w:rsidP="00217978">
      <w:r w:rsidRPr="00FA1A19">
        <w:t>The OECD has examined the issues associated with crypto asset mining and reported that most commonly, countries consider the receipt of a mined unit of virtual currency to be the first taxable event, although a significant proportion of respondent countries indicated that no tax is payable until disposal of the asset, and several countries indicated that the first taxable event may differ depending on whether the mining takes place for business (or habitual) rather than personal (or occasional) purposes.</w:t>
      </w:r>
      <w:r w:rsidRPr="00170ADC">
        <w:rPr>
          <w:rStyle w:val="FootnoteReference"/>
        </w:rPr>
        <w:footnoteReference w:id="500"/>
      </w:r>
    </w:p>
    <w:p w14:paraId="7DD4A501" w14:textId="75195F3F" w:rsidR="00ED78CC" w:rsidRDefault="00ED78CC">
      <w:r>
        <w:br w:type="page"/>
      </w:r>
    </w:p>
    <w:tbl>
      <w:tblPr>
        <w:tblStyle w:val="ListTable3-Accent1"/>
        <w:tblW w:w="0" w:type="auto"/>
        <w:tblLook w:val="0220" w:firstRow="1" w:lastRow="0" w:firstColumn="0" w:lastColumn="0" w:noHBand="1" w:noVBand="0"/>
      </w:tblPr>
      <w:tblGrid>
        <w:gridCol w:w="3210"/>
        <w:gridCol w:w="3210"/>
        <w:gridCol w:w="3211"/>
      </w:tblGrid>
      <w:tr w:rsidR="000E2AA6" w:rsidRPr="00D972B5" w14:paraId="6D43BBE3" w14:textId="77777777" w:rsidTr="0055107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10" w:type="dxa"/>
          </w:tcPr>
          <w:p w14:paraId="1831E605" w14:textId="12DDFDC4" w:rsidR="0057103E" w:rsidRPr="00D972B5" w:rsidRDefault="0057103E" w:rsidP="00D972B5">
            <w:pPr>
              <w:pStyle w:val="TableColumnHeadingLeft"/>
            </w:pPr>
            <w:r w:rsidRPr="00D972B5">
              <w:t>First event on receipt of new tokens from mining</w:t>
            </w:r>
          </w:p>
        </w:tc>
        <w:tc>
          <w:tcPr>
            <w:tcW w:w="3210" w:type="dxa"/>
          </w:tcPr>
          <w:p w14:paraId="4D51FA19" w14:textId="2C7E64C6" w:rsidR="0057103E" w:rsidRPr="00D972B5" w:rsidRDefault="0057103E" w:rsidP="00D972B5">
            <w:pPr>
              <w:pStyle w:val="TableColumnHeadingLeft"/>
              <w:cnfStyle w:val="100000000000" w:firstRow="1" w:lastRow="0" w:firstColumn="0" w:lastColumn="0" w:oddVBand="0" w:evenVBand="0" w:oddHBand="0" w:evenHBand="0" w:firstRowFirstColumn="0" w:firstRowLastColumn="0" w:lastRowFirstColumn="0" w:lastRowLastColumn="0"/>
            </w:pPr>
            <w:r w:rsidRPr="00D972B5">
              <w:t>First event on disposal</w:t>
            </w:r>
          </w:p>
        </w:tc>
        <w:tc>
          <w:tcPr>
            <w:cnfStyle w:val="000010000000" w:firstRow="0" w:lastRow="0" w:firstColumn="0" w:lastColumn="0" w:oddVBand="1" w:evenVBand="0" w:oddHBand="0" w:evenHBand="0" w:firstRowFirstColumn="0" w:firstRowLastColumn="0" w:lastRowFirstColumn="0" w:lastRowLastColumn="0"/>
            <w:tcW w:w="3211" w:type="dxa"/>
          </w:tcPr>
          <w:p w14:paraId="5CF47855" w14:textId="7D074DF1" w:rsidR="0057103E" w:rsidRPr="00D972B5" w:rsidRDefault="0057103E" w:rsidP="00D972B5">
            <w:pPr>
              <w:pStyle w:val="TableColumnHeadingLeft"/>
            </w:pPr>
            <w:r w:rsidRPr="00D972B5">
              <w:t>Different approaches for business/regular traders &amp; individuals/occasional traders</w:t>
            </w:r>
          </w:p>
        </w:tc>
      </w:tr>
      <w:tr w:rsidR="00E00319" w14:paraId="7CDBCB15"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41FCC69A" w14:textId="15BCFC99" w:rsidR="0057103E" w:rsidRPr="00FC6506" w:rsidRDefault="0057103E" w:rsidP="00D972B5">
            <w:pPr>
              <w:pStyle w:val="TableTextLeft"/>
              <w:rPr>
                <w:b/>
                <w:bCs/>
              </w:rPr>
            </w:pPr>
            <w:r w:rsidRPr="001C11AB">
              <w:t>Andorra</w:t>
            </w:r>
          </w:p>
        </w:tc>
        <w:tc>
          <w:tcPr>
            <w:tcW w:w="3210" w:type="dxa"/>
          </w:tcPr>
          <w:p w14:paraId="195BC682" w14:textId="149867B3" w:rsidR="0057103E"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r>
              <w:t>Croatia</w:t>
            </w:r>
          </w:p>
        </w:tc>
        <w:tc>
          <w:tcPr>
            <w:cnfStyle w:val="000010000000" w:firstRow="0" w:lastRow="0" w:firstColumn="0" w:lastColumn="0" w:oddVBand="1" w:evenVBand="0" w:oddHBand="0" w:evenHBand="0" w:firstRowFirstColumn="0" w:firstRowLastColumn="0" w:lastRowFirstColumn="0" w:lastRowLastColumn="0"/>
            <w:tcW w:w="3211" w:type="dxa"/>
          </w:tcPr>
          <w:p w14:paraId="70DB246B" w14:textId="03220FC8" w:rsidR="0057103E" w:rsidRPr="001C11AB" w:rsidRDefault="00402A2C" w:rsidP="00D972B5">
            <w:pPr>
              <w:pStyle w:val="TableTextLeft"/>
            </w:pPr>
            <w:r>
              <w:t>Australia</w:t>
            </w:r>
          </w:p>
        </w:tc>
      </w:tr>
      <w:tr w:rsidR="0057103E" w14:paraId="1C130A38"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02AF9505" w14:textId="30D471A8" w:rsidR="0057103E" w:rsidRPr="00D26799" w:rsidRDefault="0057103E" w:rsidP="00D972B5">
            <w:pPr>
              <w:pStyle w:val="TableTextLeft"/>
              <w:rPr>
                <w:b/>
                <w:bCs/>
              </w:rPr>
            </w:pPr>
            <w:r w:rsidRPr="00D26799">
              <w:t>Argentina*</w:t>
            </w:r>
          </w:p>
        </w:tc>
        <w:tc>
          <w:tcPr>
            <w:tcW w:w="3210" w:type="dxa"/>
          </w:tcPr>
          <w:p w14:paraId="24F48FE0" w14:textId="349BA7A8" w:rsidR="0057103E"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r>
              <w:t>Czech Republic</w:t>
            </w:r>
          </w:p>
        </w:tc>
        <w:tc>
          <w:tcPr>
            <w:cnfStyle w:val="000010000000" w:firstRow="0" w:lastRow="0" w:firstColumn="0" w:lastColumn="0" w:oddVBand="1" w:evenVBand="0" w:oddHBand="0" w:evenHBand="0" w:firstRowFirstColumn="0" w:firstRowLastColumn="0" w:lastRowFirstColumn="0" w:lastRowLastColumn="0"/>
            <w:tcW w:w="3211" w:type="dxa"/>
          </w:tcPr>
          <w:p w14:paraId="55403A8D" w14:textId="0150F90E" w:rsidR="0057103E" w:rsidRPr="001C11AB" w:rsidRDefault="00402A2C" w:rsidP="00D972B5">
            <w:pPr>
              <w:pStyle w:val="TableTextLeft"/>
            </w:pPr>
            <w:r>
              <w:t>Canada</w:t>
            </w:r>
          </w:p>
        </w:tc>
      </w:tr>
      <w:tr w:rsidR="00E00319" w14:paraId="546017E0"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217BB567" w14:textId="5E1AB9B6" w:rsidR="0057103E" w:rsidRPr="00D26799" w:rsidRDefault="0057103E" w:rsidP="00D972B5">
            <w:pPr>
              <w:pStyle w:val="TableTextLeft"/>
              <w:rPr>
                <w:b/>
                <w:bCs/>
              </w:rPr>
            </w:pPr>
            <w:r w:rsidRPr="00D26799">
              <w:t>Austria**</w:t>
            </w:r>
          </w:p>
        </w:tc>
        <w:tc>
          <w:tcPr>
            <w:tcW w:w="3210" w:type="dxa"/>
          </w:tcPr>
          <w:p w14:paraId="21EAE698" w14:textId="25E47B23" w:rsidR="0057103E"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r>
              <w:t>Denmark</w:t>
            </w:r>
          </w:p>
        </w:tc>
        <w:tc>
          <w:tcPr>
            <w:cnfStyle w:val="000010000000" w:firstRow="0" w:lastRow="0" w:firstColumn="0" w:lastColumn="0" w:oddVBand="1" w:evenVBand="0" w:oddHBand="0" w:evenHBand="0" w:firstRowFirstColumn="0" w:firstRowLastColumn="0" w:lastRowFirstColumn="0" w:lastRowLastColumn="0"/>
            <w:tcW w:w="3211" w:type="dxa"/>
          </w:tcPr>
          <w:p w14:paraId="4B9D1535" w14:textId="6A909767" w:rsidR="0057103E" w:rsidRPr="001C11AB" w:rsidRDefault="00402A2C" w:rsidP="00D972B5">
            <w:pPr>
              <w:pStyle w:val="TableTextLeft"/>
            </w:pPr>
            <w:r>
              <w:t>Germany</w:t>
            </w:r>
          </w:p>
        </w:tc>
      </w:tr>
      <w:tr w:rsidR="0057103E" w14:paraId="05D15F2C"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0A48DE60" w14:textId="481B43D2" w:rsidR="0057103E" w:rsidRPr="00D26799" w:rsidRDefault="0057103E" w:rsidP="00D972B5">
            <w:pPr>
              <w:pStyle w:val="TableTextLeft"/>
              <w:rPr>
                <w:b/>
                <w:bCs/>
              </w:rPr>
            </w:pPr>
            <w:r w:rsidRPr="00D26799">
              <w:t>Cote d’Ivoire</w:t>
            </w:r>
          </w:p>
        </w:tc>
        <w:tc>
          <w:tcPr>
            <w:tcW w:w="3210" w:type="dxa"/>
          </w:tcPr>
          <w:p w14:paraId="2887C8F1" w14:textId="46DA3D89" w:rsidR="0057103E"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r>
              <w:t>Estonia</w:t>
            </w:r>
          </w:p>
        </w:tc>
        <w:tc>
          <w:tcPr>
            <w:cnfStyle w:val="000010000000" w:firstRow="0" w:lastRow="0" w:firstColumn="0" w:lastColumn="0" w:oddVBand="1" w:evenVBand="0" w:oddHBand="0" w:evenHBand="0" w:firstRowFirstColumn="0" w:firstRowLastColumn="0" w:lastRowFirstColumn="0" w:lastRowLastColumn="0"/>
            <w:tcW w:w="3211" w:type="dxa"/>
          </w:tcPr>
          <w:p w14:paraId="7C3484A3" w14:textId="6EFE1BDF" w:rsidR="0057103E" w:rsidRPr="001C11AB" w:rsidRDefault="00402A2C" w:rsidP="00D972B5">
            <w:pPr>
              <w:pStyle w:val="TableTextLeft"/>
            </w:pPr>
            <w:r>
              <w:t>Hong Kong (China)</w:t>
            </w:r>
          </w:p>
        </w:tc>
      </w:tr>
      <w:tr w:rsidR="00E00319" w14:paraId="00E2D114"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4C3CDB7F" w14:textId="1916046B" w:rsidR="0057103E" w:rsidRPr="00D26799" w:rsidRDefault="0057103E" w:rsidP="00D972B5">
            <w:pPr>
              <w:pStyle w:val="TableTextLeft"/>
              <w:rPr>
                <w:b/>
                <w:bCs/>
              </w:rPr>
            </w:pPr>
            <w:r w:rsidRPr="00D26799">
              <w:t>Colombia</w:t>
            </w:r>
          </w:p>
        </w:tc>
        <w:tc>
          <w:tcPr>
            <w:tcW w:w="3210" w:type="dxa"/>
          </w:tcPr>
          <w:p w14:paraId="55BD8009" w14:textId="3DA1B4AF" w:rsidR="0057103E"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r>
              <w:t>France</w:t>
            </w:r>
          </w:p>
        </w:tc>
        <w:tc>
          <w:tcPr>
            <w:cnfStyle w:val="000010000000" w:firstRow="0" w:lastRow="0" w:firstColumn="0" w:lastColumn="0" w:oddVBand="1" w:evenVBand="0" w:oddHBand="0" w:evenHBand="0" w:firstRowFirstColumn="0" w:firstRowLastColumn="0" w:lastRowFirstColumn="0" w:lastRowLastColumn="0"/>
            <w:tcW w:w="3211" w:type="dxa"/>
          </w:tcPr>
          <w:p w14:paraId="61E5BE7F" w14:textId="3FD1229C" w:rsidR="0057103E" w:rsidRPr="001C11AB" w:rsidRDefault="00402A2C" w:rsidP="00D972B5">
            <w:pPr>
              <w:pStyle w:val="TableTextLeft"/>
            </w:pPr>
            <w:r>
              <w:t>Netherlands</w:t>
            </w:r>
          </w:p>
        </w:tc>
      </w:tr>
      <w:tr w:rsidR="0057103E" w14:paraId="044B0FB6"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701CB93D" w14:textId="49D23D7C" w:rsidR="0057103E" w:rsidRPr="00D26799" w:rsidRDefault="00196C59" w:rsidP="00D972B5">
            <w:pPr>
              <w:pStyle w:val="TableTextLeft"/>
              <w:rPr>
                <w:b/>
                <w:bCs/>
              </w:rPr>
            </w:pPr>
            <w:r w:rsidRPr="00D26799">
              <w:t>Croatia</w:t>
            </w:r>
          </w:p>
        </w:tc>
        <w:tc>
          <w:tcPr>
            <w:tcW w:w="3210" w:type="dxa"/>
          </w:tcPr>
          <w:p w14:paraId="18FB39F8" w14:textId="768BC975" w:rsidR="0057103E"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r>
              <w:t>Latvia</w:t>
            </w:r>
          </w:p>
        </w:tc>
        <w:tc>
          <w:tcPr>
            <w:cnfStyle w:val="000010000000" w:firstRow="0" w:lastRow="0" w:firstColumn="0" w:lastColumn="0" w:oddVBand="1" w:evenVBand="0" w:oddHBand="0" w:evenHBand="0" w:firstRowFirstColumn="0" w:firstRowLastColumn="0" w:lastRowFirstColumn="0" w:lastRowLastColumn="0"/>
            <w:tcW w:w="3211" w:type="dxa"/>
          </w:tcPr>
          <w:p w14:paraId="78EBACA4" w14:textId="350B82E1" w:rsidR="0057103E" w:rsidRPr="001C11AB" w:rsidRDefault="00402A2C" w:rsidP="00D972B5">
            <w:pPr>
              <w:pStyle w:val="TableTextLeft"/>
            </w:pPr>
            <w:r>
              <w:t>Norway</w:t>
            </w:r>
          </w:p>
        </w:tc>
      </w:tr>
      <w:tr w:rsidR="00E00319" w14:paraId="29800F87"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4EA65D9B" w14:textId="7A805266" w:rsidR="0057103E" w:rsidRPr="00FC6506" w:rsidRDefault="00F13119" w:rsidP="00D972B5">
            <w:pPr>
              <w:pStyle w:val="TableTextLeft"/>
              <w:rPr>
                <w:b/>
                <w:bCs/>
              </w:rPr>
            </w:pPr>
            <w:r>
              <w:t>Estonia</w:t>
            </w:r>
          </w:p>
        </w:tc>
        <w:tc>
          <w:tcPr>
            <w:tcW w:w="3210" w:type="dxa"/>
          </w:tcPr>
          <w:p w14:paraId="5F61EEC1" w14:textId="2D119B09" w:rsidR="0057103E"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r>
              <w:t>Lithuania</w:t>
            </w:r>
          </w:p>
        </w:tc>
        <w:tc>
          <w:tcPr>
            <w:cnfStyle w:val="000010000000" w:firstRow="0" w:lastRow="0" w:firstColumn="0" w:lastColumn="0" w:oddVBand="1" w:evenVBand="0" w:oddHBand="0" w:evenHBand="0" w:firstRowFirstColumn="0" w:firstRowLastColumn="0" w:lastRowFirstColumn="0" w:lastRowLastColumn="0"/>
            <w:tcW w:w="3211" w:type="dxa"/>
          </w:tcPr>
          <w:p w14:paraId="4B114E16" w14:textId="7CDD7A38" w:rsidR="0057103E" w:rsidRPr="001C11AB" w:rsidRDefault="00402A2C" w:rsidP="00D972B5">
            <w:pPr>
              <w:pStyle w:val="TableTextLeft"/>
            </w:pPr>
            <w:r>
              <w:t>Singapore</w:t>
            </w:r>
          </w:p>
        </w:tc>
      </w:tr>
      <w:tr w:rsidR="00196C59" w14:paraId="0FF903D1"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7DD3151A" w14:textId="3E7EAF9B" w:rsidR="00196C59" w:rsidRPr="00FC6506" w:rsidRDefault="00F13119" w:rsidP="00D972B5">
            <w:pPr>
              <w:pStyle w:val="TableTextLeft"/>
              <w:rPr>
                <w:b/>
                <w:bCs/>
              </w:rPr>
            </w:pPr>
            <w:r>
              <w:t>Finland</w:t>
            </w:r>
          </w:p>
        </w:tc>
        <w:tc>
          <w:tcPr>
            <w:tcW w:w="3210" w:type="dxa"/>
          </w:tcPr>
          <w:p w14:paraId="25DD8A2C" w14:textId="67853349" w:rsidR="00196C59" w:rsidRPr="001C11AB" w:rsidRDefault="00B82934" w:rsidP="00D972B5">
            <w:pPr>
              <w:pStyle w:val="TableTextLeft"/>
              <w:cnfStyle w:val="000000000000" w:firstRow="0" w:lastRow="0" w:firstColumn="0" w:lastColumn="0" w:oddVBand="0" w:evenVBand="0" w:oddHBand="0" w:evenHBand="0" w:firstRowFirstColumn="0" w:firstRowLastColumn="0" w:lastRowFirstColumn="0" w:lastRowLastColumn="0"/>
            </w:pPr>
            <w:r>
              <w:t>Poland</w:t>
            </w:r>
          </w:p>
        </w:tc>
        <w:tc>
          <w:tcPr>
            <w:cnfStyle w:val="000010000000" w:firstRow="0" w:lastRow="0" w:firstColumn="0" w:lastColumn="0" w:oddVBand="1" w:evenVBand="0" w:oddHBand="0" w:evenHBand="0" w:firstRowFirstColumn="0" w:firstRowLastColumn="0" w:lastRowFirstColumn="0" w:lastRowLastColumn="0"/>
            <w:tcW w:w="3211" w:type="dxa"/>
          </w:tcPr>
          <w:p w14:paraId="3F0A7A0C" w14:textId="222A9AB3" w:rsidR="00196C59" w:rsidRPr="001C11AB" w:rsidRDefault="00402A2C" w:rsidP="00D972B5">
            <w:pPr>
              <w:pStyle w:val="TableTextLeft"/>
            </w:pPr>
            <w:r>
              <w:t>Sweden</w:t>
            </w:r>
          </w:p>
        </w:tc>
      </w:tr>
      <w:tr w:rsidR="00196C59" w14:paraId="41B5DB87"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5F141A27" w14:textId="219EEEE4" w:rsidR="00196C59" w:rsidRPr="00FC6506" w:rsidRDefault="00F13119" w:rsidP="00D972B5">
            <w:pPr>
              <w:pStyle w:val="TableTextLeft"/>
              <w:rPr>
                <w:b/>
                <w:bCs/>
              </w:rPr>
            </w:pPr>
            <w:r>
              <w:t>Japan</w:t>
            </w:r>
          </w:p>
        </w:tc>
        <w:tc>
          <w:tcPr>
            <w:tcW w:w="3210" w:type="dxa"/>
          </w:tcPr>
          <w:p w14:paraId="213C30F9" w14:textId="296642A0" w:rsidR="00196C59" w:rsidRPr="001C11AB" w:rsidRDefault="00B82934" w:rsidP="00D972B5">
            <w:pPr>
              <w:pStyle w:val="TableTextLeft"/>
              <w:cnfStyle w:val="000000000000" w:firstRow="0" w:lastRow="0" w:firstColumn="0" w:lastColumn="0" w:oddVBand="0" w:evenVBand="0" w:oddHBand="0" w:evenHBand="0" w:firstRowFirstColumn="0" w:firstRowLastColumn="0" w:lastRowFirstColumn="0" w:lastRowLastColumn="0"/>
            </w:pPr>
            <w:r>
              <w:t>Slovak Republic</w:t>
            </w:r>
          </w:p>
        </w:tc>
        <w:tc>
          <w:tcPr>
            <w:cnfStyle w:val="000010000000" w:firstRow="0" w:lastRow="0" w:firstColumn="0" w:lastColumn="0" w:oddVBand="1" w:evenVBand="0" w:oddHBand="0" w:evenHBand="0" w:firstRowFirstColumn="0" w:firstRowLastColumn="0" w:lastRowFirstColumn="0" w:lastRowLastColumn="0"/>
            <w:tcW w:w="3211" w:type="dxa"/>
          </w:tcPr>
          <w:p w14:paraId="1D2F7C07" w14:textId="173BC7E9" w:rsidR="00196C59" w:rsidRPr="001C11AB" w:rsidRDefault="00402A2C" w:rsidP="00D972B5">
            <w:pPr>
              <w:pStyle w:val="TableTextLeft"/>
            </w:pPr>
            <w:r>
              <w:t>Switzerland</w:t>
            </w:r>
          </w:p>
        </w:tc>
      </w:tr>
      <w:tr w:rsidR="00196C59" w14:paraId="4204072A"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78B3B2B7" w14:textId="4747057C" w:rsidR="00196C59" w:rsidRPr="00FC6506" w:rsidRDefault="00C559AF" w:rsidP="00D972B5">
            <w:pPr>
              <w:pStyle w:val="TableTextLeft"/>
              <w:rPr>
                <w:b/>
                <w:bCs/>
              </w:rPr>
            </w:pPr>
            <w:r>
              <w:t>Luxembourg**</w:t>
            </w:r>
          </w:p>
        </w:tc>
        <w:tc>
          <w:tcPr>
            <w:tcW w:w="3210" w:type="dxa"/>
          </w:tcPr>
          <w:p w14:paraId="20DC0D2B" w14:textId="77777777" w:rsidR="00196C59" w:rsidRPr="001C11AB" w:rsidRDefault="00196C59" w:rsidP="00D972B5">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11" w:type="dxa"/>
          </w:tcPr>
          <w:p w14:paraId="34F1F9AC" w14:textId="77777777" w:rsidR="00196C59" w:rsidRPr="001C11AB" w:rsidRDefault="00196C59" w:rsidP="00D972B5">
            <w:pPr>
              <w:pStyle w:val="TableTextLeft"/>
            </w:pPr>
          </w:p>
        </w:tc>
      </w:tr>
      <w:tr w:rsidR="00196C59" w14:paraId="615F1BB8"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2F939B45" w14:textId="33E118A2" w:rsidR="00196C59" w:rsidRPr="00FC6506" w:rsidRDefault="00C559AF" w:rsidP="00D972B5">
            <w:pPr>
              <w:pStyle w:val="TableTextLeft"/>
              <w:rPr>
                <w:b/>
                <w:bCs/>
              </w:rPr>
            </w:pPr>
            <w:r>
              <w:t>New Zealand</w:t>
            </w:r>
          </w:p>
        </w:tc>
        <w:tc>
          <w:tcPr>
            <w:tcW w:w="3210" w:type="dxa"/>
          </w:tcPr>
          <w:p w14:paraId="4CB864B5" w14:textId="77777777" w:rsidR="00196C59" w:rsidRPr="001C11AB" w:rsidRDefault="00196C59" w:rsidP="00D972B5">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11" w:type="dxa"/>
          </w:tcPr>
          <w:p w14:paraId="58FC47E6" w14:textId="77777777" w:rsidR="00196C59" w:rsidRPr="001C11AB" w:rsidRDefault="00196C59" w:rsidP="00D972B5">
            <w:pPr>
              <w:pStyle w:val="TableTextLeft"/>
            </w:pPr>
          </w:p>
        </w:tc>
      </w:tr>
      <w:tr w:rsidR="00196C59" w14:paraId="5EDF8DD5"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18B74188" w14:textId="431BFF59" w:rsidR="00196C59" w:rsidRPr="00FC6506" w:rsidRDefault="00C559AF" w:rsidP="00D972B5">
            <w:pPr>
              <w:pStyle w:val="TableTextLeft"/>
              <w:rPr>
                <w:b/>
                <w:bCs/>
              </w:rPr>
            </w:pPr>
            <w:r>
              <w:t>Slovenia</w:t>
            </w:r>
          </w:p>
        </w:tc>
        <w:tc>
          <w:tcPr>
            <w:tcW w:w="3210" w:type="dxa"/>
          </w:tcPr>
          <w:p w14:paraId="4959B029" w14:textId="77777777" w:rsidR="00196C59" w:rsidRPr="001C11AB" w:rsidRDefault="00196C59" w:rsidP="00D972B5">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11" w:type="dxa"/>
          </w:tcPr>
          <w:p w14:paraId="10C7DFC0" w14:textId="77777777" w:rsidR="00196C59" w:rsidRPr="001C11AB" w:rsidRDefault="00196C59" w:rsidP="00D972B5">
            <w:pPr>
              <w:pStyle w:val="TableTextLeft"/>
            </w:pPr>
          </w:p>
        </w:tc>
      </w:tr>
      <w:tr w:rsidR="00196C59" w14:paraId="29A9C3C4"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4151105A" w14:textId="3F001CE8" w:rsidR="00196C59" w:rsidRPr="00FC6506" w:rsidRDefault="00C559AF" w:rsidP="00D972B5">
            <w:pPr>
              <w:pStyle w:val="TableTextLeft"/>
              <w:rPr>
                <w:b/>
                <w:bCs/>
              </w:rPr>
            </w:pPr>
            <w:r>
              <w:t>South Africa</w:t>
            </w:r>
          </w:p>
        </w:tc>
        <w:tc>
          <w:tcPr>
            <w:tcW w:w="3210" w:type="dxa"/>
          </w:tcPr>
          <w:p w14:paraId="5DED1CB8" w14:textId="77777777" w:rsidR="00196C59" w:rsidRPr="001C11AB" w:rsidRDefault="00196C59" w:rsidP="00D972B5">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11" w:type="dxa"/>
          </w:tcPr>
          <w:p w14:paraId="6C739861" w14:textId="77777777" w:rsidR="00196C59" w:rsidRPr="001C11AB" w:rsidRDefault="00196C59" w:rsidP="00D972B5">
            <w:pPr>
              <w:pStyle w:val="TableTextLeft"/>
            </w:pPr>
          </w:p>
        </w:tc>
      </w:tr>
      <w:tr w:rsidR="00196C59" w14:paraId="4378278A"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70C7F9DC" w14:textId="6DC91ACB" w:rsidR="00196C59" w:rsidRPr="00FC6506" w:rsidRDefault="00C559AF" w:rsidP="00D972B5">
            <w:pPr>
              <w:pStyle w:val="TableTextLeft"/>
              <w:rPr>
                <w:b/>
                <w:bCs/>
              </w:rPr>
            </w:pPr>
            <w:r>
              <w:t>United Kingdom</w:t>
            </w:r>
          </w:p>
        </w:tc>
        <w:tc>
          <w:tcPr>
            <w:tcW w:w="3210" w:type="dxa"/>
          </w:tcPr>
          <w:p w14:paraId="42C96DF3" w14:textId="77777777" w:rsidR="00196C59" w:rsidRPr="001C11AB" w:rsidRDefault="00196C59" w:rsidP="00D972B5">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11" w:type="dxa"/>
          </w:tcPr>
          <w:p w14:paraId="448BD506" w14:textId="77777777" w:rsidR="00196C59" w:rsidRPr="001C11AB" w:rsidRDefault="00196C59" w:rsidP="00D972B5">
            <w:pPr>
              <w:pStyle w:val="TableTextLeft"/>
            </w:pPr>
          </w:p>
        </w:tc>
      </w:tr>
      <w:tr w:rsidR="00C559AF" w14:paraId="708EBCF5" w14:textId="77777777" w:rsidTr="00551077">
        <w:tc>
          <w:tcPr>
            <w:cnfStyle w:val="000010000000" w:firstRow="0" w:lastRow="0" w:firstColumn="0" w:lastColumn="0" w:oddVBand="1" w:evenVBand="0" w:oddHBand="0" w:evenHBand="0" w:firstRowFirstColumn="0" w:firstRowLastColumn="0" w:lastRowFirstColumn="0" w:lastRowLastColumn="0"/>
            <w:tcW w:w="3210" w:type="dxa"/>
          </w:tcPr>
          <w:p w14:paraId="3F6723EA" w14:textId="20B6D733" w:rsidR="00C559AF" w:rsidRDefault="00C559AF" w:rsidP="00D972B5">
            <w:pPr>
              <w:pStyle w:val="TableTextLeft"/>
              <w:rPr>
                <w:b/>
                <w:bCs/>
              </w:rPr>
            </w:pPr>
            <w:r>
              <w:t>United States</w:t>
            </w:r>
          </w:p>
        </w:tc>
        <w:tc>
          <w:tcPr>
            <w:tcW w:w="3210" w:type="dxa"/>
          </w:tcPr>
          <w:p w14:paraId="72D98D8A" w14:textId="77777777" w:rsidR="00C559AF" w:rsidRPr="001C11AB" w:rsidRDefault="00C559AF" w:rsidP="00D972B5">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11" w:type="dxa"/>
          </w:tcPr>
          <w:p w14:paraId="1F17D68E" w14:textId="77777777" w:rsidR="00C559AF" w:rsidRPr="001C11AB" w:rsidRDefault="00C559AF" w:rsidP="00D972B5">
            <w:pPr>
              <w:pStyle w:val="TableTextLeft"/>
            </w:pPr>
          </w:p>
        </w:tc>
      </w:tr>
    </w:tbl>
    <w:p w14:paraId="4EADB7A4" w14:textId="70EF27CC" w:rsidR="00077135" w:rsidRDefault="00105680" w:rsidP="009C584D">
      <w:pPr>
        <w:pStyle w:val="Note"/>
      </w:pPr>
      <w:r>
        <w:t>* Note from Argentina: Tax treatment will depend on a case-to-case analysis.</w:t>
      </w:r>
    </w:p>
    <w:p w14:paraId="0D25121F" w14:textId="2C289E95" w:rsidR="00105680" w:rsidRDefault="00105680" w:rsidP="009C584D">
      <w:pPr>
        <w:pStyle w:val="Note"/>
      </w:pPr>
      <w:r>
        <w:t>** Mining is considered to be a commercial activity and therefore taxed on an ongoing basis.</w:t>
      </w:r>
    </w:p>
    <w:p w14:paraId="6294C8CA" w14:textId="31CA33B8" w:rsidR="00105680" w:rsidRPr="00FC6506" w:rsidRDefault="00995D24" w:rsidP="009C584D">
      <w:pPr>
        <w:pStyle w:val="Note"/>
      </w:pPr>
      <w:r>
        <w:t xml:space="preserve">Source: </w:t>
      </w:r>
      <w:r w:rsidR="00D972B5">
        <w:tab/>
      </w:r>
      <w:r>
        <w:t xml:space="preserve">Delegates responses to questionnaire: OECD research. </w:t>
      </w:r>
    </w:p>
    <w:p w14:paraId="1718D55A" w14:textId="77777777" w:rsidR="00367800" w:rsidRPr="00FA1A19" w:rsidRDefault="00367800" w:rsidP="008F0C3C">
      <w:pPr>
        <w:pStyle w:val="SingleParagraph"/>
      </w:pPr>
    </w:p>
    <w:tbl>
      <w:tblPr>
        <w:tblStyle w:val="Style2"/>
        <w:tblW w:w="5000" w:type="pct"/>
        <w:tblLook w:val="01E0" w:firstRow="1" w:lastRow="1" w:firstColumn="1" w:lastColumn="1" w:noHBand="0" w:noVBand="0"/>
      </w:tblPr>
      <w:tblGrid>
        <w:gridCol w:w="9641"/>
      </w:tblGrid>
      <w:tr w:rsidR="00217978" w:rsidRPr="00FA1A19" w14:paraId="010DAEF1"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667394A" w14:textId="250FA5F2" w:rsidR="00217978" w:rsidRPr="00ED78CC" w:rsidRDefault="00372633" w:rsidP="00ED78CC">
            <w:pPr>
              <w:pStyle w:val="BoxHeading1"/>
            </w:pPr>
            <w:r>
              <w:t>Recommendation </w:t>
            </w:r>
            <w:r w:rsidR="0013632F" w:rsidRPr="00FA1A19">
              <w:t>9</w:t>
            </w:r>
            <w:r w:rsidR="00217978" w:rsidRPr="00FA1A19">
              <w:t>.1</w:t>
            </w:r>
          </w:p>
        </w:tc>
      </w:tr>
      <w:tr w:rsidR="00217978" w:rsidRPr="00FA1A19" w14:paraId="16C69261"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4554A2D0" w14:textId="08F6FE55" w:rsidR="000A755A" w:rsidRPr="00FA1A19" w:rsidRDefault="000A755A" w:rsidP="00ED78CC">
            <w:pPr>
              <w:pStyle w:val="BoxText"/>
            </w:pPr>
            <w:r w:rsidRPr="00FA1A19">
              <w:t>The ATO</w:t>
            </w:r>
            <w:r w:rsidR="00F75232">
              <w:t>’</w:t>
            </w:r>
            <w:r w:rsidR="00A85E77" w:rsidRPr="00FA1A19">
              <w:t xml:space="preserve">s guidance to cryptocurrency miners predominantly concludes that they receive and hold cryptocurrency as trading stock. This does not </w:t>
            </w:r>
            <w:r w:rsidR="00E22BD4" w:rsidRPr="00FA1A19">
              <w:t>app</w:t>
            </w:r>
            <w:r w:rsidR="20607DA9" w:rsidRPr="00FA1A19">
              <w:t>ear to</w:t>
            </w:r>
            <w:r w:rsidR="00E22BD4" w:rsidRPr="00FA1A19">
              <w:t xml:space="preserve"> </w:t>
            </w:r>
            <w:r w:rsidR="00A85E77" w:rsidRPr="00FA1A19">
              <w:t>deal with the situation where cryptocurrency miners intend to hold the cryptocurrency that they receive, rather than sell it.</w:t>
            </w:r>
            <w:r w:rsidR="004F0A51" w:rsidRPr="00FA1A19">
              <w:t xml:space="preserve"> </w:t>
            </w:r>
            <w:r w:rsidR="00A85E77" w:rsidRPr="00FA1A19">
              <w:t>The</w:t>
            </w:r>
            <w:r w:rsidR="009C584D">
              <w:t> </w:t>
            </w:r>
            <w:r w:rsidR="00A85E77" w:rsidRPr="00FA1A19">
              <w:t>ATO</w:t>
            </w:r>
            <w:r w:rsidR="00F75232">
              <w:t>’</w:t>
            </w:r>
            <w:r w:rsidR="00A85E77" w:rsidRPr="00FA1A19">
              <w:t>s guidance also does not app</w:t>
            </w:r>
            <w:r w:rsidR="2B99377F" w:rsidRPr="00FA1A19">
              <w:t>ear to</w:t>
            </w:r>
            <w:r w:rsidR="004F0A51" w:rsidRPr="00FA1A19">
              <w:t xml:space="preserve"> </w:t>
            </w:r>
            <w:r w:rsidR="00A85E77" w:rsidRPr="00FA1A19">
              <w:t xml:space="preserve">deal with the </w:t>
            </w:r>
            <w:r w:rsidR="00AF4CD0" w:rsidRPr="00FA1A19">
              <w:t>component of the mining reward attributable to transaction fees, rather than newly</w:t>
            </w:r>
            <w:r w:rsidR="00F75232">
              <w:noBreakHyphen/>
            </w:r>
            <w:r w:rsidR="00AF4CD0" w:rsidRPr="00FA1A19">
              <w:t>minted cryptocurrency.</w:t>
            </w:r>
          </w:p>
          <w:p w14:paraId="5E0F94A6" w14:textId="240F6229" w:rsidR="00217978" w:rsidRPr="00FA1A19" w:rsidRDefault="00217978" w:rsidP="00ED78CC">
            <w:pPr>
              <w:pStyle w:val="BoxText"/>
            </w:pPr>
            <w:r w:rsidRPr="00FA1A19">
              <w:t xml:space="preserve">The Board recommends that the ATO </w:t>
            </w:r>
            <w:r w:rsidR="00703C39" w:rsidRPr="00FA1A19">
              <w:t>in consultation</w:t>
            </w:r>
            <w:r w:rsidR="00CA4ABD" w:rsidRPr="00FA1A19">
              <w:t xml:space="preserve"> </w:t>
            </w:r>
            <w:r w:rsidRPr="00FA1A19">
              <w:t xml:space="preserve">with </w:t>
            </w:r>
            <w:r w:rsidR="00E455CC" w:rsidRPr="00E81174">
              <w:t xml:space="preserve">industry stakeholders and taxpayer representative groups </w:t>
            </w:r>
            <w:r w:rsidR="00E455CC" w:rsidRPr="008A62C8">
              <w:t>including</w:t>
            </w:r>
            <w:r w:rsidR="00E455CC" w:rsidRPr="00E81174">
              <w:t xml:space="preserve"> </w:t>
            </w:r>
            <w:r w:rsidRPr="00FA1A19">
              <w:t xml:space="preserve">the Crypto Industry Working Group </w:t>
            </w:r>
            <w:r w:rsidR="00E46B7B" w:rsidRPr="00FA1A19">
              <w:t>develop</w:t>
            </w:r>
            <w:r w:rsidRPr="00FA1A19">
              <w:t xml:space="preserve"> comprehensive guidance</w:t>
            </w:r>
            <w:r w:rsidR="00E46B7B" w:rsidRPr="00FA1A19">
              <w:t xml:space="preserve"> </w:t>
            </w:r>
            <w:r w:rsidR="00AD44EC" w:rsidRPr="00FA1A19">
              <w:t>as to the tax consequences for</w:t>
            </w:r>
            <w:r w:rsidRPr="00FA1A19">
              <w:t xml:space="preserve"> cryptocurrency </w:t>
            </w:r>
            <w:r w:rsidR="00AD44EC" w:rsidRPr="00FA1A19">
              <w:t>mini</w:t>
            </w:r>
            <w:r w:rsidR="00875E8F" w:rsidRPr="00FA1A19">
              <w:t>ng activities upon which taxpayers who engage in mining can rely to ensure that their tax disclosures will be acceptable to the ATO.</w:t>
            </w:r>
          </w:p>
        </w:tc>
      </w:tr>
    </w:tbl>
    <w:p w14:paraId="67AD9767" w14:textId="1F16BE48" w:rsidR="00217978" w:rsidRPr="00FA1A19" w:rsidRDefault="00217978" w:rsidP="0069352C">
      <w:pPr>
        <w:pStyle w:val="Heading4"/>
      </w:pPr>
      <w:r w:rsidRPr="00FA1A19">
        <w:t>Crypto asset staking (proof of stake protocol)</w:t>
      </w:r>
    </w:p>
    <w:p w14:paraId="61E55388" w14:textId="36AA400C" w:rsidR="00217978" w:rsidRPr="00FA1A19" w:rsidRDefault="00217978" w:rsidP="00217978">
      <w:pPr>
        <w:rPr>
          <w:iCs/>
        </w:rPr>
      </w:pPr>
      <w:r w:rsidRPr="00FA1A19">
        <w:t xml:space="preserve">As explained in </w:t>
      </w:r>
      <w:r w:rsidR="00372633">
        <w:t>Chapter </w:t>
      </w:r>
      <w:r w:rsidRPr="00FA1A19">
        <w:t>3, a staker (also known as a validator or forger) is a person or entity that operates on a proof of stake network to verify and add transactions to a blockchain</w:t>
      </w:r>
      <w:r w:rsidR="00F75232">
        <w:noBreakHyphen/>
      </w:r>
      <w:r w:rsidRPr="00FA1A19">
        <w:t>based ledger.</w:t>
      </w:r>
      <w:r w:rsidRPr="00170ADC">
        <w:rPr>
          <w:rStyle w:val="FootnoteReference"/>
        </w:rPr>
        <w:footnoteReference w:id="501"/>
      </w:r>
      <w:r w:rsidRPr="00FA1A19">
        <w:t xml:space="preserve"> Validators </w:t>
      </w:r>
      <w:r w:rsidR="00F75232">
        <w:t>‘</w:t>
      </w:r>
      <w:r w:rsidRPr="00FA1A19">
        <w:t>stake</w:t>
      </w:r>
      <w:r w:rsidR="00F75232">
        <w:t>’</w:t>
      </w:r>
      <w:r w:rsidRPr="00FA1A19">
        <w:t xml:space="preserve"> a certain amount of their cryptocurrency holdings with a certain amount of their stake destroyed (or burned) if they attempt to undermine the system or fail to validate accurately and reliably.</w:t>
      </w:r>
      <w:r w:rsidR="004F0A51" w:rsidRPr="00FA1A19">
        <w:t xml:space="preserve"> </w:t>
      </w:r>
    </w:p>
    <w:p w14:paraId="35C27A00" w14:textId="79EE3913" w:rsidR="00217978" w:rsidRPr="00FA1A19" w:rsidRDefault="00217978" w:rsidP="00217978">
      <w:r w:rsidRPr="00FA1A19">
        <w:t xml:space="preserve">Validators receive by way of reward a share of the </w:t>
      </w:r>
      <w:r w:rsidR="00AB6BB8" w:rsidRPr="00FA1A19">
        <w:t xml:space="preserve">cryptocurrency </w:t>
      </w:r>
      <w:r w:rsidRPr="00FA1A19">
        <w:t xml:space="preserve">minted with each new block and at every </w:t>
      </w:r>
      <w:r w:rsidR="00F75232">
        <w:t>‘</w:t>
      </w:r>
      <w:r w:rsidRPr="00FA1A19">
        <w:t>epoch</w:t>
      </w:r>
      <w:r w:rsidR="00F75232">
        <w:t>’</w:t>
      </w:r>
      <w:r w:rsidRPr="00FA1A19">
        <w:t xml:space="preserve"> checkpoint for consensus activity, as well as transaction fees based on the </w:t>
      </w:r>
      <w:r w:rsidR="00F75232">
        <w:t>‘</w:t>
      </w:r>
      <w:r w:rsidRPr="00FA1A19">
        <w:t>priority fee</w:t>
      </w:r>
      <w:r w:rsidR="00F75232">
        <w:t>’</w:t>
      </w:r>
      <w:r w:rsidRPr="00FA1A19">
        <w:t xml:space="preserve"> or </w:t>
      </w:r>
      <w:r w:rsidR="00F75232">
        <w:t>‘</w:t>
      </w:r>
      <w:r w:rsidRPr="00FA1A19">
        <w:t>tip fee</w:t>
      </w:r>
      <w:r w:rsidR="00F75232">
        <w:t>’</w:t>
      </w:r>
      <w:r w:rsidRPr="00FA1A19">
        <w:t xml:space="preserve"> which is </w:t>
      </w:r>
      <w:r w:rsidR="00AB6BB8" w:rsidRPr="00FA1A19">
        <w:t xml:space="preserve">the </w:t>
      </w:r>
      <w:r w:rsidRPr="00FA1A19">
        <w:t xml:space="preserve">optional part of the </w:t>
      </w:r>
      <w:r w:rsidR="00F75232">
        <w:t>‘</w:t>
      </w:r>
      <w:r w:rsidRPr="00FA1A19">
        <w:t>gas fee</w:t>
      </w:r>
      <w:r w:rsidR="00F75232">
        <w:t>’</w:t>
      </w:r>
      <w:r w:rsidRPr="00FA1A19">
        <w:t xml:space="preserve"> that the user pays to have the transaction processed more quickly.</w:t>
      </w:r>
      <w:r w:rsidR="004F0A51" w:rsidRPr="00FA1A19">
        <w:t xml:space="preserve"> </w:t>
      </w:r>
      <w:r w:rsidR="00924512" w:rsidRPr="00FA1A19">
        <w:t xml:space="preserve">See </w:t>
      </w:r>
      <w:r w:rsidR="00372633">
        <w:t>Chapter </w:t>
      </w:r>
      <w:r w:rsidR="00924512" w:rsidRPr="00FA1A19">
        <w:t>3 for further details.</w:t>
      </w:r>
    </w:p>
    <w:p w14:paraId="3FD7CEA4" w14:textId="015B4020" w:rsidR="00217978" w:rsidRPr="00FA1A19" w:rsidRDefault="00217978" w:rsidP="008F0C3C">
      <w:pPr>
        <w:pStyle w:val="Heading5"/>
      </w:pPr>
      <w:r w:rsidRPr="00FA1A19">
        <w:t>ATO guidance</w:t>
      </w:r>
    </w:p>
    <w:p w14:paraId="4D912EEC" w14:textId="17C7D197" w:rsidR="00EC4997" w:rsidRPr="00FA1A19" w:rsidRDefault="00EC4997" w:rsidP="008F0C3C">
      <w:pPr>
        <w:pStyle w:val="Heading6"/>
      </w:pPr>
      <w:r w:rsidRPr="00FA1A19">
        <w:t>Assessability of rewards</w:t>
      </w:r>
    </w:p>
    <w:p w14:paraId="551F3ED8" w14:textId="29650F66" w:rsidR="00217978" w:rsidRPr="00FA1A19" w:rsidRDefault="00217978" w:rsidP="00217978">
      <w:r w:rsidRPr="00FA1A19">
        <w:t>The ATO</w:t>
      </w:r>
      <w:r w:rsidR="00F75232">
        <w:t>’</w:t>
      </w:r>
      <w:r w:rsidRPr="00FA1A19">
        <w:t xml:space="preserve">s position in relation to proof of stake rewards can be contrasted with that in relation to proof of work. In relation to proof of stake rewards, the ATO advises the following: </w:t>
      </w:r>
    </w:p>
    <w:p w14:paraId="2ABAD96F" w14:textId="6D47163A" w:rsidR="00217978" w:rsidRPr="00FA1A19" w:rsidRDefault="00217978" w:rsidP="00217DA0">
      <w:pPr>
        <w:pStyle w:val="Quote"/>
      </w:pPr>
      <w:r w:rsidRPr="00FA1A19">
        <w:t>As a forger who creates a new bloc</w:t>
      </w:r>
      <w:r w:rsidRPr="00FA1A19" w:rsidDel="001F4D03">
        <w:t>k</w:t>
      </w:r>
      <w:r w:rsidRPr="00FA1A19">
        <w:t>, you</w:t>
      </w:r>
      <w:r w:rsidR="00F75232">
        <w:t>’</w:t>
      </w:r>
      <w:r w:rsidRPr="00FA1A19">
        <w:t xml:space="preserve">ll usually receive a reward in the form of additional tokens from </w:t>
      </w:r>
      <w:r w:rsidRPr="00FA1A19">
        <w:rPr>
          <w:rFonts w:asciiTheme="minorHAnsi" w:hAnsiTheme="minorHAnsi" w:cstheme="minorHAnsi"/>
        </w:rPr>
        <w:t>holding</w:t>
      </w:r>
      <w:r w:rsidRPr="00FA1A19">
        <w:t xml:space="preserve"> the original tokens. The money value of additional tokens is ordinary income at the time you receive the tokens. You need to declare the income in your tax return as </w:t>
      </w:r>
      <w:hyperlink r:id="rId61" w:history="1">
        <w:r w:rsidRPr="00FA1A19">
          <w:t>other income</w:t>
        </w:r>
      </w:hyperlink>
      <w:r w:rsidRPr="00FA1A19">
        <w:t>.</w:t>
      </w:r>
      <w:r w:rsidRPr="00170ADC">
        <w:rPr>
          <w:rStyle w:val="FootnoteReference"/>
        </w:rPr>
        <w:footnoteReference w:id="502"/>
      </w:r>
    </w:p>
    <w:p w14:paraId="5D343F8E" w14:textId="49A9107B" w:rsidR="00217978" w:rsidRPr="00FA1A19" w:rsidRDefault="00217978" w:rsidP="00217978">
      <w:r w:rsidRPr="00FA1A19">
        <w:t xml:space="preserve">The </w:t>
      </w:r>
      <w:r w:rsidR="005C3AA7" w:rsidRPr="00FA1A19">
        <w:t>ATO</w:t>
      </w:r>
      <w:r w:rsidR="00F75232">
        <w:t>’</w:t>
      </w:r>
      <w:r w:rsidR="005C3AA7" w:rsidRPr="00FA1A19">
        <w:t xml:space="preserve">s </w:t>
      </w:r>
      <w:r w:rsidRPr="00FA1A19">
        <w:t xml:space="preserve">guidance further notes that </w:t>
      </w:r>
      <w:r w:rsidR="00F75232">
        <w:t>‘</w:t>
      </w:r>
      <w:r w:rsidRPr="00FA1A19">
        <w:t>other consensus mechanisms that reward existing token holders for their role in maintaining the network have the same outcome</w:t>
      </w:r>
      <w:r w:rsidR="00F75232">
        <w:t>’</w:t>
      </w:r>
      <w:r w:rsidRPr="00FA1A19">
        <w:t>.</w:t>
      </w:r>
      <w:r w:rsidRPr="00170ADC">
        <w:rPr>
          <w:rStyle w:val="FootnoteReference"/>
        </w:rPr>
        <w:footnoteReference w:id="503"/>
      </w:r>
    </w:p>
    <w:p w14:paraId="3087A4F0" w14:textId="2F03D224" w:rsidR="00474C67" w:rsidRPr="00FA1A19" w:rsidRDefault="00D13E3D" w:rsidP="00C42994">
      <w:r w:rsidRPr="00FA1A19">
        <w:t xml:space="preserve">However, </w:t>
      </w:r>
      <w:r w:rsidR="009C4ECA" w:rsidRPr="00FA1A19">
        <w:t xml:space="preserve">not all submissions to the </w:t>
      </w:r>
      <w:r w:rsidR="009C728C" w:rsidRPr="00FA1A19">
        <w:t>R</w:t>
      </w:r>
      <w:r w:rsidR="009C4ECA" w:rsidRPr="00FA1A19">
        <w:t>eview agreed with this approach.</w:t>
      </w:r>
      <w:r w:rsidR="004F0A51" w:rsidRPr="00FA1A19">
        <w:t xml:space="preserve"> </w:t>
      </w:r>
      <w:r w:rsidR="009C4ECA" w:rsidRPr="00FA1A19">
        <w:t xml:space="preserve">For instance, </w:t>
      </w:r>
      <w:r w:rsidR="00474C67" w:rsidRPr="00FA1A19">
        <w:t xml:space="preserve">Tailored Accountants provided the </w:t>
      </w:r>
      <w:r w:rsidR="009C728C" w:rsidRPr="00FA1A19">
        <w:t>Re</w:t>
      </w:r>
      <w:r w:rsidR="00474C67" w:rsidRPr="00FA1A19">
        <w:t>view with an analysis of staking on the Cardano blockchain and suggested that the new crypto assets awarded to validators</w:t>
      </w:r>
      <w:r w:rsidR="002F3C85" w:rsidRPr="00FA1A19">
        <w:t xml:space="preserve"> are not assessable income, arguing that they</w:t>
      </w:r>
      <w:r w:rsidR="00474C67" w:rsidRPr="00FA1A19">
        <w:t xml:space="preserve"> cannot be considered to be strictly an income realisation event as there is a dilution of the user</w:t>
      </w:r>
      <w:r w:rsidR="00F75232">
        <w:t>’</w:t>
      </w:r>
      <w:r w:rsidR="00474C67" w:rsidRPr="00FA1A19">
        <w:t>s holdings occurring at the same time, due to the new tokens being minted from the reserve.</w:t>
      </w:r>
      <w:r w:rsidR="00474C67" w:rsidRPr="00170ADC">
        <w:rPr>
          <w:rStyle w:val="FootnoteReference"/>
        </w:rPr>
        <w:footnoteReference w:id="504"/>
      </w:r>
      <w:r w:rsidR="00474C67" w:rsidRPr="00FA1A19">
        <w:t xml:space="preserve"> </w:t>
      </w:r>
    </w:p>
    <w:p w14:paraId="38770852" w14:textId="0CC15711" w:rsidR="00217978" w:rsidRPr="00FA1A19" w:rsidRDefault="00217978" w:rsidP="00217978">
      <w:r w:rsidRPr="00FA1A19">
        <w:t xml:space="preserve">Some submissions to the Review </w:t>
      </w:r>
      <w:r w:rsidR="002F3C85" w:rsidRPr="00FA1A19">
        <w:t xml:space="preserve">also </w:t>
      </w:r>
      <w:r w:rsidRPr="00FA1A19">
        <w:t>queried the merit of the ATO</w:t>
      </w:r>
      <w:r w:rsidR="00F75232">
        <w:t>’</w:t>
      </w:r>
      <w:r w:rsidRPr="00FA1A19">
        <w:t xml:space="preserve">s distinction between the taxation of rewards to miners in a proof of work protocol </w:t>
      </w:r>
      <w:r w:rsidR="00B37AC1" w:rsidRPr="00FA1A19">
        <w:t>(i.e.</w:t>
      </w:r>
      <w:r w:rsidRPr="00FA1A19">
        <w:t xml:space="preserve"> not assessable and treated as the acquisition of trading stock or a capital asset under the CGT regime), and the taxation of rewards to validators in a p</w:t>
      </w:r>
      <w:r w:rsidR="005C5730">
        <w:t>r</w:t>
      </w:r>
      <w:r w:rsidRPr="00FA1A19">
        <w:t xml:space="preserve">oof of stake protocol </w:t>
      </w:r>
      <w:r w:rsidR="00B37AC1" w:rsidRPr="00FA1A19">
        <w:t>(i.e.</w:t>
      </w:r>
      <w:r w:rsidRPr="00FA1A19">
        <w:t xml:space="preserve"> assessable as ordinary income), with a confidential submission to the review explaining: </w:t>
      </w:r>
    </w:p>
    <w:p w14:paraId="4987148B" w14:textId="7F343375" w:rsidR="00217978" w:rsidRPr="00FA1A19" w:rsidRDefault="00217978" w:rsidP="00217DA0">
      <w:pPr>
        <w:pStyle w:val="Quote"/>
      </w:pPr>
      <w:r w:rsidRPr="00FA1A19">
        <w:t>The current ATO guidelines suggest that hobbyist activity from Proof of Work is treated as zero</w:t>
      </w:r>
      <w:r w:rsidR="00F75232">
        <w:noBreakHyphen/>
      </w:r>
      <w:r w:rsidRPr="00FA1A19">
        <w:t xml:space="preserve">cost basis, but rewards from Proof of Stake are treated as income, which creates a tax advantage for </w:t>
      </w:r>
      <w:r w:rsidRPr="00FA1A19">
        <w:rPr>
          <w:rFonts w:asciiTheme="minorHAnsi" w:hAnsiTheme="minorHAnsi" w:cstheme="minorHAnsi"/>
        </w:rPr>
        <w:t>one</w:t>
      </w:r>
      <w:r w:rsidRPr="00FA1A19">
        <w:t xml:space="preserve"> consensus mechanism over another. Instead, tax regulation should be technologically neutral.</w:t>
      </w:r>
      <w:r w:rsidRPr="00170ADC">
        <w:rPr>
          <w:rStyle w:val="FootnoteReference"/>
        </w:rPr>
        <w:footnoteReference w:id="505"/>
      </w:r>
    </w:p>
    <w:p w14:paraId="58F98327" w14:textId="68C333CF" w:rsidR="00753FD7" w:rsidRPr="00FA1A19" w:rsidRDefault="00333F14" w:rsidP="009121FE">
      <w:r w:rsidRPr="00FA1A19">
        <w:t>The Board sees some merit in this argument in favour of consistency and against a tax advantage for one consensus mechanism over another.</w:t>
      </w:r>
      <w:r w:rsidR="004F0A51" w:rsidRPr="00FA1A19">
        <w:t xml:space="preserve"> </w:t>
      </w:r>
      <w:r w:rsidR="002F3C85" w:rsidRPr="00FA1A19">
        <w:t>The Board recognises</w:t>
      </w:r>
      <w:r w:rsidR="00DE44FE" w:rsidRPr="00FA1A19">
        <w:t xml:space="preserve"> that there may be</w:t>
      </w:r>
      <w:r w:rsidR="00753FD7" w:rsidRPr="00FA1A19">
        <w:t xml:space="preserve"> a difference in the activities undertaken </w:t>
      </w:r>
      <w:r w:rsidR="18FFC095" w:rsidRPr="00FA1A19">
        <w:t xml:space="preserve">by </w:t>
      </w:r>
      <w:r w:rsidR="00753FD7" w:rsidRPr="00FA1A19">
        <w:t>a miner in a proof</w:t>
      </w:r>
      <w:r w:rsidR="00F75232">
        <w:noBreakHyphen/>
      </w:r>
      <w:r w:rsidR="00753FD7" w:rsidRPr="00FA1A19">
        <w:t>of</w:t>
      </w:r>
      <w:r w:rsidR="00F75232">
        <w:noBreakHyphen/>
      </w:r>
      <w:r w:rsidR="00753FD7" w:rsidRPr="00FA1A19">
        <w:t xml:space="preserve">work network </w:t>
      </w:r>
      <w:r w:rsidR="00DE44FE" w:rsidRPr="00FA1A19">
        <w:t>(who requires significant hardware) and a</w:t>
      </w:r>
      <w:r w:rsidR="00753FD7" w:rsidRPr="00FA1A19">
        <w:t xml:space="preserve"> staker/validator in a proof</w:t>
      </w:r>
      <w:r w:rsidR="00F75232">
        <w:noBreakHyphen/>
      </w:r>
      <w:r w:rsidR="00753FD7" w:rsidRPr="00FA1A19">
        <w:t>of</w:t>
      </w:r>
      <w:r w:rsidR="00F75232">
        <w:noBreakHyphen/>
      </w:r>
      <w:r w:rsidR="00753FD7" w:rsidRPr="00FA1A19">
        <w:t>stake network</w:t>
      </w:r>
      <w:r w:rsidR="00DE44FE" w:rsidRPr="00FA1A19">
        <w:t xml:space="preserve"> (</w:t>
      </w:r>
      <w:r w:rsidR="00753FD7" w:rsidRPr="00FA1A19">
        <w:t xml:space="preserve">who requires considerably less hardware but must risk a </w:t>
      </w:r>
      <w:r w:rsidR="00F75232">
        <w:t>‘</w:t>
      </w:r>
      <w:r w:rsidR="00753FD7" w:rsidRPr="00FA1A19">
        <w:t>stake</w:t>
      </w:r>
      <w:r w:rsidR="00F75232">
        <w:t>’</w:t>
      </w:r>
      <w:r w:rsidR="00753FD7" w:rsidRPr="00FA1A19">
        <w:t xml:space="preserve"> of the cryptocurrency that is native to the network</w:t>
      </w:r>
      <w:r w:rsidR="00DE44FE" w:rsidRPr="00FA1A19">
        <w:t>)</w:t>
      </w:r>
      <w:r w:rsidR="00753FD7" w:rsidRPr="00FA1A19">
        <w:t>.</w:t>
      </w:r>
      <w:r w:rsidR="004F0A51" w:rsidRPr="00FA1A19">
        <w:t xml:space="preserve"> </w:t>
      </w:r>
      <w:r w:rsidR="00753FD7" w:rsidRPr="00FA1A19">
        <w:t xml:space="preserve">Ultimately, however, there must be some question as to whether this difference in activity is sufficient to </w:t>
      </w:r>
      <w:r w:rsidR="004058C8" w:rsidRPr="00FA1A19">
        <w:t>establish</w:t>
      </w:r>
      <w:r w:rsidR="00753FD7" w:rsidRPr="00FA1A19">
        <w:t xml:space="preserve"> or justify </w:t>
      </w:r>
      <w:r w:rsidR="00DB2870" w:rsidRPr="00FA1A19">
        <w:t>a</w:t>
      </w:r>
      <w:r w:rsidR="00753FD7" w:rsidRPr="00FA1A19">
        <w:t xml:space="preserve"> different taxation treatment</w:t>
      </w:r>
      <w:r w:rsidR="00DB2870" w:rsidRPr="00FA1A19">
        <w:t xml:space="preserve"> which will create a tax advantage for one consensus mechanism over another</w:t>
      </w:r>
      <w:r w:rsidR="00753FD7" w:rsidRPr="00FA1A19">
        <w:t>.</w:t>
      </w:r>
    </w:p>
    <w:p w14:paraId="677BB6F1" w14:textId="38FA72EA" w:rsidR="001B01AF" w:rsidRPr="00FA1A19" w:rsidRDefault="00815E7A" w:rsidP="008F0C3C">
      <w:pPr>
        <w:pStyle w:val="Heading6"/>
      </w:pPr>
      <w:r w:rsidRPr="00FA1A19">
        <w:t>Issues</w:t>
      </w:r>
      <w:r w:rsidR="001B01AF" w:rsidRPr="00FA1A19">
        <w:t xml:space="preserve"> </w:t>
      </w:r>
      <w:r w:rsidR="53F45475" w:rsidRPr="00FA1A19">
        <w:t xml:space="preserve">which do </w:t>
      </w:r>
      <w:r w:rsidR="001B01AF" w:rsidRPr="00FA1A19">
        <w:t>not ap</w:t>
      </w:r>
      <w:r w:rsidR="7888F26B" w:rsidRPr="00FA1A19">
        <w:t>pear to be</w:t>
      </w:r>
      <w:r w:rsidR="001B01AF" w:rsidRPr="00FA1A19">
        <w:t xml:space="preserve"> covered by ATO guidance</w:t>
      </w:r>
    </w:p>
    <w:p w14:paraId="23C230B1" w14:textId="7B175DD6" w:rsidR="00CA087D" w:rsidRPr="00FA1A19" w:rsidRDefault="00217978" w:rsidP="00217978">
      <w:r w:rsidRPr="00FA1A19">
        <w:t xml:space="preserve">The </w:t>
      </w:r>
      <w:r w:rsidR="00CA087D" w:rsidRPr="00FA1A19">
        <w:t xml:space="preserve">following </w:t>
      </w:r>
      <w:r w:rsidR="00815E7A" w:rsidRPr="00FA1A19">
        <w:t xml:space="preserve">issues </w:t>
      </w:r>
      <w:r w:rsidR="65D98AE2" w:rsidRPr="00FA1A19">
        <w:t xml:space="preserve">do not appear to be </w:t>
      </w:r>
      <w:r w:rsidR="00CA087D" w:rsidRPr="00FA1A19">
        <w:t xml:space="preserve">covered by any </w:t>
      </w:r>
      <w:r w:rsidRPr="00FA1A19">
        <w:t>ATO guidance</w:t>
      </w:r>
      <w:r w:rsidR="00CA087D" w:rsidRPr="00FA1A19">
        <w:t>:</w:t>
      </w:r>
    </w:p>
    <w:p w14:paraId="594CC446" w14:textId="2E7BBB47" w:rsidR="00217978" w:rsidRPr="00FA1A19" w:rsidRDefault="00CF306E" w:rsidP="008F0C3C">
      <w:pPr>
        <w:pStyle w:val="Bullet"/>
      </w:pPr>
      <w:r>
        <w:t>W</w:t>
      </w:r>
      <w:r w:rsidRPr="00FA1A19">
        <w:t>hen</w:t>
      </w:r>
      <w:r w:rsidR="00E0213A" w:rsidRPr="00FA1A19">
        <w:t xml:space="preserve"> </w:t>
      </w:r>
      <w:r w:rsidR="00217978" w:rsidRPr="00FA1A19">
        <w:t xml:space="preserve">staking activities </w:t>
      </w:r>
      <w:r w:rsidR="00A9760F" w:rsidRPr="00FA1A19">
        <w:t xml:space="preserve">will amount </w:t>
      </w:r>
      <w:r w:rsidR="00217978" w:rsidRPr="00FA1A19">
        <w:t xml:space="preserve">to carrying on a business </w:t>
      </w:r>
      <w:r w:rsidR="00A9760F" w:rsidRPr="00FA1A19">
        <w:t xml:space="preserve">as opposed to </w:t>
      </w:r>
      <w:r w:rsidR="00217978" w:rsidRPr="00FA1A19">
        <w:t>undertaking activities as a hobby</w:t>
      </w:r>
      <w:r w:rsidR="00DB5C9E" w:rsidRPr="00FA1A19">
        <w:t xml:space="preserve"> and the</w:t>
      </w:r>
      <w:r w:rsidR="00A9760F" w:rsidRPr="00FA1A19">
        <w:t xml:space="preserve"> consequent</w:t>
      </w:r>
      <w:r w:rsidR="00DB5C9E" w:rsidRPr="00FA1A19">
        <w:t xml:space="preserve"> application of the general provisions including s</w:t>
      </w:r>
      <w:r>
        <w:t>ection</w:t>
      </w:r>
      <w:r w:rsidR="00DB5C9E" w:rsidRPr="00FA1A19">
        <w:t> 6</w:t>
      </w:r>
      <w:r w:rsidR="00F75232">
        <w:noBreakHyphen/>
      </w:r>
      <w:r w:rsidR="00DB5C9E" w:rsidRPr="00FA1A19">
        <w:t xml:space="preserve">5 </w:t>
      </w:r>
      <w:r>
        <w:t>of the ITAA 1997</w:t>
      </w:r>
      <w:r w:rsidR="00DB5C9E" w:rsidRPr="00FA1A19">
        <w:t xml:space="preserve"> ordinary income, the trading stock provisions, and CGT</w:t>
      </w:r>
      <w:r w:rsidR="00555A59" w:rsidRPr="00FA1A19">
        <w:t xml:space="preserve"> (</w:t>
      </w:r>
      <w:r w:rsidR="00217978" w:rsidRPr="00FA1A19">
        <w:t xml:space="preserve">although </w:t>
      </w:r>
      <w:r w:rsidR="6EB64193" w:rsidRPr="00FA1A19">
        <w:t xml:space="preserve">the </w:t>
      </w:r>
      <w:r w:rsidR="00217978" w:rsidRPr="00FA1A19">
        <w:t>ATO do</w:t>
      </w:r>
      <w:r w:rsidR="3B1D6DB4" w:rsidRPr="00FA1A19">
        <w:t>es</w:t>
      </w:r>
      <w:r w:rsidR="00217978" w:rsidRPr="00FA1A19">
        <w:t xml:space="preserve"> advise that when the forger or user dispose of crypto assets earnt through staking, the forger or user needs to work out if they made a capital gain or loss</w:t>
      </w:r>
      <w:r w:rsidR="00555A59" w:rsidRPr="00FA1A19">
        <w:t>)</w:t>
      </w:r>
      <w:r w:rsidR="00217978" w:rsidRPr="00FA1A19">
        <w:t>.</w:t>
      </w:r>
      <w:r w:rsidR="00217978" w:rsidRPr="00170ADC">
        <w:rPr>
          <w:rStyle w:val="FootnoteReference"/>
        </w:rPr>
        <w:footnoteReference w:id="506"/>
      </w:r>
    </w:p>
    <w:p w14:paraId="50C15937" w14:textId="0460EE11" w:rsidR="00217978" w:rsidRPr="00FA1A19" w:rsidRDefault="00F71FB7" w:rsidP="008F0C3C">
      <w:pPr>
        <w:pStyle w:val="Bullet"/>
      </w:pPr>
      <w:r w:rsidRPr="00FA1A19">
        <w:t xml:space="preserve">The tax consequences where rewards received through staking activities are </w:t>
      </w:r>
      <w:r w:rsidR="00F75232">
        <w:t>‘</w:t>
      </w:r>
      <w:r w:rsidR="00217978" w:rsidRPr="00FA1A19">
        <w:t>locked up</w:t>
      </w:r>
      <w:r w:rsidR="00F75232">
        <w:t>’</w:t>
      </w:r>
      <w:r w:rsidR="004F0A51" w:rsidRPr="00FA1A19">
        <w:t xml:space="preserve"> </w:t>
      </w:r>
      <w:r w:rsidR="00217978" w:rsidRPr="00FA1A19">
        <w:t>for a period of time, following the token</w:t>
      </w:r>
      <w:r w:rsidR="00F75232">
        <w:t>’</w:t>
      </w:r>
      <w:r w:rsidR="00217978" w:rsidRPr="00FA1A19">
        <w:t>s creation. In these instances</w:t>
      </w:r>
      <w:r w:rsidRPr="00FA1A19">
        <w:t>, there is a question as to whether</w:t>
      </w:r>
      <w:r w:rsidR="00087013" w:rsidRPr="00FA1A19">
        <w:t xml:space="preserve"> the taxpayer </w:t>
      </w:r>
      <w:r w:rsidRPr="00FA1A19">
        <w:t>is</w:t>
      </w:r>
      <w:r w:rsidR="00087013" w:rsidRPr="00FA1A19">
        <w:t xml:space="preserve"> not assessable on the relevant reward until it is available, </w:t>
      </w:r>
      <w:r w:rsidR="00AA5EB5" w:rsidRPr="00FA1A19">
        <w:t xml:space="preserve">on the basis that the gain has not </w:t>
      </w:r>
      <w:r w:rsidR="00F75232">
        <w:t>‘</w:t>
      </w:r>
      <w:r w:rsidR="00AA5EB5" w:rsidRPr="00FA1A19">
        <w:t>come home to the taxpayer in a reali</w:t>
      </w:r>
      <w:r w:rsidR="5BD92E31" w:rsidRPr="00FA1A19">
        <w:t>s</w:t>
      </w:r>
      <w:r w:rsidR="00AA5EB5" w:rsidRPr="00FA1A19">
        <w:t>ed or immediately reali</w:t>
      </w:r>
      <w:r w:rsidR="5DBE26AD" w:rsidRPr="00FA1A19">
        <w:t>s</w:t>
      </w:r>
      <w:r w:rsidR="00AA5EB5" w:rsidRPr="00FA1A19">
        <w:t>able form</w:t>
      </w:r>
      <w:r w:rsidR="00F75232">
        <w:t>’</w:t>
      </w:r>
      <w:r w:rsidR="00AA5EB5" w:rsidRPr="00FA1A19">
        <w:t xml:space="preserve">: </w:t>
      </w:r>
      <w:r w:rsidR="00217978" w:rsidRPr="00813896">
        <w:rPr>
          <w:rStyle w:val="Emphasis"/>
        </w:rPr>
        <w:t>Commissioner of Taxes (SA) v Executor Trustee and Agency Co of South Australia Ltd (1938) 63 CLR 108</w:t>
      </w:r>
      <w:r w:rsidR="00217978" w:rsidRPr="00FA1A19">
        <w:t xml:space="preserve"> </w:t>
      </w:r>
      <w:r w:rsidR="00AA5EB5" w:rsidRPr="00FA1A19">
        <w:t>(Dixon J).</w:t>
      </w:r>
      <w:r w:rsidR="004F0A51" w:rsidRPr="00FA1A19">
        <w:t xml:space="preserve"> </w:t>
      </w:r>
      <w:r w:rsidR="00AA5EB5" w:rsidRPr="00FA1A19">
        <w:t>This is an issue upon which guidance would be helpful.</w:t>
      </w:r>
    </w:p>
    <w:p w14:paraId="73446866" w14:textId="42035A0F" w:rsidR="00910FC9" w:rsidRPr="00FA1A19" w:rsidRDefault="002008DC" w:rsidP="008F0C3C">
      <w:pPr>
        <w:pStyle w:val="Bullet"/>
      </w:pPr>
      <w:r>
        <w:t>W</w:t>
      </w:r>
      <w:r w:rsidRPr="00FA1A19">
        <w:t>hether</w:t>
      </w:r>
      <w:r w:rsidR="00910FC9" w:rsidRPr="00FA1A19">
        <w:t xml:space="preserve"> a disposal and acquisition occurs at the time that the token is staked </w:t>
      </w:r>
      <w:r w:rsidR="00B37AC1" w:rsidRPr="00FA1A19">
        <w:t>(i.e.</w:t>
      </w:r>
      <w:r w:rsidR="00910FC9" w:rsidRPr="00FA1A19">
        <w:t xml:space="preserve"> locked</w:t>
      </w:r>
      <w:r w:rsidR="00F75232">
        <w:noBreakHyphen/>
      </w:r>
      <w:r w:rsidR="00910FC9" w:rsidRPr="00FA1A19">
        <w:t>up) and released from staking. In EY</w:t>
      </w:r>
      <w:r w:rsidR="00F75232">
        <w:t>’</w:t>
      </w:r>
      <w:r w:rsidR="00910FC9" w:rsidRPr="00FA1A19">
        <w:t>s submission to the Review, they noted:</w:t>
      </w:r>
    </w:p>
    <w:p w14:paraId="6C4A34FB" w14:textId="3CF38C4B" w:rsidR="00217978" w:rsidRPr="00FA1A19" w:rsidRDefault="00217978" w:rsidP="00217DA0">
      <w:pPr>
        <w:pStyle w:val="Quote"/>
      </w:pPr>
      <w:r w:rsidRPr="00FA1A19">
        <w:t>For example, in the case of direct staking, a change in legal ownership may not occur. However, in the case of pool staking or centralised staking, there may be a transfer of legal and potentially beneficial ownership of the tokens. In many cases, a user is unlikely to have sufficient transparency over the terms and conditions of the staking mechanism to be able to determine whether there has been a transfer of legal or beneficial ownership of their cryptocurrency…</w:t>
      </w:r>
    </w:p>
    <w:p w14:paraId="75DF728C" w14:textId="77777777" w:rsidR="00217978" w:rsidRPr="00FA1A19" w:rsidRDefault="00217978" w:rsidP="00217DA0">
      <w:pPr>
        <w:pStyle w:val="Quote"/>
      </w:pPr>
      <w:r w:rsidRPr="00FA1A19">
        <w:t>Accordingly, we</w:t>
      </w:r>
      <w:r w:rsidRPr="00FA1A19" w:rsidDel="009C6497">
        <w:t xml:space="preserve"> believe </w:t>
      </w:r>
      <w:r w:rsidRPr="00FA1A19">
        <w:t>it would be appropriate to disregard for tax purposes any change in legal or beneficial ownership of the staked tokens that arises upon locking up the currency, where the staked tokens are subsequently released to the user following the staking process.</w:t>
      </w:r>
      <w:r w:rsidRPr="00170ADC">
        <w:rPr>
          <w:rStyle w:val="FootnoteReference"/>
        </w:rPr>
        <w:footnoteReference w:id="507"/>
      </w:r>
    </w:p>
    <w:p w14:paraId="0130969C" w14:textId="77777777" w:rsidR="00217978" w:rsidRPr="00FA1A19" w:rsidRDefault="00217978" w:rsidP="008F0C3C">
      <w:pPr>
        <w:pStyle w:val="Heading5"/>
      </w:pPr>
      <w:r w:rsidRPr="00FA1A19">
        <w:t>Conclusion</w:t>
      </w:r>
    </w:p>
    <w:p w14:paraId="400E9BD0" w14:textId="36C9D99B" w:rsidR="00217978" w:rsidRDefault="00BC5EC8" w:rsidP="00217978">
      <w:r w:rsidRPr="00FA1A19">
        <w:t xml:space="preserve">The Board considers that comprehensive </w:t>
      </w:r>
      <w:r w:rsidR="007F080C" w:rsidRPr="00FA1A19">
        <w:t>ATO guidance is required so that validators on a proof</w:t>
      </w:r>
      <w:r w:rsidR="00F75232">
        <w:noBreakHyphen/>
      </w:r>
      <w:r w:rsidR="007F080C" w:rsidRPr="00FA1A19">
        <w:t>of</w:t>
      </w:r>
      <w:r w:rsidR="00F75232">
        <w:noBreakHyphen/>
      </w:r>
      <w:r w:rsidR="007F080C" w:rsidRPr="00FA1A19">
        <w:t xml:space="preserve">stake network can be confident that </w:t>
      </w:r>
      <w:r w:rsidR="002008DC" w:rsidRPr="00FA1A19">
        <w:t>the</w:t>
      </w:r>
      <w:r w:rsidR="002008DC">
        <w:t>ir</w:t>
      </w:r>
      <w:r w:rsidR="002008DC" w:rsidRPr="00FA1A19">
        <w:t xml:space="preserve"> </w:t>
      </w:r>
      <w:r w:rsidR="007F080C" w:rsidRPr="00FA1A19">
        <w:t>taxation disclosures will be acceptable to the ATO.</w:t>
      </w:r>
    </w:p>
    <w:p w14:paraId="38025B95" w14:textId="77777777" w:rsidR="008F0C3C" w:rsidRPr="00FA1A19" w:rsidRDefault="008F0C3C" w:rsidP="008F0C3C">
      <w:pPr>
        <w:pStyle w:val="SingleParagraph"/>
      </w:pPr>
    </w:p>
    <w:tbl>
      <w:tblPr>
        <w:tblStyle w:val="Style2"/>
        <w:tblW w:w="5000" w:type="pct"/>
        <w:tblLook w:val="01E0" w:firstRow="1" w:lastRow="1" w:firstColumn="1" w:lastColumn="1" w:noHBand="0" w:noVBand="0"/>
      </w:tblPr>
      <w:tblGrid>
        <w:gridCol w:w="9641"/>
      </w:tblGrid>
      <w:tr w:rsidR="00217978" w:rsidRPr="00FA1A19" w14:paraId="3D00C212"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0B7C5CCC" w14:textId="072996A2" w:rsidR="00217978" w:rsidRPr="00FA1A19" w:rsidRDefault="00372633" w:rsidP="003316D7">
            <w:pPr>
              <w:pStyle w:val="BoxHeading1"/>
            </w:pPr>
            <w:r>
              <w:t>Recommendation </w:t>
            </w:r>
            <w:r w:rsidR="0013632F" w:rsidRPr="00FA1A19">
              <w:t>9</w:t>
            </w:r>
            <w:r w:rsidR="00217978" w:rsidRPr="00FA1A19">
              <w:t>.2</w:t>
            </w:r>
          </w:p>
        </w:tc>
      </w:tr>
      <w:tr w:rsidR="00217978" w:rsidRPr="00FA1A19" w14:paraId="41F16206"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38413E50" w14:textId="729CB78F" w:rsidR="00822A7D" w:rsidRPr="00FA1A19" w:rsidRDefault="00822A7D" w:rsidP="008F0C3C">
            <w:pPr>
              <w:pStyle w:val="BoxText"/>
            </w:pPr>
            <w:r w:rsidRPr="00FA1A19">
              <w:t>The ATO</w:t>
            </w:r>
            <w:r w:rsidR="00F75232">
              <w:t>’</w:t>
            </w:r>
            <w:r w:rsidRPr="00FA1A19">
              <w:t>s guidance to cryptocurrency stakers/validators concludes that the</w:t>
            </w:r>
            <w:r w:rsidR="00D0483F" w:rsidRPr="00FA1A19">
              <w:t xml:space="preserve"> cryptocurrency rewards from staking are received as income on revenue account (being a return on their </w:t>
            </w:r>
            <w:r w:rsidR="00F75232">
              <w:t>‘</w:t>
            </w:r>
            <w:r w:rsidR="00D0483F" w:rsidRPr="00FA1A19">
              <w:t>stake</w:t>
            </w:r>
            <w:r w:rsidR="00F75232">
              <w:t>’</w:t>
            </w:r>
            <w:r w:rsidR="00D0483F" w:rsidRPr="00FA1A19">
              <w:t>), with the amount assessed equivalent to the value of the cryptocurrency received.</w:t>
            </w:r>
          </w:p>
          <w:p w14:paraId="0CFEF0F7" w14:textId="03B43A2D" w:rsidR="00FF7F35" w:rsidRPr="00FA1A19" w:rsidRDefault="00FF7F35" w:rsidP="008F0C3C">
            <w:pPr>
              <w:pStyle w:val="BoxText"/>
            </w:pPr>
            <w:r w:rsidRPr="00FA1A19">
              <w:t>This treatment is different to the treatment of mining rewards</w:t>
            </w:r>
            <w:r w:rsidR="0050737F">
              <w:t xml:space="preserve">, due to the different </w:t>
            </w:r>
            <w:r w:rsidR="00134F57">
              <w:t>manner in which staking and mining activities are undertaken</w:t>
            </w:r>
            <w:r w:rsidRPr="00FA1A19">
              <w:t xml:space="preserve">. </w:t>
            </w:r>
          </w:p>
          <w:p w14:paraId="5B40044A" w14:textId="2D9943C7" w:rsidR="00217978" w:rsidRPr="00FA1A19" w:rsidRDefault="00217978" w:rsidP="008F0C3C">
            <w:pPr>
              <w:pStyle w:val="BoxText"/>
            </w:pPr>
            <w:r w:rsidRPr="00FA1A19">
              <w:t xml:space="preserve">The Board recommends that </w:t>
            </w:r>
            <w:r w:rsidR="00935F07" w:rsidRPr="00FA1A19">
              <w:t xml:space="preserve">the </w:t>
            </w:r>
            <w:r w:rsidRPr="00FA1A19">
              <w:t xml:space="preserve">ATO </w:t>
            </w:r>
            <w:r w:rsidR="00AE7BB7" w:rsidRPr="00FA1A19">
              <w:t>in consultation</w:t>
            </w:r>
            <w:r w:rsidR="00D56127" w:rsidRPr="00FA1A19">
              <w:t xml:space="preserve"> </w:t>
            </w:r>
            <w:r w:rsidR="00935F07" w:rsidRPr="00FA1A19">
              <w:t xml:space="preserve">with </w:t>
            </w:r>
            <w:r w:rsidR="00E455CC" w:rsidRPr="00E81174">
              <w:t xml:space="preserve">industry stakeholders and taxpayer representative groups </w:t>
            </w:r>
            <w:r w:rsidR="00E455CC" w:rsidRPr="008A62C8">
              <w:t>including</w:t>
            </w:r>
            <w:r w:rsidR="00E455CC" w:rsidRPr="00E81174">
              <w:t xml:space="preserve"> </w:t>
            </w:r>
            <w:r w:rsidR="00935F07" w:rsidRPr="00FA1A19">
              <w:t xml:space="preserve">the Crypto Industry Working Group </w:t>
            </w:r>
            <w:r w:rsidR="002B3A72" w:rsidRPr="00FA1A19">
              <w:t>develop</w:t>
            </w:r>
            <w:r w:rsidR="00935F07" w:rsidRPr="00FA1A19">
              <w:t xml:space="preserve"> comprehensive guidance </w:t>
            </w:r>
            <w:r w:rsidR="00C178A4" w:rsidRPr="00FA1A19">
              <w:t>as to the tax consequences for cryptocurrency staking/validating activities upon which taxpayers who engage in staking/validating can rely to ensure that their tax disclosures will be acceptable to the ATO.</w:t>
            </w:r>
          </w:p>
        </w:tc>
      </w:tr>
    </w:tbl>
    <w:p w14:paraId="7C5E5074" w14:textId="3FB4F237" w:rsidR="00217978" w:rsidRPr="00FA1A19" w:rsidRDefault="00217978" w:rsidP="0069352C">
      <w:pPr>
        <w:pStyle w:val="Heading4"/>
      </w:pPr>
      <w:r w:rsidRPr="00FA1A19">
        <w:t>Airdrops</w:t>
      </w:r>
    </w:p>
    <w:p w14:paraId="49416741" w14:textId="6BB8841B" w:rsidR="00217978" w:rsidRPr="00FA1A19" w:rsidRDefault="00217978" w:rsidP="00217978">
      <w:r w:rsidRPr="00FA1A19">
        <w:t xml:space="preserve">As set out in </w:t>
      </w:r>
      <w:r w:rsidR="00372633">
        <w:t>Chapter </w:t>
      </w:r>
      <w:r w:rsidRPr="00FA1A19">
        <w:t xml:space="preserve">3, an airdrop is </w:t>
      </w:r>
      <w:r w:rsidR="00F75232">
        <w:t>‘</w:t>
      </w:r>
      <w:r w:rsidRPr="00FA1A19">
        <w:t>a distribution of a cryptocoin or token in a manner that requires no or very little effort from the recipient and involves no exchange of tangible consideration in the form of fiat or other cryptocurrencies.</w:t>
      </w:r>
      <w:r w:rsidR="00F75232">
        <w:t>’</w:t>
      </w:r>
      <w:r w:rsidRPr="00170ADC">
        <w:rPr>
          <w:rStyle w:val="FootnoteReference"/>
        </w:rPr>
        <w:footnoteReference w:id="508"/>
      </w:r>
      <w:r w:rsidR="004F0A51" w:rsidRPr="00FA1A19">
        <w:t xml:space="preserve"> </w:t>
      </w:r>
      <w:r w:rsidRPr="00FA1A19">
        <w:t xml:space="preserve">An airdrop may be given to a person or organisation because they hold a certain digital asset in their crypto wallet and are being rewarded for holding that asset over a given period of time. Alternatively, </w:t>
      </w:r>
      <w:r w:rsidR="1D32795D" w:rsidRPr="00FA1A19">
        <w:t>a</w:t>
      </w:r>
      <w:r w:rsidRPr="00FA1A19">
        <w:t xml:space="preserve"> person may receive an airdrop as a reward for being an early participant in, or supporter of, a crypto or blockchain project.</w:t>
      </w:r>
      <w:r w:rsidR="004F0A51" w:rsidRPr="00FA1A19">
        <w:t xml:space="preserve"> </w:t>
      </w:r>
      <w:r w:rsidR="4A23CE55" w:rsidRPr="00FA1A19">
        <w:t>Recipients</w:t>
      </w:r>
      <w:r w:rsidR="00753B43" w:rsidRPr="00FA1A19">
        <w:t xml:space="preserve"> may be required to apply for an airdrop, or crypto tokens may be simply </w:t>
      </w:r>
      <w:r w:rsidR="00F75232">
        <w:t>‘</w:t>
      </w:r>
      <w:r w:rsidR="00753B43" w:rsidRPr="00FA1A19">
        <w:t>dropped</w:t>
      </w:r>
      <w:r w:rsidR="00F75232">
        <w:t>’</w:t>
      </w:r>
      <w:r w:rsidR="00753B43" w:rsidRPr="00FA1A19">
        <w:t xml:space="preserve"> into their wallet.</w:t>
      </w:r>
    </w:p>
    <w:p w14:paraId="56CD4D57" w14:textId="77777777" w:rsidR="00217978" w:rsidRPr="00FA1A19" w:rsidRDefault="00217978" w:rsidP="008F0C3C">
      <w:pPr>
        <w:pStyle w:val="Heading5"/>
      </w:pPr>
      <w:r w:rsidRPr="00FA1A19">
        <w:t xml:space="preserve">Current tax treatment </w:t>
      </w:r>
    </w:p>
    <w:p w14:paraId="1D1CE92F" w14:textId="00151CF1" w:rsidR="00217978" w:rsidRPr="00FA1A19" w:rsidRDefault="00217978" w:rsidP="00217978">
      <w:pPr>
        <w:spacing w:after="160" w:line="259" w:lineRule="auto"/>
        <w:rPr>
          <w:rFonts w:eastAsia="Calibri"/>
          <w:lang w:eastAsia="en-US"/>
        </w:rPr>
      </w:pPr>
      <w:r w:rsidRPr="00FA1A19">
        <w:rPr>
          <w:rFonts w:eastAsia="Calibri"/>
          <w:lang w:eastAsia="en-US"/>
        </w:rPr>
        <w:t>The ATO describes airdrops as</w:t>
      </w:r>
      <w:r w:rsidR="00E77BB2" w:rsidRPr="00FA1A19">
        <w:rPr>
          <w:rFonts w:eastAsia="Calibri"/>
          <w:lang w:eastAsia="en-US"/>
        </w:rPr>
        <w:t xml:space="preserve"> follows</w:t>
      </w:r>
      <w:r w:rsidRPr="00FA1A19">
        <w:rPr>
          <w:rFonts w:eastAsia="Calibri"/>
          <w:lang w:eastAsia="en-US"/>
        </w:rPr>
        <w:t>:</w:t>
      </w:r>
    </w:p>
    <w:p w14:paraId="792A7D19" w14:textId="28C6AE41" w:rsidR="00217978" w:rsidRPr="00FA1A19" w:rsidRDefault="00E77BB2" w:rsidP="00217DA0">
      <w:pPr>
        <w:pStyle w:val="Quote"/>
        <w:rPr>
          <w:rFonts w:eastAsia="Calibri"/>
          <w:lang w:eastAsia="en-US"/>
        </w:rPr>
      </w:pPr>
      <w:r w:rsidRPr="00FA1A19">
        <w:rPr>
          <w:rFonts w:eastAsia="Calibri"/>
          <w:lang w:eastAsia="en-US"/>
        </w:rPr>
        <w:t xml:space="preserve">Airdrops are </w:t>
      </w:r>
      <w:r w:rsidR="00217978" w:rsidRPr="00FA1A19">
        <w:rPr>
          <w:rFonts w:eastAsia="Calibri"/>
          <w:lang w:eastAsia="en-US"/>
        </w:rPr>
        <w:t xml:space="preserve">a </w:t>
      </w:r>
      <w:r w:rsidR="00217978" w:rsidRPr="00FA1A19">
        <w:rPr>
          <w:rFonts w:asciiTheme="minorHAnsi" w:eastAsia="Calibri" w:hAnsiTheme="minorHAnsi" w:cstheme="minorHAnsi"/>
        </w:rPr>
        <w:t>marketing</w:t>
      </w:r>
      <w:r w:rsidR="00217978" w:rsidRPr="00FA1A19">
        <w:rPr>
          <w:rFonts w:eastAsia="Calibri"/>
          <w:lang w:eastAsia="en-US"/>
        </w:rPr>
        <w:t xml:space="preserve"> tool that distribute crypto assets through a group of people to build their use and popularity. Some projects </w:t>
      </w:r>
      <w:r w:rsidR="00F75232">
        <w:rPr>
          <w:rFonts w:eastAsia="Calibri"/>
          <w:lang w:eastAsia="en-US"/>
        </w:rPr>
        <w:t>‘</w:t>
      </w:r>
      <w:r w:rsidR="00217978" w:rsidRPr="00FA1A19">
        <w:rPr>
          <w:rFonts w:eastAsia="Calibri"/>
          <w:lang w:eastAsia="en-US"/>
        </w:rPr>
        <w:t>airdrop</w:t>
      </w:r>
      <w:r w:rsidR="00F75232">
        <w:rPr>
          <w:rFonts w:eastAsia="Calibri"/>
          <w:lang w:eastAsia="en-US"/>
        </w:rPr>
        <w:t>’</w:t>
      </w:r>
      <w:r w:rsidR="00217978" w:rsidRPr="00FA1A19">
        <w:rPr>
          <w:rFonts w:eastAsia="Calibri"/>
          <w:lang w:eastAsia="en-US"/>
        </w:rPr>
        <w:t xml:space="preserve"> new tokens to existing token holders as a way of increasing the supply of tokens.</w:t>
      </w:r>
      <w:r w:rsidR="00217978" w:rsidRPr="00170ADC">
        <w:rPr>
          <w:rStyle w:val="FootnoteReference"/>
          <w:rFonts w:eastAsia="Calibri"/>
        </w:rPr>
        <w:footnoteReference w:id="509"/>
      </w:r>
    </w:p>
    <w:p w14:paraId="6E0E1DCB" w14:textId="77777777" w:rsidR="00217978" w:rsidRPr="00FA1A19" w:rsidRDefault="00217978" w:rsidP="009C584D">
      <w:pPr>
        <w:keepNext/>
        <w:spacing w:after="160" w:line="259" w:lineRule="auto"/>
        <w:rPr>
          <w:rFonts w:eastAsia="Calibri"/>
          <w:lang w:eastAsia="en-US"/>
        </w:rPr>
      </w:pPr>
      <w:r w:rsidRPr="00FA1A19">
        <w:rPr>
          <w:rFonts w:eastAsia="Calibri"/>
          <w:lang w:eastAsia="en-US"/>
        </w:rPr>
        <w:t>In its web guidance, the ATO has set out its position in relation to:</w:t>
      </w:r>
    </w:p>
    <w:p w14:paraId="2E99DC60" w14:textId="550E16F2" w:rsidR="00217978" w:rsidRPr="00FA1A19" w:rsidRDefault="00A81223" w:rsidP="008F0C3C">
      <w:pPr>
        <w:pStyle w:val="Bullet"/>
        <w:rPr>
          <w:rFonts w:eastAsia="Calibri"/>
          <w:lang w:eastAsia="en-US"/>
        </w:rPr>
      </w:pPr>
      <w:r>
        <w:rPr>
          <w:rFonts w:eastAsia="Calibri"/>
          <w:lang w:eastAsia="en-US"/>
        </w:rPr>
        <w:t>a</w:t>
      </w:r>
      <w:r w:rsidR="00217978" w:rsidRPr="00FA1A19">
        <w:rPr>
          <w:rFonts w:eastAsia="Calibri"/>
          <w:lang w:eastAsia="en-US"/>
        </w:rPr>
        <w:t xml:space="preserve">irdrops </w:t>
      </w:r>
      <w:r w:rsidR="00217978" w:rsidRPr="00FA1A19">
        <w:rPr>
          <w:rFonts w:eastAsia="Calibri"/>
        </w:rPr>
        <w:t>of</w:t>
      </w:r>
      <w:r w:rsidR="00217978" w:rsidRPr="00FA1A19">
        <w:rPr>
          <w:rFonts w:eastAsia="Calibri"/>
          <w:lang w:eastAsia="en-US"/>
        </w:rPr>
        <w:t xml:space="preserve"> new tokens of an established crypto asset to existing token holders</w:t>
      </w:r>
    </w:p>
    <w:p w14:paraId="5FA80A71" w14:textId="5650D36A" w:rsidR="00217978" w:rsidRPr="00FA1A19" w:rsidRDefault="00A81223" w:rsidP="008F0C3C">
      <w:pPr>
        <w:pStyle w:val="Bullet"/>
        <w:rPr>
          <w:rFonts w:eastAsia="Calibri"/>
          <w:lang w:eastAsia="en-US"/>
        </w:rPr>
      </w:pPr>
      <w:r>
        <w:rPr>
          <w:rFonts w:eastAsia="Calibri"/>
          <w:lang w:eastAsia="en-US"/>
        </w:rPr>
        <w:t>i</w:t>
      </w:r>
      <w:r w:rsidR="00217978" w:rsidRPr="00FA1A19">
        <w:rPr>
          <w:rFonts w:eastAsia="Calibri"/>
          <w:lang w:eastAsia="en-US"/>
        </w:rPr>
        <w:t xml:space="preserve">nitial </w:t>
      </w:r>
      <w:r w:rsidR="00217978" w:rsidRPr="00FA1A19">
        <w:rPr>
          <w:rFonts w:eastAsia="Calibri"/>
        </w:rPr>
        <w:t>airdrops</w:t>
      </w:r>
      <w:r w:rsidR="00217978" w:rsidRPr="00FA1A19">
        <w:rPr>
          <w:rFonts w:eastAsia="Calibri"/>
          <w:lang w:eastAsia="en-US"/>
        </w:rPr>
        <w:t xml:space="preserve"> as the very first distribution of a crypto project</w:t>
      </w:r>
      <w:r w:rsidR="00F75232">
        <w:rPr>
          <w:rFonts w:eastAsia="Calibri"/>
          <w:lang w:eastAsia="en-US"/>
        </w:rPr>
        <w:t>’</w:t>
      </w:r>
      <w:r w:rsidR="00217978" w:rsidRPr="00FA1A19">
        <w:rPr>
          <w:rFonts w:eastAsia="Calibri"/>
          <w:lang w:eastAsia="en-US"/>
        </w:rPr>
        <w:t xml:space="preserve">s tokens. </w:t>
      </w:r>
    </w:p>
    <w:p w14:paraId="4CA57A66" w14:textId="504A9101" w:rsidR="00217978" w:rsidRPr="00FA1A19" w:rsidRDefault="00217978" w:rsidP="00217978">
      <w:pPr>
        <w:spacing w:after="160" w:line="259" w:lineRule="auto"/>
        <w:rPr>
          <w:rFonts w:eastAsia="Calibri"/>
          <w:lang w:eastAsia="en-US"/>
        </w:rPr>
      </w:pPr>
      <w:r w:rsidRPr="00FA1A19">
        <w:rPr>
          <w:rFonts w:eastAsia="Calibri"/>
          <w:lang w:eastAsia="en-US"/>
        </w:rPr>
        <w:t>The ATO takes a different approach in relation to the tax treatment of these two types of airdrops. For an established token airdropped to an existing token holder, the ATO advises that the money value of the token is ordinary income at the time it is received and is included in a taxpayer</w:t>
      </w:r>
      <w:r w:rsidR="00F75232">
        <w:rPr>
          <w:rFonts w:eastAsia="Calibri"/>
          <w:lang w:eastAsia="en-US"/>
        </w:rPr>
        <w:t>’</w:t>
      </w:r>
      <w:r w:rsidRPr="00FA1A19">
        <w:rPr>
          <w:rFonts w:eastAsia="Calibri"/>
          <w:lang w:eastAsia="en-US"/>
        </w:rPr>
        <w:t>s tax return as other income.</w:t>
      </w:r>
      <w:r w:rsidRPr="00170ADC">
        <w:rPr>
          <w:rStyle w:val="FootnoteReference"/>
          <w:rFonts w:eastAsia="Calibri"/>
        </w:rPr>
        <w:footnoteReference w:id="510"/>
      </w:r>
    </w:p>
    <w:p w14:paraId="035583BC" w14:textId="3AA7A44F" w:rsidR="00217978" w:rsidRPr="00FA1A19" w:rsidRDefault="00217978" w:rsidP="00217978">
      <w:pPr>
        <w:spacing w:after="160" w:line="259" w:lineRule="auto"/>
        <w:rPr>
          <w:rFonts w:eastAsia="Calibri"/>
          <w:lang w:eastAsia="en-US"/>
        </w:rPr>
      </w:pPr>
      <w:r w:rsidRPr="00FA1A19">
        <w:rPr>
          <w:rFonts w:eastAsia="Calibri"/>
          <w:lang w:eastAsia="en-US"/>
        </w:rPr>
        <w:t>This is contrasted with the position in relation</w:t>
      </w:r>
      <w:r w:rsidR="0082272D" w:rsidRPr="00FA1A19">
        <w:rPr>
          <w:rFonts w:eastAsia="Calibri"/>
          <w:lang w:eastAsia="en-US"/>
        </w:rPr>
        <w:t xml:space="preserve"> to</w:t>
      </w:r>
      <w:r w:rsidRPr="00FA1A19">
        <w:rPr>
          <w:rFonts w:eastAsia="Calibri"/>
          <w:lang w:eastAsia="en-US"/>
        </w:rPr>
        <w:t xml:space="preserve"> initial allocation airdrops. The ATO explains that this describes the situation where: </w:t>
      </w:r>
    </w:p>
    <w:p w14:paraId="02AB6D43" w14:textId="22B9FD53" w:rsidR="00217978" w:rsidRPr="00FA1A19" w:rsidRDefault="00217978" w:rsidP="00217DA0">
      <w:pPr>
        <w:pStyle w:val="Quote"/>
        <w:rPr>
          <w:rFonts w:eastAsia="Calibri"/>
          <w:lang w:eastAsia="en-US"/>
        </w:rPr>
      </w:pPr>
      <w:r w:rsidRPr="00FA1A19">
        <w:rPr>
          <w:rFonts w:eastAsia="Calibri"/>
          <w:lang w:eastAsia="en-US"/>
        </w:rPr>
        <w:t>A crypto project may make an initial airdrop of tokens that is the very first distribution of its tokens. These tokens are the initial allocation, if there has been no trading in the project</w:t>
      </w:r>
      <w:r w:rsidR="00F75232">
        <w:rPr>
          <w:rFonts w:eastAsia="Calibri"/>
          <w:lang w:eastAsia="en-US"/>
        </w:rPr>
        <w:t>’</w:t>
      </w:r>
      <w:r w:rsidRPr="00FA1A19">
        <w:rPr>
          <w:rFonts w:eastAsia="Calibri"/>
          <w:lang w:eastAsia="en-US"/>
        </w:rPr>
        <w:t>s tokens prior to the airdrop.</w:t>
      </w:r>
    </w:p>
    <w:p w14:paraId="058B4C08" w14:textId="6B13F540" w:rsidR="00217978" w:rsidRPr="00FA1A19" w:rsidRDefault="00217978" w:rsidP="00217978">
      <w:pPr>
        <w:spacing w:after="160" w:line="259" w:lineRule="auto"/>
        <w:rPr>
          <w:rFonts w:eastAsia="Calibri"/>
          <w:lang w:eastAsia="en-US"/>
        </w:rPr>
      </w:pPr>
      <w:r w:rsidRPr="00FA1A19">
        <w:rPr>
          <w:rFonts w:eastAsia="Calibri"/>
          <w:lang w:eastAsia="en-US"/>
        </w:rPr>
        <w:t xml:space="preserve">The ATO advises that if a token is received in an initial allocation airdrop, a taxpayer will not derive ordinary income or make a capital gain at the time the tokens are received. The ATO further advises that where the tokens </w:t>
      </w:r>
      <w:r w:rsidR="00D74DE5" w:rsidRPr="00FA1A19">
        <w:rPr>
          <w:rFonts w:eastAsia="Calibri"/>
          <w:lang w:eastAsia="en-US"/>
        </w:rPr>
        <w:t xml:space="preserve">in an initial allocation </w:t>
      </w:r>
      <w:r w:rsidRPr="00FA1A19">
        <w:rPr>
          <w:rFonts w:eastAsia="Calibri"/>
          <w:lang w:eastAsia="en-US"/>
        </w:rPr>
        <w:t>are issued for free they have a zero cost base and have no market value.</w:t>
      </w:r>
      <w:r w:rsidRPr="00170ADC">
        <w:rPr>
          <w:rStyle w:val="FootnoteReference"/>
          <w:rFonts w:eastAsia="Calibri"/>
        </w:rPr>
        <w:footnoteReference w:id="511"/>
      </w:r>
    </w:p>
    <w:p w14:paraId="3130E506" w14:textId="77777777" w:rsidR="002710DF" w:rsidRPr="00FA1A19" w:rsidRDefault="002710DF" w:rsidP="008F0C3C">
      <w:pPr>
        <w:pStyle w:val="Heading5"/>
        <w:rPr>
          <w:i/>
        </w:rPr>
      </w:pPr>
      <w:r w:rsidRPr="00FA1A19">
        <w:t>International comparison</w:t>
      </w:r>
    </w:p>
    <w:p w14:paraId="3BCEF058" w14:textId="7966CA40" w:rsidR="002710DF" w:rsidRPr="00FA1A19" w:rsidRDefault="002710DF" w:rsidP="002710DF">
      <w:r w:rsidRPr="00FA1A19">
        <w:t>The tax treatment of airdrops varies throughout jurisdictions.</w:t>
      </w:r>
      <w:r w:rsidR="004F0A51" w:rsidRPr="00FA1A19">
        <w:t xml:space="preserve"> </w:t>
      </w:r>
      <w:r w:rsidRPr="00FA1A19">
        <w:t xml:space="preserve">In </w:t>
      </w:r>
      <w:r w:rsidR="0046347D">
        <w:t>NZ,</w:t>
      </w:r>
      <w:r w:rsidR="0046347D" w:rsidRPr="00170ADC">
        <w:rPr>
          <w:rStyle w:val="FootnoteReference"/>
        </w:rPr>
        <w:footnoteReference w:id="512"/>
      </w:r>
      <w:r w:rsidR="0046347D" w:rsidRPr="00FA1A19">
        <w:t xml:space="preserve"> Singapore</w:t>
      </w:r>
      <w:r w:rsidR="0046347D" w:rsidRPr="00170ADC">
        <w:rPr>
          <w:rStyle w:val="FootnoteReference"/>
        </w:rPr>
        <w:footnoteReference w:id="513"/>
      </w:r>
      <w:r w:rsidR="0046347D">
        <w:t xml:space="preserve"> and </w:t>
      </w:r>
      <w:r w:rsidRPr="00FA1A19">
        <w:t xml:space="preserve">the </w:t>
      </w:r>
      <w:r w:rsidR="00D44290">
        <w:t>UK</w:t>
      </w:r>
      <w:r w:rsidRPr="00170ADC">
        <w:rPr>
          <w:rStyle w:val="FootnoteReference"/>
        </w:rPr>
        <w:footnoteReference w:id="514"/>
      </w:r>
      <w:r w:rsidRPr="00FA1A19">
        <w:t xml:space="preserve"> crypto assets received via an airdrop are generally not included in assessable income except where the taxpayer holds the underlying crypto asset on revenue account or provides services to receive the airdropped token. In the United States, State of Arizona airdrops are excluded from taxable income on receipt and the appreciation thereafter is treated as taxable.</w:t>
      </w:r>
      <w:r w:rsidRPr="00170ADC">
        <w:rPr>
          <w:rStyle w:val="FootnoteReference"/>
        </w:rPr>
        <w:footnoteReference w:id="515"/>
      </w:r>
      <w:r w:rsidRPr="00FA1A19">
        <w:t xml:space="preserve"> </w:t>
      </w:r>
    </w:p>
    <w:p w14:paraId="62A78AB5" w14:textId="07C77174" w:rsidR="00217978" w:rsidRPr="00FA1A19" w:rsidRDefault="00923C7C" w:rsidP="008F0C3C">
      <w:pPr>
        <w:pStyle w:val="Heading5"/>
      </w:pPr>
      <w:r w:rsidRPr="00FA1A19">
        <w:t>Board</w:t>
      </w:r>
      <w:r w:rsidR="00F75232">
        <w:t>’</w:t>
      </w:r>
      <w:r w:rsidRPr="00FA1A19">
        <w:t>s consideration</w:t>
      </w:r>
    </w:p>
    <w:p w14:paraId="14ADF15E" w14:textId="0A4268D5" w:rsidR="00217978" w:rsidRPr="00FA1A19" w:rsidRDefault="00217978" w:rsidP="00217978">
      <w:r w:rsidRPr="00FA1A19" w:rsidDel="00CC58C6">
        <w:t xml:space="preserve">The Board heard that </w:t>
      </w:r>
      <w:r w:rsidR="00F75232">
        <w:t>‘</w:t>
      </w:r>
      <w:r w:rsidRPr="00FA1A19">
        <w:t xml:space="preserve">the term </w:t>
      </w:r>
      <w:r w:rsidR="00F75232">
        <w:t>‘</w:t>
      </w:r>
      <w:r w:rsidRPr="00FA1A19">
        <w:t>initial allocation airdrops</w:t>
      </w:r>
      <w:r w:rsidR="00F75232">
        <w:t>’</w:t>
      </w:r>
      <w:r w:rsidRPr="00FA1A19">
        <w:t xml:space="preserve"> is confusing since most airdrops are initial allocations</w:t>
      </w:r>
      <w:r w:rsidR="00366D48" w:rsidRPr="00FA1A19">
        <w:t xml:space="preserve">, and that arguably airdrops to </w:t>
      </w:r>
      <w:r w:rsidRPr="00FA1A19">
        <w:t>established token</w:t>
      </w:r>
      <w:r w:rsidR="00F75232">
        <w:noBreakHyphen/>
      </w:r>
      <w:r w:rsidR="00366D48" w:rsidRPr="00FA1A19">
        <w:t>holders</w:t>
      </w:r>
      <w:r w:rsidRPr="00FA1A19">
        <w:t xml:space="preserve"> are akin to staking income or other rewards taxed on a revenue basis.</w:t>
      </w:r>
      <w:r w:rsidR="00F75232">
        <w:t>’</w:t>
      </w:r>
      <w:r w:rsidRPr="00170ADC">
        <w:rPr>
          <w:rStyle w:val="FootnoteReference"/>
        </w:rPr>
        <w:t xml:space="preserve"> </w:t>
      </w:r>
      <w:r w:rsidRPr="00170ADC">
        <w:rPr>
          <w:rStyle w:val="FootnoteReference"/>
        </w:rPr>
        <w:footnoteReference w:id="516"/>
      </w:r>
    </w:p>
    <w:p w14:paraId="18AF9777" w14:textId="05CC8D09" w:rsidR="004C3DE8" w:rsidRPr="00FA1A19" w:rsidRDefault="00366D48" w:rsidP="00440C6C">
      <w:r w:rsidRPr="00FA1A19">
        <w:t>By contrast, the Board</w:t>
      </w:r>
      <w:r w:rsidR="00217978" w:rsidRPr="00FA1A19" w:rsidDel="00366D48">
        <w:t xml:space="preserve"> </w:t>
      </w:r>
      <w:r w:rsidR="00217978" w:rsidRPr="00FA1A19">
        <w:t>also heard feedback that where a taxpayer receives an airdrop of an established coin because of the taxpayer</w:t>
      </w:r>
      <w:r w:rsidR="00F75232">
        <w:t>’</w:t>
      </w:r>
      <w:r w:rsidR="00217978" w:rsidRPr="00FA1A19">
        <w:t>s existing holding, the airdropped token should be treated in a similar manner to the issue of a bonus share or unit, as set out in section 130</w:t>
      </w:r>
      <w:r w:rsidR="00F75232">
        <w:noBreakHyphen/>
      </w:r>
      <w:r w:rsidR="00217978" w:rsidRPr="00FA1A19">
        <w:t>20 of the ITAA 1997.</w:t>
      </w:r>
      <w:r w:rsidR="000D29F7" w:rsidRPr="00170ADC">
        <w:rPr>
          <w:rStyle w:val="FootnoteReference"/>
        </w:rPr>
        <w:footnoteReference w:id="517"/>
      </w:r>
      <w:r w:rsidR="00217978" w:rsidRPr="00FA1A19">
        <w:t xml:space="preserve"> The Board notes that this provision applies specifically to shares in a company or units in a unit trust and essentially apportions the first element of the cost base or reduced cost base of the original holding over both the original shares or units and bonus shares or units</w:t>
      </w:r>
      <w:r w:rsidR="00244A57">
        <w:t xml:space="preserve">, to the extent that </w:t>
      </w:r>
      <w:r w:rsidR="00662701">
        <w:t>it is</w:t>
      </w:r>
      <w:r w:rsidR="009D22C5">
        <w:t xml:space="preserve"> </w:t>
      </w:r>
      <w:r w:rsidR="00DD5D2C">
        <w:t>not taken to be a dividend or included in the taxpayer</w:t>
      </w:r>
      <w:r w:rsidR="00F75232">
        <w:t>’</w:t>
      </w:r>
      <w:r w:rsidR="00DD5D2C">
        <w:t>s assessable income</w:t>
      </w:r>
      <w:r w:rsidR="00217978" w:rsidRPr="00FA1A19">
        <w:t>.</w:t>
      </w:r>
      <w:r w:rsidR="00C4355D" w:rsidRPr="00170ADC">
        <w:rPr>
          <w:rStyle w:val="FootnoteReference"/>
        </w:rPr>
        <w:footnoteReference w:id="518"/>
      </w:r>
      <w:r w:rsidR="00217978" w:rsidRPr="00FA1A19">
        <w:t xml:space="preserve"> </w:t>
      </w:r>
    </w:p>
    <w:p w14:paraId="5B89485E" w14:textId="2CB2F0FC" w:rsidR="0079252D" w:rsidRPr="00FA1A19" w:rsidRDefault="00013A0C" w:rsidP="00440C6C">
      <w:r>
        <w:t xml:space="preserve">The Board does not consider that </w:t>
      </w:r>
      <w:r w:rsidR="00CA113D">
        <w:t xml:space="preserve">the receipt of </w:t>
      </w:r>
      <w:r>
        <w:t>an airdropped token is analogous to that of a bonus share</w:t>
      </w:r>
      <w:r w:rsidR="00E34C77">
        <w:t xml:space="preserve"> that has been</w:t>
      </w:r>
      <w:r>
        <w:t xml:space="preserve"> paid out of the capital of a company (or equivalent </w:t>
      </w:r>
      <w:r w:rsidR="00F167DA">
        <w:t>unit trust equity)</w:t>
      </w:r>
      <w:r w:rsidR="004C43B3">
        <w:t xml:space="preserve">. </w:t>
      </w:r>
      <w:r w:rsidR="00512578">
        <w:t>Unlike a</w:t>
      </w:r>
      <w:r w:rsidR="00F64ABC">
        <w:t xml:space="preserve"> bonus share or unit</w:t>
      </w:r>
      <w:r w:rsidR="00512578">
        <w:t xml:space="preserve">, </w:t>
      </w:r>
      <w:r w:rsidR="007826B3">
        <w:t xml:space="preserve">it is not apparent that an airdropped token is </w:t>
      </w:r>
      <w:r w:rsidR="0037701A">
        <w:t>equity</w:t>
      </w:r>
      <w:r w:rsidR="00512578">
        <w:t xml:space="preserve"> </w:t>
      </w:r>
      <w:r w:rsidR="00EE2144">
        <w:t xml:space="preserve">and </w:t>
      </w:r>
      <w:r w:rsidR="008B300B">
        <w:t>the</w:t>
      </w:r>
      <w:r w:rsidR="0080588B">
        <w:t xml:space="preserve"> Board </w:t>
      </w:r>
      <w:r w:rsidR="008B300B">
        <w:t>has heard</w:t>
      </w:r>
      <w:r w:rsidR="0080588B">
        <w:t xml:space="preserve"> that </w:t>
      </w:r>
      <w:r w:rsidR="008B300B">
        <w:t>there are</w:t>
      </w:r>
      <w:r w:rsidR="003B1C6C">
        <w:t xml:space="preserve"> significant variations in the nature of the events </w:t>
      </w:r>
      <w:r w:rsidR="008B300B">
        <w:t xml:space="preserve">that may be classified as an airdrop. In the </w:t>
      </w:r>
      <w:r w:rsidR="00A47601">
        <w:t>absence</w:t>
      </w:r>
      <w:r w:rsidR="00CA113D">
        <w:t xml:space="preserve"> of </w:t>
      </w:r>
      <w:r w:rsidR="008B300B">
        <w:t>any</w:t>
      </w:r>
      <w:r w:rsidR="00A47601">
        <w:t xml:space="preserve"> definitional </w:t>
      </w:r>
      <w:r w:rsidR="008B300B">
        <w:t>or</w:t>
      </w:r>
      <w:r w:rsidR="00A47601">
        <w:t xml:space="preserve"> regulatory</w:t>
      </w:r>
      <w:r w:rsidR="002B5B9D">
        <w:t xml:space="preserve"> consistency </w:t>
      </w:r>
      <w:r w:rsidR="008B300B">
        <w:t>in relation to airdrops, the Board considers that</w:t>
      </w:r>
      <w:r w:rsidR="002B5B9D">
        <w:t xml:space="preserve"> it </w:t>
      </w:r>
      <w:r w:rsidR="008B300B">
        <w:t xml:space="preserve">would be </w:t>
      </w:r>
      <w:r w:rsidR="002B5B9D">
        <w:t xml:space="preserve">inappropriate to </w:t>
      </w:r>
      <w:r w:rsidR="008B300B">
        <w:t xml:space="preserve">recommend legislative reform </w:t>
      </w:r>
      <w:r w:rsidR="00A71D73">
        <w:t xml:space="preserve">to </w:t>
      </w:r>
      <w:r w:rsidR="005544F3">
        <w:t>extend this provision to airdropped tokens.</w:t>
      </w:r>
      <w:r w:rsidR="00A47601">
        <w:t xml:space="preserve"> </w:t>
      </w:r>
      <w:r w:rsidR="00D804DD" w:rsidRPr="00FF5E3C">
        <w:t>Accordingly, t</w:t>
      </w:r>
      <w:r w:rsidR="00217978" w:rsidRPr="00FF5E3C">
        <w:t xml:space="preserve">he Board does not </w:t>
      </w:r>
      <w:r w:rsidR="00EE7DC6" w:rsidRPr="00FF5E3C">
        <w:t xml:space="preserve">recommend </w:t>
      </w:r>
      <w:r w:rsidR="00217978" w:rsidRPr="00FF5E3C">
        <w:t>any amendment to the law to extend the application of section 130</w:t>
      </w:r>
      <w:r w:rsidR="00F75232">
        <w:noBreakHyphen/>
      </w:r>
      <w:r w:rsidR="00217978" w:rsidRPr="00FF5E3C">
        <w:t>20</w:t>
      </w:r>
      <w:r w:rsidR="007E6884">
        <w:t xml:space="preserve"> of the ITAA 1997</w:t>
      </w:r>
      <w:r w:rsidR="00217978" w:rsidRPr="00FF5E3C">
        <w:t xml:space="preserve"> to crypto asset airdrops.</w:t>
      </w:r>
    </w:p>
    <w:p w14:paraId="6D9D46EF" w14:textId="40E46A37" w:rsidR="0079252D" w:rsidRPr="00FA1A19" w:rsidRDefault="00645DDC" w:rsidP="0079252D">
      <w:pPr>
        <w:rPr>
          <w:rFonts w:eastAsia="Calibri"/>
          <w:lang w:eastAsia="en-US"/>
        </w:rPr>
      </w:pPr>
      <w:r w:rsidRPr="00FA1A19">
        <w:t xml:space="preserve">In </w:t>
      </w:r>
      <w:r w:rsidR="00372633">
        <w:t>Chapter </w:t>
      </w:r>
      <w:r w:rsidRPr="00FA1A19">
        <w:t>3, the Board set out several examples of airdrops, which demonstrated various circumstances under which a token may be airdropped, and agrees with the ATO that under Australia</w:t>
      </w:r>
      <w:r w:rsidR="00F75232">
        <w:t>’</w:t>
      </w:r>
      <w:r w:rsidRPr="00FA1A19">
        <w:t xml:space="preserve">s tax law, different treatment may apply depending on the type and circumstances of the airdrop. </w:t>
      </w:r>
      <w:r w:rsidR="006A5822">
        <w:t>Th</w:t>
      </w:r>
      <w:r w:rsidRPr="00FA1A19">
        <w:t xml:space="preserve">e Board considers that the ATO guidance could </w:t>
      </w:r>
      <w:r w:rsidR="00C909D9" w:rsidRPr="00FA1A19">
        <w:t>be more comprehensive to deal with more of the circumstances associated with airdrops.</w:t>
      </w:r>
      <w:r w:rsidR="004F0A51" w:rsidRPr="00FA1A19">
        <w:t xml:space="preserve"> </w:t>
      </w:r>
      <w:r w:rsidR="00C909D9" w:rsidRPr="00FA1A19">
        <w:t>For instance</w:t>
      </w:r>
      <w:r w:rsidR="00B0119D" w:rsidRPr="00FA1A19">
        <w:t xml:space="preserve">, the </w:t>
      </w:r>
      <w:r w:rsidR="0079252D" w:rsidRPr="00FA1A19">
        <w:rPr>
          <w:rFonts w:eastAsia="Calibri"/>
          <w:lang w:eastAsia="en-US"/>
        </w:rPr>
        <w:t xml:space="preserve">ATO guidance only refers to the CGT treatment of </w:t>
      </w:r>
      <w:r w:rsidR="00B0119D" w:rsidRPr="00FA1A19">
        <w:rPr>
          <w:rFonts w:eastAsia="Calibri"/>
          <w:lang w:eastAsia="en-US"/>
        </w:rPr>
        <w:t xml:space="preserve">initially </w:t>
      </w:r>
      <w:r w:rsidR="0079252D" w:rsidRPr="00FA1A19">
        <w:rPr>
          <w:rFonts w:eastAsia="Calibri"/>
          <w:lang w:eastAsia="en-US"/>
        </w:rPr>
        <w:t xml:space="preserve">airdropped coins and does not </w:t>
      </w:r>
      <w:r w:rsidR="26327D25" w:rsidRPr="00FA1A19">
        <w:rPr>
          <w:rFonts w:eastAsia="Calibri"/>
          <w:lang w:eastAsia="en-US"/>
        </w:rPr>
        <w:t>appear to</w:t>
      </w:r>
      <w:r w:rsidR="00F4396C" w:rsidRPr="00FA1A19">
        <w:rPr>
          <w:rFonts w:eastAsia="Calibri"/>
          <w:lang w:eastAsia="en-US"/>
        </w:rPr>
        <w:t xml:space="preserve"> </w:t>
      </w:r>
      <w:r w:rsidR="0079252D" w:rsidRPr="00FA1A19">
        <w:rPr>
          <w:rFonts w:eastAsia="Calibri"/>
          <w:lang w:eastAsia="en-US"/>
        </w:rPr>
        <w:t>deal with:</w:t>
      </w:r>
    </w:p>
    <w:p w14:paraId="1832D35D" w14:textId="0C464B23" w:rsidR="00B0119D" w:rsidRPr="00FA1A19" w:rsidRDefault="0079252D" w:rsidP="008F0C3C">
      <w:pPr>
        <w:pStyle w:val="Bullet"/>
        <w:rPr>
          <w:rFonts w:eastAsia="Calibri"/>
          <w:lang w:eastAsia="en-US"/>
        </w:rPr>
      </w:pPr>
      <w:r w:rsidRPr="00FA1A19">
        <w:rPr>
          <w:rFonts w:eastAsia="Calibri"/>
          <w:lang w:eastAsia="en-US"/>
        </w:rPr>
        <w:t xml:space="preserve">the tax </w:t>
      </w:r>
      <w:r w:rsidRPr="00FA1A19">
        <w:rPr>
          <w:rFonts w:eastAsia="Calibri"/>
        </w:rPr>
        <w:t>consequences</w:t>
      </w:r>
      <w:r w:rsidRPr="00FA1A19">
        <w:rPr>
          <w:rFonts w:eastAsia="Calibri"/>
          <w:lang w:eastAsia="en-US"/>
        </w:rPr>
        <w:t xml:space="preserve"> of the subsequent disposal of crypto assets acquired in an airdrop to existing token holders</w:t>
      </w:r>
    </w:p>
    <w:p w14:paraId="69DDB554" w14:textId="5D13C310" w:rsidR="00217978" w:rsidRPr="008F0C3C" w:rsidRDefault="00B0119D" w:rsidP="008F0C3C">
      <w:pPr>
        <w:pStyle w:val="Bullet"/>
      </w:pPr>
      <w:r w:rsidRPr="00FA1A19">
        <w:rPr>
          <w:rFonts w:eastAsia="Calibri"/>
          <w:lang w:eastAsia="en-US"/>
        </w:rPr>
        <w:t xml:space="preserve">the </w:t>
      </w:r>
      <w:r w:rsidRPr="00FA1A19">
        <w:rPr>
          <w:rFonts w:eastAsia="Calibri"/>
        </w:rPr>
        <w:t>situation</w:t>
      </w:r>
      <w:r w:rsidRPr="00FA1A19">
        <w:rPr>
          <w:rFonts w:eastAsia="Calibri"/>
          <w:lang w:eastAsia="en-US"/>
        </w:rPr>
        <w:t xml:space="preserve"> where the underlying tokens are held as part of a crypto asset business, rather than on capital account</w:t>
      </w:r>
      <w:r w:rsidR="00827F50" w:rsidRPr="00FA1A19">
        <w:rPr>
          <w:rFonts w:eastAsia="Calibri"/>
          <w:lang w:eastAsia="en-US"/>
        </w:rPr>
        <w:t>.</w:t>
      </w:r>
    </w:p>
    <w:p w14:paraId="4BB70C0F" w14:textId="77777777" w:rsidR="008F0C3C" w:rsidRPr="00FA1A19" w:rsidRDefault="008F0C3C" w:rsidP="008F0C3C">
      <w:pPr>
        <w:pStyle w:val="SingleParagraph"/>
      </w:pPr>
    </w:p>
    <w:tbl>
      <w:tblPr>
        <w:tblStyle w:val="Style2"/>
        <w:tblW w:w="5000" w:type="pct"/>
        <w:tblLook w:val="01E0" w:firstRow="1" w:lastRow="1" w:firstColumn="1" w:lastColumn="1" w:noHBand="0" w:noVBand="0"/>
      </w:tblPr>
      <w:tblGrid>
        <w:gridCol w:w="9641"/>
      </w:tblGrid>
      <w:tr w:rsidR="00217978" w:rsidRPr="00FA1A19" w14:paraId="3C1BD64B"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600F0ABD" w14:textId="340E68E9" w:rsidR="00217978" w:rsidRPr="00FA1A19" w:rsidRDefault="00372633" w:rsidP="008F0C3C">
            <w:pPr>
              <w:pStyle w:val="BoxHeading1"/>
            </w:pPr>
            <w:r>
              <w:t>Recommendation </w:t>
            </w:r>
            <w:r w:rsidR="0013632F" w:rsidRPr="00FA1A19">
              <w:t>9.3</w:t>
            </w:r>
          </w:p>
        </w:tc>
      </w:tr>
      <w:tr w:rsidR="00217978" w:rsidRPr="00FA1A19" w14:paraId="6D393400"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12F8C8BA" w14:textId="4F47D39F" w:rsidR="00217978" w:rsidRPr="00FA1A19" w:rsidRDefault="00217978" w:rsidP="008F0C3C">
            <w:pPr>
              <w:pStyle w:val="BoxText"/>
            </w:pPr>
            <w:r w:rsidRPr="00FA1A19">
              <w:t>The Board</w:t>
            </w:r>
            <w:r w:rsidR="00827F50" w:rsidRPr="00FA1A19">
              <w:t xml:space="preserve"> does not recommend any legislative change to deal with airdrops, but </w:t>
            </w:r>
            <w:r w:rsidRPr="00FA1A19">
              <w:t xml:space="preserve">recommends that the ATO </w:t>
            </w:r>
            <w:r w:rsidR="00AE626A" w:rsidRPr="00FA1A19">
              <w:t xml:space="preserve">in consultation with </w:t>
            </w:r>
            <w:r w:rsidR="00E455CC" w:rsidRPr="00E81174">
              <w:t xml:space="preserve">industry stakeholders and taxpayer representative groups </w:t>
            </w:r>
            <w:r w:rsidR="00E455CC" w:rsidRPr="008A62C8">
              <w:t>including</w:t>
            </w:r>
            <w:r w:rsidR="00E455CC" w:rsidRPr="00E81174">
              <w:t xml:space="preserve"> </w:t>
            </w:r>
            <w:r w:rsidR="00AE626A" w:rsidRPr="00FA1A19">
              <w:t xml:space="preserve">the Crypto Industry Working Group develop </w:t>
            </w:r>
            <w:r w:rsidR="0089781C" w:rsidRPr="00FA1A19">
              <w:t xml:space="preserve">further guidance that deals with </w:t>
            </w:r>
            <w:r w:rsidR="00D429C5" w:rsidRPr="00FA1A19">
              <w:t>a</w:t>
            </w:r>
            <w:r w:rsidR="0089781C" w:rsidRPr="00FA1A19">
              <w:t>irdrops in different circumstances</w:t>
            </w:r>
            <w:r w:rsidR="000C50D0" w:rsidRPr="00FA1A19">
              <w:t xml:space="preserve">, </w:t>
            </w:r>
            <w:r w:rsidR="0089781C" w:rsidRPr="00FA1A19">
              <w:t>upon which taxpayers can rely to ensure that their tax disclosures will be acceptable to the ATO.</w:t>
            </w:r>
          </w:p>
        </w:tc>
      </w:tr>
    </w:tbl>
    <w:p w14:paraId="2474E393" w14:textId="77777777" w:rsidR="00217978" w:rsidRPr="00FA1A19" w:rsidRDefault="00217978" w:rsidP="0069352C">
      <w:pPr>
        <w:pStyle w:val="Heading2"/>
      </w:pPr>
      <w:bookmarkStart w:id="131" w:name="_Toc159513622"/>
      <w:r w:rsidRPr="00FA1A19">
        <w:t>Holding Crypto Assets</w:t>
      </w:r>
      <w:bookmarkEnd w:id="131"/>
    </w:p>
    <w:p w14:paraId="77EBC78B" w14:textId="2C21D278" w:rsidR="00901820" w:rsidRPr="00FA1A19" w:rsidRDefault="00901820" w:rsidP="00901820">
      <w:r w:rsidRPr="00FA1A19">
        <w:t>Three are various ways in which crypto asset holdings might be u</w:t>
      </w:r>
      <w:r w:rsidR="00867D46" w:rsidRPr="00FA1A19">
        <w:t>tilised or transferred which give rise to an issue as to whether there has been a taxing event.</w:t>
      </w:r>
    </w:p>
    <w:p w14:paraId="334B4FC7" w14:textId="77777777" w:rsidR="00217978" w:rsidRPr="00FA1A19" w:rsidRDefault="00217978" w:rsidP="00342121">
      <w:pPr>
        <w:pStyle w:val="Heading3"/>
      </w:pPr>
      <w:r w:rsidRPr="00FA1A19">
        <w:t>Transactions between wallets</w:t>
      </w:r>
    </w:p>
    <w:p w14:paraId="6200FDE6" w14:textId="3D718F21" w:rsidR="00217978" w:rsidRPr="00FA1A19" w:rsidRDefault="00217978" w:rsidP="00C16A06">
      <w:r w:rsidRPr="00FA1A19">
        <w:t xml:space="preserve">In </w:t>
      </w:r>
      <w:r w:rsidR="00372633">
        <w:t>Chapter </w:t>
      </w:r>
      <w:r w:rsidRPr="00FA1A19">
        <w:t>3, the Board set out the operation of wallets, noting that they can be online (hot wallet), or offline, via a specially configured USB (cold wallet). Crypto asset users may transfer their crypto assets between wallets</w:t>
      </w:r>
      <w:r w:rsidR="00EE6719" w:rsidRPr="00FA1A19">
        <w:t>.</w:t>
      </w:r>
      <w:r w:rsidR="004F0A51" w:rsidRPr="00FA1A19">
        <w:t xml:space="preserve"> </w:t>
      </w:r>
      <w:r w:rsidR="00C16A06" w:rsidRPr="00FA1A19">
        <w:t xml:space="preserve">This raises the question of whether a transfer of </w:t>
      </w:r>
      <w:r w:rsidRPr="00FA1A19">
        <w:t xml:space="preserve">crypto assets between wallets </w:t>
      </w:r>
      <w:r w:rsidRPr="00FA1A19" w:rsidDel="00C16A06">
        <w:t>t</w:t>
      </w:r>
      <w:r w:rsidRPr="00FA1A19">
        <w:t xml:space="preserve">riggers a </w:t>
      </w:r>
      <w:r w:rsidR="00BE1B3A" w:rsidRPr="00FA1A19">
        <w:t xml:space="preserve">disposal and is a </w:t>
      </w:r>
      <w:r w:rsidRPr="00FA1A19">
        <w:t>CGT event.</w:t>
      </w:r>
    </w:p>
    <w:p w14:paraId="51EE34D9" w14:textId="319AA84D" w:rsidR="00217978" w:rsidRPr="00FA1A19" w:rsidRDefault="00217978" w:rsidP="00217978">
      <w:pPr>
        <w:tabs>
          <w:tab w:val="left" w:pos="516"/>
        </w:tabs>
      </w:pPr>
      <w:r w:rsidRPr="00FA1A19">
        <w:t xml:space="preserve">The ATO states on its website that transferring crypto assets from one digital wallet to another digital wallet is not considered as a disposal as long as the user maintains ownership of </w:t>
      </w:r>
      <w:r w:rsidRPr="00FA1A19" w:rsidDel="00BE1B3A">
        <w:t>it</w:t>
      </w:r>
      <w:r w:rsidRPr="00FA1A19">
        <w:t>.</w:t>
      </w:r>
      <w:r w:rsidRPr="00170ADC">
        <w:rPr>
          <w:rStyle w:val="FootnoteReference"/>
        </w:rPr>
        <w:t xml:space="preserve"> </w:t>
      </w:r>
      <w:r w:rsidRPr="00170ADC">
        <w:rPr>
          <w:rStyle w:val="FootnoteReference"/>
        </w:rPr>
        <w:footnoteReference w:id="519"/>
      </w:r>
      <w:r w:rsidRPr="00FA1A19">
        <w:t xml:space="preserve"> </w:t>
      </w:r>
      <w:r w:rsidR="004F48C3" w:rsidRPr="00FA1A19">
        <w:t>T</w:t>
      </w:r>
      <w:r w:rsidRPr="00FA1A19">
        <w:t>he ATO further state</w:t>
      </w:r>
      <w:r w:rsidR="0014223B" w:rsidRPr="00FA1A19">
        <w:t>s that</w:t>
      </w:r>
      <w:r w:rsidRPr="00FA1A19">
        <w:t xml:space="preserve"> if the user</w:t>
      </w:r>
      <w:r w:rsidR="00F75232">
        <w:t>’</w:t>
      </w:r>
      <w:r w:rsidRPr="00FA1A19">
        <w:t xml:space="preserve">s </w:t>
      </w:r>
      <w:r w:rsidR="00F75232">
        <w:t>‘</w:t>
      </w:r>
      <w:r w:rsidRPr="00FA1A19">
        <w:t>crypto holding reduces during a transfer to cover a network fee, the transaction fee is a disposal and has capital gain consequences</w:t>
      </w:r>
      <w:r w:rsidR="00F75232">
        <w:t>’</w:t>
      </w:r>
      <w:r w:rsidRPr="00FA1A19">
        <w:t>.</w:t>
      </w:r>
      <w:r w:rsidRPr="00170ADC">
        <w:rPr>
          <w:rStyle w:val="FootnoteReference"/>
        </w:rPr>
        <w:footnoteReference w:id="520"/>
      </w:r>
      <w:r w:rsidR="00DB5D36" w:rsidRPr="00FA1A19">
        <w:t xml:space="preserve"> The ATO does not consider whether there is any deduction for a network fee.</w:t>
      </w:r>
    </w:p>
    <w:p w14:paraId="316E2443" w14:textId="5F1D8262" w:rsidR="00217978" w:rsidRPr="00FA1A19" w:rsidRDefault="00217978" w:rsidP="00217978">
      <w:r w:rsidRPr="00FA1A19">
        <w:t>The Board agrees with the ATO</w:t>
      </w:r>
      <w:r w:rsidR="00F75232">
        <w:t>’</w:t>
      </w:r>
      <w:r w:rsidRPr="00FA1A19">
        <w:t xml:space="preserve">s position that where there is no change in beneficial ownership, no taxing event </w:t>
      </w:r>
      <w:r w:rsidR="004F48C3" w:rsidRPr="00FA1A19">
        <w:t xml:space="preserve">should </w:t>
      </w:r>
      <w:r w:rsidRPr="00FA1A19">
        <w:t>occur. The Board considers that this issue is sufficiently clear under the law and appropriately dealt with through the ATO</w:t>
      </w:r>
      <w:r w:rsidR="00F75232">
        <w:t>’</w:t>
      </w:r>
      <w:r w:rsidRPr="00FA1A19">
        <w:t xml:space="preserve">s existing web guidance. </w:t>
      </w:r>
    </w:p>
    <w:p w14:paraId="64A226E6" w14:textId="77777777" w:rsidR="00217978" w:rsidRPr="00FA1A19" w:rsidRDefault="00217978" w:rsidP="00342121">
      <w:pPr>
        <w:pStyle w:val="Heading3"/>
      </w:pPr>
      <w:r w:rsidRPr="00FA1A19">
        <w:t>Transfers to exchanges</w:t>
      </w:r>
    </w:p>
    <w:p w14:paraId="3BBB301B" w14:textId="5726235B" w:rsidR="00217978" w:rsidRPr="00FA1A19" w:rsidRDefault="00217978" w:rsidP="00217978">
      <w:r w:rsidRPr="00FA1A19">
        <w:t xml:space="preserve">An increasing number of crypto asset users are choosing to hold their crypto assets through a digital asset platform, such as an exchange. In </w:t>
      </w:r>
      <w:r w:rsidR="00372633">
        <w:t>Chapter </w:t>
      </w:r>
      <w:r w:rsidRPr="00FA1A19">
        <w:t>3, the Board detailed the contrast between decentralised and centralised exchanges, noting that the latter will generally take custody of the tokens.</w:t>
      </w:r>
    </w:p>
    <w:p w14:paraId="600A7B0A" w14:textId="592085DB" w:rsidR="00847D5D" w:rsidRPr="00FA1A19" w:rsidRDefault="00847D5D" w:rsidP="00217978">
      <w:r w:rsidRPr="00FA1A19">
        <w:t>The ATO do</w:t>
      </w:r>
      <w:r w:rsidR="348336A8" w:rsidRPr="00FA1A19">
        <w:t>es</w:t>
      </w:r>
      <w:r w:rsidRPr="00FA1A19">
        <w:t xml:space="preserve"> not currently provide any public advice in relation to the tax treatment of a transfer to an exchange.</w:t>
      </w:r>
    </w:p>
    <w:p w14:paraId="1529E710" w14:textId="464AB157" w:rsidR="00217978" w:rsidRPr="00FA1A19" w:rsidRDefault="00E70B3E" w:rsidP="00217978">
      <w:r w:rsidRPr="00FA1A19">
        <w:t xml:space="preserve">An issue is whether a </w:t>
      </w:r>
      <w:r w:rsidR="00217978" w:rsidRPr="00FA1A19">
        <w:t>transfer of a crypto asset to a crypto asset exchange constitute</w:t>
      </w:r>
      <w:r w:rsidRPr="00FA1A19">
        <w:t>s</w:t>
      </w:r>
      <w:r w:rsidR="00217978" w:rsidRPr="00FA1A19">
        <w:t xml:space="preserve"> a disposal for the purposes of CGT</w:t>
      </w:r>
      <w:r w:rsidR="00712BDE" w:rsidRPr="00FA1A19">
        <w:t>.</w:t>
      </w:r>
      <w:r w:rsidR="004F0A51" w:rsidRPr="00FA1A19">
        <w:t xml:space="preserve"> </w:t>
      </w:r>
      <w:r w:rsidR="006134F3" w:rsidRPr="00FA1A19">
        <w:t>The Board considers</w:t>
      </w:r>
      <w:r w:rsidR="00543690" w:rsidRPr="00FA1A19">
        <w:t xml:space="preserve"> that the general principl</w:t>
      </w:r>
      <w:r w:rsidR="006134F3" w:rsidRPr="00FA1A19">
        <w:t>e</w:t>
      </w:r>
      <w:r w:rsidR="00543690" w:rsidRPr="00FA1A19">
        <w:t xml:space="preserve"> that there should be no disposal if there is no change in beneficial ownership should apply.</w:t>
      </w:r>
      <w:r w:rsidR="004F0A51" w:rsidRPr="00FA1A19">
        <w:t xml:space="preserve"> </w:t>
      </w:r>
      <w:r w:rsidR="00A37699" w:rsidRPr="00FA1A19">
        <w:t>Relevant to</w:t>
      </w:r>
      <w:r w:rsidR="00B855E1" w:rsidRPr="00FA1A19">
        <w:t xml:space="preserve"> this issue</w:t>
      </w:r>
      <w:r w:rsidR="00543690" w:rsidRPr="00FA1A19">
        <w:t xml:space="preserve"> </w:t>
      </w:r>
      <w:r w:rsidR="00A37699" w:rsidRPr="00FA1A19">
        <w:t xml:space="preserve">will be the terms of the contract with the exchange. In Appendix B, the Board has </w:t>
      </w:r>
      <w:r w:rsidR="00B855E1" w:rsidRPr="00FA1A19">
        <w:t>set out</w:t>
      </w:r>
      <w:r w:rsidR="00A37699" w:rsidRPr="00FA1A19">
        <w:t xml:space="preserve"> some general terms that may apply in a user agreement with exchanges. </w:t>
      </w:r>
      <w:r w:rsidR="00872CC8" w:rsidRPr="00FA1A19">
        <w:t>An issue may arise where a</w:t>
      </w:r>
      <w:r w:rsidR="0060631D" w:rsidRPr="00FA1A19">
        <w:t xml:space="preserve"> centralised exchange does not take beneficial ownership of a crypto asset, but </w:t>
      </w:r>
      <w:r w:rsidR="00E90CE2" w:rsidRPr="00FA1A19">
        <w:t xml:space="preserve">beneficial ownership changes from relating to a specific crypto asset to </w:t>
      </w:r>
      <w:r w:rsidR="00523391" w:rsidRPr="00FA1A19">
        <w:t>relating to a pool of crypto a</w:t>
      </w:r>
      <w:r w:rsidR="006E3B20" w:rsidRPr="00FA1A19">
        <w:t xml:space="preserve">ssets (such as occurred in </w:t>
      </w:r>
      <w:r w:rsidR="002E6DA9" w:rsidRPr="00813896">
        <w:rPr>
          <w:rStyle w:val="Emphasis"/>
        </w:rPr>
        <w:t xml:space="preserve">Ruscoe v Cryptopia Limited (in liquidation) </w:t>
      </w:r>
      <w:r w:rsidR="00246FF7" w:rsidRPr="00FA1A19">
        <w:t>[2020] NZHC 728; [2020] NZLR 809 (Gendall J).</w:t>
      </w:r>
      <w:r w:rsidR="004F0A51" w:rsidRPr="00FA1A19">
        <w:t xml:space="preserve"> </w:t>
      </w:r>
      <w:r w:rsidR="0089732F" w:rsidRPr="00FA1A19">
        <w:t xml:space="preserve">In these circumstances, the reasonable outcome would </w:t>
      </w:r>
      <w:r w:rsidR="003A52A9" w:rsidRPr="00FA1A19">
        <w:t xml:space="preserve">ordinarily </w:t>
      </w:r>
      <w:r w:rsidR="0089732F" w:rsidRPr="00FA1A19">
        <w:t xml:space="preserve">be that there is no change in beneficial ownership </w:t>
      </w:r>
      <w:r w:rsidR="00B253A5" w:rsidRPr="00FA1A19">
        <w:t xml:space="preserve">and no taxing event </w:t>
      </w:r>
      <w:r w:rsidR="0089732F" w:rsidRPr="00FA1A19">
        <w:t>for tax purposes.</w:t>
      </w:r>
    </w:p>
    <w:p w14:paraId="0CBA4462" w14:textId="044561ED" w:rsidR="00B064F7" w:rsidRPr="00FA1A19" w:rsidRDefault="00A314B0" w:rsidP="00217978">
      <w:r>
        <w:t>There was limited feedback in t</w:t>
      </w:r>
      <w:r w:rsidR="00B064F7" w:rsidRPr="00FA1A19">
        <w:t>he Board</w:t>
      </w:r>
      <w:r w:rsidR="00F75232">
        <w:t>’</w:t>
      </w:r>
      <w:r w:rsidR="00F45F86" w:rsidRPr="00FA1A19">
        <w:t>s consultations that crypto participants are particularly seeking guidance in relation to this issue.</w:t>
      </w:r>
      <w:r w:rsidR="004F0A51" w:rsidRPr="00FA1A19">
        <w:t xml:space="preserve"> </w:t>
      </w:r>
      <w:r>
        <w:t xml:space="preserve">This is an area for ongoing monitoring by the ATO who </w:t>
      </w:r>
      <w:r w:rsidR="00C71434">
        <w:t xml:space="preserve">could </w:t>
      </w:r>
      <w:r w:rsidR="00B064F7" w:rsidRPr="00FA1A19">
        <w:t>consider providing guidance in relation to this issue</w:t>
      </w:r>
      <w:r w:rsidR="00C71434">
        <w:t xml:space="preserve"> should future circumstances warrant this</w:t>
      </w:r>
      <w:r w:rsidR="001936EB" w:rsidRPr="00FA1A19">
        <w:t>.</w:t>
      </w:r>
    </w:p>
    <w:p w14:paraId="60ED8E41" w14:textId="476B8943" w:rsidR="006C569A" w:rsidRPr="00FA1A19" w:rsidRDefault="0047588B" w:rsidP="00342121">
      <w:pPr>
        <w:pStyle w:val="Heading3"/>
      </w:pPr>
      <w:r w:rsidRPr="00FA1A19">
        <w:t>DeFi arrangements</w:t>
      </w:r>
    </w:p>
    <w:p w14:paraId="6CC99149" w14:textId="4542181D" w:rsidR="00B91DE4" w:rsidRPr="00FA1A19" w:rsidRDefault="00B91DE4" w:rsidP="00890B25">
      <w:r w:rsidRPr="00FA1A19">
        <w:t>In the course of DeFi transactions, c</w:t>
      </w:r>
      <w:r w:rsidR="00890B25" w:rsidRPr="00FA1A19">
        <w:t>rypto assets may be</w:t>
      </w:r>
      <w:r w:rsidRPr="00FA1A19">
        <w:t xml:space="preserve"> </w:t>
      </w:r>
      <w:r w:rsidR="00890B25" w:rsidRPr="00FA1A19">
        <w:t>used</w:t>
      </w:r>
      <w:r w:rsidR="0037466F" w:rsidRPr="00FA1A19">
        <w:t xml:space="preserve"> in various ways including</w:t>
      </w:r>
      <w:r w:rsidRPr="00FA1A19">
        <w:t>:</w:t>
      </w:r>
    </w:p>
    <w:p w14:paraId="537EFE7D" w14:textId="6DC3B6C0" w:rsidR="00890B25" w:rsidRPr="00FA1A19" w:rsidRDefault="00890B25" w:rsidP="008F0C3C">
      <w:pPr>
        <w:pStyle w:val="Bullet"/>
      </w:pPr>
      <w:r w:rsidRPr="00FA1A19">
        <w:t xml:space="preserve">as security </w:t>
      </w:r>
      <w:r w:rsidR="00B253A5" w:rsidRPr="00FA1A19">
        <w:t xml:space="preserve">by either </w:t>
      </w:r>
      <w:r w:rsidR="00F75232">
        <w:t>‘</w:t>
      </w:r>
      <w:r w:rsidR="00B253A5" w:rsidRPr="00FA1A19">
        <w:t>locking</w:t>
      </w:r>
      <w:r w:rsidR="00F75232">
        <w:t>’</w:t>
      </w:r>
      <w:r w:rsidR="00B253A5" w:rsidRPr="00FA1A19">
        <w:t xml:space="preserve"> them </w:t>
      </w:r>
      <w:r w:rsidRPr="00FA1A19">
        <w:t>in the user</w:t>
      </w:r>
      <w:r w:rsidR="00F75232">
        <w:t>’</w:t>
      </w:r>
      <w:r w:rsidRPr="00FA1A19">
        <w:t xml:space="preserve">s wallet or </w:t>
      </w:r>
      <w:r w:rsidR="00847D5D" w:rsidRPr="00FA1A19">
        <w:t>transferring</w:t>
      </w:r>
      <w:r w:rsidRPr="00FA1A19">
        <w:t xml:space="preserve"> </w:t>
      </w:r>
      <w:r w:rsidR="00847D5D" w:rsidRPr="00FA1A19">
        <w:t xml:space="preserve">them </w:t>
      </w:r>
      <w:r w:rsidRPr="00FA1A19">
        <w:t>to a third</w:t>
      </w:r>
      <w:r w:rsidR="001D4FB5">
        <w:t>-</w:t>
      </w:r>
      <w:r w:rsidRPr="00FA1A19">
        <w:t>party custodian</w:t>
      </w:r>
    </w:p>
    <w:p w14:paraId="28FA13C6" w14:textId="0A2A8DFE" w:rsidR="009E0276" w:rsidRPr="00FA1A19" w:rsidRDefault="00484199" w:rsidP="008F0C3C">
      <w:pPr>
        <w:pStyle w:val="Bullet"/>
      </w:pPr>
      <w:r w:rsidRPr="00FA1A19">
        <w:t>d</w:t>
      </w:r>
      <w:r w:rsidR="00961E94" w:rsidRPr="00FA1A19">
        <w:t>eposi</w:t>
      </w:r>
      <w:r w:rsidR="00120BE5" w:rsidRPr="00FA1A19">
        <w:t xml:space="preserve">ting them in a </w:t>
      </w:r>
      <w:r w:rsidR="00F75232">
        <w:t>‘</w:t>
      </w:r>
      <w:r w:rsidR="00120BE5" w:rsidRPr="00FA1A19">
        <w:t>lending pool</w:t>
      </w:r>
      <w:r w:rsidR="00F75232">
        <w:t>’</w:t>
      </w:r>
      <w:r w:rsidR="00120BE5" w:rsidRPr="00FA1A19">
        <w:t xml:space="preserve"> that allows other participants to borrow those assets</w:t>
      </w:r>
      <w:r w:rsidR="00C36C83" w:rsidRPr="00FA1A19">
        <w:t xml:space="preserve"> (potentially receiving governance tokens in respect of assets held in the lending pool)</w:t>
      </w:r>
    </w:p>
    <w:p w14:paraId="007009AE" w14:textId="5235CE07" w:rsidR="005708C4" w:rsidRPr="00FA1A19" w:rsidRDefault="00626A01" w:rsidP="008F0C3C">
      <w:pPr>
        <w:pStyle w:val="Bullet"/>
      </w:pPr>
      <w:r w:rsidRPr="00FA1A19">
        <w:t xml:space="preserve">funding </w:t>
      </w:r>
      <w:r w:rsidR="001B51D8" w:rsidRPr="00FA1A19">
        <w:t>liquida</w:t>
      </w:r>
      <w:r w:rsidRPr="00FA1A19">
        <w:t>tions</w:t>
      </w:r>
    </w:p>
    <w:p w14:paraId="2F22AF35" w14:textId="1547E573" w:rsidR="009A16E3" w:rsidRPr="00FA1A19" w:rsidRDefault="006F426F" w:rsidP="008F0C3C">
      <w:pPr>
        <w:pStyle w:val="Bullet"/>
      </w:pPr>
      <w:r w:rsidRPr="00FA1A19">
        <w:t>liquidity mining by depositing crypto assets into an AMM liquidity pool for the purpose of trading</w:t>
      </w:r>
    </w:p>
    <w:p w14:paraId="2898C173" w14:textId="203CB9E4" w:rsidR="00120BE5" w:rsidRPr="00FA1A19" w:rsidRDefault="00D466AD" w:rsidP="008F0C3C">
      <w:pPr>
        <w:pStyle w:val="Bullet"/>
      </w:pPr>
      <w:r w:rsidRPr="00FA1A19">
        <w:t>depositing them in yield</w:t>
      </w:r>
      <w:r w:rsidR="00F75232">
        <w:noBreakHyphen/>
      </w:r>
      <w:r w:rsidRPr="00FA1A19">
        <w:t>farming pools to maximise returns</w:t>
      </w:r>
    </w:p>
    <w:p w14:paraId="6AA9BAD7" w14:textId="4DBD5C8E" w:rsidR="00D466AD" w:rsidRPr="00FA1A19" w:rsidRDefault="00620098" w:rsidP="008F0C3C">
      <w:pPr>
        <w:pStyle w:val="Bullet"/>
      </w:pPr>
      <w:r w:rsidRPr="00FA1A19">
        <w:t xml:space="preserve">depositing them in a </w:t>
      </w:r>
      <w:r w:rsidR="00CB2F86" w:rsidRPr="00FA1A19">
        <w:t>trading pool</w:t>
      </w:r>
      <w:r w:rsidR="00C1233E" w:rsidRPr="00FA1A19">
        <w:t xml:space="preserve"> either via a smart contract protocol or a third</w:t>
      </w:r>
      <w:r w:rsidR="0042175E">
        <w:t>-</w:t>
      </w:r>
      <w:r w:rsidR="00C1233E" w:rsidRPr="00FA1A19">
        <w:t xml:space="preserve">party investment manager </w:t>
      </w:r>
      <w:r w:rsidR="002A1D1E" w:rsidRPr="00FA1A19">
        <w:t>including a DAO</w:t>
      </w:r>
    </w:p>
    <w:p w14:paraId="51F45A2A" w14:textId="0D800466" w:rsidR="00707A94" w:rsidRPr="00FA1A19" w:rsidRDefault="00C11B0F" w:rsidP="008F0C3C">
      <w:pPr>
        <w:pStyle w:val="Bullet"/>
      </w:pPr>
      <w:r w:rsidRPr="00FA1A19">
        <w:t>bridging (whether custodial or noncustodial)</w:t>
      </w:r>
    </w:p>
    <w:p w14:paraId="0ED6C593" w14:textId="56E7A2DB" w:rsidR="00C11B0F" w:rsidRPr="00FA1A19" w:rsidRDefault="00C11B0F" w:rsidP="008F0C3C">
      <w:pPr>
        <w:pStyle w:val="Bullet"/>
      </w:pPr>
      <w:r w:rsidRPr="00FA1A19">
        <w:t>wrapping</w:t>
      </w:r>
      <w:r w:rsidR="00A83DB7" w:rsidRPr="00FA1A19">
        <w:t>.</w:t>
      </w:r>
    </w:p>
    <w:p w14:paraId="37DDDD34" w14:textId="149CE91E" w:rsidR="00964FA6" w:rsidRPr="00FA1A19" w:rsidRDefault="00964FA6" w:rsidP="00890B25">
      <w:r w:rsidRPr="00FA1A19">
        <w:t xml:space="preserve">For further details, refer to </w:t>
      </w:r>
      <w:r w:rsidR="00372633">
        <w:t>Chapter </w:t>
      </w:r>
      <w:r w:rsidRPr="00FA1A19">
        <w:t>3.</w:t>
      </w:r>
    </w:p>
    <w:p w14:paraId="55EA0402" w14:textId="506E3B6B" w:rsidR="00FC2929" w:rsidRPr="00FA1A19" w:rsidRDefault="00FC2929" w:rsidP="00890B25">
      <w:r w:rsidRPr="00FA1A19">
        <w:t xml:space="preserve">The ATO provides </w:t>
      </w:r>
      <w:r w:rsidR="002D544D" w:rsidRPr="00FA1A19">
        <w:t>some</w:t>
      </w:r>
      <w:r w:rsidRPr="00FA1A19">
        <w:t xml:space="preserve"> website guidance in relation to </w:t>
      </w:r>
      <w:r w:rsidR="00E01504" w:rsidRPr="00FA1A19">
        <w:t xml:space="preserve">a number </w:t>
      </w:r>
      <w:r w:rsidR="009D4DB6" w:rsidRPr="00FA1A19">
        <w:t xml:space="preserve">of the </w:t>
      </w:r>
      <w:r w:rsidRPr="00FA1A19">
        <w:t xml:space="preserve">DeFi transactions </w:t>
      </w:r>
      <w:r w:rsidR="009D4DB6" w:rsidRPr="00FA1A19">
        <w:t xml:space="preserve">listed above </w:t>
      </w:r>
      <w:r w:rsidRPr="00FA1A19">
        <w:t xml:space="preserve">under the heading </w:t>
      </w:r>
      <w:r w:rsidR="00F75232">
        <w:t>‘</w:t>
      </w:r>
      <w:r w:rsidRPr="00FA1A19">
        <w:t>Decentralised finance and wrapping crypto</w:t>
      </w:r>
      <w:r w:rsidR="00F75232">
        <w:t>’</w:t>
      </w:r>
      <w:r w:rsidRPr="00FA1A19">
        <w:t>.</w:t>
      </w:r>
      <w:r w:rsidRPr="00170ADC">
        <w:rPr>
          <w:rStyle w:val="FootnoteReference"/>
        </w:rPr>
        <w:footnoteReference w:id="521"/>
      </w:r>
    </w:p>
    <w:p w14:paraId="634A19C4" w14:textId="709B4FA8" w:rsidR="004B4095" w:rsidRPr="00FA1A19" w:rsidRDefault="004B4095" w:rsidP="0069352C">
      <w:pPr>
        <w:pStyle w:val="Heading4"/>
      </w:pPr>
      <w:r w:rsidRPr="00FA1A19">
        <w:t>Wrapping and Bridging</w:t>
      </w:r>
    </w:p>
    <w:p w14:paraId="00C8FBA4" w14:textId="4397D37B" w:rsidR="001A1A17" w:rsidRPr="00FA1A19" w:rsidRDefault="00C801D5" w:rsidP="00890B25">
      <w:r w:rsidRPr="00FA1A19">
        <w:t>T</w:t>
      </w:r>
      <w:r w:rsidR="00A20E5F" w:rsidRPr="00FA1A19">
        <w:t>he ATO</w:t>
      </w:r>
      <w:r w:rsidR="00F75232">
        <w:t>’</w:t>
      </w:r>
      <w:r w:rsidR="00A20E5F" w:rsidRPr="00FA1A19">
        <w:t xml:space="preserve">s guidance in relation to </w:t>
      </w:r>
      <w:r w:rsidR="00312A7F" w:rsidRPr="00FA1A19">
        <w:t xml:space="preserve">wrapped tokens </w:t>
      </w:r>
      <w:r w:rsidR="00067B8D">
        <w:t>states</w:t>
      </w:r>
      <w:r w:rsidR="00067B8D" w:rsidRPr="00FA1A19">
        <w:t xml:space="preserve"> </w:t>
      </w:r>
      <w:r w:rsidR="006059CD" w:rsidRPr="00FA1A19">
        <w:t>that when a taxpayer wraps or unwraps a crypto asset, the taxpayer exchanges one crypto asset for another and a CGT event happens, with the capital procee</w:t>
      </w:r>
      <w:r w:rsidR="00254072" w:rsidRPr="00FA1A19">
        <w:t>d</w:t>
      </w:r>
      <w:r w:rsidR="006059CD" w:rsidRPr="00FA1A19">
        <w:t>s for the CGT event equal to the market value of the wrapped token at the time of the exchange.</w:t>
      </w:r>
      <w:r w:rsidR="004F0A51" w:rsidRPr="00FA1A19">
        <w:t xml:space="preserve"> </w:t>
      </w:r>
      <w:r w:rsidR="0009784F" w:rsidRPr="00FA1A19">
        <w:t xml:space="preserve">The correctness of the ATO website guidance was not universally accepted in submissions to the Review. </w:t>
      </w:r>
      <w:r w:rsidR="001A1A17" w:rsidRPr="00FA1A19">
        <w:t>In</w:t>
      </w:r>
      <w:r w:rsidR="0007341F">
        <w:t> </w:t>
      </w:r>
      <w:r w:rsidR="001A1A17" w:rsidRPr="00FA1A19">
        <w:t>relation to this:</w:t>
      </w:r>
    </w:p>
    <w:p w14:paraId="49F8B83C" w14:textId="16B8D982" w:rsidR="0081503C" w:rsidRPr="00FA1A19" w:rsidRDefault="00BF7E2D" w:rsidP="00DE0061">
      <w:pPr>
        <w:keepNext/>
      </w:pPr>
      <w:r w:rsidRPr="00FA1A19">
        <w:t>The Members of the Tax Profession stated:</w:t>
      </w:r>
    </w:p>
    <w:p w14:paraId="3EA53435" w14:textId="5BEA5EDA" w:rsidR="00BF7E2D" w:rsidRPr="00FA1A19" w:rsidRDefault="00BF7E2D" w:rsidP="0007341F">
      <w:pPr>
        <w:pStyle w:val="Quote"/>
      </w:pPr>
      <w:r w:rsidRPr="00FA1A19">
        <w:t xml:space="preserve">Whilst we agree that in many instances these activities will amount to a disposal, depending on the characteristics of the crypto asset pre and post transfer/wrapping and other </w:t>
      </w:r>
      <w:r w:rsidRPr="00FA1A19">
        <w:rPr>
          <w:rFonts w:asciiTheme="minorHAnsi" w:hAnsiTheme="minorHAnsi" w:cstheme="minorHAnsi"/>
        </w:rPr>
        <w:t>factors</w:t>
      </w:r>
      <w:r w:rsidRPr="00FA1A19">
        <w:t xml:space="preserve"> such as holder, we argue that this is not a blanket proposition for all bridging/wrapping activities.</w:t>
      </w:r>
      <w:r w:rsidRPr="00170ADC">
        <w:rPr>
          <w:rStyle w:val="FootnoteReference"/>
        </w:rPr>
        <w:footnoteReference w:id="522"/>
      </w:r>
    </w:p>
    <w:p w14:paraId="72F2A2D6" w14:textId="3EA251A9" w:rsidR="001A1A17" w:rsidRPr="00FA1A19" w:rsidRDefault="001A1A17" w:rsidP="00DC6A6F">
      <w:r w:rsidRPr="00FA1A19">
        <w:t>The Joint Bodies stated that:</w:t>
      </w:r>
    </w:p>
    <w:p w14:paraId="797C480E" w14:textId="54E80DE3" w:rsidR="004F557F" w:rsidRPr="00FA1A19" w:rsidRDefault="004F557F" w:rsidP="0007341F">
      <w:pPr>
        <w:pStyle w:val="Quote"/>
      </w:pPr>
      <w:r w:rsidRPr="00FA1A19">
        <w:t xml:space="preserve">A </w:t>
      </w:r>
      <w:r w:rsidRPr="00FA1A19">
        <w:rPr>
          <w:rFonts w:asciiTheme="minorHAnsi" w:hAnsiTheme="minorHAnsi" w:cstheme="minorHAnsi"/>
        </w:rPr>
        <w:t>common</w:t>
      </w:r>
      <w:r w:rsidRPr="00FA1A19">
        <w:t xml:space="preserve"> view is that wrapping should not be treated as a disposal event because the taxpayer</w:t>
      </w:r>
      <w:r w:rsidR="00F75232">
        <w:t>’</w:t>
      </w:r>
      <w:r w:rsidRPr="00FA1A19">
        <w:t>s ongoing connection to the wrapped ETH in the wrapped contract can be demonstrated and thus they remain an absolutely entitled beneficiary of a bare trust.</w:t>
      </w:r>
      <w:r w:rsidRPr="00170ADC">
        <w:rPr>
          <w:rStyle w:val="FootnoteReference"/>
        </w:rPr>
        <w:t xml:space="preserve"> </w:t>
      </w:r>
      <w:r w:rsidRPr="00170ADC">
        <w:rPr>
          <w:rStyle w:val="FootnoteReference"/>
        </w:rPr>
        <w:footnoteReference w:id="523"/>
      </w:r>
    </w:p>
    <w:p w14:paraId="4B77D8E6" w14:textId="38B47312" w:rsidR="002B1F98" w:rsidRPr="00FA1A19" w:rsidRDefault="002B1F98" w:rsidP="00890B25">
      <w:r w:rsidRPr="00FA1A19">
        <w:t xml:space="preserve">Whist the ATO </w:t>
      </w:r>
      <w:r w:rsidR="007727F0">
        <w:t>does</w:t>
      </w:r>
      <w:r w:rsidR="007727F0" w:rsidRPr="00FA1A19">
        <w:t xml:space="preserve"> </w:t>
      </w:r>
      <w:r w:rsidRPr="00FA1A19">
        <w:t xml:space="preserve">not expressly deal with bridging, their description of </w:t>
      </w:r>
      <w:r w:rsidR="00F75232">
        <w:t>‘</w:t>
      </w:r>
      <w:r w:rsidRPr="00FA1A19">
        <w:t>wrapped tokens</w:t>
      </w:r>
      <w:r w:rsidR="00F75232">
        <w:t>’</w:t>
      </w:r>
      <w:r w:rsidRPr="00FA1A19">
        <w:t xml:space="preserve"> suggests that this was used to describe </w:t>
      </w:r>
      <w:r w:rsidR="00096482" w:rsidRPr="00FA1A19">
        <w:t>bridging and wrapping arrangements</w:t>
      </w:r>
      <w:r w:rsidR="000D5FF5" w:rsidRPr="00FA1A19">
        <w:t>.</w:t>
      </w:r>
      <w:r w:rsidR="000D5FF5" w:rsidRPr="00170ADC">
        <w:rPr>
          <w:rStyle w:val="FootnoteReference"/>
        </w:rPr>
        <w:footnoteReference w:id="524"/>
      </w:r>
    </w:p>
    <w:p w14:paraId="5A3C24D6" w14:textId="697CBBCC" w:rsidR="00233CB9" w:rsidRPr="00FA1A19" w:rsidRDefault="00233CB9" w:rsidP="00233CB9">
      <w:r w:rsidRPr="00FA1A19">
        <w:t>The Joint Bodies submitted to the Review that ATO guidance was required (or legislative and regulatory change if necessary) on the tax treatment of each kind of bridging event. They noted some bridging events do not involve the trading or exchange of one digital asset for another and that there may be clear and terms and conditions in place to describe the legal relationship with the custodian, however this analysis will place a heavy onus on the taxpayer to analyse a collection of materials and source code to determine the technically correct approach.</w:t>
      </w:r>
      <w:r w:rsidRPr="00170ADC">
        <w:rPr>
          <w:rStyle w:val="FootnoteReference"/>
        </w:rPr>
        <w:footnoteReference w:id="525"/>
      </w:r>
      <w:r w:rsidRPr="00FA1A19">
        <w:t xml:space="preserve"> </w:t>
      </w:r>
    </w:p>
    <w:p w14:paraId="505E1A68" w14:textId="051DFCAA" w:rsidR="00233CB9" w:rsidRPr="00FA1A19" w:rsidRDefault="00233CB9" w:rsidP="00233CB9">
      <w:r w:rsidRPr="00FA1A19">
        <w:t xml:space="preserve">The Members of the Tax Profession considered that </w:t>
      </w:r>
      <w:r w:rsidR="00314E28" w:rsidRPr="00FA1A19">
        <w:t>the treatment of wrapping and bridging</w:t>
      </w:r>
      <w:r w:rsidRPr="00FA1A19">
        <w:t xml:space="preserve"> as an acquisition and disposal would disadvantage the blockchain economy compared to the traditional internet businesses that integrate with payments platforms.</w:t>
      </w:r>
      <w:r w:rsidRPr="00170ADC">
        <w:rPr>
          <w:rStyle w:val="FootnoteReference"/>
        </w:rPr>
        <w:footnoteReference w:id="526"/>
      </w:r>
      <w:r w:rsidRPr="00FA1A19">
        <w:t xml:space="preserve"> </w:t>
      </w:r>
    </w:p>
    <w:p w14:paraId="4527DA81" w14:textId="25F68367" w:rsidR="00233CB9" w:rsidRPr="00FA1A19" w:rsidRDefault="00233CB9" w:rsidP="00233CB9">
      <w:r w:rsidRPr="00FA1A19">
        <w:t>In relation to bridging, Cadena Legal described the economic substance as being more akin to a bailment arrangement under which the token is bailed to the smart contract owner, who then issues a notional asset to represent the user</w:t>
      </w:r>
      <w:r w:rsidR="00F75232">
        <w:t>’</w:t>
      </w:r>
      <w:r w:rsidRPr="00FA1A19">
        <w:t xml:space="preserve">s entitlement to the crypto asset locked in the smart contract. This notional asset does not provide the user with the same rights </w:t>
      </w:r>
      <w:r w:rsidR="50E2FD18" w:rsidRPr="00FA1A19">
        <w:t xml:space="preserve">as </w:t>
      </w:r>
      <w:r w:rsidRPr="00FA1A19">
        <w:t>the original token had on the original network (that is WBTC cannot be used on the Bitcoin network), however it is effectively a one</w:t>
      </w:r>
      <w:r w:rsidR="00F75232">
        <w:noBreakHyphen/>
      </w:r>
      <w:r w:rsidRPr="00FA1A19">
        <w:t>to</w:t>
      </w:r>
      <w:r w:rsidR="00F75232">
        <w:noBreakHyphen/>
      </w:r>
      <w:r w:rsidRPr="00FA1A19">
        <w:t>one representation of an ownership interest in the original token.</w:t>
      </w:r>
      <w:r w:rsidRPr="00170ADC">
        <w:rPr>
          <w:rStyle w:val="FootnoteReference"/>
        </w:rPr>
        <w:footnoteReference w:id="527"/>
      </w:r>
    </w:p>
    <w:p w14:paraId="1123F8A1" w14:textId="664423C8" w:rsidR="00E63E41" w:rsidRPr="00FA1A19" w:rsidRDefault="00E63E41" w:rsidP="008F0C3C">
      <w:pPr>
        <w:pStyle w:val="SingleParagraph"/>
      </w:pPr>
    </w:p>
    <w:tbl>
      <w:tblPr>
        <w:tblStyle w:val="Style2"/>
        <w:tblW w:w="5000" w:type="pct"/>
        <w:tblLook w:val="01E0" w:firstRow="1" w:lastRow="1" w:firstColumn="1" w:lastColumn="1" w:noHBand="0" w:noVBand="0"/>
      </w:tblPr>
      <w:tblGrid>
        <w:gridCol w:w="9641"/>
      </w:tblGrid>
      <w:tr w:rsidR="005E7995" w:rsidRPr="00FA1A19" w14:paraId="798E7E24"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532CD259" w14:textId="2AA999BE" w:rsidR="005E7995" w:rsidRPr="00FA1A19" w:rsidRDefault="00372633" w:rsidP="003316D7">
            <w:pPr>
              <w:pStyle w:val="BoxHeading1"/>
            </w:pPr>
            <w:r>
              <w:t>Recommendation </w:t>
            </w:r>
            <w:r w:rsidR="00A50D0C" w:rsidRPr="00FA1A19">
              <w:t>9</w:t>
            </w:r>
            <w:r w:rsidR="005E7995" w:rsidRPr="00FA1A19">
              <w:t>.4</w:t>
            </w:r>
          </w:p>
        </w:tc>
      </w:tr>
      <w:tr w:rsidR="005E7995" w:rsidRPr="00FA1A19" w14:paraId="767B7913"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35A17A11" w14:textId="0C07D054" w:rsidR="008E3A52" w:rsidRPr="00FA1A19" w:rsidRDefault="008E3A52" w:rsidP="004B4095">
            <w:pPr>
              <w:rPr>
                <w:bCs/>
              </w:rPr>
            </w:pPr>
            <w:r w:rsidRPr="00FA1A19">
              <w:t>The Board considers that there is significant complexity for users in identifying potential changes in legal and beneficial ownership where wrapping and bridging occurs.</w:t>
            </w:r>
          </w:p>
          <w:p w14:paraId="4E4CE1B3" w14:textId="18798FC5" w:rsidR="005E7995" w:rsidRPr="00FA1A19" w:rsidRDefault="00531D54" w:rsidP="004B4095">
            <w:r>
              <w:t>At this stage, the Board does not recommend any immediate legislative changes with respect to wrapping and bridging transactions. However, t</w:t>
            </w:r>
            <w:r w:rsidRPr="00FA1A19">
              <w:t xml:space="preserve">he </w:t>
            </w:r>
            <w:r w:rsidR="005E7995" w:rsidRPr="00FA1A19">
              <w:t xml:space="preserve">Board recommends that the ATO </w:t>
            </w:r>
            <w:r w:rsidR="008E3A52" w:rsidRPr="00FA1A19">
              <w:t xml:space="preserve">provide more detailed </w:t>
            </w:r>
            <w:r w:rsidR="008779FB" w:rsidRPr="00FA1A19">
              <w:t>guidance</w:t>
            </w:r>
            <w:r w:rsidR="00F2266A" w:rsidRPr="00FA1A19">
              <w:t>, upon which taxpayers can rely to ensure that their taxation disclosures will be acceptable to the ATO,</w:t>
            </w:r>
            <w:r w:rsidR="008779FB" w:rsidRPr="00FA1A19">
              <w:t xml:space="preserve"> </w:t>
            </w:r>
            <w:r w:rsidR="005E7995" w:rsidRPr="00FA1A19">
              <w:t xml:space="preserve">in relation to wrapping </w:t>
            </w:r>
            <w:r w:rsidR="00AF4B30" w:rsidRPr="00FA1A19">
              <w:t>and bridging</w:t>
            </w:r>
            <w:r w:rsidR="005E7995" w:rsidRPr="00FA1A19">
              <w:t xml:space="preserve">, with </w:t>
            </w:r>
            <w:r w:rsidR="008E3A52" w:rsidRPr="00FA1A19">
              <w:t xml:space="preserve">particular </w:t>
            </w:r>
            <w:r w:rsidR="005E7995" w:rsidRPr="00FA1A19">
              <w:t xml:space="preserve">reference to the specific characteristics that would be identifiable by a taxpayer to </w:t>
            </w:r>
            <w:r w:rsidR="00F2266A" w:rsidRPr="00FA1A19">
              <w:t xml:space="preserve">determine </w:t>
            </w:r>
            <w:r w:rsidR="008E3A52" w:rsidRPr="00FA1A19">
              <w:t>whether or not</w:t>
            </w:r>
            <w:r w:rsidR="005E7995" w:rsidRPr="00FA1A19">
              <w:t xml:space="preserve"> a taxing event has occurred. </w:t>
            </w:r>
          </w:p>
        </w:tc>
      </w:tr>
    </w:tbl>
    <w:p w14:paraId="355E1A2F" w14:textId="5908687D" w:rsidR="004B4095" w:rsidRPr="00FA1A19" w:rsidRDefault="00BE0884" w:rsidP="0069352C">
      <w:pPr>
        <w:pStyle w:val="Heading4"/>
      </w:pPr>
      <w:r w:rsidRPr="00FA1A19">
        <w:t>Number of taxing events</w:t>
      </w:r>
    </w:p>
    <w:p w14:paraId="7E707BF5" w14:textId="5C770A1D" w:rsidR="00173712" w:rsidRPr="00FA1A19" w:rsidRDefault="00173712" w:rsidP="00890B25">
      <w:r w:rsidRPr="00FA1A19">
        <w:t xml:space="preserve">A significant </w:t>
      </w:r>
      <w:r w:rsidR="0049658F" w:rsidRPr="00FA1A19">
        <w:t>factor</w:t>
      </w:r>
      <w:r w:rsidRPr="00FA1A19">
        <w:t xml:space="preserve"> </w:t>
      </w:r>
      <w:r w:rsidR="00C05B07" w:rsidRPr="00FA1A19">
        <w:t xml:space="preserve">for taxation issues </w:t>
      </w:r>
      <w:r w:rsidRPr="00FA1A19">
        <w:t xml:space="preserve">where DeFi is concerned is that in many respects DeFi emulates </w:t>
      </w:r>
      <w:r w:rsidR="00C05B07" w:rsidRPr="00FA1A19">
        <w:t xml:space="preserve">traditional forms of financing which involve money, but because it involves crypto </w:t>
      </w:r>
      <w:r w:rsidR="00454973" w:rsidRPr="00FA1A19">
        <w:t>assets rather than money, there</w:t>
      </w:r>
      <w:r w:rsidR="009D6069" w:rsidRPr="00FA1A19">
        <w:t xml:space="preserve"> will most likely be</w:t>
      </w:r>
      <w:r w:rsidR="00454973" w:rsidRPr="00FA1A19">
        <w:t xml:space="preserve"> many more </w:t>
      </w:r>
      <w:r w:rsidR="00BE2EE0" w:rsidRPr="00FA1A19">
        <w:t>taxing events.</w:t>
      </w:r>
      <w:r w:rsidR="004F0A51" w:rsidRPr="00FA1A19">
        <w:t xml:space="preserve"> </w:t>
      </w:r>
      <w:r w:rsidR="00BE2EE0" w:rsidRPr="00FA1A19">
        <w:t xml:space="preserve">For example, </w:t>
      </w:r>
      <w:r w:rsidR="007D55EF" w:rsidRPr="00FA1A19">
        <w:t xml:space="preserve">those engaging in DeFi may consider </w:t>
      </w:r>
      <w:r w:rsidR="00BE2EE0" w:rsidRPr="00FA1A19">
        <w:t xml:space="preserve">depositing crypto assets in a </w:t>
      </w:r>
      <w:r w:rsidR="0095255F" w:rsidRPr="00FA1A19">
        <w:t>lending</w:t>
      </w:r>
      <w:r w:rsidR="00BE2EE0" w:rsidRPr="00FA1A19">
        <w:t xml:space="preserve"> pool </w:t>
      </w:r>
      <w:r w:rsidR="007D55EF" w:rsidRPr="00FA1A19">
        <w:t xml:space="preserve">to be akin to </w:t>
      </w:r>
      <w:r w:rsidR="00BE2EE0" w:rsidRPr="00FA1A19">
        <w:t>depositing money in a bank</w:t>
      </w:r>
      <w:r w:rsidR="00827D2C" w:rsidRPr="00FA1A19">
        <w:t>.</w:t>
      </w:r>
      <w:r w:rsidR="004F0A51" w:rsidRPr="00FA1A19">
        <w:t xml:space="preserve"> </w:t>
      </w:r>
      <w:r w:rsidR="00827D2C" w:rsidRPr="00FA1A19">
        <w:t>However</w:t>
      </w:r>
      <w:r w:rsidR="007D55EF" w:rsidRPr="00FA1A19">
        <w:t>, t</w:t>
      </w:r>
      <w:r w:rsidR="00BE2EE0" w:rsidRPr="00FA1A19">
        <w:t>here is no taxing event when money is deposited in a bank</w:t>
      </w:r>
      <w:r w:rsidR="00827D2C" w:rsidRPr="00FA1A19">
        <w:t>.</w:t>
      </w:r>
      <w:r w:rsidR="004F0A51" w:rsidRPr="00FA1A19">
        <w:t xml:space="preserve"> </w:t>
      </w:r>
      <w:r w:rsidR="00827D2C" w:rsidRPr="00FA1A19">
        <w:t>By</w:t>
      </w:r>
      <w:r w:rsidR="00210709" w:rsidRPr="00FA1A19">
        <w:t xml:space="preserve"> contrast</w:t>
      </w:r>
      <w:r w:rsidR="00827D2C" w:rsidRPr="00FA1A19">
        <w:t>,</w:t>
      </w:r>
      <w:r w:rsidR="00AB73F1" w:rsidRPr="00FA1A19">
        <w:t xml:space="preserve"> a deposit</w:t>
      </w:r>
      <w:r w:rsidR="00C93BF2" w:rsidRPr="00FA1A19">
        <w:t xml:space="preserve"> of a crypto asset</w:t>
      </w:r>
      <w:r w:rsidR="00AB73F1" w:rsidRPr="00FA1A19">
        <w:t xml:space="preserve"> into a lending </w:t>
      </w:r>
      <w:r w:rsidR="0095255F" w:rsidRPr="00FA1A19">
        <w:t xml:space="preserve">pool </w:t>
      </w:r>
      <w:r w:rsidR="00AB73F1" w:rsidRPr="00FA1A19">
        <w:t xml:space="preserve">may </w:t>
      </w:r>
      <w:r w:rsidR="0095255F" w:rsidRPr="00FA1A19">
        <w:t xml:space="preserve">constitute a </w:t>
      </w:r>
      <w:r w:rsidR="00E37994" w:rsidRPr="00FA1A19">
        <w:t xml:space="preserve">disposal of one </w:t>
      </w:r>
      <w:r w:rsidR="00C93BF2" w:rsidRPr="00FA1A19">
        <w:t>asset</w:t>
      </w:r>
      <w:r w:rsidR="00827D2C" w:rsidRPr="00FA1A19">
        <w:t xml:space="preserve"> </w:t>
      </w:r>
      <w:r w:rsidR="00E37994" w:rsidRPr="00FA1A19">
        <w:t xml:space="preserve">in exchange for another </w:t>
      </w:r>
      <w:r w:rsidR="00827D2C" w:rsidRPr="00FA1A19">
        <w:t>and so</w:t>
      </w:r>
      <w:r w:rsidR="002F5AB2" w:rsidRPr="00FA1A19">
        <w:t xml:space="preserve"> </w:t>
      </w:r>
      <w:r w:rsidR="00734C7A" w:rsidRPr="00FA1A19">
        <w:t xml:space="preserve">trigger </w:t>
      </w:r>
      <w:r w:rsidR="002F5AB2" w:rsidRPr="00FA1A19">
        <w:t>a taxing event.</w:t>
      </w:r>
      <w:r w:rsidR="004F0A51" w:rsidRPr="00FA1A19">
        <w:t xml:space="preserve"> </w:t>
      </w:r>
      <w:r w:rsidR="00980053" w:rsidRPr="00FA1A19">
        <w:t>The ATO website guidance recognises some of these issues.</w:t>
      </w:r>
      <w:r w:rsidR="00980053" w:rsidRPr="00170ADC">
        <w:rPr>
          <w:rStyle w:val="FootnoteReference"/>
        </w:rPr>
        <w:footnoteReference w:id="528"/>
      </w:r>
      <w:r w:rsidR="004F0A51" w:rsidRPr="00FA1A19">
        <w:t xml:space="preserve"> </w:t>
      </w:r>
      <w:r w:rsidR="00023B3A" w:rsidRPr="00FA1A19">
        <w:t xml:space="preserve">The Board also recognises that these issues </w:t>
      </w:r>
      <w:r w:rsidR="00E37994" w:rsidRPr="00FA1A19">
        <w:t xml:space="preserve">arguably </w:t>
      </w:r>
      <w:r w:rsidR="00023B3A" w:rsidRPr="00FA1A19">
        <w:t xml:space="preserve">offend against Principle 3 </w:t>
      </w:r>
      <w:r w:rsidR="00F75232">
        <w:t>‘</w:t>
      </w:r>
      <w:r w:rsidR="00023B3A" w:rsidRPr="00FA1A19">
        <w:t>Equity and Functional Neutrality</w:t>
      </w:r>
      <w:r w:rsidR="00F75232">
        <w:t>’</w:t>
      </w:r>
      <w:r w:rsidR="00023B3A" w:rsidRPr="00FA1A19">
        <w:t xml:space="preserve"> and Principle 4 </w:t>
      </w:r>
      <w:r w:rsidR="00F75232">
        <w:t>‘</w:t>
      </w:r>
      <w:r w:rsidR="00023B3A" w:rsidRPr="00FA1A19">
        <w:t>Competitive Neutrality</w:t>
      </w:r>
      <w:r w:rsidR="00F75232">
        <w:t>’</w:t>
      </w:r>
      <w:r w:rsidR="00023B3A" w:rsidRPr="00FA1A19">
        <w:t xml:space="preserve"> in </w:t>
      </w:r>
      <w:r w:rsidR="00372633">
        <w:t>Chapter </w:t>
      </w:r>
      <w:r w:rsidR="00561A8E" w:rsidRPr="00FA1A19">
        <w:t>5</w:t>
      </w:r>
      <w:r w:rsidR="00023B3A" w:rsidRPr="00FA1A19">
        <w:t xml:space="preserve"> of this </w:t>
      </w:r>
      <w:r w:rsidR="002C78F7" w:rsidRPr="00FA1A19">
        <w:t>R</w:t>
      </w:r>
      <w:r w:rsidR="00023B3A" w:rsidRPr="00FA1A19">
        <w:t>eport.</w:t>
      </w:r>
      <w:r w:rsidR="00561A8E" w:rsidRPr="00170ADC">
        <w:rPr>
          <w:rStyle w:val="FootnoteReference"/>
        </w:rPr>
        <w:footnoteReference w:id="529"/>
      </w:r>
    </w:p>
    <w:p w14:paraId="71B11E8E" w14:textId="725C98FD" w:rsidR="00175BA8" w:rsidRPr="00FA1A19" w:rsidRDefault="1DB1786A" w:rsidP="00175BA8">
      <w:r w:rsidRPr="00FA1A19">
        <w:t xml:space="preserve">However, </w:t>
      </w:r>
      <w:r w:rsidR="61A99F23" w:rsidRPr="00FA1A19">
        <w:t>t</w:t>
      </w:r>
      <w:r w:rsidR="00175BA8" w:rsidRPr="00FA1A19">
        <w:t xml:space="preserve">he Board </w:t>
      </w:r>
      <w:r w:rsidR="00746F66" w:rsidRPr="00FA1A19">
        <w:t>also</w:t>
      </w:r>
      <w:r w:rsidR="004F0A51" w:rsidRPr="00FA1A19">
        <w:t xml:space="preserve"> </w:t>
      </w:r>
      <w:r w:rsidR="00175BA8" w:rsidRPr="00FA1A19">
        <w:t xml:space="preserve">acknowledges </w:t>
      </w:r>
      <w:r w:rsidR="00746F66" w:rsidRPr="00FA1A19">
        <w:t>the argument</w:t>
      </w:r>
      <w:r w:rsidR="00175BA8" w:rsidRPr="00FA1A19">
        <w:t xml:space="preserve"> that whilst it may not be immediately apparent to average crypto asset users how the tax law applies and whether a change in beneficial ownership occurs, it is important that persons investing in crypto assets take steps to understand the nature of their investments including the taxation implications, and to ensure that they correctly calculate their taxable income.</w:t>
      </w:r>
      <w:r w:rsidR="00643A3E" w:rsidRPr="00FA1A19">
        <w:t xml:space="preserve"> </w:t>
      </w:r>
      <w:r w:rsidR="00AE717B">
        <w:t xml:space="preserve">Reference is made to </w:t>
      </w:r>
      <w:r w:rsidR="00372633">
        <w:t>Chapter </w:t>
      </w:r>
      <w:r w:rsidR="00AE717B">
        <w:t>11 regarding record keeping and compliance and the use of technology solutions by third</w:t>
      </w:r>
      <w:r w:rsidR="00A312A3">
        <w:t>-</w:t>
      </w:r>
      <w:r w:rsidR="00AE717B">
        <w:t>party service providers in respect of crypto asset transactions</w:t>
      </w:r>
      <w:r w:rsidR="002642FE">
        <w:t>.</w:t>
      </w:r>
    </w:p>
    <w:p w14:paraId="44C04F19" w14:textId="62A84747" w:rsidR="003A2620" w:rsidRPr="00FA1A19" w:rsidRDefault="003A2620" w:rsidP="008F0C3C">
      <w:pPr>
        <w:pStyle w:val="SingleParagraph"/>
      </w:pPr>
    </w:p>
    <w:tbl>
      <w:tblPr>
        <w:tblStyle w:val="Style2"/>
        <w:tblW w:w="5000" w:type="pct"/>
        <w:tblLook w:val="01E0" w:firstRow="1" w:lastRow="1" w:firstColumn="1" w:lastColumn="1" w:noHBand="0" w:noVBand="0"/>
      </w:tblPr>
      <w:tblGrid>
        <w:gridCol w:w="9641"/>
      </w:tblGrid>
      <w:tr w:rsidR="003A2620" w:rsidRPr="00FA1A19" w14:paraId="4D0A0F0D"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20A74B8C" w14:textId="725C15ED" w:rsidR="003A2620" w:rsidRPr="00FA1A19" w:rsidRDefault="00372633" w:rsidP="003316D7">
            <w:pPr>
              <w:pStyle w:val="BoxHeading1"/>
            </w:pPr>
            <w:r>
              <w:t>Recommendation </w:t>
            </w:r>
            <w:r w:rsidR="003A2620" w:rsidRPr="00FA1A19">
              <w:t>9.5</w:t>
            </w:r>
          </w:p>
        </w:tc>
      </w:tr>
      <w:tr w:rsidR="003A2620" w:rsidRPr="00FA1A19" w14:paraId="3FC88632"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6D6A7E9F" w14:textId="77777777" w:rsidR="004B4AE1" w:rsidRDefault="003A2620" w:rsidP="008F0C3C">
            <w:pPr>
              <w:pStyle w:val="BoxText"/>
            </w:pPr>
            <w:r w:rsidRPr="00FA1A19">
              <w:t>In light of the complexity and the quickly and continually evolving nature of crypto asset transactions and DeFi in particular, the Board recommends that, at this time, there be no new legislation to establish a new and prescriptive taxation regime to deal with crypto and in particular DeFi transactions (including bridging and wrapping).</w:t>
            </w:r>
            <w:r w:rsidR="004F0A51" w:rsidRPr="00FA1A19">
              <w:t xml:space="preserve"> </w:t>
            </w:r>
            <w:r w:rsidRPr="00FA1A19">
              <w:t xml:space="preserve">The Board considers that new legislation at this time would lead to more complexity, potentially more uncertainty, and would put in place a regime that may require </w:t>
            </w:r>
            <w:r w:rsidR="00FD714B" w:rsidRPr="00FA1A19">
              <w:t>continual</w:t>
            </w:r>
            <w:r w:rsidRPr="00FA1A19">
              <w:t xml:space="preserve"> amendment as the crypto ecosystem develops. </w:t>
            </w:r>
          </w:p>
          <w:p w14:paraId="15F053B8" w14:textId="1FF58E88" w:rsidR="003A2620" w:rsidRPr="00FA1A19" w:rsidRDefault="00965C5D" w:rsidP="008F0C3C">
            <w:pPr>
              <w:pStyle w:val="BoxText"/>
            </w:pPr>
            <w:r>
              <w:t xml:space="preserve">As noted in </w:t>
            </w:r>
            <w:r w:rsidR="00372633">
              <w:t>Recommendation </w:t>
            </w:r>
            <w:r>
              <w:t xml:space="preserve">9.4, the Board recommends </w:t>
            </w:r>
            <w:r w:rsidRPr="0029614B">
              <w:t>that the ATO provide more detailed guidance, upon which taxpayers can rely to ensure that their taxation disclosures will be acceptable to the ATO, in relation to wrapping and bridging</w:t>
            </w:r>
            <w:r>
              <w:t>. Acknowledging that the Board has heard a number of concerns as to the manner in which the current taxation rules operate, once that guidance is provided, the Board recommends that this issue is reviewed further to confirm that the rules are operating appropriately.</w:t>
            </w:r>
          </w:p>
        </w:tc>
      </w:tr>
    </w:tbl>
    <w:p w14:paraId="6F368D7C" w14:textId="77777777" w:rsidR="008F0C3C" w:rsidRDefault="008F0C3C" w:rsidP="008F0C3C">
      <w:pPr>
        <w:pStyle w:val="SingleParagraph"/>
      </w:pPr>
    </w:p>
    <w:p w14:paraId="2156CE1B" w14:textId="18EFD307" w:rsidR="00CB1CBF" w:rsidRPr="00FA1A19" w:rsidRDefault="00CB1CBF" w:rsidP="00CB1CBF">
      <w:r w:rsidRPr="00FA1A19">
        <w:t xml:space="preserve">In </w:t>
      </w:r>
      <w:r w:rsidR="00372633">
        <w:t>Chapter </w:t>
      </w:r>
      <w:r w:rsidRPr="00FA1A19">
        <w:t>13 to this Report, the Board discusses DeFi further, and recommends that the Government continue to monitor the development and taxation treatment of DeFi</w:t>
      </w:r>
      <w:r w:rsidR="0060554F" w:rsidRPr="00FA1A19">
        <w:t xml:space="preserve"> transactions</w:t>
      </w:r>
      <w:r w:rsidRPr="00FA1A19">
        <w:t>.</w:t>
      </w:r>
    </w:p>
    <w:p w14:paraId="67E6ABB2" w14:textId="7680E009" w:rsidR="002D3E21" w:rsidRPr="00FA1A19" w:rsidRDefault="002D3E21" w:rsidP="0069352C">
      <w:pPr>
        <w:pStyle w:val="Heading2"/>
      </w:pPr>
      <w:bookmarkStart w:id="132" w:name="_Toc159513623"/>
      <w:r w:rsidRPr="00FA1A19">
        <w:t>Evolution of Crypto Assets</w:t>
      </w:r>
      <w:bookmarkEnd w:id="132"/>
      <w:r w:rsidRPr="00FA1A19">
        <w:t xml:space="preserve"> </w:t>
      </w:r>
    </w:p>
    <w:p w14:paraId="1755C460" w14:textId="77777777" w:rsidR="002D3E21" w:rsidRPr="00FA1A19" w:rsidRDefault="002D3E21" w:rsidP="00342121">
      <w:pPr>
        <w:pStyle w:val="Heading3"/>
      </w:pPr>
      <w:r w:rsidRPr="00FA1A19">
        <w:t xml:space="preserve">Forks </w:t>
      </w:r>
    </w:p>
    <w:p w14:paraId="5CD5271C" w14:textId="0C0440F2" w:rsidR="002D3E21" w:rsidRPr="00FA1A19" w:rsidRDefault="002D3E21" w:rsidP="00617FE8">
      <w:r w:rsidRPr="00FA1A19">
        <w:t xml:space="preserve">In </w:t>
      </w:r>
      <w:r w:rsidR="00372633">
        <w:t>Chapter </w:t>
      </w:r>
      <w:r w:rsidRPr="00FA1A19">
        <w:t xml:space="preserve">3, the Board described </w:t>
      </w:r>
      <w:r w:rsidR="00F75232">
        <w:t>‘</w:t>
      </w:r>
      <w:r w:rsidR="00434794" w:rsidRPr="00FA1A19">
        <w:t>hard forks</w:t>
      </w:r>
      <w:r w:rsidR="00F75232">
        <w:t>’</w:t>
      </w:r>
      <w:r w:rsidR="00434794" w:rsidRPr="00FA1A19">
        <w:t xml:space="preserve"> and </w:t>
      </w:r>
      <w:r w:rsidR="00F75232">
        <w:t>‘</w:t>
      </w:r>
      <w:r w:rsidR="00434794" w:rsidRPr="00FA1A19">
        <w:t>soft forks</w:t>
      </w:r>
      <w:r w:rsidR="00F75232">
        <w:t>’</w:t>
      </w:r>
      <w:r w:rsidR="00434794" w:rsidRPr="00FA1A19">
        <w:t xml:space="preserve"> in a blockchain</w:t>
      </w:r>
      <w:r w:rsidR="000916E0" w:rsidRPr="00FA1A19">
        <w:t xml:space="preserve">, noting that a hard fork </w:t>
      </w:r>
      <w:r w:rsidR="00617FE8" w:rsidRPr="00FA1A19">
        <w:t xml:space="preserve">results in a </w:t>
      </w:r>
      <w:r w:rsidRPr="00FA1A19">
        <w:t>change in the blockchain protocol to create a new version of the blockchain</w:t>
      </w:r>
      <w:r w:rsidR="00684B0A" w:rsidRPr="00FA1A19">
        <w:t xml:space="preserve">, </w:t>
      </w:r>
      <w:r w:rsidRPr="00FA1A19">
        <w:t>whil</w:t>
      </w:r>
      <w:r w:rsidR="00684B0A" w:rsidRPr="00FA1A19">
        <w:t>st</w:t>
      </w:r>
      <w:r w:rsidRPr="00FA1A19">
        <w:t xml:space="preserve"> </w:t>
      </w:r>
      <w:r w:rsidR="006543AD" w:rsidRPr="00FA1A19">
        <w:t>some nodes maintain</w:t>
      </w:r>
      <w:r w:rsidRPr="00FA1A19">
        <w:t xml:space="preserve"> the old version </w:t>
      </w:r>
      <w:r w:rsidR="00684B0A" w:rsidRPr="00FA1A19">
        <w:t>which</w:t>
      </w:r>
      <w:r w:rsidRPr="00FA1A19">
        <w:t xml:space="preserve"> continues to operate alongside. The users who owned the cryptocurrency will be entitled to the forked cryptocurrency, without doing anything.</w:t>
      </w:r>
      <w:r w:rsidR="004F0A51" w:rsidRPr="00FA1A19">
        <w:t xml:space="preserve"> </w:t>
      </w:r>
    </w:p>
    <w:p w14:paraId="4928E0DD" w14:textId="2D92DA78" w:rsidR="002D3E21" w:rsidRPr="00FA1A19" w:rsidRDefault="00684B0A" w:rsidP="00DA3CDE">
      <w:r w:rsidRPr="00FA1A19">
        <w:t xml:space="preserve">A hard fork is also referred to as a </w:t>
      </w:r>
      <w:r w:rsidR="00F75232">
        <w:t>‘</w:t>
      </w:r>
      <w:r w:rsidRPr="00FA1A19">
        <w:t>chain split</w:t>
      </w:r>
      <w:r w:rsidR="00F75232">
        <w:t>’</w:t>
      </w:r>
      <w:r w:rsidRPr="00FA1A19">
        <w:t xml:space="preserve"> and t</w:t>
      </w:r>
      <w:r w:rsidR="002D3E21" w:rsidRPr="00FA1A19">
        <w:t>he ATO provides website guidance in relation to chain splits</w:t>
      </w:r>
      <w:r w:rsidRPr="00FA1A19">
        <w:t>.</w:t>
      </w:r>
      <w:r w:rsidR="002D3E21" w:rsidRPr="00170ADC">
        <w:rPr>
          <w:rStyle w:val="FootnoteReference"/>
        </w:rPr>
        <w:footnoteReference w:id="530"/>
      </w:r>
      <w:r w:rsidR="002D3E21" w:rsidRPr="00FA1A19">
        <w:t xml:space="preserve"> </w:t>
      </w:r>
    </w:p>
    <w:p w14:paraId="0D73E522" w14:textId="2A59B867" w:rsidR="002D3E21" w:rsidRPr="00FA1A19" w:rsidRDefault="002D3E21" w:rsidP="002D3E21">
      <w:r w:rsidRPr="00FA1A19">
        <w:t xml:space="preserve">ATO </w:t>
      </w:r>
      <w:r w:rsidR="003F2CDB" w:rsidRPr="00FA1A19">
        <w:t xml:space="preserve">website guidance states </w:t>
      </w:r>
      <w:r w:rsidRPr="00FA1A19">
        <w:t>that where an investor receives a new crypto asset as a result of a chain split, the value of the new crypto asset is not treated as either ordinary income or a capital gain at the time it is received</w:t>
      </w:r>
      <w:r w:rsidR="009B000C" w:rsidRPr="00FA1A19">
        <w:t xml:space="preserve"> and that the </w:t>
      </w:r>
      <w:r w:rsidRPr="00FA1A19">
        <w:t>cost base of the new asset that is received as a result of the split is zero ($0).</w:t>
      </w:r>
      <w:r w:rsidRPr="00170ADC">
        <w:rPr>
          <w:rStyle w:val="FootnoteReference"/>
        </w:rPr>
        <w:footnoteReference w:id="531"/>
      </w:r>
      <w:r w:rsidR="004F0A51" w:rsidRPr="00FA1A19">
        <w:t xml:space="preserve"> </w:t>
      </w:r>
    </w:p>
    <w:p w14:paraId="322A1255" w14:textId="77777777" w:rsidR="002D3E21" w:rsidRPr="00FA1A19" w:rsidRDefault="002D3E21" w:rsidP="002D3E21">
      <w:r w:rsidRPr="00FA1A19">
        <w:t>The guidance provides further information in relation to determining which asset is the new crypto asset, advising:</w:t>
      </w:r>
    </w:p>
    <w:p w14:paraId="130E1D93" w14:textId="77777777" w:rsidR="002D3E21" w:rsidRPr="00FA1A19" w:rsidRDefault="002D3E21" w:rsidP="000E72DD">
      <w:pPr>
        <w:pStyle w:val="Quote"/>
      </w:pPr>
      <w:r w:rsidRPr="00FA1A19">
        <w:t>When a chain split occurs, you need to work out which asset is the new crypto asset. To do this you need to examine the rights and relationships of the crypto assets you now hold.</w:t>
      </w:r>
    </w:p>
    <w:p w14:paraId="1F9149F3" w14:textId="77777777" w:rsidR="002D3E21" w:rsidRPr="00FA1A19" w:rsidRDefault="002D3E21" w:rsidP="000E72DD">
      <w:pPr>
        <w:pStyle w:val="Quote"/>
      </w:pPr>
      <w:r w:rsidRPr="00FA1A19">
        <w:t>If one crypto asset has the same rights and relationships as your original crypto asset, it is a continuation of the original asset. Therefore, the other crypto asset you hold because of the chain split will be a new asset.</w:t>
      </w:r>
      <w:r w:rsidRPr="00170ADC">
        <w:rPr>
          <w:rStyle w:val="FootnoteReference"/>
        </w:rPr>
        <w:t xml:space="preserve"> </w:t>
      </w:r>
      <w:r w:rsidRPr="00170ADC">
        <w:rPr>
          <w:rStyle w:val="FootnoteReference"/>
        </w:rPr>
        <w:footnoteReference w:id="532"/>
      </w:r>
    </w:p>
    <w:p w14:paraId="23CEB5F0" w14:textId="689FDF22" w:rsidR="002D3E21" w:rsidRPr="00FA1A19" w:rsidRDefault="002D3E21" w:rsidP="002D3E21">
      <w:r w:rsidRPr="00FA1A19">
        <w:t xml:space="preserve">Additionally, the ATO sets out that the split may cause the original crypto asset to no longer exist, where </w:t>
      </w:r>
      <w:r w:rsidR="00ED60F7" w:rsidRPr="00FA1A19">
        <w:t xml:space="preserve">none of </w:t>
      </w:r>
      <w:r w:rsidRPr="00FA1A19">
        <w:t xml:space="preserve">the crypto assets held after the split have the same rights and relationships as the original. It </w:t>
      </w:r>
      <w:r w:rsidR="008E1647" w:rsidRPr="00FA1A19">
        <w:t>explains</w:t>
      </w:r>
      <w:r w:rsidRPr="00FA1A19">
        <w:t xml:space="preserve"> th</w:t>
      </w:r>
      <w:r w:rsidR="00E13594" w:rsidRPr="00FA1A19">
        <w:t>at</w:t>
      </w:r>
      <w:r w:rsidRPr="00FA1A19">
        <w:t xml:space="preserve"> </w:t>
      </w:r>
      <w:r w:rsidR="00947C2D" w:rsidRPr="00FA1A19">
        <w:t>where this occurs,</w:t>
      </w:r>
      <w:r w:rsidRPr="00FA1A19">
        <w:t xml:space="preserve"> CGT event C2 will occur in relation to the original asset</w:t>
      </w:r>
      <w:r w:rsidR="000E642B" w:rsidRPr="00FA1A19">
        <w:t xml:space="preserve"> resulting in a capital loss</w:t>
      </w:r>
      <w:r w:rsidR="008E1647" w:rsidRPr="00FA1A19">
        <w:t>, and that</w:t>
      </w:r>
      <w:r w:rsidRPr="00FA1A19">
        <w:t xml:space="preserve"> each crypto asset that is held will be treated as</w:t>
      </w:r>
      <w:r w:rsidR="009A6B26" w:rsidRPr="00FA1A19">
        <w:t xml:space="preserve"> a</w:t>
      </w:r>
      <w:r w:rsidRPr="00FA1A19">
        <w:t xml:space="preserve"> new asset with an acquisition date of the chain split and a nil cost base.</w:t>
      </w:r>
      <w:r w:rsidRPr="00170ADC">
        <w:rPr>
          <w:rStyle w:val="FootnoteReference"/>
        </w:rPr>
        <w:footnoteReference w:id="533"/>
      </w:r>
      <w:r w:rsidR="004F0A51" w:rsidRPr="00FA1A19">
        <w:t xml:space="preserve"> </w:t>
      </w:r>
    </w:p>
    <w:p w14:paraId="7AA3B76A" w14:textId="6C5E2E27" w:rsidR="002D3E21" w:rsidRPr="00FA1A19" w:rsidRDefault="002D3E21" w:rsidP="002D3E21">
      <w:r w:rsidRPr="00FA1A19">
        <w:t>The Board received several submissions in relation to ATO guidance. The Joint Bodies suggested that the tax consequences of a fork occurring are unclear</w:t>
      </w:r>
      <w:r w:rsidRPr="00170ADC">
        <w:rPr>
          <w:rStyle w:val="FootnoteReference"/>
        </w:rPr>
        <w:footnoteReference w:id="534"/>
      </w:r>
      <w:r w:rsidRPr="00FA1A19">
        <w:t xml:space="preserve"> and KPMG stated that </w:t>
      </w:r>
      <w:r w:rsidR="0062083F" w:rsidRPr="00FA1A19">
        <w:t xml:space="preserve">the </w:t>
      </w:r>
      <w:r w:rsidRPr="00FA1A19">
        <w:t>current approach of leaving the classification to ordinary principles creates a level of uncertainty for taxpayers</w:t>
      </w:r>
      <w:r w:rsidRPr="00170ADC">
        <w:rPr>
          <w:rStyle w:val="FootnoteReference"/>
        </w:rPr>
        <w:footnoteReference w:id="535"/>
      </w:r>
      <w:r w:rsidRPr="00FA1A19">
        <w:t>.</w:t>
      </w:r>
    </w:p>
    <w:p w14:paraId="499F45CE" w14:textId="62843B1D" w:rsidR="002D3E21" w:rsidRPr="00FA1A19" w:rsidRDefault="002D3E21" w:rsidP="002D3E21">
      <w:pPr>
        <w:spacing w:before="0" w:after="240" w:line="300" w:lineRule="exact"/>
        <w:rPr>
          <w:iCs/>
        </w:rPr>
      </w:pPr>
      <w:r w:rsidRPr="00FA1A19">
        <w:t>The Board notes that stakeholders have highlighted the contrast between the ATO</w:t>
      </w:r>
      <w:r w:rsidR="00F75232">
        <w:t>’</w:t>
      </w:r>
      <w:r w:rsidRPr="00FA1A19">
        <w:t xml:space="preserve">s treatment of fork/chain splits and </w:t>
      </w:r>
      <w:r w:rsidR="0062083F" w:rsidRPr="00FA1A19">
        <w:t xml:space="preserve">the treatment </w:t>
      </w:r>
      <w:r w:rsidRPr="00FA1A19">
        <w:t xml:space="preserve">of what </w:t>
      </w:r>
      <w:r w:rsidR="6EDA6F87" w:rsidRPr="00FA1A19">
        <w:t xml:space="preserve">may </w:t>
      </w:r>
      <w:r w:rsidRPr="00FA1A19">
        <w:t>be regarded as similar transactions in respect of other assets, such as share splits.</w:t>
      </w:r>
      <w:r w:rsidRPr="00170ADC">
        <w:rPr>
          <w:rStyle w:val="FootnoteReference"/>
        </w:rPr>
        <w:footnoteReference w:id="536"/>
      </w:r>
      <w:r w:rsidRPr="00FA1A19">
        <w:t xml:space="preserve"> </w:t>
      </w:r>
      <w:r w:rsidRPr="00FA1A19">
        <w:rPr>
          <w:iCs/>
        </w:rPr>
        <w:t>Several submissions to the Review referenced the potential application of section 112</w:t>
      </w:r>
      <w:r w:rsidR="00F75232">
        <w:rPr>
          <w:iCs/>
        </w:rPr>
        <w:noBreakHyphen/>
      </w:r>
      <w:r w:rsidRPr="00FA1A19">
        <w:rPr>
          <w:iCs/>
        </w:rPr>
        <w:t>25 of the ITAA 1997 which provide specific rules that deal with the situation where two assets are essentially created from one asset, which provides for a reasonable apportionment of cost base across the old and new asset.</w:t>
      </w:r>
      <w:r w:rsidR="004F0A51" w:rsidRPr="00FA1A19">
        <w:rPr>
          <w:iCs/>
        </w:rPr>
        <w:t xml:space="preserve"> </w:t>
      </w:r>
      <w:r w:rsidRPr="00FA1A19">
        <w:rPr>
          <w:iCs/>
        </w:rPr>
        <w:t xml:space="preserve">The provision is commonly applied in instances where a there is a share split or land subdivision. </w:t>
      </w:r>
    </w:p>
    <w:p w14:paraId="29E3BB6D" w14:textId="1BA48AC8" w:rsidR="0069776F" w:rsidRPr="00FA1A19" w:rsidRDefault="002D3E21" w:rsidP="002D3E21">
      <w:pPr>
        <w:spacing w:before="0" w:after="240" w:line="300" w:lineRule="exact"/>
      </w:pPr>
      <w:r w:rsidRPr="00FA1A19">
        <w:t>The ATO has not</w:t>
      </w:r>
      <w:r w:rsidR="0069776F" w:rsidRPr="00FA1A19">
        <w:t>:</w:t>
      </w:r>
    </w:p>
    <w:p w14:paraId="3AB9590D" w14:textId="522C14DE" w:rsidR="001846BA" w:rsidRPr="00FA1A19" w:rsidRDefault="002D3E21" w:rsidP="008F0C3C">
      <w:pPr>
        <w:pStyle w:val="Bullet"/>
      </w:pPr>
      <w:r w:rsidRPr="00FA1A19">
        <w:t>made any comment in relation to the application of section 112</w:t>
      </w:r>
      <w:r w:rsidR="00F75232">
        <w:noBreakHyphen/>
      </w:r>
      <w:r w:rsidRPr="00FA1A19">
        <w:t>25 to forks/chain splits</w:t>
      </w:r>
    </w:p>
    <w:p w14:paraId="708FBBFF" w14:textId="671156A7" w:rsidR="0069776F" w:rsidRPr="00FA1A19" w:rsidRDefault="00A61824" w:rsidP="008F0C3C">
      <w:pPr>
        <w:pStyle w:val="Bullet"/>
      </w:pPr>
      <w:r w:rsidRPr="00FA1A19">
        <w:t>e</w:t>
      </w:r>
      <w:r w:rsidR="001846BA" w:rsidRPr="00FA1A19">
        <w:t xml:space="preserve">xplained whether there are any tax consequences of soft forks (in light of their advice in relation to hard forks </w:t>
      </w:r>
      <w:r w:rsidRPr="00FA1A19">
        <w:t>where the protocol does not continue in precisely the same way)</w:t>
      </w:r>
    </w:p>
    <w:p w14:paraId="1EC4F7CF" w14:textId="5208C2C5" w:rsidR="008D5153" w:rsidRPr="00FA1A19" w:rsidRDefault="00201D13" w:rsidP="008F0C3C">
      <w:pPr>
        <w:pStyle w:val="Bullet"/>
      </w:pPr>
      <w:r w:rsidRPr="00FA1A19">
        <w:t>g</w:t>
      </w:r>
      <w:r w:rsidR="0069776F" w:rsidRPr="00FA1A19">
        <w:t xml:space="preserve">iven advice as to the consequences of a chain split where the crypto assets are held </w:t>
      </w:r>
      <w:r w:rsidRPr="00FA1A19">
        <w:t>in carrying on a business (simply noting that the tax treatment may be different)</w:t>
      </w:r>
    </w:p>
    <w:p w14:paraId="0EE37E4B" w14:textId="2541C8AF" w:rsidR="002D3E21" w:rsidRPr="00FA1A19" w:rsidRDefault="008D5153" w:rsidP="008F0C3C">
      <w:pPr>
        <w:pStyle w:val="Bullet"/>
      </w:pPr>
      <w:r w:rsidRPr="00FA1A19">
        <w:t>explained the legal basis for the positions they have taken</w:t>
      </w:r>
      <w:r w:rsidR="002D3E21" w:rsidRPr="00FA1A19">
        <w:t>.</w:t>
      </w:r>
    </w:p>
    <w:p w14:paraId="37222960" w14:textId="6BB3F0E0" w:rsidR="00AD0E27" w:rsidRPr="00FA1A19" w:rsidRDefault="002D3E21" w:rsidP="002D3E21">
      <w:r w:rsidRPr="00FA1A19">
        <w:t>The Board</w:t>
      </w:r>
      <w:r w:rsidR="00897B2B" w:rsidRPr="00FA1A19">
        <w:t xml:space="preserve"> considers that the ATO position requires further detail in relation to fork</w:t>
      </w:r>
      <w:r w:rsidR="00AD0E27" w:rsidRPr="00FA1A19">
        <w:t xml:space="preserve">s, addressing the matters </w:t>
      </w:r>
      <w:r w:rsidR="008D5153" w:rsidRPr="00FA1A19">
        <w:t>listed above</w:t>
      </w:r>
      <w:r w:rsidR="00AD0E27" w:rsidRPr="00FA1A19">
        <w:t>.</w:t>
      </w:r>
    </w:p>
    <w:p w14:paraId="47BA0848" w14:textId="3B42AEF4" w:rsidR="002D3E21" w:rsidRPr="00FA1A19" w:rsidRDefault="002D3E21" w:rsidP="008F0C3C">
      <w:pPr>
        <w:pStyle w:val="SingleParagraph"/>
      </w:pPr>
    </w:p>
    <w:tbl>
      <w:tblPr>
        <w:tblStyle w:val="Style2"/>
        <w:tblW w:w="5000" w:type="pct"/>
        <w:tblLook w:val="01E0" w:firstRow="1" w:lastRow="1" w:firstColumn="1" w:lastColumn="1" w:noHBand="0" w:noVBand="0"/>
      </w:tblPr>
      <w:tblGrid>
        <w:gridCol w:w="9641"/>
      </w:tblGrid>
      <w:tr w:rsidR="002D3E21" w:rsidRPr="00FA1A19" w14:paraId="168340D8"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6DC8FBE" w14:textId="36AD2528" w:rsidR="002D3E21" w:rsidRPr="008F0C3C" w:rsidRDefault="00372633" w:rsidP="008F0C3C">
            <w:pPr>
              <w:pStyle w:val="BoxHeading1"/>
            </w:pPr>
            <w:r>
              <w:t>Recommendation </w:t>
            </w:r>
            <w:r w:rsidR="00A50D0C" w:rsidRPr="00FA1A19">
              <w:t>9.</w:t>
            </w:r>
            <w:r w:rsidR="00E555A6" w:rsidRPr="00FA1A19">
              <w:t>6</w:t>
            </w:r>
          </w:p>
        </w:tc>
      </w:tr>
      <w:tr w:rsidR="002D3E21" w:rsidRPr="00FA1A19" w14:paraId="01EFD9B9"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512D2CE8" w14:textId="008E7EDB" w:rsidR="00404B47" w:rsidRPr="00FA1A19" w:rsidRDefault="00404B47" w:rsidP="008F0C3C">
            <w:pPr>
              <w:pStyle w:val="BoxText"/>
              <w:rPr>
                <w:bCs/>
              </w:rPr>
            </w:pPr>
            <w:r w:rsidRPr="00FA1A19">
              <w:t>The ATO</w:t>
            </w:r>
            <w:r w:rsidR="00F75232">
              <w:t>’</w:t>
            </w:r>
            <w:r w:rsidRPr="00FA1A19">
              <w:t>s guidance in relation to chain splits</w:t>
            </w:r>
            <w:r w:rsidR="004D2922" w:rsidRPr="00FA1A19">
              <w:t>/</w:t>
            </w:r>
            <w:r w:rsidRPr="00FA1A19">
              <w:t xml:space="preserve">hard forks do not consider </w:t>
            </w:r>
            <w:r w:rsidR="004D2922" w:rsidRPr="00FA1A19">
              <w:t>a number of matters including the potential application of s</w:t>
            </w:r>
            <w:r w:rsidR="00A93F19">
              <w:t>ection</w:t>
            </w:r>
            <w:r w:rsidR="004D2922" w:rsidRPr="00FA1A19">
              <w:t> 112</w:t>
            </w:r>
            <w:r w:rsidR="00F75232">
              <w:noBreakHyphen/>
            </w:r>
            <w:r w:rsidR="004D2922" w:rsidRPr="00FA1A19">
              <w:t>25 of the ITAA 1997, any difference in treatment between chain splits/hard forks and soft forks, or the consequences of a chain split where the taxpayer holds the tokens on revenue account.</w:t>
            </w:r>
          </w:p>
          <w:p w14:paraId="445B699F" w14:textId="5C7AE966" w:rsidR="002D3E21" w:rsidRPr="00FA1A19" w:rsidRDefault="002D3E21" w:rsidP="008F0C3C">
            <w:pPr>
              <w:pStyle w:val="BoxText"/>
              <w:rPr>
                <w:bCs/>
              </w:rPr>
            </w:pPr>
            <w:r w:rsidRPr="00FA1A19">
              <w:t xml:space="preserve">The Board recommends that the ATO </w:t>
            </w:r>
            <w:r w:rsidR="00C77E95" w:rsidRPr="00FA1A19">
              <w:t xml:space="preserve">consider </w:t>
            </w:r>
            <w:r w:rsidR="004D2922" w:rsidRPr="00FA1A19">
              <w:t>these matters</w:t>
            </w:r>
            <w:r w:rsidR="00C77E95" w:rsidRPr="00FA1A19">
              <w:t xml:space="preserve"> and</w:t>
            </w:r>
            <w:r w:rsidRPr="00FA1A19">
              <w:t xml:space="preserve"> issue</w:t>
            </w:r>
            <w:r w:rsidR="00AD0E27" w:rsidRPr="00FA1A19">
              <w:t xml:space="preserve"> further guidance in relation to </w:t>
            </w:r>
            <w:r w:rsidR="001846BA" w:rsidRPr="00FA1A19">
              <w:t xml:space="preserve">the treatment of forks </w:t>
            </w:r>
            <w:r w:rsidR="00A61824" w:rsidRPr="00FA1A19">
              <w:t xml:space="preserve">on which taxpayers can rely </w:t>
            </w:r>
            <w:r w:rsidR="005928E0" w:rsidRPr="00FA1A19">
              <w:t>to ensure their tax disclosures will be acceptable to the ATO.</w:t>
            </w:r>
          </w:p>
        </w:tc>
      </w:tr>
    </w:tbl>
    <w:p w14:paraId="2ADE52DD" w14:textId="4B76C16B" w:rsidR="00217978" w:rsidRPr="00FA1A19" w:rsidRDefault="00217978" w:rsidP="0069352C">
      <w:pPr>
        <w:pStyle w:val="Heading2"/>
      </w:pPr>
      <w:bookmarkStart w:id="133" w:name="_Toc159513624"/>
      <w:r w:rsidRPr="00FA1A19">
        <w:t>Disposing of Crypto Assets</w:t>
      </w:r>
      <w:bookmarkEnd w:id="133"/>
    </w:p>
    <w:p w14:paraId="6660AA61" w14:textId="13C3E1E4" w:rsidR="00217978" w:rsidRPr="00FA1A19" w:rsidRDefault="00432E51" w:rsidP="00217978">
      <w:r w:rsidRPr="00FA1A19">
        <w:t xml:space="preserve">A disposal of cryptocurrency </w:t>
      </w:r>
      <w:r w:rsidR="00CE20AB" w:rsidRPr="00FA1A19">
        <w:t xml:space="preserve">will trigger </w:t>
      </w:r>
      <w:r w:rsidR="1BE8BA1A" w:rsidRPr="00FA1A19">
        <w:t xml:space="preserve">the consideration of whether </w:t>
      </w:r>
      <w:r w:rsidR="00CE20AB" w:rsidRPr="00FA1A19">
        <w:t>a taxation event</w:t>
      </w:r>
      <w:r w:rsidR="07EB786C" w:rsidRPr="00FA1A19">
        <w:t xml:space="preserve"> has occurred</w:t>
      </w:r>
      <w:r w:rsidR="00CE20AB" w:rsidRPr="00FA1A19">
        <w:t>.</w:t>
      </w:r>
      <w:r w:rsidR="004F0A51" w:rsidRPr="00FA1A19">
        <w:t xml:space="preserve"> </w:t>
      </w:r>
      <w:r w:rsidR="00CE20AB" w:rsidRPr="00FA1A19">
        <w:t>The</w:t>
      </w:r>
      <w:r w:rsidR="0007341F">
        <w:t> </w:t>
      </w:r>
      <w:r w:rsidR="00CE20AB" w:rsidRPr="00FA1A19">
        <w:t>nature of that event will depend on the circumstances in which the taxpayer holds the cryptocurrency.</w:t>
      </w:r>
      <w:r w:rsidR="004F0A51" w:rsidRPr="00FA1A19">
        <w:t xml:space="preserve"> </w:t>
      </w:r>
      <w:r w:rsidR="00CE20AB" w:rsidRPr="00FA1A19">
        <w:t>If</w:t>
      </w:r>
      <w:r w:rsidR="0007341F">
        <w:t> </w:t>
      </w:r>
      <w:r w:rsidR="00CE20AB" w:rsidRPr="00FA1A19">
        <w:t>the cryptocurrency is held in the course of carrying on a business</w:t>
      </w:r>
      <w:r w:rsidR="00D70FD5" w:rsidRPr="00FA1A19">
        <w:t xml:space="preserve"> or as part of a one</w:t>
      </w:r>
      <w:r w:rsidR="00F75232">
        <w:noBreakHyphen/>
      </w:r>
      <w:r w:rsidR="00D70FD5" w:rsidRPr="00FA1A19">
        <w:t>off profit</w:t>
      </w:r>
      <w:r w:rsidR="00F75232">
        <w:noBreakHyphen/>
      </w:r>
      <w:r w:rsidR="00D70FD5" w:rsidRPr="00FA1A19">
        <w:t>making transaction</w:t>
      </w:r>
      <w:r w:rsidR="00CE20AB" w:rsidRPr="00FA1A19">
        <w:t xml:space="preserve">, the disposal may give rise to ordinary income (see </w:t>
      </w:r>
      <w:r w:rsidR="00372633">
        <w:t>Chapter </w:t>
      </w:r>
      <w:r w:rsidR="00D70FD5" w:rsidRPr="00FA1A19">
        <w:t>7 above).</w:t>
      </w:r>
      <w:r w:rsidR="004F0A51" w:rsidRPr="00FA1A19">
        <w:t xml:space="preserve"> </w:t>
      </w:r>
      <w:r w:rsidR="00D70FD5" w:rsidRPr="00FA1A19">
        <w:t>If the cryptocurrency is held on capital account, the disposal will most likely give rise to a CGT event</w:t>
      </w:r>
      <w:r w:rsidR="00B91089" w:rsidRPr="00FA1A19">
        <w:t>.</w:t>
      </w:r>
      <w:r w:rsidR="004F0A51" w:rsidRPr="00FA1A19">
        <w:t xml:space="preserve"> </w:t>
      </w:r>
      <w:r w:rsidR="00B91089" w:rsidRPr="00FA1A19">
        <w:t xml:space="preserve">Relevant matters will include </w:t>
      </w:r>
      <w:r w:rsidR="00711719" w:rsidRPr="00FA1A19">
        <w:t>the value of any proceeds on disposal</w:t>
      </w:r>
      <w:r w:rsidR="00240CFD" w:rsidRPr="00FA1A19">
        <w:t xml:space="preserve">, </w:t>
      </w:r>
      <w:r w:rsidR="00711719" w:rsidRPr="00FA1A19">
        <w:t xml:space="preserve">or </w:t>
      </w:r>
      <w:r w:rsidR="00E72520" w:rsidRPr="00FA1A19">
        <w:t>deemed</w:t>
      </w:r>
      <w:r w:rsidR="00711719" w:rsidRPr="00FA1A19">
        <w:t xml:space="preserve"> proceeds on disposal (for example where </w:t>
      </w:r>
      <w:r w:rsidR="00962E92" w:rsidRPr="00FA1A19">
        <w:t xml:space="preserve">the market value substitution rule applies to deem the asset disposed of for </w:t>
      </w:r>
      <w:r w:rsidR="00E72520" w:rsidRPr="00FA1A19">
        <w:t>market value).</w:t>
      </w:r>
      <w:r w:rsidR="00D96157" w:rsidRPr="00170ADC">
        <w:rPr>
          <w:rStyle w:val="FootnoteReference"/>
        </w:rPr>
        <w:footnoteReference w:id="537"/>
      </w:r>
    </w:p>
    <w:p w14:paraId="7F5E3D3E" w14:textId="6D168A7B" w:rsidR="00E72520" w:rsidRPr="00FA1A19" w:rsidRDefault="004C221A" w:rsidP="00217978">
      <w:r w:rsidRPr="00FA1A19">
        <w:t>Matters relating to these</w:t>
      </w:r>
      <w:r w:rsidR="00E72520" w:rsidRPr="00FA1A19">
        <w:t xml:space="preserve"> issues are dealt with </w:t>
      </w:r>
      <w:r w:rsidR="00464131" w:rsidRPr="00FA1A19">
        <w:t>in Chapters 7 and 8 of this</w:t>
      </w:r>
      <w:r w:rsidR="00E72520" w:rsidRPr="00FA1A19">
        <w:t xml:space="preserve"> Report.</w:t>
      </w:r>
    </w:p>
    <w:p w14:paraId="5DDE892D" w14:textId="77777777" w:rsidR="008F0C3C" w:rsidRDefault="008F0C3C" w:rsidP="004D25A8">
      <w:pPr>
        <w:pStyle w:val="SingleParagraph"/>
        <w:sectPr w:rsidR="008F0C3C" w:rsidSect="00320772">
          <w:pgSz w:w="11909" w:h="16834" w:code="9"/>
          <w:pgMar w:top="1985" w:right="1134" w:bottom="1985" w:left="1134" w:header="1134" w:footer="1134" w:gutter="0"/>
          <w:cols w:space="708"/>
          <w:docGrid w:linePitch="360"/>
        </w:sectPr>
      </w:pPr>
    </w:p>
    <w:p w14:paraId="0C12F225" w14:textId="7171ABB4" w:rsidR="00D51E0B" w:rsidRPr="00FA1A19" w:rsidRDefault="00372633" w:rsidP="0069352C">
      <w:pPr>
        <w:pStyle w:val="Heading1"/>
        <w:rPr>
          <w:rStyle w:val="Emphasis"/>
          <w:i w:val="0"/>
          <w:iCs w:val="0"/>
        </w:rPr>
      </w:pPr>
      <w:bookmarkStart w:id="134" w:name="_Toc159513625"/>
      <w:r>
        <w:rPr>
          <w:rStyle w:val="Emphasis"/>
          <w:i w:val="0"/>
          <w:iCs w:val="0"/>
        </w:rPr>
        <w:t>Chapter </w:t>
      </w:r>
      <w:r w:rsidR="002A4CE4" w:rsidRPr="00FA1A19">
        <w:rPr>
          <w:rStyle w:val="Emphasis"/>
          <w:i w:val="0"/>
          <w:iCs w:val="0"/>
        </w:rPr>
        <w:t>10</w:t>
      </w:r>
      <w:r w:rsidR="00D51E0B" w:rsidRPr="00FA1A19">
        <w:rPr>
          <w:rStyle w:val="Emphasis"/>
          <w:i w:val="0"/>
          <w:iCs w:val="0"/>
        </w:rPr>
        <w:t xml:space="preserve">: </w:t>
      </w:r>
      <w:r w:rsidR="0046100F" w:rsidRPr="00FA1A19">
        <w:rPr>
          <w:rStyle w:val="Emphasis"/>
          <w:i w:val="0"/>
          <w:iCs w:val="0"/>
        </w:rPr>
        <w:t>Goods and Service</w:t>
      </w:r>
      <w:r w:rsidR="003B630F" w:rsidRPr="00FA1A19">
        <w:rPr>
          <w:rStyle w:val="Emphasis"/>
          <w:i w:val="0"/>
          <w:iCs w:val="0"/>
        </w:rPr>
        <w:t>s Tax</w:t>
      </w:r>
      <w:bookmarkEnd w:id="134"/>
      <w:r w:rsidR="003B630F" w:rsidRPr="00FA1A19">
        <w:rPr>
          <w:rStyle w:val="Emphasis"/>
          <w:i w:val="0"/>
          <w:iCs w:val="0"/>
        </w:rPr>
        <w:t xml:space="preserve"> </w:t>
      </w:r>
    </w:p>
    <w:p w14:paraId="4DE01F07" w14:textId="77777777" w:rsidR="00D51E0B" w:rsidRPr="00FA1A19" w:rsidRDefault="00D51E0B" w:rsidP="0069352C">
      <w:pPr>
        <w:pStyle w:val="Heading2"/>
        <w:rPr>
          <w:rStyle w:val="Emphasis"/>
        </w:rPr>
      </w:pPr>
      <w:bookmarkStart w:id="135" w:name="_Toc159513626"/>
      <w:r w:rsidRPr="00FA1A19">
        <w:rPr>
          <w:rStyle w:val="Emphasis"/>
        </w:rPr>
        <w:t>Key Points</w:t>
      </w:r>
      <w:bookmarkEnd w:id="135"/>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01F4D" w:themeFill="accent2"/>
        <w:tblCellMar>
          <w:top w:w="397" w:type="dxa"/>
          <w:left w:w="454" w:type="dxa"/>
          <w:bottom w:w="397" w:type="dxa"/>
          <w:right w:w="454" w:type="dxa"/>
        </w:tblCellMar>
        <w:tblLook w:val="04A0" w:firstRow="1" w:lastRow="0" w:firstColumn="1" w:lastColumn="0" w:noHBand="0" w:noVBand="1"/>
      </w:tblPr>
      <w:tblGrid>
        <w:gridCol w:w="9641"/>
      </w:tblGrid>
      <w:tr w:rsidR="00D51E0B" w:rsidRPr="00FA1A19" w14:paraId="39EDEAEA" w14:textId="77777777" w:rsidTr="009C584D">
        <w:tc>
          <w:tcPr>
            <w:tcW w:w="5000" w:type="pct"/>
            <w:shd w:val="clear" w:color="auto" w:fill="701F4D" w:themeFill="accent2"/>
          </w:tcPr>
          <w:p w14:paraId="3B1092D2" w14:textId="65C958AB" w:rsidR="00D51E0B" w:rsidRPr="008F0C3C" w:rsidRDefault="00D51E0B" w:rsidP="000E72DD">
            <w:pPr>
              <w:pStyle w:val="BoxBulletWhite"/>
            </w:pPr>
            <w:r w:rsidRPr="008F0C3C">
              <w:t>The global nature of crypto asset transactions, and difficulties in identifying the location and/or status of parties to transactions</w:t>
            </w:r>
            <w:r w:rsidR="006E1BFF" w:rsidRPr="008F0C3C">
              <w:t>,</w:t>
            </w:r>
            <w:r w:rsidRPr="008F0C3C">
              <w:t xml:space="preserve"> creates complexity and uncertainty in the application of GST law.</w:t>
            </w:r>
            <w:r w:rsidR="004F0A51" w:rsidRPr="008F0C3C">
              <w:t xml:space="preserve"> </w:t>
            </w:r>
            <w:r w:rsidRPr="008F0C3C">
              <w:t>Stakeholder feedback is that taxpayers are not able to currently comply.</w:t>
            </w:r>
          </w:p>
          <w:p w14:paraId="05DD456E" w14:textId="68F5E79A" w:rsidR="00D51E0B" w:rsidRPr="008F0C3C" w:rsidRDefault="00D51E0B" w:rsidP="000E72DD">
            <w:pPr>
              <w:pStyle w:val="BoxBulletWhite"/>
            </w:pPr>
            <w:r w:rsidRPr="008F0C3C">
              <w:t>Taxpayers need certainty about the nature of crypto asset supplies to enable correct classifications and to manage compliance obligations.</w:t>
            </w:r>
            <w:r w:rsidR="004F0A51" w:rsidRPr="008F0C3C">
              <w:t xml:space="preserve"> </w:t>
            </w:r>
          </w:p>
          <w:p w14:paraId="14BD36D9" w14:textId="77777777" w:rsidR="00D51E0B" w:rsidRPr="008F0C3C" w:rsidRDefault="00D51E0B" w:rsidP="000E72DD">
            <w:pPr>
              <w:pStyle w:val="BoxBulletWhite"/>
            </w:pPr>
            <w:r w:rsidRPr="008F0C3C">
              <w:t xml:space="preserve">Immediate action is recommended for the ATO to provide guidance as to evidence that will suffice for taxpayers to meet their obligations. </w:t>
            </w:r>
          </w:p>
        </w:tc>
      </w:tr>
    </w:tbl>
    <w:p w14:paraId="4E5EE3D5" w14:textId="77777777" w:rsidR="00D51E0B" w:rsidRPr="00FA1A19" w:rsidRDefault="00D51E0B" w:rsidP="0069352C">
      <w:pPr>
        <w:pStyle w:val="Heading2"/>
      </w:pPr>
      <w:bookmarkStart w:id="136" w:name="_Toc159513627"/>
      <w:r w:rsidRPr="00FA1A19">
        <w:t>Introduction</w:t>
      </w:r>
      <w:bookmarkEnd w:id="136"/>
    </w:p>
    <w:p w14:paraId="29574AE8" w14:textId="1FDA2572" w:rsidR="00D51E0B" w:rsidRPr="00FA1A19" w:rsidRDefault="00D51E0B" w:rsidP="00D51E0B">
      <w:r w:rsidRPr="00FA1A19">
        <w:t xml:space="preserve">In this </w:t>
      </w:r>
      <w:r w:rsidR="002C78F7" w:rsidRPr="00FA1A19">
        <w:t>c</w:t>
      </w:r>
      <w:r w:rsidR="00077E89" w:rsidRPr="00FA1A19">
        <w:t>hapter</w:t>
      </w:r>
      <w:r w:rsidRPr="00FA1A19">
        <w:t xml:space="preserve">, the Board has set out its observations and recommendations in relation to </w:t>
      </w:r>
      <w:r w:rsidR="00F011C0" w:rsidRPr="00FA1A19">
        <w:t>GST</w:t>
      </w:r>
      <w:r w:rsidR="004F0A51" w:rsidRPr="00FA1A19">
        <w:t xml:space="preserve"> </w:t>
      </w:r>
      <w:r w:rsidRPr="00FA1A19">
        <w:t xml:space="preserve">issues for crypto assets, </w:t>
      </w:r>
      <w:r w:rsidR="00247137" w:rsidRPr="00FA1A19">
        <w:t>and</w:t>
      </w:r>
      <w:r w:rsidRPr="00FA1A19">
        <w:t xml:space="preserve"> in particular:</w:t>
      </w:r>
    </w:p>
    <w:p w14:paraId="14E168AC" w14:textId="6C86CA29" w:rsidR="00D51E0B" w:rsidRPr="00FA1A19" w:rsidRDefault="002922F6" w:rsidP="00950DA4">
      <w:pPr>
        <w:pStyle w:val="Bullet"/>
      </w:pPr>
      <w:r w:rsidRPr="00FA1A19">
        <w:t>t</w:t>
      </w:r>
      <w:r w:rsidR="00D51E0B" w:rsidRPr="00FA1A19">
        <w:t xml:space="preserve">he classification of crypto asset supplies for GST purposes as taxable, </w:t>
      </w:r>
      <w:r w:rsidR="00181B68">
        <w:t>GST</w:t>
      </w:r>
      <w:r w:rsidR="00F75232">
        <w:noBreakHyphen/>
      </w:r>
      <w:r w:rsidR="00181B68">
        <w:t>free</w:t>
      </w:r>
      <w:r w:rsidR="00D51E0B" w:rsidRPr="00FA1A19">
        <w:t xml:space="preserve"> or </w:t>
      </w:r>
      <w:r w:rsidR="002C0E42">
        <w:t>input</w:t>
      </w:r>
      <w:r w:rsidR="00F75232">
        <w:noBreakHyphen/>
      </w:r>
      <w:r w:rsidR="002C0E42">
        <w:t>taxed</w:t>
      </w:r>
    </w:p>
    <w:p w14:paraId="26793F6A" w14:textId="5771F9DC" w:rsidR="00D51E0B" w:rsidRPr="00FA1A19" w:rsidRDefault="002922F6" w:rsidP="00950DA4">
      <w:pPr>
        <w:pStyle w:val="Bullet"/>
      </w:pPr>
      <w:r w:rsidRPr="00FA1A19">
        <w:t>t</w:t>
      </w:r>
      <w:r w:rsidR="00D51E0B" w:rsidRPr="00FA1A19">
        <w:t>he complexity in identifying the location of a customer and how this impacts GST compliance</w:t>
      </w:r>
    </w:p>
    <w:p w14:paraId="14829070" w14:textId="176E90F8" w:rsidR="00D51E0B" w:rsidRPr="00FA1A19" w:rsidRDefault="002922F6" w:rsidP="00950DA4">
      <w:pPr>
        <w:pStyle w:val="Bullet"/>
      </w:pPr>
      <w:r w:rsidRPr="00FA1A19">
        <w:t>t</w:t>
      </w:r>
      <w:r w:rsidR="00D51E0B" w:rsidRPr="00FA1A19">
        <w:t xml:space="preserve">he treatment of transactional fees. </w:t>
      </w:r>
    </w:p>
    <w:p w14:paraId="3B408823" w14:textId="77777777" w:rsidR="00D51E0B" w:rsidRPr="00FA1A19" w:rsidRDefault="00D51E0B" w:rsidP="0069352C">
      <w:pPr>
        <w:pStyle w:val="Heading2"/>
      </w:pPr>
      <w:bookmarkStart w:id="137" w:name="_Toc159513628"/>
      <w:r w:rsidRPr="00FA1A19">
        <w:t>Goods and services tax</w:t>
      </w:r>
      <w:bookmarkEnd w:id="137"/>
    </w:p>
    <w:p w14:paraId="35B38AAC" w14:textId="77777777" w:rsidR="00D51E0B" w:rsidRPr="00FA1A19" w:rsidRDefault="00D51E0B" w:rsidP="00342121">
      <w:pPr>
        <w:pStyle w:val="Heading3"/>
      </w:pPr>
      <w:r w:rsidRPr="00FA1A19">
        <w:t>Background</w:t>
      </w:r>
    </w:p>
    <w:p w14:paraId="43DBA7CD" w14:textId="77777777" w:rsidR="00D51E0B" w:rsidRPr="00FA1A19" w:rsidRDefault="00D51E0B" w:rsidP="00364D1B">
      <w:r w:rsidRPr="00FA1A19">
        <w:t>Since 1 July 2000, most supplies of goods and services in Australia have been subject to a GST of 10% under the</w:t>
      </w:r>
      <w:r w:rsidRPr="00813896">
        <w:rPr>
          <w:rStyle w:val="Emphasis"/>
        </w:rPr>
        <w:t xml:space="preserve"> A New Tax System (Goods and Services Tax) Act 1999 </w:t>
      </w:r>
      <w:r w:rsidRPr="00FA1A19">
        <w:t>(GST Act). The application of GST relies upon a series of key concepts including:</w:t>
      </w:r>
    </w:p>
    <w:p w14:paraId="5CC1299B" w14:textId="129CC1BE" w:rsidR="00D51E0B" w:rsidRPr="00FA1A19" w:rsidRDefault="00D51E0B" w:rsidP="00950DA4">
      <w:pPr>
        <w:pStyle w:val="Bullet"/>
      </w:pPr>
      <w:r w:rsidRPr="00FA1A19">
        <w:t>the carrying on of an enterprise</w:t>
      </w:r>
      <w:r w:rsidRPr="00170ADC">
        <w:rPr>
          <w:rStyle w:val="FootnoteReference"/>
        </w:rPr>
        <w:footnoteReference w:id="538"/>
      </w:r>
    </w:p>
    <w:p w14:paraId="7965F9BE" w14:textId="3F937DCA" w:rsidR="00D51E0B" w:rsidRPr="00FA1A19" w:rsidRDefault="00D51E0B" w:rsidP="00950DA4">
      <w:pPr>
        <w:pStyle w:val="Bullet"/>
      </w:pPr>
      <w:r w:rsidRPr="00FA1A19">
        <w:t>the making of a supply for consideration</w:t>
      </w:r>
      <w:r w:rsidRPr="00170ADC">
        <w:rPr>
          <w:rStyle w:val="FootnoteReference"/>
        </w:rPr>
        <w:footnoteReference w:id="539"/>
      </w:r>
    </w:p>
    <w:p w14:paraId="582AF771" w14:textId="0DB6DB68" w:rsidR="00D51E0B" w:rsidRPr="00FA1A19" w:rsidRDefault="00D51E0B" w:rsidP="00950DA4">
      <w:pPr>
        <w:pStyle w:val="Bullet"/>
      </w:pPr>
      <w:r w:rsidRPr="00FA1A19">
        <w:t>a connection of the supply to the indirect tax zone (for simplicity referred to as Australia)</w:t>
      </w:r>
      <w:r w:rsidR="008768E9" w:rsidRPr="00170ADC">
        <w:rPr>
          <w:rStyle w:val="FootnoteReference"/>
        </w:rPr>
        <w:footnoteReference w:id="540"/>
      </w:r>
    </w:p>
    <w:p w14:paraId="036388FD" w14:textId="45884182" w:rsidR="00D51E0B" w:rsidRPr="00FA1A19" w:rsidRDefault="00D51E0B" w:rsidP="00950DA4">
      <w:pPr>
        <w:pStyle w:val="Bullet"/>
      </w:pPr>
      <w:r w:rsidRPr="00FA1A19">
        <w:t>GST turnover and associated registration requirements</w:t>
      </w:r>
      <w:r w:rsidR="008768E9" w:rsidRPr="00170ADC">
        <w:rPr>
          <w:rStyle w:val="FootnoteReference"/>
        </w:rPr>
        <w:footnoteReference w:id="541"/>
      </w:r>
    </w:p>
    <w:p w14:paraId="1C8B0AB5" w14:textId="250F3088" w:rsidR="00D51E0B" w:rsidRPr="00FA1A19" w:rsidRDefault="00D51E0B" w:rsidP="00950DA4">
      <w:pPr>
        <w:pStyle w:val="Bullet"/>
      </w:pPr>
      <w:r w:rsidRPr="00FA1A19">
        <w:t xml:space="preserve">classification of supplies as taxable, </w:t>
      </w:r>
      <w:r w:rsidR="00181B68">
        <w:t>GST</w:t>
      </w:r>
      <w:r w:rsidR="00F75232">
        <w:noBreakHyphen/>
      </w:r>
      <w:r w:rsidR="00181B68">
        <w:t>free</w:t>
      </w:r>
      <w:r w:rsidRPr="00FA1A19">
        <w:t xml:space="preserve"> or </w:t>
      </w:r>
      <w:r w:rsidR="002C0E42">
        <w:t>input</w:t>
      </w:r>
      <w:r w:rsidR="00F75232">
        <w:noBreakHyphen/>
      </w:r>
      <w:r w:rsidR="002C0E42">
        <w:t>taxed</w:t>
      </w:r>
      <w:r w:rsidRPr="00FA1A19">
        <w:t xml:space="preserve">. </w:t>
      </w:r>
    </w:p>
    <w:p w14:paraId="1D268F75" w14:textId="02C632E4" w:rsidR="00D51E0B" w:rsidRPr="00FA1A19" w:rsidRDefault="00D51E0B" w:rsidP="00364D1B">
      <w:r w:rsidRPr="00FA1A19">
        <w:t>An entity is required to be registered for GST where an enterprise is being carried on and its GST turnover meets the relevant turnover threshold.</w:t>
      </w:r>
      <w:r w:rsidRPr="00170ADC">
        <w:rPr>
          <w:rStyle w:val="FootnoteReference"/>
        </w:rPr>
        <w:footnoteReference w:id="542"/>
      </w:r>
      <w:r w:rsidRPr="00FA1A19">
        <w:t xml:space="preserve"> Where an entity is required to be registered, 10% GST must be charged on any taxable supplies made by that entity, equating to 1/11</w:t>
      </w:r>
      <w:r w:rsidRPr="00170ADC">
        <w:rPr>
          <w:rStyle w:val="FootnoteReference"/>
        </w:rPr>
        <w:t>th</w:t>
      </w:r>
      <w:r w:rsidRPr="00FA1A19">
        <w:t xml:space="preserve"> of the GST inclusive amount. Where a registered entity acquires goods or services in connection with an enterprise that they are carrying on, they may claim back a credit for the GST paid on the acquisition (input tax credit), provided it does not relate to making </w:t>
      </w:r>
      <w:r w:rsidR="002C0E42">
        <w:t>input</w:t>
      </w:r>
      <w:r w:rsidR="00F75232">
        <w:noBreakHyphen/>
      </w:r>
      <w:r w:rsidR="002C0E42">
        <w:t>taxed</w:t>
      </w:r>
      <w:r w:rsidRPr="00FA1A19">
        <w:t xml:space="preserve"> supplies, subject to various special rules that modify this treatment. The entity will report and remit the net amount of GST payable and input tax credits to the ATO through the </w:t>
      </w:r>
      <w:r w:rsidR="00AB5151" w:rsidRPr="00FA1A19">
        <w:t>Business Activity Statement (</w:t>
      </w:r>
      <w:r w:rsidRPr="00FA1A19">
        <w:t>BAS</w:t>
      </w:r>
      <w:r w:rsidR="00AB5151" w:rsidRPr="00FA1A19">
        <w:t>)</w:t>
      </w:r>
      <w:r w:rsidRPr="00FA1A19">
        <w:t xml:space="preserve"> process. </w:t>
      </w:r>
    </w:p>
    <w:p w14:paraId="6B5A3CD7" w14:textId="77777777" w:rsidR="00D51E0B" w:rsidRPr="00FA1A19" w:rsidRDefault="00D51E0B" w:rsidP="00364D1B">
      <w:r w:rsidRPr="00FA1A19">
        <w:t xml:space="preserve">Through the stakeholder consultation process and discussions with the Working Group, the Board has identified a number of challenges that arise in applying these concepts to crypto assets, particularly in relation to: </w:t>
      </w:r>
    </w:p>
    <w:p w14:paraId="7FDCECED" w14:textId="585E09DD" w:rsidR="00D51E0B" w:rsidRPr="00FA1A19" w:rsidRDefault="00D51E0B" w:rsidP="00950DA4">
      <w:pPr>
        <w:pStyle w:val="Bullet"/>
      </w:pPr>
      <w:r w:rsidRPr="00FA1A19">
        <w:t>the definition of digital currency</w:t>
      </w:r>
      <w:r w:rsidRPr="00170ADC">
        <w:rPr>
          <w:rStyle w:val="FootnoteReference"/>
        </w:rPr>
        <w:footnoteReference w:id="543"/>
      </w:r>
    </w:p>
    <w:p w14:paraId="597A44CB" w14:textId="1E0F9BBD" w:rsidR="00D51E0B" w:rsidRPr="00FA1A19" w:rsidRDefault="00D211AA" w:rsidP="00950DA4">
      <w:pPr>
        <w:pStyle w:val="Bullet"/>
      </w:pPr>
      <w:r>
        <w:t>t</w:t>
      </w:r>
      <w:r w:rsidRPr="00FA1A19">
        <w:t xml:space="preserve">he </w:t>
      </w:r>
      <w:r w:rsidR="00D51E0B" w:rsidRPr="00FA1A19">
        <w:t xml:space="preserve">classification of supplies of crypto assets as </w:t>
      </w:r>
      <w:r w:rsidR="00181B68">
        <w:t>GST</w:t>
      </w:r>
      <w:r w:rsidR="00F75232">
        <w:noBreakHyphen/>
      </w:r>
      <w:r w:rsidR="00181B68">
        <w:t>free</w:t>
      </w:r>
      <w:r w:rsidR="00D51E0B" w:rsidRPr="00FA1A19">
        <w:t xml:space="preserve">, taxable or </w:t>
      </w:r>
      <w:r w:rsidR="002C0E42">
        <w:t>input</w:t>
      </w:r>
      <w:r w:rsidR="00F75232">
        <w:noBreakHyphen/>
      </w:r>
      <w:r w:rsidR="002C0E42">
        <w:t>taxed</w:t>
      </w:r>
      <w:r w:rsidR="00D51E0B" w:rsidRPr="00FA1A19">
        <w:t xml:space="preserve"> </w:t>
      </w:r>
    </w:p>
    <w:p w14:paraId="42AE13F6" w14:textId="69D78637" w:rsidR="00D51E0B" w:rsidRPr="00FA1A19" w:rsidRDefault="00D51E0B" w:rsidP="00950DA4">
      <w:pPr>
        <w:pStyle w:val="Bullet"/>
      </w:pPr>
      <w:r w:rsidRPr="00FA1A19">
        <w:t>determining a customer</w:t>
      </w:r>
      <w:r w:rsidR="00F75232">
        <w:t>’</w:t>
      </w:r>
      <w:r w:rsidRPr="00FA1A19">
        <w:t xml:space="preserve">s identity and location </w:t>
      </w:r>
    </w:p>
    <w:p w14:paraId="2B4093A5" w14:textId="564DB929" w:rsidR="00D51E0B" w:rsidRPr="00FA1A19" w:rsidRDefault="00D51E0B" w:rsidP="00950DA4">
      <w:pPr>
        <w:pStyle w:val="Bullet"/>
      </w:pPr>
      <w:r w:rsidRPr="00FA1A19">
        <w:t>the resulting impact on GST turnover, requirement to register for GST, and entitlements to input tax credits</w:t>
      </w:r>
    </w:p>
    <w:p w14:paraId="676CDB29" w14:textId="77777777" w:rsidR="00D51E0B" w:rsidRPr="00FA1A19" w:rsidRDefault="00D51E0B" w:rsidP="00950DA4">
      <w:pPr>
        <w:pStyle w:val="Bullet"/>
      </w:pPr>
      <w:r w:rsidRPr="00FA1A19">
        <w:t>other specific GST issues including the treatment of NFTs, and financial service fees.</w:t>
      </w:r>
    </w:p>
    <w:p w14:paraId="562092E7" w14:textId="77777777" w:rsidR="00D51E0B" w:rsidRPr="00FA1A19" w:rsidRDefault="00D51E0B" w:rsidP="00342121">
      <w:pPr>
        <w:pStyle w:val="Heading3"/>
      </w:pPr>
      <w:bookmarkStart w:id="138" w:name="_Classification_of_digital"/>
      <w:bookmarkEnd w:id="138"/>
      <w:r w:rsidRPr="00FA1A19">
        <w:t>Classification of supplies</w:t>
      </w:r>
    </w:p>
    <w:p w14:paraId="3AB08E0C" w14:textId="0A5175E3" w:rsidR="00D51E0B" w:rsidRPr="00FA1A19" w:rsidRDefault="00D51E0B" w:rsidP="00364D1B">
      <w:pPr>
        <w:spacing w:before="0"/>
      </w:pPr>
      <w:r w:rsidRPr="00FA1A19">
        <w:t xml:space="preserve">Under the GST Act, the three main categories of supplies are taxable, </w:t>
      </w:r>
      <w:r w:rsidR="00181B68">
        <w:t>GST</w:t>
      </w:r>
      <w:r w:rsidR="00F75232">
        <w:noBreakHyphen/>
      </w:r>
      <w:r w:rsidR="00181B68">
        <w:t>free</w:t>
      </w:r>
      <w:r w:rsidRPr="00FA1A19">
        <w:t xml:space="preserve"> and </w:t>
      </w:r>
      <w:r w:rsidR="002C0E42">
        <w:t>input</w:t>
      </w:r>
      <w:r w:rsidR="00F75232">
        <w:noBreakHyphen/>
      </w:r>
      <w:r w:rsidR="002C0E42">
        <w:t>taxed</w:t>
      </w:r>
      <w:r w:rsidRPr="00FA1A19">
        <w:t>.</w:t>
      </w:r>
      <w:r w:rsidRPr="00170ADC">
        <w:rPr>
          <w:rStyle w:val="FootnoteReference"/>
        </w:rPr>
        <w:footnoteReference w:id="544"/>
      </w:r>
      <w:r w:rsidRPr="00FA1A19">
        <w:t xml:space="preserve"> This categorisation is relevant for calculating GST turnover, determining whether GST registration is required, identifying if GST is required to be charged, and the</w:t>
      </w:r>
      <w:r w:rsidR="00EA409E" w:rsidRPr="00FA1A19">
        <w:t xml:space="preserve"> extent of any</w:t>
      </w:r>
      <w:r w:rsidRPr="00FA1A19">
        <w:t xml:space="preserve"> entitlement to input tax credits. </w:t>
      </w:r>
    </w:p>
    <w:p w14:paraId="22462BF1" w14:textId="3EB0FA4A" w:rsidR="00D51E0B" w:rsidRPr="00FA1A19" w:rsidRDefault="00D51E0B" w:rsidP="00364D1B">
      <w:pPr>
        <w:spacing w:before="0"/>
      </w:pPr>
      <w:r w:rsidRPr="00FA1A19">
        <w:t xml:space="preserve">Taxable supplies and </w:t>
      </w:r>
      <w:r w:rsidR="00181B68">
        <w:t>GST</w:t>
      </w:r>
      <w:r w:rsidR="00F75232">
        <w:noBreakHyphen/>
      </w:r>
      <w:r w:rsidR="00181B68">
        <w:t>free</w:t>
      </w:r>
      <w:r w:rsidRPr="00FA1A19">
        <w:t xml:space="preserve"> supplies are both included in the calculation of GST turnover for an entity, whereas </w:t>
      </w:r>
      <w:r w:rsidR="002C0E42">
        <w:t>input</w:t>
      </w:r>
      <w:r w:rsidR="00F75232">
        <w:noBreakHyphen/>
      </w:r>
      <w:r w:rsidR="002C0E42">
        <w:t>taxed</w:t>
      </w:r>
      <w:r w:rsidRPr="00FA1A19">
        <w:t xml:space="preserve"> supplies are not. Once an entity</w:t>
      </w:r>
      <w:r w:rsidR="00F75232">
        <w:t>’</w:t>
      </w:r>
      <w:r w:rsidRPr="00FA1A19">
        <w:t>s turnover meets a GST turnover threshold</w:t>
      </w:r>
      <w:r w:rsidRPr="00170ADC">
        <w:rPr>
          <w:rStyle w:val="FootnoteReference"/>
        </w:rPr>
        <w:footnoteReference w:id="545"/>
      </w:r>
      <w:r w:rsidRPr="00FA1A19">
        <w:t>, currently set at $150,000 for non</w:t>
      </w:r>
      <w:r w:rsidR="00F75232">
        <w:noBreakHyphen/>
      </w:r>
      <w:r w:rsidRPr="00FA1A19">
        <w:t xml:space="preserve">profit bodies and $75,000 for other entities, the entity is required to register for GST. </w:t>
      </w:r>
    </w:p>
    <w:p w14:paraId="79107E42" w14:textId="66BF135D" w:rsidR="00D51E0B" w:rsidRPr="00FA1A19" w:rsidRDefault="00D51E0B" w:rsidP="00364D1B">
      <w:pPr>
        <w:spacing w:before="0"/>
      </w:pPr>
      <w:r w:rsidRPr="00FA1A19">
        <w:t xml:space="preserve">It is important to note that as </w:t>
      </w:r>
      <w:r w:rsidR="00181B68">
        <w:t>GST</w:t>
      </w:r>
      <w:r w:rsidR="00F75232">
        <w:noBreakHyphen/>
      </w:r>
      <w:r w:rsidR="00181B68">
        <w:t>free</w:t>
      </w:r>
      <w:r w:rsidRPr="00FA1A19">
        <w:t xml:space="preserve"> supplies are included in an entity</w:t>
      </w:r>
      <w:r w:rsidR="00F75232">
        <w:t>’</w:t>
      </w:r>
      <w:r w:rsidRPr="00FA1A19">
        <w:t xml:space="preserve">s GST turnover, if the relevant turnover threshold is met this may result in a registration obligation even if the entity makes only </w:t>
      </w:r>
      <w:r w:rsidR="00181B68">
        <w:t>GST</w:t>
      </w:r>
      <w:r w:rsidR="00F75232">
        <w:noBreakHyphen/>
      </w:r>
      <w:r w:rsidR="00181B68">
        <w:t>free</w:t>
      </w:r>
      <w:r w:rsidRPr="00FA1A19">
        <w:t xml:space="preserve"> supplies and has no GST payment obligations. Failure to register for GST when required can result in an entity being liable for a penalty of 20 statutory units.</w:t>
      </w:r>
      <w:r w:rsidRPr="00170ADC">
        <w:rPr>
          <w:rStyle w:val="FootnoteReference"/>
        </w:rPr>
        <w:footnoteReference w:id="546"/>
      </w:r>
      <w:r w:rsidR="004F0A51" w:rsidRPr="00FA1A19">
        <w:t xml:space="preserve"> </w:t>
      </w:r>
    </w:p>
    <w:p w14:paraId="43A15833" w14:textId="541CBF8C" w:rsidR="00D51E0B" w:rsidRPr="00FA1A19" w:rsidRDefault="00D51E0B" w:rsidP="00364D1B">
      <w:r w:rsidRPr="00FA1A19">
        <w:t>This is summarised in the following table:</w:t>
      </w:r>
    </w:p>
    <w:tbl>
      <w:tblPr>
        <w:tblStyle w:val="ListTable3-Accent1"/>
        <w:tblW w:w="5000" w:type="pct"/>
        <w:tblLook w:val="04A0" w:firstRow="1" w:lastRow="0" w:firstColumn="1" w:lastColumn="0" w:noHBand="0" w:noVBand="1"/>
      </w:tblPr>
      <w:tblGrid>
        <w:gridCol w:w="2688"/>
        <w:gridCol w:w="2127"/>
        <w:gridCol w:w="2127"/>
        <w:gridCol w:w="2689"/>
      </w:tblGrid>
      <w:tr w:rsidR="00287811" w:rsidRPr="00FA1A19" w14:paraId="00103F4D" w14:textId="77777777" w:rsidTr="00EB09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96" w:type="pct"/>
          </w:tcPr>
          <w:p w14:paraId="3908EDB4" w14:textId="76B17AE1" w:rsidR="00287811" w:rsidRPr="00FA1A19" w:rsidRDefault="00E03DF0" w:rsidP="00950DA4">
            <w:pPr>
              <w:pStyle w:val="TableColumnHeadingLeft"/>
            </w:pPr>
            <w:r w:rsidRPr="00FA1A19">
              <w:t>Type of supply</w:t>
            </w:r>
          </w:p>
        </w:tc>
        <w:tc>
          <w:tcPr>
            <w:tcW w:w="1104" w:type="pct"/>
          </w:tcPr>
          <w:p w14:paraId="2693DFDE" w14:textId="3B380B24" w:rsidR="00287811" w:rsidRPr="00FA1A19" w:rsidRDefault="00632B88" w:rsidP="00950DA4">
            <w:pPr>
              <w:pStyle w:val="TableColumnHeadingLeft"/>
              <w:cnfStyle w:val="100000000000" w:firstRow="1" w:lastRow="0" w:firstColumn="0" w:lastColumn="0" w:oddVBand="0" w:evenVBand="0" w:oddHBand="0" w:evenHBand="0" w:firstRowFirstColumn="0" w:firstRowLastColumn="0" w:lastRowFirstColumn="0" w:lastRowLastColumn="0"/>
            </w:pPr>
            <w:r w:rsidRPr="00FA1A19">
              <w:t>Included in</w:t>
            </w:r>
            <w:r w:rsidR="005B03FA">
              <w:t xml:space="preserve"> </w:t>
            </w:r>
            <w:r w:rsidRPr="00FA1A19">
              <w:t>GST turnover</w:t>
            </w:r>
            <w:r w:rsidRPr="00FA1A19" w:rsidDel="00632B88">
              <w:t xml:space="preserve"> </w:t>
            </w:r>
          </w:p>
        </w:tc>
        <w:tc>
          <w:tcPr>
            <w:tcW w:w="1104" w:type="pct"/>
          </w:tcPr>
          <w:p w14:paraId="12001A73" w14:textId="4A685A5B" w:rsidR="00287811" w:rsidRPr="00FA1A19" w:rsidRDefault="0033126A" w:rsidP="00950DA4">
            <w:pPr>
              <w:pStyle w:val="TableColumnHeadingLeft"/>
              <w:cnfStyle w:val="100000000000" w:firstRow="1" w:lastRow="0" w:firstColumn="0" w:lastColumn="0" w:oddVBand="0" w:evenVBand="0" w:oddHBand="0" w:evenHBand="0" w:firstRowFirstColumn="0" w:firstRowLastColumn="0" w:lastRowFirstColumn="0" w:lastRowLastColumn="0"/>
            </w:pPr>
            <w:r w:rsidRPr="00FA1A19">
              <w:t>Requirement to charge GST</w:t>
            </w:r>
          </w:p>
        </w:tc>
        <w:tc>
          <w:tcPr>
            <w:tcW w:w="1397" w:type="pct"/>
          </w:tcPr>
          <w:p w14:paraId="2903563E" w14:textId="20AAA7DB" w:rsidR="00287811" w:rsidRPr="00FA1A19" w:rsidRDefault="0033126A" w:rsidP="00950DA4">
            <w:pPr>
              <w:pStyle w:val="TableColumnHeadingLeft"/>
              <w:cnfStyle w:val="100000000000" w:firstRow="1" w:lastRow="0" w:firstColumn="0" w:lastColumn="0" w:oddVBand="0" w:evenVBand="0" w:oddHBand="0" w:evenHBand="0" w:firstRowFirstColumn="0" w:firstRowLastColumn="0" w:lastRowFirstColumn="0" w:lastRowLastColumn="0"/>
            </w:pPr>
            <w:r w:rsidRPr="00FA1A19">
              <w:t>Entitlement to associated input tax credits</w:t>
            </w:r>
          </w:p>
        </w:tc>
      </w:tr>
      <w:tr w:rsidR="00287811" w:rsidRPr="00FA1A19" w14:paraId="13A7E377"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A5917FC" w14:textId="5F3DA6B3" w:rsidR="00287811" w:rsidRPr="00FA1A19" w:rsidRDefault="0033126A" w:rsidP="00950DA4">
            <w:pPr>
              <w:pStyle w:val="TableTextLeft"/>
            </w:pPr>
            <w:r w:rsidRPr="00FA1A19">
              <w:t>Taxable</w:t>
            </w:r>
          </w:p>
        </w:tc>
        <w:tc>
          <w:tcPr>
            <w:tcW w:w="1104" w:type="pct"/>
          </w:tcPr>
          <w:p w14:paraId="16F9DC11" w14:textId="77777777" w:rsidR="00287811" w:rsidRPr="00FA1A19" w:rsidRDefault="00287811" w:rsidP="00950DA4">
            <w:pPr>
              <w:pStyle w:val="TableTextLeft"/>
              <w:cnfStyle w:val="000000100000" w:firstRow="0" w:lastRow="0" w:firstColumn="0" w:lastColumn="0" w:oddVBand="0" w:evenVBand="0" w:oddHBand="1" w:evenHBand="0" w:firstRowFirstColumn="0" w:firstRowLastColumn="0" w:lastRowFirstColumn="0" w:lastRowLastColumn="0"/>
            </w:pPr>
            <w:r w:rsidRPr="00FA1A19">
              <w:t>Yes</w:t>
            </w:r>
          </w:p>
        </w:tc>
        <w:tc>
          <w:tcPr>
            <w:tcW w:w="1104" w:type="pct"/>
          </w:tcPr>
          <w:p w14:paraId="0A7C3E2E" w14:textId="77777777" w:rsidR="00287811" w:rsidRPr="00FA1A19" w:rsidRDefault="00287811" w:rsidP="00950DA4">
            <w:pPr>
              <w:pStyle w:val="TableTextLeft"/>
              <w:cnfStyle w:val="000000100000" w:firstRow="0" w:lastRow="0" w:firstColumn="0" w:lastColumn="0" w:oddVBand="0" w:evenVBand="0" w:oddHBand="1" w:evenHBand="0" w:firstRowFirstColumn="0" w:firstRowLastColumn="0" w:lastRowFirstColumn="0" w:lastRowLastColumn="0"/>
            </w:pPr>
            <w:r w:rsidRPr="00FA1A19">
              <w:t>Yes</w:t>
            </w:r>
          </w:p>
        </w:tc>
        <w:tc>
          <w:tcPr>
            <w:tcW w:w="1397" w:type="pct"/>
          </w:tcPr>
          <w:p w14:paraId="5B6A2F5D" w14:textId="627E5B52" w:rsidR="00287811" w:rsidRPr="00FA1A19" w:rsidRDefault="00632B88" w:rsidP="00950DA4">
            <w:pPr>
              <w:pStyle w:val="TableTextLeft"/>
              <w:cnfStyle w:val="000000100000" w:firstRow="0" w:lastRow="0" w:firstColumn="0" w:lastColumn="0" w:oddVBand="0" w:evenVBand="0" w:oddHBand="1" w:evenHBand="0" w:firstRowFirstColumn="0" w:firstRowLastColumn="0" w:lastRowFirstColumn="0" w:lastRowLastColumn="0"/>
            </w:pPr>
            <w:r w:rsidRPr="00FA1A19">
              <w:t>Yes</w:t>
            </w:r>
          </w:p>
        </w:tc>
      </w:tr>
      <w:tr w:rsidR="00287811" w:rsidRPr="00FA1A19" w14:paraId="3753D880" w14:textId="77777777" w:rsidTr="00EB09BD">
        <w:tc>
          <w:tcPr>
            <w:cnfStyle w:val="001000000000" w:firstRow="0" w:lastRow="0" w:firstColumn="1" w:lastColumn="0" w:oddVBand="0" w:evenVBand="0" w:oddHBand="0" w:evenHBand="0" w:firstRowFirstColumn="0" w:firstRowLastColumn="0" w:lastRowFirstColumn="0" w:lastRowLastColumn="0"/>
            <w:tcW w:w="1396" w:type="pct"/>
          </w:tcPr>
          <w:p w14:paraId="2ACE03FB" w14:textId="5E63FC19" w:rsidR="00287811" w:rsidRPr="00FA1A19" w:rsidRDefault="00181B68" w:rsidP="00950DA4">
            <w:pPr>
              <w:pStyle w:val="TableTextLeft"/>
            </w:pPr>
            <w:r>
              <w:t>GST</w:t>
            </w:r>
            <w:r w:rsidR="00F75232">
              <w:noBreakHyphen/>
            </w:r>
            <w:r>
              <w:t>free</w:t>
            </w:r>
          </w:p>
        </w:tc>
        <w:tc>
          <w:tcPr>
            <w:tcW w:w="1104" w:type="pct"/>
          </w:tcPr>
          <w:p w14:paraId="3C7B6D0E" w14:textId="77777777" w:rsidR="00287811" w:rsidRPr="00FA1A19" w:rsidRDefault="00287811" w:rsidP="00950DA4">
            <w:pPr>
              <w:pStyle w:val="TableTextLeft"/>
              <w:cnfStyle w:val="000000000000" w:firstRow="0" w:lastRow="0" w:firstColumn="0" w:lastColumn="0" w:oddVBand="0" w:evenVBand="0" w:oddHBand="0" w:evenHBand="0" w:firstRowFirstColumn="0" w:firstRowLastColumn="0" w:lastRowFirstColumn="0" w:lastRowLastColumn="0"/>
            </w:pPr>
            <w:r w:rsidRPr="00FA1A19">
              <w:t>Yes</w:t>
            </w:r>
          </w:p>
        </w:tc>
        <w:tc>
          <w:tcPr>
            <w:tcW w:w="1104" w:type="pct"/>
          </w:tcPr>
          <w:p w14:paraId="661386C1" w14:textId="77777777" w:rsidR="00287811" w:rsidRPr="00FA1A19" w:rsidRDefault="00287811" w:rsidP="00950DA4">
            <w:pPr>
              <w:pStyle w:val="TableTextLeft"/>
              <w:cnfStyle w:val="000000000000" w:firstRow="0" w:lastRow="0" w:firstColumn="0" w:lastColumn="0" w:oddVBand="0" w:evenVBand="0" w:oddHBand="0" w:evenHBand="0" w:firstRowFirstColumn="0" w:firstRowLastColumn="0" w:lastRowFirstColumn="0" w:lastRowLastColumn="0"/>
            </w:pPr>
            <w:r w:rsidRPr="00FA1A19">
              <w:t>No</w:t>
            </w:r>
          </w:p>
        </w:tc>
        <w:tc>
          <w:tcPr>
            <w:tcW w:w="1397" w:type="pct"/>
          </w:tcPr>
          <w:p w14:paraId="16257DB2" w14:textId="34F7C101" w:rsidR="00287811" w:rsidRPr="00FA1A19" w:rsidRDefault="00632B88" w:rsidP="00950DA4">
            <w:pPr>
              <w:pStyle w:val="TableTextLeft"/>
              <w:cnfStyle w:val="000000000000" w:firstRow="0" w:lastRow="0" w:firstColumn="0" w:lastColumn="0" w:oddVBand="0" w:evenVBand="0" w:oddHBand="0" w:evenHBand="0" w:firstRowFirstColumn="0" w:firstRowLastColumn="0" w:lastRowFirstColumn="0" w:lastRowLastColumn="0"/>
            </w:pPr>
            <w:r w:rsidRPr="00FA1A19">
              <w:t>Yes</w:t>
            </w:r>
          </w:p>
        </w:tc>
      </w:tr>
      <w:tr w:rsidR="00287811" w:rsidRPr="00FA1A19" w14:paraId="71FF2F26"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6A5813D" w14:textId="598D954F" w:rsidR="00287811" w:rsidRPr="00FA1A19" w:rsidRDefault="002C0E42" w:rsidP="00950DA4">
            <w:pPr>
              <w:pStyle w:val="TableTextLeft"/>
            </w:pPr>
            <w:r>
              <w:t>Input</w:t>
            </w:r>
            <w:r w:rsidR="00F75232">
              <w:noBreakHyphen/>
            </w:r>
            <w:r>
              <w:t>taxed</w:t>
            </w:r>
          </w:p>
        </w:tc>
        <w:tc>
          <w:tcPr>
            <w:tcW w:w="1104" w:type="pct"/>
          </w:tcPr>
          <w:p w14:paraId="365BD9BA" w14:textId="1076EB60" w:rsidR="00287811" w:rsidRPr="00FA1A19" w:rsidRDefault="00E03DF0" w:rsidP="00950DA4">
            <w:pPr>
              <w:pStyle w:val="TableTextLeft"/>
              <w:cnfStyle w:val="000000100000" w:firstRow="0" w:lastRow="0" w:firstColumn="0" w:lastColumn="0" w:oddVBand="0" w:evenVBand="0" w:oddHBand="1" w:evenHBand="0" w:firstRowFirstColumn="0" w:firstRowLastColumn="0" w:lastRowFirstColumn="0" w:lastRowLastColumn="0"/>
            </w:pPr>
            <w:r w:rsidRPr="00FA1A19">
              <w:t>No</w:t>
            </w:r>
          </w:p>
        </w:tc>
        <w:tc>
          <w:tcPr>
            <w:tcW w:w="1104" w:type="pct"/>
          </w:tcPr>
          <w:p w14:paraId="7CBC82DE" w14:textId="12CA2E20" w:rsidR="00287811" w:rsidRPr="00FA1A19" w:rsidRDefault="00E03DF0" w:rsidP="00950DA4">
            <w:pPr>
              <w:pStyle w:val="TableTextLeft"/>
              <w:cnfStyle w:val="000000100000" w:firstRow="0" w:lastRow="0" w:firstColumn="0" w:lastColumn="0" w:oddVBand="0" w:evenVBand="0" w:oddHBand="1" w:evenHBand="0" w:firstRowFirstColumn="0" w:firstRowLastColumn="0" w:lastRowFirstColumn="0" w:lastRowLastColumn="0"/>
            </w:pPr>
            <w:r w:rsidRPr="00FA1A19">
              <w:t>No</w:t>
            </w:r>
          </w:p>
        </w:tc>
        <w:tc>
          <w:tcPr>
            <w:tcW w:w="1397" w:type="pct"/>
          </w:tcPr>
          <w:p w14:paraId="66F577BB" w14:textId="77777777" w:rsidR="00287811" w:rsidRPr="00FA1A19" w:rsidRDefault="00287811" w:rsidP="00950DA4">
            <w:pPr>
              <w:pStyle w:val="TableTextLeft"/>
              <w:cnfStyle w:val="000000100000" w:firstRow="0" w:lastRow="0" w:firstColumn="0" w:lastColumn="0" w:oddVBand="0" w:evenVBand="0" w:oddHBand="1" w:evenHBand="0" w:firstRowFirstColumn="0" w:firstRowLastColumn="0" w:lastRowFirstColumn="0" w:lastRowLastColumn="0"/>
            </w:pPr>
            <w:r w:rsidRPr="00FA1A19">
              <w:t>No</w:t>
            </w:r>
            <w:r w:rsidRPr="00170ADC">
              <w:rPr>
                <w:rStyle w:val="FootnoteReference"/>
              </w:rPr>
              <w:footnoteReference w:id="547"/>
            </w:r>
          </w:p>
        </w:tc>
      </w:tr>
    </w:tbl>
    <w:p w14:paraId="1FC175C5" w14:textId="77777777" w:rsidR="00D51E0B" w:rsidRPr="00FA1A19" w:rsidRDefault="00D51E0B" w:rsidP="0069352C">
      <w:pPr>
        <w:pStyle w:val="Heading4"/>
      </w:pPr>
      <w:r w:rsidRPr="00FA1A19">
        <w:t xml:space="preserve">Taxable supplies </w:t>
      </w:r>
    </w:p>
    <w:p w14:paraId="5BCFC6DA" w14:textId="5103FD57" w:rsidR="00D51E0B" w:rsidRPr="00FA1A19" w:rsidRDefault="00D51E0B" w:rsidP="00364D1B">
      <w:r w:rsidRPr="00FA1A19">
        <w:t>The starting point for determining GST treatment of a supply is identifying if it meets the requirements of being a taxable supply. An entity makes a taxable supply if the supply</w:t>
      </w:r>
      <w:r w:rsidR="00E811F0">
        <w:t xml:space="preserve"> meets all of the following criteria</w:t>
      </w:r>
      <w:r w:rsidRPr="00FA1A19">
        <w:t>:</w:t>
      </w:r>
    </w:p>
    <w:p w14:paraId="4D0C938E" w14:textId="0CAB025B" w:rsidR="00D51E0B" w:rsidRPr="00FA1A19" w:rsidRDefault="00D51E0B" w:rsidP="00950DA4">
      <w:pPr>
        <w:pStyle w:val="Bullet"/>
      </w:pPr>
      <w:r w:rsidRPr="00FA1A19">
        <w:t>made for consideration</w:t>
      </w:r>
    </w:p>
    <w:p w14:paraId="768579D0" w14:textId="0866C379" w:rsidR="00D51E0B" w:rsidRPr="00FA1A19" w:rsidRDefault="00D51E0B" w:rsidP="00950DA4">
      <w:pPr>
        <w:pStyle w:val="Bullet"/>
      </w:pPr>
      <w:r w:rsidRPr="00FA1A19">
        <w:t>made in the course or furtherance of an enterprise that the entity carries on</w:t>
      </w:r>
    </w:p>
    <w:p w14:paraId="799F087C" w14:textId="1F6355A5" w:rsidR="00D51E0B" w:rsidRPr="00FA1A19" w:rsidRDefault="00D51E0B" w:rsidP="00950DA4">
      <w:pPr>
        <w:pStyle w:val="Bullet"/>
      </w:pPr>
      <w:r w:rsidRPr="00FA1A19">
        <w:t>is connected with Australia</w:t>
      </w:r>
    </w:p>
    <w:p w14:paraId="65157AD9" w14:textId="77777777" w:rsidR="00D51E0B" w:rsidRPr="00FA1A19" w:rsidRDefault="00D51E0B" w:rsidP="00950DA4">
      <w:pPr>
        <w:pStyle w:val="Bullet"/>
      </w:pPr>
      <w:r w:rsidRPr="00FA1A19">
        <w:t>the entity is registered or required to be registered for GST.</w:t>
      </w:r>
      <w:r w:rsidRPr="00170ADC">
        <w:rPr>
          <w:rStyle w:val="FootnoteReference"/>
        </w:rPr>
        <w:footnoteReference w:id="548"/>
      </w:r>
      <w:r w:rsidRPr="00FA1A19">
        <w:t xml:space="preserve"> </w:t>
      </w:r>
    </w:p>
    <w:p w14:paraId="0416D624" w14:textId="2C7CF04B" w:rsidR="00D51E0B" w:rsidRPr="00FA1A19" w:rsidRDefault="00D51E0B" w:rsidP="00364D1B">
      <w:r w:rsidRPr="00FA1A19">
        <w:t>However</w:t>
      </w:r>
      <w:r w:rsidR="007A39E8" w:rsidRPr="00FA1A19">
        <w:t>,</w:t>
      </w:r>
      <w:r w:rsidRPr="00FA1A19">
        <w:t xml:space="preserve"> it is not a taxable supply to the extent that it is </w:t>
      </w:r>
      <w:r w:rsidR="00181B68">
        <w:t>GST</w:t>
      </w:r>
      <w:r w:rsidR="00F75232">
        <w:noBreakHyphen/>
      </w:r>
      <w:r w:rsidR="00181B68">
        <w:t>free</w:t>
      </w:r>
      <w:r w:rsidRPr="00FA1A19">
        <w:t xml:space="preserve"> or </w:t>
      </w:r>
      <w:r w:rsidR="002C0E42">
        <w:t>input</w:t>
      </w:r>
      <w:r w:rsidR="00F75232">
        <w:noBreakHyphen/>
      </w:r>
      <w:r w:rsidR="002C0E42">
        <w:t>taxed</w:t>
      </w:r>
      <w:r w:rsidRPr="00FA1A19">
        <w:t xml:space="preserve">. </w:t>
      </w:r>
    </w:p>
    <w:p w14:paraId="7B21C77D" w14:textId="3EABA962" w:rsidR="00D51E0B" w:rsidRPr="00FA1A19" w:rsidRDefault="00181B68" w:rsidP="0069352C">
      <w:pPr>
        <w:pStyle w:val="Heading4"/>
      </w:pPr>
      <w:r>
        <w:t>GST</w:t>
      </w:r>
      <w:r w:rsidR="00F75232">
        <w:noBreakHyphen/>
      </w:r>
      <w:r>
        <w:t>free</w:t>
      </w:r>
      <w:r w:rsidR="00D51E0B" w:rsidRPr="00FA1A19">
        <w:t xml:space="preserve"> supplies </w:t>
      </w:r>
    </w:p>
    <w:p w14:paraId="59EF1140" w14:textId="12F58BBC" w:rsidR="00D51E0B" w:rsidRPr="00FA1A19" w:rsidRDefault="00D51E0B" w:rsidP="00364D1B">
      <w:r w:rsidRPr="00FA1A19">
        <w:t xml:space="preserve">The GST Act provides a detailed listing of various supplies that are </w:t>
      </w:r>
      <w:r w:rsidR="00181B68">
        <w:t>GST</w:t>
      </w:r>
      <w:r w:rsidR="00F75232">
        <w:noBreakHyphen/>
      </w:r>
      <w:r w:rsidR="00181B68">
        <w:t>free</w:t>
      </w:r>
      <w:r w:rsidRPr="00FA1A19">
        <w:t>.</w:t>
      </w:r>
      <w:r w:rsidR="004F0A51" w:rsidRPr="00FA1A19">
        <w:t xml:space="preserve"> </w:t>
      </w:r>
      <w:r w:rsidRPr="00FA1A19">
        <w:t>Relevantly, this listing includes exports and some cross border supplies of goods and property, as well as things that are not goods or real property including rights where those supplies are made outside Australia.</w:t>
      </w:r>
      <w:r w:rsidRPr="00170ADC">
        <w:rPr>
          <w:rStyle w:val="FootnoteReference"/>
        </w:rPr>
        <w:footnoteReference w:id="549"/>
      </w:r>
      <w:r w:rsidRPr="00FA1A19">
        <w:t xml:space="preserve"> </w:t>
      </w:r>
    </w:p>
    <w:p w14:paraId="4375B46B" w14:textId="68B4CD0A" w:rsidR="00D51E0B" w:rsidRPr="00FA1A19" w:rsidRDefault="00D51E0B" w:rsidP="00364D1B">
      <w:r w:rsidRPr="00FA1A19">
        <w:t xml:space="preserve">Supplies that are </w:t>
      </w:r>
      <w:r w:rsidR="00181B68">
        <w:t>GST</w:t>
      </w:r>
      <w:r w:rsidR="00F75232">
        <w:noBreakHyphen/>
      </w:r>
      <w:r w:rsidR="00181B68">
        <w:t>free</w:t>
      </w:r>
      <w:r w:rsidRPr="00FA1A19">
        <w:t xml:space="preserve"> are not subject to GST, however the taxpayer is entitled to claim input tax credits for acquisitions made in connection with those supplies.</w:t>
      </w:r>
      <w:r w:rsidRPr="00170ADC">
        <w:rPr>
          <w:rStyle w:val="FootnoteReference"/>
        </w:rPr>
        <w:footnoteReference w:id="550"/>
      </w:r>
    </w:p>
    <w:p w14:paraId="1597437E" w14:textId="309BFEA1" w:rsidR="00D51E0B" w:rsidRPr="00FA1A19" w:rsidRDefault="00D51E0B" w:rsidP="00364D1B">
      <w:r w:rsidRPr="00FA1A19">
        <w:t>To determine the appropriate GST treatment of a transaction, it is necessary for the supplier to determine the location of the recipient of a supply. Where crypto supplies are made to non</w:t>
      </w:r>
      <w:r w:rsidR="00F75232">
        <w:noBreakHyphen/>
      </w:r>
      <w:r w:rsidRPr="00FA1A19">
        <w:t xml:space="preserve">residents of Australia, or are not connected to Australia, they will be classified as </w:t>
      </w:r>
      <w:r w:rsidR="00181B68">
        <w:t>GST</w:t>
      </w:r>
      <w:r w:rsidR="00F75232">
        <w:noBreakHyphen/>
      </w:r>
      <w:r w:rsidR="00181B68">
        <w:t>free</w:t>
      </w:r>
      <w:r w:rsidRPr="00FA1A19">
        <w:t xml:space="preserve"> including where they would otherwise be input</w:t>
      </w:r>
      <w:r w:rsidR="00F75232">
        <w:noBreakHyphen/>
      </w:r>
      <w:r w:rsidRPr="00FA1A19">
        <w:t>taxed if made to a resident of Australia. This position is confirmed by the ATO in web guidance as follows:</w:t>
      </w:r>
    </w:p>
    <w:p w14:paraId="6704EB59" w14:textId="57DF7A81" w:rsidR="00D51E0B" w:rsidRPr="00FA1A19" w:rsidRDefault="00D51E0B" w:rsidP="00EE60B2">
      <w:pPr>
        <w:pStyle w:val="Quote"/>
      </w:pPr>
      <w:r w:rsidRPr="00FA1A19">
        <w:t>If you trade digital currency in exchange for money or digital currency with a non</w:t>
      </w:r>
      <w:r w:rsidR="00F75232">
        <w:noBreakHyphen/>
      </w:r>
      <w:r w:rsidRPr="00FA1A19">
        <w:t>resident who isn</w:t>
      </w:r>
      <w:r w:rsidR="00F75232">
        <w:t>’</w:t>
      </w:r>
      <w:r w:rsidRPr="00FA1A19">
        <w:t xml:space="preserve">t </w:t>
      </w:r>
      <w:r w:rsidRPr="00FA1A19">
        <w:rPr>
          <w:rFonts w:asciiTheme="minorHAnsi" w:hAnsiTheme="minorHAnsi" w:cstheme="minorHAnsi"/>
        </w:rPr>
        <w:t>located</w:t>
      </w:r>
      <w:r w:rsidRPr="00FA1A19">
        <w:t xml:space="preserve"> in Australia, your supply will be </w:t>
      </w:r>
      <w:r w:rsidR="00181B68">
        <w:t>GST</w:t>
      </w:r>
      <w:r w:rsidR="00F75232">
        <w:noBreakHyphen/>
      </w:r>
      <w:r w:rsidR="00181B68">
        <w:t>free</w:t>
      </w:r>
      <w:r w:rsidRPr="00FA1A19">
        <w:t>.</w:t>
      </w:r>
      <w:r w:rsidRPr="00170ADC">
        <w:rPr>
          <w:rStyle w:val="FootnoteReference"/>
        </w:rPr>
        <w:footnoteReference w:id="551"/>
      </w:r>
    </w:p>
    <w:p w14:paraId="42C5A679" w14:textId="63F87AFE" w:rsidR="00D51E0B" w:rsidRPr="00FA1A19" w:rsidRDefault="00D51E0B" w:rsidP="00364D1B">
      <w:r w:rsidRPr="00FA1A19">
        <w:t>The complexity in determining whether a supply of a crypto asset is made to a non</w:t>
      </w:r>
      <w:r w:rsidR="00F75232">
        <w:noBreakHyphen/>
      </w:r>
      <w:r w:rsidRPr="00FA1A19">
        <w:t xml:space="preserve">resident is discussed further below. </w:t>
      </w:r>
    </w:p>
    <w:p w14:paraId="33905470" w14:textId="3DB6D0C1" w:rsidR="00D51E0B" w:rsidRPr="00FA1A19" w:rsidRDefault="00D51E0B" w:rsidP="00364D1B">
      <w:r w:rsidRPr="00FA1A19">
        <w:t xml:space="preserve">As noted above, </w:t>
      </w:r>
      <w:r w:rsidR="00181B68">
        <w:t>GST</w:t>
      </w:r>
      <w:r w:rsidR="00F75232">
        <w:noBreakHyphen/>
      </w:r>
      <w:r w:rsidR="00181B68">
        <w:t>free</w:t>
      </w:r>
      <w:r w:rsidRPr="00FA1A19">
        <w:t xml:space="preserve"> supplies count towards an entity</w:t>
      </w:r>
      <w:r w:rsidR="00F75232">
        <w:t>’</w:t>
      </w:r>
      <w:r w:rsidRPr="00FA1A19">
        <w:t xml:space="preserve">s GST turnover for the purposes of registration and other obligations under the GST Act. </w:t>
      </w:r>
    </w:p>
    <w:p w14:paraId="4304166B" w14:textId="08F2427E" w:rsidR="00D51E0B" w:rsidRPr="00FA1A19" w:rsidRDefault="002C0E42" w:rsidP="0069352C">
      <w:pPr>
        <w:pStyle w:val="Heading4"/>
      </w:pPr>
      <w:r>
        <w:t>Input</w:t>
      </w:r>
      <w:r w:rsidR="00F75232">
        <w:noBreakHyphen/>
      </w:r>
      <w:r>
        <w:t>taxed</w:t>
      </w:r>
      <w:r w:rsidR="00D51E0B" w:rsidRPr="00FA1A19">
        <w:t xml:space="preserve"> supplies </w:t>
      </w:r>
    </w:p>
    <w:p w14:paraId="0EDCD686" w14:textId="79ED4D90" w:rsidR="00D51E0B" w:rsidRPr="00FA1A19" w:rsidRDefault="00D51E0B" w:rsidP="00364D1B">
      <w:r w:rsidRPr="00FA1A19">
        <w:t xml:space="preserve">Division 40 of the GST Act provides a listing of </w:t>
      </w:r>
      <w:r w:rsidR="002C0E42">
        <w:t>input</w:t>
      </w:r>
      <w:r w:rsidR="00F75232">
        <w:noBreakHyphen/>
      </w:r>
      <w:r w:rsidR="002C0E42">
        <w:t>taxed</w:t>
      </w:r>
      <w:r w:rsidRPr="00FA1A19">
        <w:t xml:space="preserve"> supplies, including financial supplies, residential rent and premises, precious metals, school canteens, certain fundraising events and inbound intangible customer supplies. These supplies or a right to receive such supplies are treated as </w:t>
      </w:r>
      <w:r w:rsidR="002C0E42">
        <w:t>input</w:t>
      </w:r>
      <w:r w:rsidR="00F75232">
        <w:noBreakHyphen/>
      </w:r>
      <w:r w:rsidR="002C0E42">
        <w:t>taxed</w:t>
      </w:r>
      <w:r w:rsidRPr="00FA1A19">
        <w:t>, meaning that the supply is not subject to GST and there is generally no entitlement to receive an input tax credit for things acquired or imported to make that supply.</w:t>
      </w:r>
    </w:p>
    <w:p w14:paraId="491E8961" w14:textId="764946DA" w:rsidR="00D51E0B" w:rsidRPr="00FA1A19" w:rsidRDefault="002C0E42" w:rsidP="00364D1B">
      <w:r>
        <w:t>Input</w:t>
      </w:r>
      <w:r w:rsidR="00F75232">
        <w:noBreakHyphen/>
      </w:r>
      <w:r>
        <w:t>taxed</w:t>
      </w:r>
      <w:r w:rsidR="00D51E0B" w:rsidRPr="00FA1A19">
        <w:t xml:space="preserve"> supplies do not count towards GST turnover for the purposes of registration and other thresholds under the GST Act. </w:t>
      </w:r>
    </w:p>
    <w:p w14:paraId="338918A5" w14:textId="26B394CF" w:rsidR="00D51E0B" w:rsidRPr="00FA1A19" w:rsidRDefault="00D51E0B" w:rsidP="00364D1B">
      <w:r w:rsidRPr="00FA1A19">
        <w:t xml:space="preserve">To the extent that a supply is both </w:t>
      </w:r>
      <w:r w:rsidR="002C0E42">
        <w:t>input</w:t>
      </w:r>
      <w:r w:rsidR="00F75232">
        <w:noBreakHyphen/>
      </w:r>
      <w:r w:rsidR="002C0E42">
        <w:t>taxed</w:t>
      </w:r>
      <w:r w:rsidRPr="00FA1A19">
        <w:t xml:space="preserve"> and </w:t>
      </w:r>
      <w:r w:rsidR="00181B68">
        <w:t>GST</w:t>
      </w:r>
      <w:r w:rsidR="00F75232">
        <w:noBreakHyphen/>
      </w:r>
      <w:r w:rsidR="00181B68">
        <w:t>free</w:t>
      </w:r>
      <w:r w:rsidRPr="00FA1A19">
        <w:t xml:space="preserve">, it is treated as </w:t>
      </w:r>
      <w:r w:rsidR="00181B68">
        <w:t>GST</w:t>
      </w:r>
      <w:r w:rsidR="00F75232">
        <w:noBreakHyphen/>
      </w:r>
      <w:r w:rsidR="00181B68">
        <w:t>free</w:t>
      </w:r>
      <w:r w:rsidRPr="00FA1A19">
        <w:t xml:space="preserve"> except in limited circumstances.</w:t>
      </w:r>
      <w:r w:rsidRPr="00170ADC">
        <w:rPr>
          <w:rStyle w:val="FootnoteReference"/>
        </w:rPr>
        <w:footnoteReference w:id="552"/>
      </w:r>
    </w:p>
    <w:p w14:paraId="2D833394" w14:textId="5F67334C" w:rsidR="00D51E0B" w:rsidRPr="00FA1A19" w:rsidRDefault="00894DEC" w:rsidP="00364D1B">
      <w:r w:rsidRPr="00FA1A19">
        <w:t>As discussed below, m</w:t>
      </w:r>
      <w:r w:rsidR="00D51E0B" w:rsidRPr="00FA1A19">
        <w:t xml:space="preserve">ost crypto assets will be </w:t>
      </w:r>
      <w:r w:rsidR="002C0E42">
        <w:t>input</w:t>
      </w:r>
      <w:r w:rsidR="00F75232">
        <w:noBreakHyphen/>
      </w:r>
      <w:r w:rsidR="002C0E42">
        <w:t>taxed</w:t>
      </w:r>
      <w:r w:rsidR="00D51E0B" w:rsidRPr="00FA1A19">
        <w:t xml:space="preserve"> as financial supplies, including those assets meeting the definition of digital currency or assets such as stablecoins that may be categorised as a derivative.</w:t>
      </w:r>
      <w:r w:rsidR="004F0A51" w:rsidRPr="00FA1A19">
        <w:t xml:space="preserve"> </w:t>
      </w:r>
      <w:r w:rsidR="00D51E0B" w:rsidRPr="00FA1A19">
        <w:t>NFTs are a notable exception.</w:t>
      </w:r>
      <w:r w:rsidR="004F0A51" w:rsidRPr="00FA1A19">
        <w:t xml:space="preserve"> </w:t>
      </w:r>
    </w:p>
    <w:p w14:paraId="1D5E931A" w14:textId="77777777" w:rsidR="00D51E0B" w:rsidRPr="00FA1A19" w:rsidRDefault="00D51E0B" w:rsidP="0069352C">
      <w:pPr>
        <w:pStyle w:val="Heading4"/>
      </w:pPr>
      <w:r w:rsidRPr="00FA1A19">
        <w:t xml:space="preserve">Classification of digital currency </w:t>
      </w:r>
    </w:p>
    <w:p w14:paraId="503E1A38" w14:textId="14FF36F3" w:rsidR="00D51E0B" w:rsidRPr="00E23D88" w:rsidRDefault="00D51E0B" w:rsidP="00E23D88">
      <w:r w:rsidRPr="00E23D88">
        <w:t xml:space="preserve">GST was one of the earliest areas of Australian taxation law reform for crypto assets. In the former </w:t>
      </w:r>
      <w:r w:rsidR="004D46AE" w:rsidRPr="00E23D88">
        <w:t>g</w:t>
      </w:r>
      <w:r w:rsidRPr="00E23D88">
        <w:t>overnment</w:t>
      </w:r>
      <w:r w:rsidR="00F75232" w:rsidRPr="00E23D88">
        <w:t>’</w:t>
      </w:r>
      <w:r w:rsidRPr="00E23D88">
        <w:t xml:space="preserve">s March 2016 report </w:t>
      </w:r>
      <w:r w:rsidR="00F75232" w:rsidRPr="00E23D88">
        <w:t>‘</w:t>
      </w:r>
      <w:r w:rsidRPr="00E23D88">
        <w:rPr>
          <w:rStyle w:val="Emphasis"/>
          <w:i w:val="0"/>
          <w:iCs w:val="0"/>
          <w:spacing w:val="-3"/>
        </w:rPr>
        <w:t>Backing Australia FinTech</w:t>
      </w:r>
      <w:r w:rsidR="00F75232" w:rsidRPr="00E23D88">
        <w:rPr>
          <w:i/>
          <w:iCs/>
        </w:rPr>
        <w:t>’</w:t>
      </w:r>
      <w:r w:rsidRPr="00E23D88">
        <w:t xml:space="preserve"> it was recognised that consumers were essentially subject to double</w:t>
      </w:r>
      <w:r w:rsidR="0098614F" w:rsidRPr="00E23D88">
        <w:t xml:space="preserve"> </w:t>
      </w:r>
      <w:r w:rsidRPr="00E23D88">
        <w:t>tax when using digital currency to acquire anything already subject to GST.</w:t>
      </w:r>
      <w:r w:rsidRPr="00E23D88">
        <w:rPr>
          <w:rStyle w:val="FootnoteReference"/>
          <w:spacing w:val="-3"/>
        </w:rPr>
        <w:footnoteReference w:id="553"/>
      </w:r>
      <w:r w:rsidRPr="00E23D88">
        <w:t xml:space="preserve"> This</w:t>
      </w:r>
      <w:r w:rsidR="00E23D88" w:rsidRPr="00E23D88">
        <w:t> </w:t>
      </w:r>
      <w:r w:rsidRPr="00E23D88">
        <w:t xml:space="preserve">was due to the consumer being subject to the GST included in the price of an acquisition as well as the potential for GST to be applicable to the supply of the digital currency provided as consideration for the acquisition. </w:t>
      </w:r>
    </w:p>
    <w:p w14:paraId="7980C502" w14:textId="16FBE7A7" w:rsidR="00D51E0B" w:rsidRPr="00FA1A19" w:rsidRDefault="00D51E0B" w:rsidP="00364D1B">
      <w:pPr>
        <w:rPr>
          <w:i/>
          <w:iCs/>
        </w:rPr>
      </w:pPr>
      <w:r w:rsidRPr="00FA1A19">
        <w:t>This issue was originally addressed through the ATO</w:t>
      </w:r>
      <w:r w:rsidR="00F75232">
        <w:t>’</w:t>
      </w:r>
      <w:r w:rsidRPr="00FA1A19">
        <w:t xml:space="preserve">s 2014 GST Ruling, GSTR 2014/3 </w:t>
      </w:r>
      <w:r w:rsidRPr="00813896">
        <w:rPr>
          <w:rStyle w:val="Emphasis"/>
        </w:rPr>
        <w:t xml:space="preserve">Goods and Services Tax: the GST implications of transactions involving bitcoin </w:t>
      </w:r>
      <w:r w:rsidRPr="00FA1A19">
        <w:t>(GSTR 2014/3)</w:t>
      </w:r>
      <w:r w:rsidR="00823C7A" w:rsidRPr="00FA1A19">
        <w:t>.</w:t>
      </w:r>
      <w:r w:rsidRPr="00170ADC">
        <w:rPr>
          <w:rStyle w:val="FootnoteReference"/>
        </w:rPr>
        <w:footnoteReference w:id="554"/>
      </w:r>
      <w:r w:rsidR="004F0A51" w:rsidRPr="00FA1A19">
        <w:rPr>
          <w:i/>
          <w:iCs/>
        </w:rPr>
        <w:t xml:space="preserve"> </w:t>
      </w:r>
      <w:r w:rsidRPr="00FA1A19">
        <w:t xml:space="preserve">This ruling was withdrawn in December 2017 following the introduction of an amendment to the GST Act effective from 1 July 2017 to ensure that sales and purchases of digital currency are not subject to GST. </w:t>
      </w:r>
    </w:p>
    <w:p w14:paraId="5C12E8CB" w14:textId="5C733B5E" w:rsidR="00D51E0B" w:rsidRPr="00FA1A19" w:rsidRDefault="00D51E0B" w:rsidP="00364D1B">
      <w:pPr>
        <w:spacing w:after="0"/>
        <w:rPr>
          <w:rFonts w:cs="Calibri"/>
          <w:color w:val="212121"/>
          <w:lang w:eastAsia="en-GB"/>
        </w:rPr>
      </w:pPr>
      <w:r w:rsidRPr="00FA1A19">
        <w:t xml:space="preserve">The amendment introduced a definition of </w:t>
      </w:r>
      <w:r w:rsidR="00F75232">
        <w:t>‘</w:t>
      </w:r>
      <w:r w:rsidRPr="0092280B">
        <w:rPr>
          <w:rStyle w:val="Emphasis"/>
          <w:i w:val="0"/>
          <w:iCs w:val="0"/>
        </w:rPr>
        <w:t>digital currency</w:t>
      </w:r>
      <w:r w:rsidR="00F75232">
        <w:rPr>
          <w:rStyle w:val="Emphasis"/>
          <w:i w:val="0"/>
          <w:iCs w:val="0"/>
        </w:rPr>
        <w:t>’</w:t>
      </w:r>
      <w:r w:rsidRPr="00813896">
        <w:rPr>
          <w:rStyle w:val="Emphasis"/>
        </w:rPr>
        <w:t xml:space="preserve"> </w:t>
      </w:r>
      <w:r w:rsidRPr="00FA1A19">
        <w:t>into the GST Act and relevant provisions were updated to effectively align the</w:t>
      </w:r>
      <w:r w:rsidRPr="00FA1A19">
        <w:rPr>
          <w:rFonts w:cs="Calibri"/>
          <w:color w:val="212121"/>
          <w:lang w:eastAsia="en-GB"/>
        </w:rPr>
        <w:t xml:space="preserve"> GST treatment of supplies of digital currency with that of money.</w:t>
      </w:r>
      <w:r w:rsidRPr="00170ADC">
        <w:rPr>
          <w:rStyle w:val="FootnoteReference"/>
        </w:rPr>
        <w:footnoteReference w:id="555"/>
      </w:r>
      <w:r w:rsidRPr="00FA1A19">
        <w:rPr>
          <w:rFonts w:cs="Calibri"/>
          <w:color w:val="212121"/>
          <w:lang w:eastAsia="en-GB"/>
        </w:rPr>
        <w:t xml:space="preserve"> </w:t>
      </w:r>
    </w:p>
    <w:p w14:paraId="5C799261" w14:textId="69660636" w:rsidR="00D51E0B" w:rsidRPr="00FA1A19" w:rsidRDefault="00D51E0B" w:rsidP="00364D1B">
      <w:pPr>
        <w:spacing w:after="0"/>
        <w:rPr>
          <w:rFonts w:cs="Calibri"/>
          <w:color w:val="212121"/>
          <w:lang w:eastAsia="en-GB"/>
        </w:rPr>
      </w:pPr>
      <w:r w:rsidRPr="00FA1A19">
        <w:rPr>
          <w:rFonts w:cs="Calibri"/>
          <w:color w:val="212121"/>
          <w:lang w:eastAsia="en-GB"/>
        </w:rPr>
        <w:t xml:space="preserve">The effect of this is that a supply of digital currency is not treated as a supply unless it is provided as consideration for another supply of money or digital currency, for example, trading in digital currency. If there is such a supply, it is treated as an </w:t>
      </w:r>
      <w:r w:rsidR="002C0E42">
        <w:rPr>
          <w:rFonts w:cs="Calibri"/>
          <w:color w:val="212121"/>
          <w:lang w:eastAsia="en-GB"/>
        </w:rPr>
        <w:t>input</w:t>
      </w:r>
      <w:r w:rsidR="00F75232">
        <w:rPr>
          <w:rFonts w:cs="Calibri"/>
          <w:color w:val="212121"/>
          <w:lang w:eastAsia="en-GB"/>
        </w:rPr>
        <w:noBreakHyphen/>
      </w:r>
      <w:r w:rsidR="002C0E42">
        <w:rPr>
          <w:rFonts w:cs="Calibri"/>
          <w:color w:val="212121"/>
          <w:lang w:eastAsia="en-GB"/>
        </w:rPr>
        <w:t>taxed</w:t>
      </w:r>
      <w:r w:rsidRPr="00FA1A19">
        <w:rPr>
          <w:rFonts w:cs="Calibri"/>
          <w:color w:val="212121"/>
          <w:lang w:eastAsia="en-GB"/>
        </w:rPr>
        <w:t xml:space="preserve"> financial supply.</w:t>
      </w:r>
      <w:r w:rsidRPr="00170ADC">
        <w:rPr>
          <w:rStyle w:val="FootnoteReference"/>
        </w:rPr>
        <w:footnoteReference w:id="556"/>
      </w:r>
    </w:p>
    <w:p w14:paraId="3EF17CE3" w14:textId="630EFC26" w:rsidR="00D51E0B" w:rsidRPr="00FA1A19" w:rsidRDefault="00D51E0B" w:rsidP="00364D1B">
      <w:r w:rsidRPr="00FA1A19">
        <w:t xml:space="preserve">Most common cryptocurrencies, including bitcoin and ether, will fall within the definition of digital currency, consequently any supply of such assets is </w:t>
      </w:r>
      <w:r w:rsidR="002C0E42">
        <w:t>input</w:t>
      </w:r>
      <w:r w:rsidR="00F75232">
        <w:noBreakHyphen/>
      </w:r>
      <w:r w:rsidR="002C0E42">
        <w:t>taxed</w:t>
      </w:r>
      <w:r w:rsidRPr="00FA1A19">
        <w:t xml:space="preserve"> to the extent it is not a </w:t>
      </w:r>
      <w:r w:rsidR="00181B68">
        <w:t>GST</w:t>
      </w:r>
      <w:r w:rsidR="00F75232">
        <w:noBreakHyphen/>
      </w:r>
      <w:r w:rsidR="00181B68">
        <w:t>free</w:t>
      </w:r>
      <w:r w:rsidRPr="00FA1A19">
        <w:t xml:space="preserve"> supply, for example if the supply is not connected with Australia. </w:t>
      </w:r>
    </w:p>
    <w:p w14:paraId="5150EEA6" w14:textId="06C1DD84" w:rsidR="00D51E0B" w:rsidRPr="00FA1A19" w:rsidRDefault="00D51E0B" w:rsidP="00364D1B">
      <w:r w:rsidRPr="00FA1A19">
        <w:t>The definition of digital currency was updated in June 2023 with an effective start date of 1 July 2021 (2023</w:t>
      </w:r>
      <w:r w:rsidR="00434F85">
        <w:t> </w:t>
      </w:r>
      <w:r w:rsidRPr="00FA1A19">
        <w:t>amendments)</w:t>
      </w:r>
      <w:r w:rsidRPr="00170ADC">
        <w:rPr>
          <w:rStyle w:val="FootnoteReference"/>
        </w:rPr>
        <w:footnoteReference w:id="557"/>
      </w:r>
      <w:r w:rsidRPr="00FA1A19">
        <w:t xml:space="preserve"> and includes digital units of value that:</w:t>
      </w:r>
    </w:p>
    <w:p w14:paraId="28E03C82" w14:textId="77777777" w:rsidR="00D51E0B" w:rsidRPr="00FA1A19" w:rsidRDefault="00D51E0B" w:rsidP="009C584D">
      <w:pPr>
        <w:pStyle w:val="OutlineNumbered2"/>
        <w:keepNext/>
        <w:numPr>
          <w:ilvl w:val="1"/>
          <w:numId w:val="23"/>
        </w:numPr>
      </w:pPr>
      <w:r w:rsidRPr="00FA1A19">
        <w:t>are designed to be fungible; and</w:t>
      </w:r>
    </w:p>
    <w:p w14:paraId="3D7E17C6" w14:textId="77777777" w:rsidR="00D51E0B" w:rsidRPr="00FA1A19" w:rsidRDefault="00D51E0B" w:rsidP="00C91872">
      <w:pPr>
        <w:pStyle w:val="OutlineNumbered2"/>
        <w:numPr>
          <w:ilvl w:val="1"/>
          <w:numId w:val="23"/>
        </w:numPr>
      </w:pPr>
      <w:r w:rsidRPr="00FA1A19">
        <w:t>can be provided as consideration for a supply; and</w:t>
      </w:r>
    </w:p>
    <w:p w14:paraId="2962EAE3" w14:textId="77777777" w:rsidR="00D51E0B" w:rsidRPr="00FA1A19" w:rsidRDefault="00D51E0B" w:rsidP="00C91872">
      <w:pPr>
        <w:pStyle w:val="OutlineNumbered2"/>
        <w:numPr>
          <w:ilvl w:val="1"/>
          <w:numId w:val="23"/>
        </w:numPr>
      </w:pPr>
      <w:r w:rsidRPr="00FA1A19">
        <w:t xml:space="preserve">are generally available to members of the public without any substantial restrictions on their use as consideration; and </w:t>
      </w:r>
    </w:p>
    <w:p w14:paraId="52D9C5C7" w14:textId="77777777" w:rsidR="00D51E0B" w:rsidRPr="00FA1A19" w:rsidRDefault="00D51E0B" w:rsidP="009C584D">
      <w:pPr>
        <w:pStyle w:val="OutlineNumbered2"/>
        <w:keepNext/>
        <w:numPr>
          <w:ilvl w:val="1"/>
          <w:numId w:val="23"/>
        </w:numPr>
      </w:pPr>
      <w:r w:rsidRPr="00FA1A19">
        <w:t>either</w:t>
      </w:r>
    </w:p>
    <w:p w14:paraId="07854FCB" w14:textId="25B6B0F5" w:rsidR="00D51E0B" w:rsidRPr="00FA1A19" w:rsidRDefault="00D51E0B" w:rsidP="00C91872">
      <w:pPr>
        <w:pStyle w:val="OutlineNumbered2"/>
        <w:numPr>
          <w:ilvl w:val="2"/>
          <w:numId w:val="23"/>
        </w:numPr>
      </w:pPr>
      <w:r w:rsidRPr="00FA1A19">
        <w:t>are not denominated in any country</w:t>
      </w:r>
      <w:r w:rsidR="00F75232">
        <w:t>’</w:t>
      </w:r>
      <w:r w:rsidRPr="00FA1A19">
        <w:t>s currency; or</w:t>
      </w:r>
    </w:p>
    <w:p w14:paraId="2052D2D3" w14:textId="77777777" w:rsidR="00D51E0B" w:rsidRPr="00FA1A19" w:rsidRDefault="00D51E0B" w:rsidP="00C91872">
      <w:pPr>
        <w:pStyle w:val="OutlineNumbered2"/>
        <w:numPr>
          <w:ilvl w:val="2"/>
          <w:numId w:val="23"/>
        </w:numPr>
      </w:pPr>
      <w:r w:rsidRPr="00FA1A19">
        <w:t xml:space="preserve">are denominated in a currency that is not issued by, or under the authority of, an Australian government agency or a foreign government agency (within the meaning of the </w:t>
      </w:r>
      <w:r w:rsidRPr="00813896">
        <w:rPr>
          <w:rStyle w:val="Emphasis"/>
        </w:rPr>
        <w:t>Income Tax Assessment Act 1997)</w:t>
      </w:r>
      <w:r w:rsidRPr="00FA1A19">
        <w:t>; and</w:t>
      </w:r>
    </w:p>
    <w:p w14:paraId="246EA559" w14:textId="77777777" w:rsidR="00D51E0B" w:rsidRPr="00FA1A19" w:rsidRDefault="00D51E0B" w:rsidP="00C91872">
      <w:pPr>
        <w:pStyle w:val="OutlineNumbered2"/>
        <w:numPr>
          <w:ilvl w:val="1"/>
          <w:numId w:val="23"/>
        </w:numPr>
      </w:pPr>
      <w:r w:rsidRPr="00FA1A19">
        <w:t>do not have a value that depends on, or is derived from, the value of anything else; and</w:t>
      </w:r>
    </w:p>
    <w:p w14:paraId="43C9FFC1" w14:textId="77777777" w:rsidR="00D51E0B" w:rsidRPr="00FA1A19" w:rsidRDefault="00D51E0B" w:rsidP="00C91872">
      <w:pPr>
        <w:pStyle w:val="OutlineNumbered2"/>
        <w:numPr>
          <w:ilvl w:val="1"/>
          <w:numId w:val="23"/>
        </w:numPr>
      </w:pPr>
      <w:r w:rsidRPr="00FA1A19">
        <w:t>do not give an entitlement to receive or to direct the supply of, a particular thing or things, unless the entitlement is incidental to:</w:t>
      </w:r>
    </w:p>
    <w:p w14:paraId="37656056" w14:textId="77777777" w:rsidR="00D51E0B" w:rsidRPr="00FA1A19" w:rsidRDefault="00D51E0B" w:rsidP="00C91872">
      <w:pPr>
        <w:pStyle w:val="OutlineNumbered2"/>
        <w:numPr>
          <w:ilvl w:val="2"/>
          <w:numId w:val="23"/>
        </w:numPr>
      </w:pPr>
      <w:r w:rsidRPr="00FA1A19">
        <w:t xml:space="preserve">holding the digital units of value; </w:t>
      </w:r>
    </w:p>
    <w:p w14:paraId="472D992F" w14:textId="77777777" w:rsidR="00D51E0B" w:rsidRPr="00FA1A19" w:rsidRDefault="00D51E0B" w:rsidP="00C91872">
      <w:pPr>
        <w:pStyle w:val="OutlineNumbered2"/>
        <w:numPr>
          <w:ilvl w:val="2"/>
          <w:numId w:val="23"/>
        </w:numPr>
      </w:pPr>
      <w:r w:rsidRPr="00FA1A19">
        <w:t>using the digital units of value as consideration;</w:t>
      </w:r>
    </w:p>
    <w:p w14:paraId="3B5A8707" w14:textId="6539F831" w:rsidR="00D51E0B" w:rsidRPr="00FA1A19" w:rsidRDefault="00A33E16" w:rsidP="00C91872">
      <w:pPr>
        <w:pStyle w:val="NormalIndent"/>
      </w:pPr>
      <w:r w:rsidRPr="00FA1A19">
        <w:t>b</w:t>
      </w:r>
      <w:r w:rsidR="00D51E0B" w:rsidRPr="00FA1A19">
        <w:t>ut does not include a thing that, if supplied, would be a financial supply for a reason other than being a supply of:</w:t>
      </w:r>
    </w:p>
    <w:p w14:paraId="1AFAE10D" w14:textId="77777777" w:rsidR="00D51E0B" w:rsidRPr="00FA1A19" w:rsidRDefault="00D51E0B" w:rsidP="00C91872">
      <w:pPr>
        <w:pStyle w:val="OutlineNumbered2"/>
        <w:numPr>
          <w:ilvl w:val="1"/>
          <w:numId w:val="23"/>
        </w:numPr>
      </w:pPr>
      <w:r w:rsidRPr="00FA1A19">
        <w:t>one or more digital units of value to which paragraphs (a) to (f) apply; or</w:t>
      </w:r>
    </w:p>
    <w:p w14:paraId="25986A78" w14:textId="77777777" w:rsidR="00D51E0B" w:rsidRPr="00FA1A19" w:rsidRDefault="00D51E0B" w:rsidP="00C91872">
      <w:pPr>
        <w:pStyle w:val="OutlineNumbered2"/>
        <w:numPr>
          <w:ilvl w:val="1"/>
          <w:numId w:val="23"/>
        </w:numPr>
      </w:pPr>
      <w:r w:rsidRPr="00FA1A19">
        <w:t>money.</w:t>
      </w:r>
      <w:r w:rsidRPr="00170ADC">
        <w:rPr>
          <w:rStyle w:val="FootnoteReference"/>
        </w:rPr>
        <w:footnoteReference w:id="558"/>
      </w:r>
    </w:p>
    <w:p w14:paraId="633940A7" w14:textId="0A134028" w:rsidR="00D51E0B" w:rsidRPr="00FA1A19" w:rsidRDefault="00D51E0B" w:rsidP="00364D1B">
      <w:r w:rsidRPr="00FA1A19">
        <w:t xml:space="preserve">The Board notes for completeness that the 2023 amendments were introduced in conjunction with the changes discussed in </w:t>
      </w:r>
      <w:r w:rsidR="00372633">
        <w:t>Chapter </w:t>
      </w:r>
      <w:r w:rsidR="00875E20" w:rsidRPr="00FA1A19">
        <w:t xml:space="preserve">4 </w:t>
      </w:r>
      <w:r w:rsidRPr="00FA1A19">
        <w:t>in relation to crypto assets not being taxed as foreign currency.</w:t>
      </w:r>
    </w:p>
    <w:p w14:paraId="26723650" w14:textId="22365641" w:rsidR="00D51E0B" w:rsidRPr="00FA1A19" w:rsidRDefault="00D51E0B" w:rsidP="00364D1B">
      <w:r w:rsidRPr="00FA1A19">
        <w:t xml:space="preserve">In </w:t>
      </w:r>
      <w:hyperlink r:id="rId62" w:history="1">
        <w:r w:rsidRPr="00FA1A19">
          <w:rPr>
            <w:rStyle w:val="Hyperlink"/>
          </w:rPr>
          <w:t>GSTR 2002/2</w:t>
        </w:r>
      </w:hyperlink>
      <w:r w:rsidRPr="00FA1A19">
        <w:t xml:space="preserve"> </w:t>
      </w:r>
      <w:r w:rsidRPr="00813896">
        <w:rPr>
          <w:rStyle w:val="Emphasis"/>
        </w:rPr>
        <w:t xml:space="preserve">Goods and services tax: GST treatment of financial supplies and related supplies and acquisitions </w:t>
      </w:r>
      <w:r w:rsidRPr="00FA1A19">
        <w:t>(GSTR 2002/2),</w:t>
      </w:r>
      <w:r w:rsidRPr="00FA1A19">
        <w:rPr>
          <w:i/>
          <w:iCs/>
        </w:rPr>
        <w:t xml:space="preserve"> </w:t>
      </w:r>
      <w:r w:rsidRPr="00FA1A19">
        <w:t>the ATO provides a list of items that it does not consider to be digital currency under the above definition (noting the Ruling was issued prior to the 2023 amendments and last updated in March 2023):</w:t>
      </w:r>
    </w:p>
    <w:p w14:paraId="069A6745" w14:textId="052B1EA5" w:rsidR="00D51E0B" w:rsidRPr="00FA1A19" w:rsidRDefault="00D51E0B" w:rsidP="00657003">
      <w:pPr>
        <w:pStyle w:val="Bullet"/>
      </w:pPr>
      <w:r w:rsidRPr="00FA1A19">
        <w:t>loyalty points provided by retailers that can only be redeemed for products and services specified by that loyalty scheme</w:t>
      </w:r>
    </w:p>
    <w:p w14:paraId="6C786B20" w14:textId="34F0C8E9" w:rsidR="00D51E0B" w:rsidRPr="00FA1A19" w:rsidRDefault="00F75232" w:rsidP="00657003">
      <w:pPr>
        <w:pStyle w:val="Bullet"/>
      </w:pPr>
      <w:r>
        <w:t>‘</w:t>
      </w:r>
      <w:r w:rsidR="00D51E0B" w:rsidRPr="00FA1A19">
        <w:t>currency</w:t>
      </w:r>
      <w:r>
        <w:t>’</w:t>
      </w:r>
      <w:r w:rsidR="00D51E0B" w:rsidRPr="00FA1A19">
        <w:t xml:space="preserve"> used in online multiplayer games, that cannot be used outside the game under which the </w:t>
      </w:r>
      <w:r>
        <w:t>‘</w:t>
      </w:r>
      <w:r w:rsidR="00D51E0B" w:rsidRPr="00FA1A19">
        <w:t>currency</w:t>
      </w:r>
      <w:r>
        <w:t>’</w:t>
      </w:r>
      <w:r w:rsidR="00D51E0B" w:rsidRPr="00FA1A19">
        <w:t xml:space="preserve"> is made available</w:t>
      </w:r>
    </w:p>
    <w:p w14:paraId="62B29924" w14:textId="2765F29B" w:rsidR="00D51E0B" w:rsidRPr="00FA1A19" w:rsidRDefault="00F75232" w:rsidP="00657003">
      <w:pPr>
        <w:pStyle w:val="Bullet"/>
      </w:pPr>
      <w:r>
        <w:t>‘</w:t>
      </w:r>
      <w:r w:rsidR="00D51E0B" w:rsidRPr="00FA1A19">
        <w:t>digital currency</w:t>
      </w:r>
      <w:r>
        <w:t>’</w:t>
      </w:r>
      <w:r w:rsidR="00D51E0B" w:rsidRPr="00FA1A19">
        <w:t xml:space="preserve"> with value based on something else or that gives an entitlement or privileges to something else. For example, a token that is aligned with an Australian or foreign currency, or gives you an entitlement to use software application services</w:t>
      </w:r>
    </w:p>
    <w:p w14:paraId="78A9F748" w14:textId="65C99429" w:rsidR="00D51E0B" w:rsidRPr="00FA1A19" w:rsidRDefault="00D51E0B" w:rsidP="00434F85">
      <w:pPr>
        <w:pStyle w:val="Bullet"/>
      </w:pPr>
      <w:r w:rsidRPr="00FA1A19">
        <w:t>NFTs.</w:t>
      </w:r>
    </w:p>
    <w:p w14:paraId="2B807301" w14:textId="7BF36C07" w:rsidR="00D51E0B" w:rsidRPr="00FA1A19" w:rsidRDefault="00D51E0B" w:rsidP="00364D1B">
      <w:r w:rsidRPr="00FA1A19">
        <w:t>The Board has received feedback in consultation submissions that the current definition presents challenges in determining appropriate GST treatment, given that not all crypto assets are captured, leaving uncertainty and inconsistency. Stakeholders particularly highlighted the need for certainty in relation to the treatment of stablecoins which are excluded under paragra</w:t>
      </w:r>
      <w:r w:rsidR="00AC3939" w:rsidRPr="00FA1A19">
        <w:t xml:space="preserve">ph </w:t>
      </w:r>
      <w:r w:rsidRPr="00FA1A19">
        <w:t>(e) of the definition of digital currency.</w:t>
      </w:r>
      <w:r w:rsidRPr="00170ADC">
        <w:rPr>
          <w:rStyle w:val="FootnoteReference"/>
        </w:rPr>
        <w:footnoteReference w:id="559"/>
      </w:r>
      <w:r w:rsidRPr="00FA1A19">
        <w:t xml:space="preserve"> </w:t>
      </w:r>
    </w:p>
    <w:p w14:paraId="79C8ABED" w14:textId="10493154" w:rsidR="00D51E0B" w:rsidRPr="00FA1A19" w:rsidRDefault="00D51E0B" w:rsidP="00364D1B">
      <w:r w:rsidRPr="00FA1A19">
        <w:t xml:space="preserve">The Board notes that in July 2023, the ATO updated its web guidance confirming that stablecoins are not digital currency and will be </w:t>
      </w:r>
      <w:r w:rsidR="002C0E42">
        <w:t>input</w:t>
      </w:r>
      <w:r w:rsidR="00F75232">
        <w:noBreakHyphen/>
      </w:r>
      <w:r w:rsidR="002C0E42">
        <w:t>taxed</w:t>
      </w:r>
      <w:r w:rsidRPr="00FA1A19">
        <w:t xml:space="preserve"> as a financial supply unless they are </w:t>
      </w:r>
      <w:r w:rsidR="00181B68">
        <w:t>GST</w:t>
      </w:r>
      <w:r w:rsidR="00F75232">
        <w:noBreakHyphen/>
      </w:r>
      <w:r w:rsidR="00181B68">
        <w:t>free</w:t>
      </w:r>
      <w:r w:rsidRPr="00FA1A19">
        <w:t>.</w:t>
      </w:r>
      <w:r w:rsidRPr="00170ADC">
        <w:rPr>
          <w:rStyle w:val="FootnoteReference"/>
        </w:rPr>
        <w:footnoteReference w:id="560"/>
      </w:r>
      <w:r w:rsidRPr="00FA1A19">
        <w:t xml:space="preserve"> </w:t>
      </w:r>
    </w:p>
    <w:p w14:paraId="227896A4" w14:textId="74AA574C" w:rsidR="00D51E0B" w:rsidRPr="00FA1A19" w:rsidRDefault="00D51E0B" w:rsidP="00364D1B">
      <w:r w:rsidRPr="00FA1A19">
        <w:t xml:space="preserve">This position is also set out in </w:t>
      </w:r>
      <w:r w:rsidR="00403C69">
        <w:t xml:space="preserve">a </w:t>
      </w:r>
      <w:r w:rsidRPr="00FA1A19">
        <w:t xml:space="preserve">published edited PBR, where the ATO concludes that a supply of Tether, a stablecoin whose value is derived from the United States dollar, is an </w:t>
      </w:r>
      <w:r w:rsidR="002C0E42">
        <w:t>input</w:t>
      </w:r>
      <w:r w:rsidR="00F75232">
        <w:noBreakHyphen/>
      </w:r>
      <w:r w:rsidR="002C0E42">
        <w:t>taxed</w:t>
      </w:r>
      <w:r w:rsidRPr="00FA1A19">
        <w:t xml:space="preserve"> supply on the basis of it being a derivative.</w:t>
      </w:r>
      <w:r w:rsidR="00817CA7" w:rsidRPr="00170ADC">
        <w:rPr>
          <w:rStyle w:val="FootnoteReference"/>
        </w:rPr>
        <w:footnoteReference w:id="561"/>
      </w:r>
      <w:r w:rsidRPr="00FA1A19">
        <w:t xml:space="preserve"> Derivatives, like digital currencies are classified as </w:t>
      </w:r>
      <w:r w:rsidR="002C0E42">
        <w:t>input</w:t>
      </w:r>
      <w:r w:rsidR="00F75232">
        <w:noBreakHyphen/>
      </w:r>
      <w:r w:rsidR="002C0E42">
        <w:t>taxed</w:t>
      </w:r>
      <w:r w:rsidRPr="00FA1A19">
        <w:t xml:space="preserve"> financial supplies in the GST Regulations.</w:t>
      </w:r>
      <w:r w:rsidRPr="00170ADC">
        <w:rPr>
          <w:rStyle w:val="FootnoteReference"/>
        </w:rPr>
        <w:footnoteReference w:id="562"/>
      </w:r>
      <w:r w:rsidRPr="00FA1A19">
        <w:t xml:space="preserve"> </w:t>
      </w:r>
    </w:p>
    <w:p w14:paraId="0737C8A7" w14:textId="17B21C1D" w:rsidR="00D51E0B" w:rsidRPr="00FA1A19" w:rsidRDefault="00D51E0B" w:rsidP="00364D1B">
      <w:r w:rsidRPr="00FA1A19">
        <w:t xml:space="preserve">As set out in </w:t>
      </w:r>
      <w:r w:rsidR="00372633">
        <w:t>Chapter </w:t>
      </w:r>
      <w:r w:rsidR="00E74AB9" w:rsidRPr="00FA1A19">
        <w:t>6</w:t>
      </w:r>
      <w:r w:rsidRPr="00FA1A19">
        <w:t>, the Board notes that edited PBRs are non</w:t>
      </w:r>
      <w:r w:rsidR="00F75232">
        <w:noBreakHyphen/>
      </w:r>
      <w:r w:rsidRPr="00FA1A19">
        <w:t xml:space="preserve">binding and further clarification is considered necessary to provide broader taxpayer certainty in relation to the GST treatment. </w:t>
      </w:r>
    </w:p>
    <w:p w14:paraId="0219758E" w14:textId="77777777" w:rsidR="00D51E0B" w:rsidRPr="00FA1A19" w:rsidRDefault="00D51E0B" w:rsidP="00657003">
      <w:pPr>
        <w:pStyle w:val="SingleParagraph"/>
      </w:pPr>
    </w:p>
    <w:tbl>
      <w:tblPr>
        <w:tblStyle w:val="Style2"/>
        <w:tblW w:w="5000" w:type="pct"/>
        <w:tblLook w:val="01E0" w:firstRow="1" w:lastRow="1" w:firstColumn="1" w:lastColumn="1" w:noHBand="0" w:noVBand="0"/>
      </w:tblPr>
      <w:tblGrid>
        <w:gridCol w:w="9641"/>
      </w:tblGrid>
      <w:tr w:rsidR="00D51E0B" w:rsidRPr="00FA1A19" w14:paraId="3D100E9C"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25BF759F" w14:textId="19DC37F9" w:rsidR="00D51E0B" w:rsidRPr="00657003" w:rsidRDefault="00372633" w:rsidP="00657003">
            <w:pPr>
              <w:pStyle w:val="BoxHeading1"/>
            </w:pPr>
            <w:r>
              <w:t>Recommendation </w:t>
            </w:r>
            <w:r w:rsidR="006A2242" w:rsidRPr="00FA1A19">
              <w:t>10</w:t>
            </w:r>
            <w:r w:rsidR="00D51E0B" w:rsidRPr="00FA1A19">
              <w:t>.1</w:t>
            </w:r>
          </w:p>
        </w:tc>
      </w:tr>
      <w:tr w:rsidR="00D51E0B" w:rsidRPr="00FA1A19" w14:paraId="14D6AEC6"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2C0D49D8" w14:textId="6BBCF9D9" w:rsidR="00D51E0B" w:rsidRPr="00FA1A19" w:rsidRDefault="00D51E0B" w:rsidP="00657003">
            <w:pPr>
              <w:pStyle w:val="BoxText"/>
            </w:pPr>
            <w:r w:rsidRPr="00FA1A19">
              <w:t xml:space="preserve">The July 2023 update to ATO web guidance confirming the GST treatment of a stablecoin </w:t>
            </w:r>
            <w:r w:rsidR="003C4819" w:rsidRPr="00FA1A19">
              <w:t>as a derivative</w:t>
            </w:r>
            <w:r w:rsidRPr="00FA1A19">
              <w:t xml:space="preserve"> is welcome </w:t>
            </w:r>
            <w:r w:rsidR="002D4A84" w:rsidRPr="00FA1A19">
              <w:t xml:space="preserve">however </w:t>
            </w:r>
            <w:r w:rsidR="00074664" w:rsidRPr="00FA1A19">
              <w:t xml:space="preserve">stakeholder feedback is that </w:t>
            </w:r>
            <w:r w:rsidR="00801E11" w:rsidRPr="00FA1A19">
              <w:t>greater</w:t>
            </w:r>
            <w:r w:rsidR="00920ED0" w:rsidRPr="00FA1A19">
              <w:t xml:space="preserve"> </w:t>
            </w:r>
            <w:r w:rsidR="00074664" w:rsidRPr="00FA1A19">
              <w:t>certainty is needed</w:t>
            </w:r>
            <w:r w:rsidRPr="00FA1A19">
              <w:t xml:space="preserve">. The Board recommends that </w:t>
            </w:r>
            <w:r w:rsidR="00A508D7" w:rsidRPr="00FA1A19">
              <w:t xml:space="preserve">the </w:t>
            </w:r>
            <w:r w:rsidRPr="00FA1A19">
              <w:t xml:space="preserve">position is confirmed through an update to GSTR 2002/2 or other binding guidance. </w:t>
            </w:r>
          </w:p>
        </w:tc>
      </w:tr>
    </w:tbl>
    <w:p w14:paraId="73C7441C" w14:textId="77777777" w:rsidR="00D51E0B" w:rsidRPr="00FA1A19" w:rsidRDefault="00D51E0B" w:rsidP="0069352C">
      <w:pPr>
        <w:pStyle w:val="Heading4"/>
      </w:pPr>
      <w:bookmarkStart w:id="139" w:name="_Ref151019120"/>
      <w:r w:rsidRPr="00FA1A19">
        <w:t>Classification of other crypto asset supplies: NFTs</w:t>
      </w:r>
      <w:bookmarkEnd w:id="139"/>
    </w:p>
    <w:p w14:paraId="3E8CDECF" w14:textId="38EF8B58" w:rsidR="00D51E0B" w:rsidRPr="00FA1A19" w:rsidRDefault="00D51E0B" w:rsidP="00DE4CCC">
      <w:pPr>
        <w:keepNext/>
      </w:pPr>
      <w:r w:rsidRPr="00FA1A19">
        <w:t xml:space="preserve">The ATO has not provided definitive public guidance regarding the categorisation of other specific crypto assets. In relation to NFTs </w:t>
      </w:r>
      <w:r w:rsidR="00705A47" w:rsidRPr="00FA1A19">
        <w:t xml:space="preserve">there are no specific GST provisions and </w:t>
      </w:r>
      <w:r w:rsidRPr="00FA1A19">
        <w:t>the ATO has advised that:</w:t>
      </w:r>
    </w:p>
    <w:p w14:paraId="3D4C6FC2" w14:textId="49F744C0" w:rsidR="00D51E0B" w:rsidRPr="00FA1A19" w:rsidRDefault="00D51E0B" w:rsidP="00EE60B2">
      <w:pPr>
        <w:pStyle w:val="Quote"/>
      </w:pPr>
      <w:r w:rsidRPr="00FA1A19">
        <w:t xml:space="preserve">Under the GST rules, an NFT is not a form of digital currency. The GST treatment of an NFT depends on </w:t>
      </w:r>
      <w:r w:rsidRPr="00FA1A19">
        <w:rPr>
          <w:rFonts w:asciiTheme="minorHAnsi" w:hAnsiTheme="minorHAnsi" w:cstheme="minorHAnsi"/>
        </w:rPr>
        <w:t>whether</w:t>
      </w:r>
      <w:r w:rsidRPr="00FA1A19">
        <w:t xml:space="preserve"> your transaction meets the requirements of being either a taxable or </w:t>
      </w:r>
      <w:r w:rsidR="00181B68">
        <w:t>GST</w:t>
      </w:r>
      <w:r w:rsidR="00F75232">
        <w:noBreakHyphen/>
      </w:r>
      <w:r w:rsidR="00181B68">
        <w:t>free</w:t>
      </w:r>
      <w:r w:rsidRPr="00FA1A19">
        <w:t xml:space="preserve"> supply.</w:t>
      </w:r>
      <w:r w:rsidRPr="00170ADC">
        <w:rPr>
          <w:rStyle w:val="FootnoteReference"/>
        </w:rPr>
        <w:footnoteReference w:id="563"/>
      </w:r>
    </w:p>
    <w:p w14:paraId="38684709" w14:textId="77777777" w:rsidR="00D51E0B" w:rsidRPr="00FA1A19" w:rsidRDefault="00D51E0B" w:rsidP="00364D1B">
      <w:r w:rsidRPr="00FA1A19">
        <w:t>and similarly advised:</w:t>
      </w:r>
    </w:p>
    <w:p w14:paraId="1379EAC8" w14:textId="25ADB5BF" w:rsidR="00D51E0B" w:rsidRPr="00FA1A19" w:rsidRDefault="00D51E0B" w:rsidP="00EE60B2">
      <w:pPr>
        <w:pStyle w:val="Quote"/>
      </w:pPr>
      <w:r w:rsidRPr="00FA1A19">
        <w:t>A non</w:t>
      </w:r>
      <w:r w:rsidR="00F75232">
        <w:noBreakHyphen/>
      </w:r>
      <w:r w:rsidRPr="00FA1A19">
        <w:t>fungible token (NFT) is not a digital currency because it is unique and can</w:t>
      </w:r>
      <w:r w:rsidR="00F75232">
        <w:t>’</w:t>
      </w:r>
      <w:r w:rsidRPr="00FA1A19">
        <w:t xml:space="preserve">t be interchanged with another NFT. The supply of a NFT is taxable unless it is </w:t>
      </w:r>
      <w:r w:rsidR="00181B68">
        <w:t>GST</w:t>
      </w:r>
      <w:r w:rsidR="00F75232">
        <w:noBreakHyphen/>
      </w:r>
      <w:r w:rsidR="00181B68">
        <w:t>free</w:t>
      </w:r>
      <w:r w:rsidRPr="00FA1A19">
        <w:t>.</w:t>
      </w:r>
      <w:r w:rsidRPr="00170ADC">
        <w:rPr>
          <w:rStyle w:val="FootnoteReference"/>
        </w:rPr>
        <w:footnoteReference w:id="564"/>
      </w:r>
      <w:r w:rsidRPr="00FA1A19">
        <w:t xml:space="preserve"> </w:t>
      </w:r>
    </w:p>
    <w:p w14:paraId="4730AB36" w14:textId="7A0B48E6" w:rsidR="00D51E0B" w:rsidRPr="00FA1A19" w:rsidRDefault="00D51E0B" w:rsidP="00364D1B">
      <w:r w:rsidRPr="00FA1A19">
        <w:t xml:space="preserve">As set out in </w:t>
      </w:r>
      <w:r w:rsidR="00372633">
        <w:t>Chapter </w:t>
      </w:r>
      <w:r w:rsidRPr="00FA1A19">
        <w:t xml:space="preserve">3, NFTs are </w:t>
      </w:r>
      <w:r w:rsidR="00F75232">
        <w:t>‘</w:t>
      </w:r>
      <w:r w:rsidR="00E122C9" w:rsidRPr="00FA1A19">
        <w:t>representations of unique data. Each token is mathematically unique and unable to be fractionalised, unlike many fungible crypto assets.</w:t>
      </w:r>
      <w:r w:rsidR="00F75232">
        <w:t>’</w:t>
      </w:r>
      <w:r w:rsidR="00E122C9" w:rsidRPr="00170ADC">
        <w:rPr>
          <w:rStyle w:val="FootnoteReference"/>
        </w:rPr>
        <w:footnoteReference w:id="565"/>
      </w:r>
      <w:r w:rsidRPr="00FA1A19">
        <w:t xml:space="preserve"> </w:t>
      </w:r>
      <w:r w:rsidR="00E122C9" w:rsidRPr="00FA1A19">
        <w:t xml:space="preserve">NFTs are </w:t>
      </w:r>
      <w:r w:rsidRPr="00FA1A19">
        <w:t>commonly used to represent artwork ownership, however as they are merely a data structure there is potential for a wide range of different use cases. The Board has received feedback from consultation submissions that NFTs are complex, have evolved well beyond the recognised forms of NFT art images and operate extensively throughout gaming and other trading functions. Given that NFTs can be taxable for GST purposes their treatment has potential revenue impacts and fin</w:t>
      </w:r>
      <w:r w:rsidR="001F4D03" w:rsidRPr="00FA1A19">
        <w:t>a</w:t>
      </w:r>
      <w:r w:rsidRPr="00FA1A19">
        <w:t>ncial implications for taxpayers.</w:t>
      </w:r>
      <w:r w:rsidR="004F0A51" w:rsidRPr="00FA1A19">
        <w:t xml:space="preserve"> </w:t>
      </w:r>
      <w:r w:rsidRPr="00FA1A19">
        <w:t>The Board notes that further clarification and guidance is needed in relation to their tax treatment.</w:t>
      </w:r>
      <w:r w:rsidR="004F0A51" w:rsidRPr="00FA1A19">
        <w:t xml:space="preserve"> </w:t>
      </w:r>
    </w:p>
    <w:p w14:paraId="5F90FA5B" w14:textId="7E86CEDA" w:rsidR="00D51E0B" w:rsidRPr="00FA1A19" w:rsidRDefault="00D51E0B" w:rsidP="00364D1B">
      <w:r w:rsidRPr="00FA1A19">
        <w:t xml:space="preserve">The Board notes that the function of NFTs is broad and due to the nature of how they are transacted with, specific GST rules may </w:t>
      </w:r>
      <w:r w:rsidR="00AB74C8" w:rsidRPr="00FA1A19">
        <w:t>ultimately</w:t>
      </w:r>
      <w:r w:rsidRPr="00FA1A19">
        <w:t xml:space="preserve"> be required.</w:t>
      </w:r>
      <w:r w:rsidR="004F0A51" w:rsidRPr="00FA1A19">
        <w:t xml:space="preserve"> </w:t>
      </w:r>
    </w:p>
    <w:p w14:paraId="57E15723" w14:textId="711901E2" w:rsidR="00D51E0B" w:rsidRPr="00FA1A19" w:rsidRDefault="00D51E0B" w:rsidP="00364D1B">
      <w:r w:rsidRPr="00FA1A19">
        <w:t xml:space="preserve">A commonly presented view in relation to the classification of an NFT for GST purposes is that it should be determined by reference to the underlying asset, right or </w:t>
      </w:r>
      <w:r w:rsidR="00F75232">
        <w:t>‘</w:t>
      </w:r>
      <w:r w:rsidRPr="00FA1A19">
        <w:t>thing</w:t>
      </w:r>
      <w:r w:rsidR="00F75232">
        <w:t>’</w:t>
      </w:r>
      <w:r w:rsidRPr="00FA1A19">
        <w:t xml:space="preserve"> from which the token derives its value.</w:t>
      </w:r>
      <w:r w:rsidRPr="00170ADC">
        <w:rPr>
          <w:rStyle w:val="FootnoteReference"/>
        </w:rPr>
        <w:footnoteReference w:id="566"/>
      </w:r>
      <w:r w:rsidRPr="00FA1A19">
        <w:t xml:space="preserve"> For example, as Vertex noted in their submission, an NFT can just be the support for another service such as a ticket for an event and this should have an impact on the taxation of such an NFT.</w:t>
      </w:r>
      <w:r w:rsidRPr="00170ADC">
        <w:rPr>
          <w:rStyle w:val="FootnoteReference"/>
        </w:rPr>
        <w:footnoteReference w:id="567"/>
      </w:r>
      <w:r w:rsidRPr="00FA1A19">
        <w:t xml:space="preserve"> </w:t>
      </w:r>
    </w:p>
    <w:p w14:paraId="7AD8D0FF" w14:textId="224ACD14" w:rsidR="00D51E0B" w:rsidRPr="00FA1A19" w:rsidRDefault="00D51E0B" w:rsidP="00364D1B">
      <w:r w:rsidRPr="00FA1A19">
        <w:t>However, transactions involving NFTs may not always have a clear link to an underlying asset or service. As</w:t>
      </w:r>
      <w:r w:rsidR="00434F85">
        <w:t> </w:t>
      </w:r>
      <w:r w:rsidRPr="00FA1A19">
        <w:t>PwC highlighted in their submission to the review, where royalty</w:t>
      </w:r>
      <w:r w:rsidR="00F75232">
        <w:noBreakHyphen/>
      </w:r>
      <w:r w:rsidRPr="00FA1A19">
        <w:t>style payments are embedded into the NFT to allow the original creator of the token to benefit from ongoing sales, the GST treatment is less clear. This is further compounded where it is not possible to identify the parties to subsequent transactions, the location of parties and/or where the smart contract is executed.</w:t>
      </w:r>
      <w:r w:rsidRPr="00170ADC">
        <w:rPr>
          <w:rStyle w:val="FootnoteReference"/>
        </w:rPr>
        <w:footnoteReference w:id="568"/>
      </w:r>
      <w:r w:rsidRPr="00FA1A19">
        <w:t xml:space="preserve"> In these instances, the receipt to the creator has less direct alignment with the underlying asset and is more in the nature of a royalty payment.</w:t>
      </w:r>
    </w:p>
    <w:p w14:paraId="6AD6CD6E" w14:textId="601D8380" w:rsidR="00D51E0B" w:rsidRPr="00FA1A19" w:rsidRDefault="00D51E0B" w:rsidP="00364D1B">
      <w:pPr>
        <w:autoSpaceDE w:val="0"/>
        <w:autoSpaceDN w:val="0"/>
        <w:adjustRightInd w:val="0"/>
      </w:pPr>
      <w:r w:rsidRPr="00FA1A19">
        <w:t xml:space="preserve">It is apparent that there is no </w:t>
      </w:r>
      <w:r w:rsidR="00F75232">
        <w:t>‘</w:t>
      </w:r>
      <w:r w:rsidRPr="00FA1A19">
        <w:t>one</w:t>
      </w:r>
      <w:r w:rsidR="00F75232">
        <w:noBreakHyphen/>
      </w:r>
      <w:r w:rsidRPr="00FA1A19">
        <w:t>size fits all</w:t>
      </w:r>
      <w:r w:rsidR="00F75232">
        <w:t>’</w:t>
      </w:r>
      <w:r w:rsidRPr="00FA1A19">
        <w:t xml:space="preserve"> approach that can be applied to determine the GST treatment of supplies of or relating to NFTs</w:t>
      </w:r>
      <w:r w:rsidR="006A6E42" w:rsidRPr="00FA1A19">
        <w:t>.</w:t>
      </w:r>
      <w:r w:rsidR="004F0A51" w:rsidRPr="00FA1A19">
        <w:t xml:space="preserve"> </w:t>
      </w:r>
      <w:r w:rsidR="006A6E42" w:rsidRPr="00FA1A19">
        <w:t>Given</w:t>
      </w:r>
      <w:r w:rsidR="00FB7875" w:rsidRPr="00FA1A19">
        <w:t xml:space="preserve"> the</w:t>
      </w:r>
      <w:r w:rsidR="007324AF" w:rsidRPr="00FA1A19">
        <w:t xml:space="preserve"> </w:t>
      </w:r>
      <w:r w:rsidR="00496F37" w:rsidRPr="00FA1A19">
        <w:t>complexity</w:t>
      </w:r>
      <w:r w:rsidR="004C5901" w:rsidRPr="00FA1A19">
        <w:t xml:space="preserve"> and </w:t>
      </w:r>
      <w:r w:rsidR="00B87CB9" w:rsidRPr="00FA1A19">
        <w:t xml:space="preserve">evolving nature of NFTs </w:t>
      </w:r>
      <w:r w:rsidRPr="00FA1A19">
        <w:t>further clarification is required to support taxpayers in applying appropriate treatment.</w:t>
      </w:r>
    </w:p>
    <w:p w14:paraId="3EE3AD02" w14:textId="35273215" w:rsidR="00D51E0B" w:rsidRPr="00FA1A19" w:rsidRDefault="00D51E0B" w:rsidP="00657003">
      <w:pPr>
        <w:pStyle w:val="SingleParagraph"/>
      </w:pPr>
    </w:p>
    <w:tbl>
      <w:tblPr>
        <w:tblStyle w:val="Style2"/>
        <w:tblW w:w="5000" w:type="pct"/>
        <w:tblLook w:val="01E0" w:firstRow="1" w:lastRow="1" w:firstColumn="1" w:lastColumn="1" w:noHBand="0" w:noVBand="0"/>
      </w:tblPr>
      <w:tblGrid>
        <w:gridCol w:w="9641"/>
      </w:tblGrid>
      <w:tr w:rsidR="00D51E0B" w:rsidRPr="00FA1A19" w14:paraId="6AE9E7CA"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3F70F168" w14:textId="54194AF4" w:rsidR="00D51E0B" w:rsidRPr="00FA1A19" w:rsidRDefault="00372633" w:rsidP="003316D7">
            <w:pPr>
              <w:pStyle w:val="BoxHeading1"/>
            </w:pPr>
            <w:r>
              <w:t>Recommendation </w:t>
            </w:r>
            <w:r w:rsidR="00F01640" w:rsidRPr="00FA1A19">
              <w:t>10</w:t>
            </w:r>
            <w:r w:rsidR="00D51E0B" w:rsidRPr="00FA1A19">
              <w:t>.2</w:t>
            </w:r>
          </w:p>
        </w:tc>
      </w:tr>
      <w:tr w:rsidR="00D51E0B" w:rsidRPr="00FA1A19" w14:paraId="5C374B1C"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2A6E1563" w14:textId="109AE765" w:rsidR="00D51E0B" w:rsidRPr="00FA1A19" w:rsidRDefault="00D51E0B" w:rsidP="00657003">
            <w:pPr>
              <w:pStyle w:val="BoxText"/>
              <w:rPr>
                <w:b/>
                <w:bCs/>
              </w:rPr>
            </w:pPr>
            <w:r w:rsidRPr="00FA1A19">
              <w:t>NFTs comprise a broad and diverse group of assets and rights</w:t>
            </w:r>
            <w:r w:rsidR="00EB64FA" w:rsidRPr="00FA1A19">
              <w:t xml:space="preserve"> that cannot always be linked to an underlying asset, </w:t>
            </w:r>
            <w:r w:rsidR="00166066" w:rsidRPr="00FA1A19">
              <w:t xml:space="preserve">or that may </w:t>
            </w:r>
            <w:r w:rsidR="00AE2A21" w:rsidRPr="00FA1A19">
              <w:t>have royalty</w:t>
            </w:r>
            <w:r w:rsidR="00F75232">
              <w:noBreakHyphen/>
            </w:r>
            <w:r w:rsidR="00AE2A21" w:rsidRPr="00FA1A19">
              <w:t>style payments embedded into the</w:t>
            </w:r>
            <w:r w:rsidR="00D10A6D" w:rsidRPr="00FA1A19">
              <w:t>m</w:t>
            </w:r>
            <w:r w:rsidR="00AE2A21" w:rsidRPr="00FA1A19">
              <w:t>.</w:t>
            </w:r>
            <w:r w:rsidR="004F0A51" w:rsidRPr="00FA1A19">
              <w:t xml:space="preserve"> </w:t>
            </w:r>
            <w:r w:rsidR="00AE2A21" w:rsidRPr="00FA1A19">
              <w:t xml:space="preserve">These features </w:t>
            </w:r>
            <w:r w:rsidR="00EB64FA" w:rsidRPr="00FA1A19">
              <w:t>creat</w:t>
            </w:r>
            <w:r w:rsidR="00AE2A21" w:rsidRPr="00FA1A19">
              <w:t>e</w:t>
            </w:r>
            <w:r w:rsidR="00EB64FA" w:rsidRPr="00FA1A19">
              <w:t xml:space="preserve"> complexity and uncertainty for taxpayers</w:t>
            </w:r>
            <w:r w:rsidR="00AE2A21" w:rsidRPr="00FA1A19">
              <w:t xml:space="preserve"> as to their GST responsibilities</w:t>
            </w:r>
            <w:r w:rsidRPr="00FA1A19">
              <w:t xml:space="preserve">. </w:t>
            </w:r>
            <w:r w:rsidR="00AE2A21" w:rsidRPr="00FA1A19">
              <w:t>I</w:t>
            </w:r>
            <w:r w:rsidRPr="00FA1A19">
              <w:t xml:space="preserve">t is </w:t>
            </w:r>
            <w:r w:rsidR="00AE2A21" w:rsidRPr="00FA1A19">
              <w:t>therefore</w:t>
            </w:r>
            <w:r w:rsidRPr="00FA1A19">
              <w:t xml:space="preserve"> recommended that the ATO, in </w:t>
            </w:r>
            <w:r w:rsidR="00EB51B6" w:rsidRPr="00FA1A19">
              <w:t xml:space="preserve">consultation </w:t>
            </w:r>
            <w:r w:rsidRPr="00FA1A19">
              <w:t xml:space="preserve">with </w:t>
            </w:r>
            <w:r w:rsidR="008A62C8" w:rsidRPr="00E81174">
              <w:t xml:space="preserve">industry stakeholders and taxpayer representative groups </w:t>
            </w:r>
            <w:r w:rsidR="008A62C8" w:rsidRPr="008A62C8">
              <w:t>including</w:t>
            </w:r>
            <w:r w:rsidR="008A62C8" w:rsidRPr="00E81174">
              <w:t xml:space="preserve"> </w:t>
            </w:r>
            <w:r w:rsidR="008A62C8" w:rsidRPr="00FA1A19">
              <w:t xml:space="preserve">the </w:t>
            </w:r>
            <w:r w:rsidRPr="00FA1A19">
              <w:t>Crypto Industry Working Group</w:t>
            </w:r>
            <w:r w:rsidR="00AE2A21" w:rsidRPr="00FA1A19">
              <w:t>,</w:t>
            </w:r>
            <w:r w:rsidRPr="00FA1A19">
              <w:t xml:space="preserve"> develop further public guidance to clarify how common types of NFTs (such as artworks, tickets etc) and the associated transactions should be treated</w:t>
            </w:r>
            <w:r w:rsidR="00AB74C8" w:rsidRPr="00FA1A19">
              <w:t xml:space="preserve"> for GST purposes</w:t>
            </w:r>
            <w:r w:rsidRPr="00FA1A19">
              <w:t>.</w:t>
            </w:r>
            <w:r w:rsidR="004F0A51" w:rsidRPr="00FA1A19">
              <w:t xml:space="preserve"> </w:t>
            </w:r>
          </w:p>
        </w:tc>
      </w:tr>
    </w:tbl>
    <w:p w14:paraId="50494A56" w14:textId="77777777" w:rsidR="00D51E0B" w:rsidRPr="00FA1A19" w:rsidRDefault="00D51E0B" w:rsidP="00657003">
      <w:pPr>
        <w:pStyle w:val="SingleParagraph"/>
      </w:pPr>
    </w:p>
    <w:tbl>
      <w:tblPr>
        <w:tblStyle w:val="Style2"/>
        <w:tblW w:w="5000" w:type="pct"/>
        <w:tblLook w:val="01E0" w:firstRow="1" w:lastRow="1" w:firstColumn="1" w:lastColumn="1" w:noHBand="0" w:noVBand="0"/>
      </w:tblPr>
      <w:tblGrid>
        <w:gridCol w:w="9641"/>
      </w:tblGrid>
      <w:tr w:rsidR="00D51E0B" w:rsidRPr="00FA1A19" w14:paraId="2184F037"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26B5A4ED" w14:textId="3B76FA6B" w:rsidR="00D51E0B" w:rsidRPr="00FA1A19" w:rsidRDefault="00372633" w:rsidP="003316D7">
            <w:pPr>
              <w:pStyle w:val="BoxHeading1"/>
            </w:pPr>
            <w:r>
              <w:t>Recommendation </w:t>
            </w:r>
            <w:r w:rsidR="00F01640" w:rsidRPr="00FA1A19">
              <w:t>10</w:t>
            </w:r>
            <w:r w:rsidR="00D51E0B" w:rsidRPr="00FA1A19">
              <w:t>.3</w:t>
            </w:r>
          </w:p>
        </w:tc>
      </w:tr>
      <w:tr w:rsidR="00D51E0B" w:rsidRPr="00FA1A19" w14:paraId="17912ED4"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6FDF6870" w14:textId="4799850B" w:rsidR="00F518CA" w:rsidRPr="00FA1A19" w:rsidRDefault="00D51E0B" w:rsidP="00657003">
            <w:pPr>
              <w:pStyle w:val="BoxText"/>
            </w:pPr>
            <w:r w:rsidRPr="00FA1A19">
              <w:t xml:space="preserve">Subsequent to </w:t>
            </w:r>
            <w:r w:rsidR="00372633">
              <w:t>Recommendation </w:t>
            </w:r>
            <w:r w:rsidR="00C326C7" w:rsidRPr="00FA1A19">
              <w:t>10</w:t>
            </w:r>
            <w:r w:rsidRPr="00FA1A19">
              <w:t xml:space="preserve">.2 it is recommended that further investigation and work be undertaken as to </w:t>
            </w:r>
            <w:r w:rsidR="00B726EB" w:rsidRPr="00FA1A19">
              <w:t>whether further clarification regarding the treatment of NFTs is needed and</w:t>
            </w:r>
            <w:r w:rsidRPr="00FA1A19">
              <w:t xml:space="preserve"> </w:t>
            </w:r>
            <w:r w:rsidR="003D34E4" w:rsidRPr="00FA1A19">
              <w:t xml:space="preserve">if so, </w:t>
            </w:r>
            <w:r w:rsidRPr="00FA1A19">
              <w:t>how these assets should be categorised for GST purposes</w:t>
            </w:r>
            <w:r w:rsidR="00C05B9C" w:rsidRPr="00FA1A19">
              <w:t>.</w:t>
            </w:r>
            <w:r w:rsidR="004F0A51" w:rsidRPr="00FA1A19">
              <w:t xml:space="preserve"> </w:t>
            </w:r>
          </w:p>
          <w:p w14:paraId="040038D6" w14:textId="65944D1E" w:rsidR="00D51E0B" w:rsidRPr="00FA1A19" w:rsidRDefault="00C05B9C" w:rsidP="00657003">
            <w:pPr>
              <w:pStyle w:val="BoxText"/>
              <w:rPr>
                <w:b/>
              </w:rPr>
            </w:pPr>
            <w:r w:rsidRPr="00FA1A19">
              <w:t xml:space="preserve">If </w:t>
            </w:r>
            <w:r w:rsidR="003311EF" w:rsidRPr="00FA1A19">
              <w:t>clarity and certainty regarding the treatment of NFTs cannot be achieved through further guidance and/or</w:t>
            </w:r>
            <w:r w:rsidRPr="00FA1A19">
              <w:t xml:space="preserve"> administrative solution</w:t>
            </w:r>
            <w:r w:rsidR="003C0A9E" w:rsidRPr="00FA1A19">
              <w:t>s</w:t>
            </w:r>
            <w:r w:rsidR="00F518CA" w:rsidRPr="00FA1A19">
              <w:t xml:space="preserve">, the Government could consider </w:t>
            </w:r>
            <w:r w:rsidR="00D51E0B" w:rsidRPr="00FA1A19">
              <w:t xml:space="preserve">legislative change if </w:t>
            </w:r>
            <w:r w:rsidR="00F518CA" w:rsidRPr="00FA1A19">
              <w:t xml:space="preserve">it considers this </w:t>
            </w:r>
            <w:r w:rsidR="00D51E0B" w:rsidRPr="00FA1A19">
              <w:t>appropriate</w:t>
            </w:r>
            <w:r w:rsidR="00F518CA" w:rsidRPr="00FA1A19">
              <w:t>, but the Board does not recommend any legislative change at this stage</w:t>
            </w:r>
            <w:r w:rsidR="00CD4B92" w:rsidRPr="00FA1A19">
              <w:t>.</w:t>
            </w:r>
            <w:r w:rsidR="004F0A51" w:rsidRPr="00FA1A19">
              <w:t xml:space="preserve"> </w:t>
            </w:r>
            <w:r w:rsidR="00CD4B92" w:rsidRPr="00FA1A19">
              <w:t>For further, see</w:t>
            </w:r>
            <w:r w:rsidR="00D51E0B" w:rsidRPr="00FA1A19">
              <w:t xml:space="preserve"> </w:t>
            </w:r>
            <w:r w:rsidR="00372633">
              <w:t>Chapter </w:t>
            </w:r>
            <w:r w:rsidR="00D51E0B" w:rsidRPr="00FA1A19">
              <w:t>1</w:t>
            </w:r>
            <w:r w:rsidR="00216C67" w:rsidRPr="00FA1A19">
              <w:t>3</w:t>
            </w:r>
            <w:r w:rsidR="00D51E0B" w:rsidRPr="00FA1A19">
              <w:t xml:space="preserve"> of th</w:t>
            </w:r>
            <w:r w:rsidR="00CD4B92" w:rsidRPr="00FA1A19">
              <w:t>is</w:t>
            </w:r>
            <w:r w:rsidR="00D51E0B" w:rsidRPr="00FA1A19">
              <w:t xml:space="preserve"> Report. </w:t>
            </w:r>
          </w:p>
        </w:tc>
      </w:tr>
    </w:tbl>
    <w:p w14:paraId="18C20A27" w14:textId="77777777" w:rsidR="00D51E0B" w:rsidRPr="00FA1A19" w:rsidRDefault="00D51E0B" w:rsidP="00342121">
      <w:pPr>
        <w:pStyle w:val="Heading3"/>
      </w:pPr>
      <w:bookmarkStart w:id="140" w:name="_Ref151018766"/>
      <w:r w:rsidRPr="00FA1A19">
        <w:t>Customer and supplier location</w:t>
      </w:r>
      <w:bookmarkEnd w:id="140"/>
    </w:p>
    <w:p w14:paraId="670C2D58" w14:textId="20D23144" w:rsidR="00D51E0B" w:rsidRPr="00FA1A19" w:rsidRDefault="00D51E0B" w:rsidP="00364D1B">
      <w:r w:rsidRPr="00FA1A19">
        <w:t>Identification of the location of the parties to a transaction is a critical element of various provisions under the GST law</w:t>
      </w:r>
      <w:r w:rsidR="000864E5" w:rsidRPr="00FA1A19">
        <w:t>, in particular</w:t>
      </w:r>
      <w:r w:rsidRPr="00FA1A19">
        <w:t>:</w:t>
      </w:r>
    </w:p>
    <w:p w14:paraId="59346521" w14:textId="63D25412" w:rsidR="00D51E0B" w:rsidRPr="00FA1A19" w:rsidRDefault="00D51E0B" w:rsidP="00657003">
      <w:pPr>
        <w:pStyle w:val="Bullet"/>
      </w:pPr>
      <w:r w:rsidRPr="00FA1A19">
        <w:t>whether a taxable supply is made</w:t>
      </w:r>
      <w:r w:rsidR="000864E5" w:rsidRPr="00FA1A19">
        <w:t xml:space="preserve"> and</w:t>
      </w:r>
      <w:r w:rsidR="004F0A51" w:rsidRPr="00FA1A19">
        <w:t xml:space="preserve"> </w:t>
      </w:r>
      <w:r w:rsidRPr="00FA1A19">
        <w:t xml:space="preserve">in particular whether a supply has </w:t>
      </w:r>
      <w:r w:rsidR="000864E5" w:rsidRPr="00FA1A19">
        <w:t>the required</w:t>
      </w:r>
      <w:r w:rsidRPr="00FA1A19">
        <w:t xml:space="preserve"> connection with Australia </w:t>
      </w:r>
    </w:p>
    <w:p w14:paraId="4A188CDD" w14:textId="1B68B0BA" w:rsidR="00D51E0B" w:rsidRPr="00FA1A19" w:rsidRDefault="00D51E0B" w:rsidP="00657003">
      <w:pPr>
        <w:pStyle w:val="Bullet"/>
      </w:pPr>
      <w:r w:rsidRPr="00FA1A19">
        <w:t xml:space="preserve">whether a </w:t>
      </w:r>
      <w:r w:rsidR="00181B68">
        <w:t>GST</w:t>
      </w:r>
      <w:r w:rsidR="00F75232">
        <w:noBreakHyphen/>
      </w:r>
      <w:r w:rsidR="00181B68">
        <w:t>free</w:t>
      </w:r>
      <w:r w:rsidRPr="00FA1A19">
        <w:t xml:space="preserve"> supply is made and the flow</w:t>
      </w:r>
      <w:r w:rsidR="00F75232">
        <w:noBreakHyphen/>
      </w:r>
      <w:r w:rsidRPr="00FA1A19">
        <w:t>on consequences in determining an entity</w:t>
      </w:r>
      <w:r w:rsidR="00F75232">
        <w:t>’</w:t>
      </w:r>
      <w:r w:rsidRPr="00FA1A19">
        <w:t xml:space="preserve">s GST turnover </w:t>
      </w:r>
    </w:p>
    <w:p w14:paraId="2AE0C703" w14:textId="6FA55431" w:rsidR="00D51E0B" w:rsidRPr="00FA1A19" w:rsidRDefault="00D51E0B" w:rsidP="00657003">
      <w:pPr>
        <w:pStyle w:val="Bullet"/>
      </w:pPr>
      <w:r w:rsidRPr="00FA1A19">
        <w:t>the ability of a supplier to issue valid tax invoices.</w:t>
      </w:r>
      <w:r w:rsidR="004F0A51" w:rsidRPr="00FA1A19">
        <w:t xml:space="preserve"> </w:t>
      </w:r>
    </w:p>
    <w:p w14:paraId="0C3F97EF" w14:textId="35E0A50C" w:rsidR="00D51E0B" w:rsidRPr="00FA1A19" w:rsidRDefault="00095702" w:rsidP="00364D1B">
      <w:r w:rsidRPr="00FA1A19">
        <w:t xml:space="preserve">As explained in </w:t>
      </w:r>
      <w:r w:rsidR="00372633">
        <w:t>Chapter </w:t>
      </w:r>
      <w:r w:rsidRPr="00FA1A19">
        <w:t>3, b</w:t>
      </w:r>
      <w:r w:rsidR="00D51E0B" w:rsidRPr="00FA1A19">
        <w:t xml:space="preserve">y design, there is a level of anonymity to parties transacting with crypto assets and it is this feature that causes many of the challenges with applying GST law. </w:t>
      </w:r>
      <w:r w:rsidRPr="00FA1A19">
        <w:t>T</w:t>
      </w:r>
      <w:r w:rsidR="00D51E0B" w:rsidRPr="00FA1A19">
        <w:t xml:space="preserve">he Board has </w:t>
      </w:r>
      <w:r w:rsidRPr="00FA1A19">
        <w:t>considered</w:t>
      </w:r>
      <w:r w:rsidR="00D51E0B" w:rsidRPr="00FA1A19">
        <w:t xml:space="preserve"> how the ATO has sought to support taxpayers in applying these provisions and undertaken an analysis of the feedback received in relation to the administrative treatments applied and the limitations of those treatments as a result of legislative constraints.</w:t>
      </w:r>
      <w:r w:rsidR="00D51E0B" w:rsidRPr="00170ADC">
        <w:rPr>
          <w:rStyle w:val="FootnoteReference"/>
        </w:rPr>
        <w:t xml:space="preserve"> </w:t>
      </w:r>
    </w:p>
    <w:p w14:paraId="677F8CBD" w14:textId="77777777" w:rsidR="00D51E0B" w:rsidRPr="00FA1A19" w:rsidRDefault="00D51E0B" w:rsidP="0069352C">
      <w:pPr>
        <w:pStyle w:val="Heading4"/>
      </w:pPr>
      <w:r w:rsidRPr="00FA1A19">
        <w:t>Connection with the indirect tax zone (Australia)</w:t>
      </w:r>
    </w:p>
    <w:p w14:paraId="23472353" w14:textId="77777777" w:rsidR="00D51E0B" w:rsidRPr="00FA1A19" w:rsidRDefault="00D51E0B" w:rsidP="00364D1B">
      <w:r w:rsidRPr="00FA1A19">
        <w:t xml:space="preserve">One of the requisite characteristics of a taxable supply is a connection with the indirect tax zone (for ease of reference, Australia). </w:t>
      </w:r>
    </w:p>
    <w:p w14:paraId="7B22F9DF" w14:textId="77777777" w:rsidR="00D51E0B" w:rsidRPr="00FA1A19" w:rsidRDefault="00D51E0B" w:rsidP="00364D1B">
      <w:r w:rsidRPr="00FA1A19">
        <w:t>A supply of anything other than goods or real property (which would include crypto assets) is considered to be connected with Australia if:</w:t>
      </w:r>
    </w:p>
    <w:p w14:paraId="07D8CE3C" w14:textId="77777777" w:rsidR="00D51E0B" w:rsidRPr="00FA1A19" w:rsidRDefault="00D51E0B" w:rsidP="0069352C">
      <w:pPr>
        <w:pStyle w:val="OutlineNumbered2"/>
        <w:numPr>
          <w:ilvl w:val="1"/>
          <w:numId w:val="24"/>
        </w:numPr>
      </w:pPr>
      <w:r w:rsidRPr="00FA1A19">
        <w:t>the thing is done in Australia; or</w:t>
      </w:r>
    </w:p>
    <w:p w14:paraId="236C8EC4" w14:textId="77777777" w:rsidR="00D51E0B" w:rsidRPr="00FA1A19" w:rsidRDefault="00D51E0B" w:rsidP="00C627A2">
      <w:pPr>
        <w:pStyle w:val="OutlineNumbered2"/>
        <w:numPr>
          <w:ilvl w:val="1"/>
          <w:numId w:val="23"/>
        </w:numPr>
      </w:pPr>
      <w:r w:rsidRPr="00FA1A19">
        <w:t>the supply is made through an enterprise that the supplier carries on in Australia; or</w:t>
      </w:r>
    </w:p>
    <w:p w14:paraId="16ADCD2C" w14:textId="77777777" w:rsidR="00D51E0B" w:rsidRPr="00FA1A19" w:rsidRDefault="00D51E0B" w:rsidP="00C627A2">
      <w:pPr>
        <w:pStyle w:val="OutlineNumbered2"/>
        <w:numPr>
          <w:ilvl w:val="1"/>
          <w:numId w:val="23"/>
        </w:numPr>
      </w:pPr>
      <w:r w:rsidRPr="00FA1A19">
        <w:t>all of the following apply:</w:t>
      </w:r>
    </w:p>
    <w:p w14:paraId="24A4CDE7" w14:textId="77777777" w:rsidR="00D51E0B" w:rsidRPr="00FA1A19" w:rsidRDefault="00D51E0B" w:rsidP="00C627A2">
      <w:pPr>
        <w:pStyle w:val="OutlineNumbered2"/>
        <w:numPr>
          <w:ilvl w:val="2"/>
          <w:numId w:val="23"/>
        </w:numPr>
      </w:pPr>
      <w:r w:rsidRPr="00FA1A19">
        <w:t>neither (a) nor (b) applies in respect of the thing</w:t>
      </w:r>
    </w:p>
    <w:p w14:paraId="617BE43E" w14:textId="77777777" w:rsidR="00D51E0B" w:rsidRPr="00FA1A19" w:rsidRDefault="00D51E0B" w:rsidP="00C627A2">
      <w:pPr>
        <w:pStyle w:val="OutlineNumbered2"/>
        <w:numPr>
          <w:ilvl w:val="2"/>
          <w:numId w:val="23"/>
        </w:numPr>
      </w:pPr>
      <w:r w:rsidRPr="00FA1A19">
        <w:t>the thing is a right or option to acquire another thing;</w:t>
      </w:r>
    </w:p>
    <w:p w14:paraId="68F009BE" w14:textId="77777777" w:rsidR="00D51E0B" w:rsidRPr="00FA1A19" w:rsidRDefault="00D51E0B" w:rsidP="00C627A2">
      <w:pPr>
        <w:pStyle w:val="OutlineNumbered2"/>
        <w:numPr>
          <w:ilvl w:val="2"/>
          <w:numId w:val="23"/>
        </w:numPr>
      </w:pPr>
      <w:r w:rsidRPr="00FA1A19">
        <w:t>the supply of the other thing would be connected with Australia; or</w:t>
      </w:r>
    </w:p>
    <w:p w14:paraId="5BB2BB74" w14:textId="77777777" w:rsidR="00D51E0B" w:rsidRPr="00FA1A19" w:rsidRDefault="00D51E0B" w:rsidP="00706ED9">
      <w:pPr>
        <w:pStyle w:val="OutlineNumbered2"/>
        <w:numPr>
          <w:ilvl w:val="1"/>
          <w:numId w:val="23"/>
        </w:numPr>
      </w:pPr>
      <w:r w:rsidRPr="00FA1A19">
        <w:t>the recipient is an Australian consumer.</w:t>
      </w:r>
      <w:r w:rsidRPr="00170ADC">
        <w:rPr>
          <w:rStyle w:val="FootnoteReference"/>
        </w:rPr>
        <w:footnoteReference w:id="569"/>
      </w:r>
    </w:p>
    <w:p w14:paraId="72CE2D86" w14:textId="56A50E87" w:rsidR="00D51E0B" w:rsidRPr="00FA1A19" w:rsidRDefault="00D51E0B" w:rsidP="00364D1B">
      <w:r w:rsidRPr="00FA1A19">
        <w:t xml:space="preserve">An entity will generally be able to identify where they are undertaking a transaction and where their enterprise is being carried on. </w:t>
      </w:r>
      <w:r w:rsidR="001471C8" w:rsidRPr="00FA1A19">
        <w:t>However,</w:t>
      </w:r>
      <w:r w:rsidRPr="00FA1A19">
        <w:t xml:space="preserve"> it will still be necessary to determine if the supply is connected to Australia and whether the recipient is an Australian consumer.</w:t>
      </w:r>
      <w:r w:rsidR="004F0A51" w:rsidRPr="00FA1A19">
        <w:t xml:space="preserve"> </w:t>
      </w:r>
      <w:r w:rsidRPr="00FA1A19">
        <w:t>The nature of crypto assets means that it is often not possible to identify the recipient of a transaction and/or where that recipient is located.</w:t>
      </w:r>
    </w:p>
    <w:p w14:paraId="6AB56C75" w14:textId="366BF701" w:rsidR="00D51E0B" w:rsidRPr="00FA1A19" w:rsidRDefault="00D51E0B" w:rsidP="00364D1B">
      <w:r w:rsidRPr="00FA1A19">
        <w:t>The GST Act defines an entity as being an Australian consumer of a supply if it is: an Australian resident; and it is not registered for GST or does not acquire the supply for the purposes of an enterprise it carries on.</w:t>
      </w:r>
      <w:r w:rsidRPr="00170ADC">
        <w:rPr>
          <w:rStyle w:val="FootnoteReference"/>
        </w:rPr>
        <w:footnoteReference w:id="570"/>
      </w:r>
      <w:r w:rsidR="004F0A51" w:rsidRPr="00FA1A19">
        <w:t xml:space="preserve"> </w:t>
      </w:r>
      <w:r w:rsidRPr="00FA1A19">
        <w:t>The GST Act further sets out the reasonable steps that are required to determine that an entity is not to be treated as an Australian consumer.</w:t>
      </w:r>
      <w:r w:rsidRPr="00170ADC">
        <w:rPr>
          <w:rStyle w:val="FootnoteReference"/>
        </w:rPr>
        <w:footnoteReference w:id="571"/>
      </w:r>
      <w:r w:rsidRPr="00FA1A19">
        <w:t xml:space="preserve"> This conclusion can be drawn where: </w:t>
      </w:r>
    </w:p>
    <w:p w14:paraId="4D0EAB3B" w14:textId="4A520579" w:rsidR="00D51E0B" w:rsidRPr="00FA1A19" w:rsidRDefault="00D51E0B" w:rsidP="00657003">
      <w:pPr>
        <w:pStyle w:val="Bullet"/>
      </w:pPr>
      <w:r w:rsidRPr="00FA1A19">
        <w:t>particular evidentiary requirements have been satisfied</w:t>
      </w:r>
    </w:p>
    <w:p w14:paraId="46CBD165" w14:textId="77777777" w:rsidR="00D51E0B" w:rsidRPr="00FA1A19" w:rsidRDefault="00D51E0B" w:rsidP="00657003">
      <w:pPr>
        <w:pStyle w:val="Bullet"/>
      </w:pPr>
      <w:r w:rsidRPr="00FA1A19">
        <w:t xml:space="preserve">there is a reasonable belief that the recipient is not an Australian consumer. </w:t>
      </w:r>
    </w:p>
    <w:p w14:paraId="142CFD2A" w14:textId="5AF2D31C" w:rsidR="00D51E0B" w:rsidRPr="00FA1A19" w:rsidRDefault="00D51E0B" w:rsidP="00E23D88">
      <w:r w:rsidRPr="00FA1A19">
        <w:t xml:space="preserve">GST Ruling </w:t>
      </w:r>
      <w:hyperlink r:id="rId63" w:history="1">
        <w:r w:rsidRPr="00FA1A19">
          <w:rPr>
            <w:rStyle w:val="Hyperlink"/>
          </w:rPr>
          <w:t>GSTR 2017/1</w:t>
        </w:r>
      </w:hyperlink>
      <w:r w:rsidRPr="00FA1A19">
        <w:t xml:space="preserve"> </w:t>
      </w:r>
      <w:r w:rsidRPr="00813896">
        <w:rPr>
          <w:rStyle w:val="Emphasis"/>
        </w:rPr>
        <w:t xml:space="preserve">Goods and services tax: making cross border supplies to Australian consumers </w:t>
      </w:r>
      <w:r w:rsidRPr="00FA1A19">
        <w:t>(GSTR 2017/1) provides guidance in relation to the steps that a business should take in making this determination. The ruling sets out that it can be founded upon a recipient not satisfying either the residency element or consumer element. The ruling provides a listing of various evidence that the Commissioner will accept supporting a conclusion about a recipient</w:t>
      </w:r>
      <w:r w:rsidR="00F75232">
        <w:t>’</w:t>
      </w:r>
      <w:r w:rsidRPr="00FA1A19">
        <w:t>s residency. The Board notes however that this list, which includes information specific to the entity such as their addresses, bank details, phone numbers, origin of correspondence, tracking/geolocation software etc, represents information that is unlikely to be available to the supplier in many crypto asset transactions. In EY</w:t>
      </w:r>
      <w:r w:rsidR="00F75232">
        <w:t>’</w:t>
      </w:r>
      <w:r w:rsidRPr="00FA1A19">
        <w:t xml:space="preserve">s submission, they noted that clarification is required around what constitutes satisfying </w:t>
      </w:r>
      <w:r w:rsidR="00F75232">
        <w:t>‘</w:t>
      </w:r>
      <w:r w:rsidRPr="00FA1A19">
        <w:t>particular evidentiary requirements</w:t>
      </w:r>
      <w:r w:rsidR="00F75232">
        <w:t>’</w:t>
      </w:r>
      <w:r w:rsidRPr="00FA1A19">
        <w:t xml:space="preserve"> as discussed in GSTR 2017/1 when the inherent nature of distributed ledger technology means the identity (beyond the users</w:t>
      </w:r>
      <w:r w:rsidR="00F75232">
        <w:t>’</w:t>
      </w:r>
      <w:r w:rsidRPr="00FA1A19">
        <w:t xml:space="preserve"> public key) and residence of a consumer are not able to be obtained.</w:t>
      </w:r>
      <w:r w:rsidRPr="00170ADC">
        <w:rPr>
          <w:rStyle w:val="FootnoteReference"/>
        </w:rPr>
        <w:footnoteReference w:id="572"/>
      </w:r>
    </w:p>
    <w:p w14:paraId="1CF8F632" w14:textId="189B86A0" w:rsidR="00D51E0B" w:rsidRPr="00FA1A19" w:rsidRDefault="00181B68" w:rsidP="0069352C">
      <w:pPr>
        <w:pStyle w:val="Heading4"/>
      </w:pPr>
      <w:r>
        <w:t>GST</w:t>
      </w:r>
      <w:r w:rsidR="00F75232">
        <w:noBreakHyphen/>
      </w:r>
      <w:r>
        <w:t>free</w:t>
      </w:r>
      <w:r w:rsidR="00D51E0B" w:rsidRPr="00FA1A19">
        <w:t xml:space="preserve"> supplies</w:t>
      </w:r>
    </w:p>
    <w:p w14:paraId="1609B003" w14:textId="361C7D4C" w:rsidR="00D51E0B" w:rsidRPr="00FA1A19" w:rsidRDefault="00D51E0B" w:rsidP="00364D1B">
      <w:r w:rsidRPr="00FA1A19">
        <w:t xml:space="preserve">As set out above, a supply will be </w:t>
      </w:r>
      <w:r w:rsidR="00181B68">
        <w:t>GST</w:t>
      </w:r>
      <w:r w:rsidR="00F75232">
        <w:noBreakHyphen/>
      </w:r>
      <w:r w:rsidR="00181B68">
        <w:t>free</w:t>
      </w:r>
      <w:r w:rsidRPr="00FA1A19">
        <w:t xml:space="preserve"> where (among other things) it is made to a non</w:t>
      </w:r>
      <w:r w:rsidR="00F75232">
        <w:noBreakHyphen/>
      </w:r>
      <w:r w:rsidRPr="00FA1A19">
        <w:t>resident outside Australia, or is used or enjoyed outside Australia.</w:t>
      </w:r>
    </w:p>
    <w:p w14:paraId="0CB22062" w14:textId="13FF458F" w:rsidR="00D51E0B" w:rsidRPr="00FA1A19" w:rsidRDefault="00D51E0B" w:rsidP="00364D1B">
      <w:r w:rsidRPr="00FA1A19">
        <w:t>ATO web guidance provides that where the counterparty to a transaction cannot be identified, the location of the exchange can be used to identify the counterparty</w:t>
      </w:r>
      <w:r w:rsidR="00F75232">
        <w:t>’</w:t>
      </w:r>
      <w:r w:rsidRPr="00FA1A19">
        <w:t>s residence:</w:t>
      </w:r>
    </w:p>
    <w:p w14:paraId="28911968" w14:textId="2AD01C65" w:rsidR="00D51E0B" w:rsidRPr="00FA1A19" w:rsidRDefault="00D51E0B" w:rsidP="00EE60B2">
      <w:pPr>
        <w:pStyle w:val="Quote"/>
      </w:pPr>
      <w:r w:rsidRPr="00FA1A19">
        <w:t>If you trade digital currency in exchange for money or digital currency with a non</w:t>
      </w:r>
      <w:r w:rsidR="00F75232">
        <w:noBreakHyphen/>
      </w:r>
      <w:r w:rsidRPr="00FA1A19">
        <w:t>resident w</w:t>
      </w:r>
      <w:r w:rsidR="00BE4846" w:rsidRPr="00FA1A19">
        <w:t>h</w:t>
      </w:r>
      <w:r w:rsidRPr="00FA1A19">
        <w:t>o isn</w:t>
      </w:r>
      <w:r w:rsidR="00F75232">
        <w:t>’</w:t>
      </w:r>
      <w:r w:rsidRPr="00FA1A19">
        <w:t>t located in Australia, your supply will be </w:t>
      </w:r>
      <w:hyperlink r:id="rId64" w:history="1">
        <w:r w:rsidRPr="00FA1A19">
          <w:t>GST</w:t>
        </w:r>
        <w:r w:rsidR="00F75232">
          <w:noBreakHyphen/>
        </w:r>
        <w:r w:rsidRPr="00FA1A19">
          <w:t>free</w:t>
        </w:r>
      </w:hyperlink>
      <w:r w:rsidRPr="00FA1A19">
        <w:t>.</w:t>
      </w:r>
    </w:p>
    <w:p w14:paraId="61888166" w14:textId="3D536E4B" w:rsidR="00D51E0B" w:rsidRPr="00FA1A19" w:rsidRDefault="00D51E0B" w:rsidP="00EE60B2">
      <w:pPr>
        <w:pStyle w:val="Quote"/>
      </w:pPr>
      <w:r w:rsidRPr="00FA1A19">
        <w:t>If you trade digital currency through a digital currency exchange and y</w:t>
      </w:r>
      <w:r w:rsidR="00B42956" w:rsidRPr="00FA1A19">
        <w:t>o</w:t>
      </w:r>
      <w:r w:rsidRPr="00FA1A19">
        <w:t>u can</w:t>
      </w:r>
      <w:r w:rsidR="00F75232">
        <w:t>’</w:t>
      </w:r>
      <w:r w:rsidRPr="00FA1A19">
        <w:t>t identify the counterparty, you may use the location of the digital currency exchange to treat a supply as GST</w:t>
      </w:r>
      <w:r w:rsidR="00F75232">
        <w:noBreakHyphen/>
      </w:r>
      <w:r w:rsidRPr="00FA1A19">
        <w:t>free if the exchange is not located in Australia.</w:t>
      </w:r>
      <w:r w:rsidRPr="00170ADC">
        <w:rPr>
          <w:rStyle w:val="FootnoteReference"/>
        </w:rPr>
        <w:footnoteReference w:id="573"/>
      </w:r>
    </w:p>
    <w:p w14:paraId="4CD8FEFE" w14:textId="5CFE3F8E" w:rsidR="00D51E0B" w:rsidRPr="00FA1A19" w:rsidRDefault="00D51E0B" w:rsidP="00EE60B2">
      <w:r w:rsidRPr="00FA1A19">
        <w:t>While this may provide some assistance to taxpayers, it does not provide a broad basis for determining the location of a recipient, particularly where transactions are not taking place through an exchange, such as through a direct peer</w:t>
      </w:r>
      <w:r w:rsidR="00F75232">
        <w:noBreakHyphen/>
      </w:r>
      <w:r w:rsidRPr="00FA1A19">
        <w:t>to</w:t>
      </w:r>
      <w:r w:rsidR="00F75232">
        <w:noBreakHyphen/>
      </w:r>
      <w:r w:rsidRPr="00FA1A19">
        <w:t>peer arrangement or via a brokerage arrangement.</w:t>
      </w:r>
      <w:r w:rsidR="004F0A51" w:rsidRPr="00FA1A19">
        <w:t xml:space="preserve"> </w:t>
      </w:r>
      <w:r w:rsidRPr="00FA1A19">
        <w:t>It is also noted that such web guidance is non</w:t>
      </w:r>
      <w:r w:rsidR="00F75232">
        <w:noBreakHyphen/>
      </w:r>
      <w:r w:rsidRPr="00FA1A19">
        <w:t xml:space="preserve">binding and hence provides limited taxpayer protection (refer </w:t>
      </w:r>
      <w:r w:rsidR="00372633">
        <w:t>Chapter </w:t>
      </w:r>
      <w:r w:rsidR="00E200E3" w:rsidRPr="00FA1A19">
        <w:t>6</w:t>
      </w:r>
      <w:r w:rsidRPr="00FA1A19">
        <w:t>).</w:t>
      </w:r>
    </w:p>
    <w:p w14:paraId="3BBB476A" w14:textId="77777777" w:rsidR="00D51E0B" w:rsidRPr="00FA1A19" w:rsidRDefault="00D51E0B" w:rsidP="00EB09BD">
      <w:pPr>
        <w:keepNext/>
      </w:pPr>
      <w:r w:rsidRPr="00FA1A19">
        <w:t xml:space="preserve">The current position is summarised in the following table: </w:t>
      </w:r>
    </w:p>
    <w:tbl>
      <w:tblPr>
        <w:tblStyle w:val="ListTable3-Accent1"/>
        <w:tblW w:w="5000" w:type="pct"/>
        <w:tblBorders>
          <w:insideH w:val="single" w:sz="4" w:space="0" w:color="142147" w:themeColor="accent1"/>
          <w:insideV w:val="single" w:sz="4" w:space="0" w:color="142147" w:themeColor="accent1"/>
        </w:tblBorders>
        <w:tblLook w:val="04A0" w:firstRow="1" w:lastRow="0" w:firstColumn="1" w:lastColumn="0" w:noHBand="0" w:noVBand="1"/>
      </w:tblPr>
      <w:tblGrid>
        <w:gridCol w:w="3210"/>
        <w:gridCol w:w="3210"/>
        <w:gridCol w:w="3211"/>
      </w:tblGrid>
      <w:tr w:rsidR="00D51E0B" w:rsidRPr="00FA1A19" w14:paraId="25EE13C2" w14:textId="77777777" w:rsidTr="00EB09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6" w:type="pct"/>
            <w:tcBorders>
              <w:bottom w:val="none" w:sz="0" w:space="0" w:color="auto"/>
              <w:right w:val="none" w:sz="0" w:space="0" w:color="auto"/>
            </w:tcBorders>
          </w:tcPr>
          <w:p w14:paraId="1AAF91FD" w14:textId="77777777" w:rsidR="00D51E0B" w:rsidRPr="00FA1A19" w:rsidRDefault="00D51E0B" w:rsidP="00657003">
            <w:pPr>
              <w:pStyle w:val="TableColumnHeadingLeft"/>
            </w:pPr>
            <w:r w:rsidRPr="00FA1A19">
              <w:rPr>
                <w:lang w:eastAsia="en-US"/>
              </w:rPr>
              <w:t>Transaction undertaken</w:t>
            </w:r>
          </w:p>
        </w:tc>
        <w:tc>
          <w:tcPr>
            <w:tcW w:w="1666" w:type="pct"/>
          </w:tcPr>
          <w:p w14:paraId="5C8060A3" w14:textId="77777777" w:rsidR="00D51E0B" w:rsidRPr="00FA1A19" w:rsidRDefault="00D51E0B" w:rsidP="00657003">
            <w:pPr>
              <w:pStyle w:val="TableColumnHeadingLeft"/>
              <w:cnfStyle w:val="100000000000" w:firstRow="1" w:lastRow="0" w:firstColumn="0" w:lastColumn="0" w:oddVBand="0" w:evenVBand="0" w:oddHBand="0" w:evenHBand="0" w:firstRowFirstColumn="0" w:firstRowLastColumn="0" w:lastRowFirstColumn="0" w:lastRowLastColumn="0"/>
            </w:pPr>
            <w:r w:rsidRPr="00FA1A19">
              <w:rPr>
                <w:lang w:eastAsia="en-US"/>
              </w:rPr>
              <w:t>Is the recipient known?</w:t>
            </w:r>
          </w:p>
        </w:tc>
        <w:tc>
          <w:tcPr>
            <w:tcW w:w="1667" w:type="pct"/>
          </w:tcPr>
          <w:p w14:paraId="0C07E522" w14:textId="2E754DD3" w:rsidR="00D51E0B" w:rsidRPr="00FA1A19" w:rsidRDefault="00D51E0B" w:rsidP="00657003">
            <w:pPr>
              <w:pStyle w:val="TableColumnHeadingLeft"/>
              <w:cnfStyle w:val="100000000000" w:firstRow="1" w:lastRow="0" w:firstColumn="0" w:lastColumn="0" w:oddVBand="0" w:evenVBand="0" w:oddHBand="0" w:evenHBand="0" w:firstRowFirstColumn="0" w:firstRowLastColumn="0" w:lastRowFirstColumn="0" w:lastRowLastColumn="0"/>
            </w:pPr>
            <w:r w:rsidRPr="00FA1A19">
              <w:rPr>
                <w:lang w:eastAsia="en-US"/>
              </w:rPr>
              <w:t>GST treatment of supply</w:t>
            </w:r>
          </w:p>
        </w:tc>
      </w:tr>
      <w:tr w:rsidR="00D51E0B" w:rsidRPr="00FA1A19" w14:paraId="291A72B1"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bottom w:val="none" w:sz="0" w:space="0" w:color="auto"/>
              <w:right w:val="none" w:sz="0" w:space="0" w:color="auto"/>
            </w:tcBorders>
          </w:tcPr>
          <w:p w14:paraId="3978BB1D" w14:textId="799157C9" w:rsidR="00D51E0B" w:rsidRPr="00FA1A19" w:rsidRDefault="00D51E0B" w:rsidP="00657003">
            <w:pPr>
              <w:pStyle w:val="TableTextLeft"/>
              <w:rPr>
                <w:lang w:eastAsia="en-US"/>
              </w:rPr>
            </w:pPr>
            <w:r w:rsidRPr="00FA1A19">
              <w:rPr>
                <w:lang w:eastAsia="en-US"/>
              </w:rPr>
              <w:t>No intermediary (peer</w:t>
            </w:r>
            <w:r w:rsidR="00485D4E">
              <w:rPr>
                <w:lang w:eastAsia="en-US"/>
              </w:rPr>
              <w:t>-</w:t>
            </w:r>
            <w:r w:rsidRPr="00FA1A19">
              <w:rPr>
                <w:lang w:eastAsia="en-US"/>
              </w:rPr>
              <w:t>to</w:t>
            </w:r>
            <w:r w:rsidR="00485D4E">
              <w:rPr>
                <w:lang w:eastAsia="en-US"/>
              </w:rPr>
              <w:t>-</w:t>
            </w:r>
            <w:r w:rsidRPr="00FA1A19">
              <w:rPr>
                <w:lang w:eastAsia="en-US"/>
              </w:rPr>
              <w:t>peer)</w:t>
            </w:r>
          </w:p>
        </w:tc>
        <w:tc>
          <w:tcPr>
            <w:tcW w:w="1666" w:type="pct"/>
            <w:tcBorders>
              <w:top w:val="none" w:sz="0" w:space="0" w:color="auto"/>
              <w:bottom w:val="none" w:sz="0" w:space="0" w:color="auto"/>
            </w:tcBorders>
          </w:tcPr>
          <w:p w14:paraId="67AF25DE" w14:textId="77777777" w:rsidR="00D51E0B" w:rsidRPr="00FA1A19" w:rsidRDefault="00D51E0B" w:rsidP="00657003">
            <w:pPr>
              <w:pStyle w:val="TableTextLeft"/>
              <w:cnfStyle w:val="000000100000" w:firstRow="0" w:lastRow="0" w:firstColumn="0" w:lastColumn="0" w:oddVBand="0" w:evenVBand="0" w:oddHBand="1" w:evenHBand="0" w:firstRowFirstColumn="0" w:firstRowLastColumn="0" w:lastRowFirstColumn="0" w:lastRowLastColumn="0"/>
              <w:rPr>
                <w:lang w:eastAsia="en-US"/>
              </w:rPr>
            </w:pPr>
            <w:r w:rsidRPr="00FA1A19">
              <w:rPr>
                <w:lang w:eastAsia="en-US"/>
              </w:rPr>
              <w:t>No</w:t>
            </w:r>
          </w:p>
        </w:tc>
        <w:tc>
          <w:tcPr>
            <w:tcW w:w="1667" w:type="pct"/>
            <w:tcBorders>
              <w:top w:val="none" w:sz="0" w:space="0" w:color="auto"/>
              <w:bottom w:val="none" w:sz="0" w:space="0" w:color="auto"/>
            </w:tcBorders>
          </w:tcPr>
          <w:p w14:paraId="454CA9CA" w14:textId="3A09D1A8" w:rsidR="00D51E0B" w:rsidRPr="00FA1A19" w:rsidRDefault="00D51E0B" w:rsidP="00657003">
            <w:pPr>
              <w:pStyle w:val="TableTextLeft"/>
              <w:cnfStyle w:val="000000100000" w:firstRow="0" w:lastRow="0" w:firstColumn="0" w:lastColumn="0" w:oddVBand="0" w:evenVBand="0" w:oddHBand="1" w:evenHBand="0" w:firstRowFirstColumn="0" w:firstRowLastColumn="0" w:lastRowFirstColumn="0" w:lastRowLastColumn="0"/>
              <w:rPr>
                <w:lang w:eastAsia="en-US"/>
              </w:rPr>
            </w:pPr>
            <w:r w:rsidRPr="00FA1A19">
              <w:rPr>
                <w:lang w:eastAsia="en-US"/>
              </w:rPr>
              <w:t>Indeterminate (location of recipient unknown)</w:t>
            </w:r>
          </w:p>
        </w:tc>
      </w:tr>
      <w:tr w:rsidR="00D51E0B" w:rsidRPr="00FA1A19" w14:paraId="7C8D7BB4" w14:textId="77777777" w:rsidTr="00EB09BD">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76AEAEA3" w14:textId="77777777" w:rsidR="00D51E0B" w:rsidRPr="00FA1A19" w:rsidRDefault="00D51E0B" w:rsidP="00657003">
            <w:pPr>
              <w:pStyle w:val="TableTextLeft"/>
              <w:rPr>
                <w:lang w:eastAsia="en-US"/>
              </w:rPr>
            </w:pPr>
            <w:r w:rsidRPr="00FA1A19">
              <w:rPr>
                <w:lang w:eastAsia="en-US"/>
              </w:rPr>
              <w:t>Transact through Australian exchange</w:t>
            </w:r>
          </w:p>
        </w:tc>
        <w:tc>
          <w:tcPr>
            <w:tcW w:w="1666" w:type="pct"/>
          </w:tcPr>
          <w:p w14:paraId="266EA837" w14:textId="77777777" w:rsidR="00D51E0B" w:rsidRPr="00FA1A19" w:rsidRDefault="00D51E0B" w:rsidP="00657003">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FA1A19">
              <w:rPr>
                <w:lang w:eastAsia="en-US"/>
              </w:rPr>
              <w:t>Yes (Australian exchanges subject to KYC</w:t>
            </w:r>
            <w:r w:rsidRPr="00170ADC">
              <w:rPr>
                <w:rStyle w:val="FootnoteReference"/>
              </w:rPr>
              <w:footnoteReference w:id="574"/>
            </w:r>
            <w:r w:rsidRPr="00FA1A19">
              <w:rPr>
                <w:lang w:eastAsia="en-US"/>
              </w:rPr>
              <w:t xml:space="preserve"> protocols)</w:t>
            </w:r>
          </w:p>
        </w:tc>
        <w:tc>
          <w:tcPr>
            <w:tcW w:w="1667" w:type="pct"/>
          </w:tcPr>
          <w:p w14:paraId="7E380956" w14:textId="1B404399" w:rsidR="00D51E0B" w:rsidRPr="00FA1A19" w:rsidRDefault="00D51E0B" w:rsidP="00657003">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FA1A19">
              <w:rPr>
                <w:lang w:eastAsia="en-US"/>
              </w:rPr>
              <w:t>Input</w:t>
            </w:r>
            <w:r w:rsidR="00F75232">
              <w:rPr>
                <w:lang w:eastAsia="en-US"/>
              </w:rPr>
              <w:noBreakHyphen/>
            </w:r>
            <w:r w:rsidRPr="00FA1A19">
              <w:rPr>
                <w:lang w:eastAsia="en-US"/>
              </w:rPr>
              <w:t>taxed for Australian recipients</w:t>
            </w:r>
          </w:p>
          <w:p w14:paraId="46CB33C2" w14:textId="0EC721D5" w:rsidR="00D51E0B" w:rsidRPr="00FA1A19" w:rsidRDefault="00181B68" w:rsidP="00657003">
            <w:pPr>
              <w:pStyle w:val="TableText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GST</w:t>
            </w:r>
            <w:r w:rsidR="00F75232">
              <w:rPr>
                <w:lang w:eastAsia="en-US"/>
              </w:rPr>
              <w:noBreakHyphen/>
            </w:r>
            <w:r>
              <w:rPr>
                <w:lang w:eastAsia="en-US"/>
              </w:rPr>
              <w:t>free</w:t>
            </w:r>
            <w:r w:rsidR="00D51E0B" w:rsidRPr="00FA1A19">
              <w:rPr>
                <w:lang w:eastAsia="en-US"/>
              </w:rPr>
              <w:t xml:space="preserve"> for non</w:t>
            </w:r>
            <w:r w:rsidR="00F75232">
              <w:rPr>
                <w:lang w:eastAsia="en-US"/>
              </w:rPr>
              <w:noBreakHyphen/>
            </w:r>
            <w:r w:rsidR="00D51E0B" w:rsidRPr="00FA1A19">
              <w:rPr>
                <w:lang w:eastAsia="en-US"/>
              </w:rPr>
              <w:t>Australian recipients</w:t>
            </w:r>
          </w:p>
        </w:tc>
      </w:tr>
      <w:tr w:rsidR="00D51E0B" w:rsidRPr="00FA1A19" w14:paraId="26C01816"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bottom w:val="none" w:sz="0" w:space="0" w:color="auto"/>
              <w:right w:val="none" w:sz="0" w:space="0" w:color="auto"/>
            </w:tcBorders>
          </w:tcPr>
          <w:p w14:paraId="5ACFAD9D" w14:textId="77777777" w:rsidR="00D51E0B" w:rsidRPr="00FA1A19" w:rsidRDefault="00D51E0B" w:rsidP="00657003">
            <w:pPr>
              <w:pStyle w:val="TableTextLeft"/>
              <w:rPr>
                <w:lang w:eastAsia="en-US"/>
              </w:rPr>
            </w:pPr>
            <w:r w:rsidRPr="00FA1A19">
              <w:rPr>
                <w:lang w:eastAsia="en-US"/>
              </w:rPr>
              <w:t>Transact through foreign exchange</w:t>
            </w:r>
          </w:p>
        </w:tc>
        <w:tc>
          <w:tcPr>
            <w:tcW w:w="1666" w:type="pct"/>
            <w:tcBorders>
              <w:top w:val="none" w:sz="0" w:space="0" w:color="auto"/>
              <w:bottom w:val="none" w:sz="0" w:space="0" w:color="auto"/>
            </w:tcBorders>
          </w:tcPr>
          <w:p w14:paraId="6C443860" w14:textId="2CE47597" w:rsidR="00D51E0B" w:rsidRPr="00FA1A19" w:rsidRDefault="00D51E0B" w:rsidP="00657003">
            <w:pPr>
              <w:pStyle w:val="TableTextLeft"/>
              <w:cnfStyle w:val="000000100000" w:firstRow="0" w:lastRow="0" w:firstColumn="0" w:lastColumn="0" w:oddVBand="0" w:evenVBand="0" w:oddHBand="1" w:evenHBand="0" w:firstRowFirstColumn="0" w:firstRowLastColumn="0" w:lastRowFirstColumn="0" w:lastRowLastColumn="0"/>
              <w:rPr>
                <w:lang w:eastAsia="en-US"/>
              </w:rPr>
            </w:pPr>
            <w:r w:rsidRPr="00FA1A19">
              <w:rPr>
                <w:lang w:eastAsia="en-US"/>
              </w:rPr>
              <w:t>No, but ATO non</w:t>
            </w:r>
            <w:r w:rsidR="00F75232">
              <w:rPr>
                <w:lang w:eastAsia="en-US"/>
              </w:rPr>
              <w:noBreakHyphen/>
            </w:r>
            <w:r w:rsidRPr="00FA1A19">
              <w:rPr>
                <w:lang w:eastAsia="en-US"/>
              </w:rPr>
              <w:t>binding guidance treats as non</w:t>
            </w:r>
            <w:r w:rsidR="00F75232">
              <w:rPr>
                <w:lang w:eastAsia="en-US"/>
              </w:rPr>
              <w:noBreakHyphen/>
            </w:r>
            <w:r w:rsidRPr="00FA1A19">
              <w:rPr>
                <w:lang w:eastAsia="en-US"/>
              </w:rPr>
              <w:t>Australian recipient</w:t>
            </w:r>
          </w:p>
        </w:tc>
        <w:tc>
          <w:tcPr>
            <w:tcW w:w="1667" w:type="pct"/>
            <w:tcBorders>
              <w:top w:val="none" w:sz="0" w:space="0" w:color="auto"/>
              <w:bottom w:val="none" w:sz="0" w:space="0" w:color="auto"/>
            </w:tcBorders>
          </w:tcPr>
          <w:p w14:paraId="10339AA3" w14:textId="6C2D5845" w:rsidR="00D51E0B" w:rsidRPr="00FA1A19" w:rsidRDefault="00181B68" w:rsidP="00657003">
            <w:pPr>
              <w:pStyle w:val="TableText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GST</w:t>
            </w:r>
            <w:r w:rsidR="00F75232">
              <w:rPr>
                <w:lang w:eastAsia="en-US"/>
              </w:rPr>
              <w:noBreakHyphen/>
            </w:r>
            <w:r>
              <w:rPr>
                <w:lang w:eastAsia="en-US"/>
              </w:rPr>
              <w:t>free</w:t>
            </w:r>
          </w:p>
        </w:tc>
      </w:tr>
      <w:tr w:rsidR="00D51E0B" w:rsidRPr="00FA1A19" w14:paraId="2E855AC5" w14:textId="77777777" w:rsidTr="00EB09BD">
        <w:tc>
          <w:tcPr>
            <w:cnfStyle w:val="001000000000" w:firstRow="0" w:lastRow="0" w:firstColumn="1" w:lastColumn="0" w:oddVBand="0" w:evenVBand="0" w:oddHBand="0" w:evenHBand="0" w:firstRowFirstColumn="0" w:firstRowLastColumn="0" w:lastRowFirstColumn="0" w:lastRowLastColumn="0"/>
            <w:tcW w:w="1666" w:type="pct"/>
            <w:tcBorders>
              <w:right w:val="none" w:sz="0" w:space="0" w:color="auto"/>
            </w:tcBorders>
          </w:tcPr>
          <w:p w14:paraId="3268D8AA" w14:textId="790E32D4" w:rsidR="00D51E0B" w:rsidRPr="00FA1A19" w:rsidRDefault="00D51E0B" w:rsidP="00657003">
            <w:pPr>
              <w:pStyle w:val="TableTextLeft"/>
              <w:rPr>
                <w:b w:val="0"/>
                <w:bCs w:val="0"/>
                <w:i/>
                <w:iCs/>
                <w:lang w:eastAsia="en-US"/>
              </w:rPr>
            </w:pPr>
            <w:r w:rsidRPr="00FA1A19">
              <w:rPr>
                <w:lang w:eastAsia="en-US"/>
              </w:rPr>
              <w:t>Transact through non</w:t>
            </w:r>
            <w:r w:rsidR="00F75232">
              <w:rPr>
                <w:lang w:eastAsia="en-US"/>
              </w:rPr>
              <w:noBreakHyphen/>
            </w:r>
            <w:r w:rsidRPr="00FA1A19">
              <w:rPr>
                <w:lang w:eastAsia="en-US"/>
              </w:rPr>
              <w:t>exchange intermediary (e.g</w:t>
            </w:r>
            <w:r w:rsidR="00266127" w:rsidRPr="00FA1A19">
              <w:rPr>
                <w:lang w:eastAsia="en-US"/>
              </w:rPr>
              <w:t>.</w:t>
            </w:r>
            <w:r w:rsidRPr="00FA1A19">
              <w:rPr>
                <w:lang w:eastAsia="en-US"/>
              </w:rPr>
              <w:t xml:space="preserve"> broker)</w:t>
            </w:r>
          </w:p>
        </w:tc>
        <w:tc>
          <w:tcPr>
            <w:tcW w:w="1666" w:type="pct"/>
          </w:tcPr>
          <w:p w14:paraId="7B4CAEF9" w14:textId="77777777" w:rsidR="00D51E0B" w:rsidRPr="00FA1A19" w:rsidRDefault="00D51E0B" w:rsidP="00657003">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FA1A19">
              <w:rPr>
                <w:lang w:eastAsia="en-US"/>
              </w:rPr>
              <w:t>No</w:t>
            </w:r>
          </w:p>
        </w:tc>
        <w:tc>
          <w:tcPr>
            <w:tcW w:w="1667" w:type="pct"/>
          </w:tcPr>
          <w:p w14:paraId="47E16FA8" w14:textId="02711C47" w:rsidR="00D51E0B" w:rsidRPr="00FA1A19" w:rsidRDefault="00D51E0B" w:rsidP="00657003">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FA1A19">
              <w:rPr>
                <w:lang w:eastAsia="en-US"/>
              </w:rPr>
              <w:t>Indeterminate (location of recipient unknown)</w:t>
            </w:r>
          </w:p>
        </w:tc>
      </w:tr>
    </w:tbl>
    <w:p w14:paraId="638FB6A6" w14:textId="77777777" w:rsidR="00D51E0B" w:rsidRPr="00FA1A19" w:rsidRDefault="00D51E0B" w:rsidP="0069352C">
      <w:pPr>
        <w:pStyle w:val="Heading4"/>
      </w:pPr>
      <w:bookmarkStart w:id="141" w:name="_Ref150957751"/>
      <w:r w:rsidRPr="00FA1A19">
        <w:t>GST turnover</w:t>
      </w:r>
      <w:bookmarkEnd w:id="141"/>
    </w:p>
    <w:p w14:paraId="1B5EF764" w14:textId="030BDBF7" w:rsidR="00D51E0B" w:rsidRPr="00FA1A19" w:rsidRDefault="00D51E0B" w:rsidP="00364D1B">
      <w:r w:rsidRPr="00FA1A19">
        <w:t xml:space="preserve">In addition to the relevant treatment for GST, determination of the </w:t>
      </w:r>
      <w:r w:rsidR="00181B68">
        <w:t>GST</w:t>
      </w:r>
      <w:r w:rsidR="00F75232">
        <w:noBreakHyphen/>
      </w:r>
      <w:r w:rsidR="00181B68">
        <w:t>free</w:t>
      </w:r>
      <w:r w:rsidRPr="00FA1A19">
        <w:t xml:space="preserve"> status of supplies is integral to being able to calculate an entity</w:t>
      </w:r>
      <w:r w:rsidR="00F75232">
        <w:t>’</w:t>
      </w:r>
      <w:r w:rsidRPr="00FA1A19">
        <w:t>s GST turnover. GST turnover is used to determine an entity</w:t>
      </w:r>
      <w:r w:rsidR="00F75232">
        <w:t>’</w:t>
      </w:r>
      <w:r w:rsidRPr="00FA1A19">
        <w:t>s registration requirements as well as GST reporting regularity, requirements for electronic lodgement and access to simplified accounting methods.</w:t>
      </w:r>
      <w:r w:rsidRPr="00170ADC">
        <w:rPr>
          <w:rStyle w:val="FootnoteReference"/>
        </w:rPr>
        <w:footnoteReference w:id="575"/>
      </w:r>
      <w:r w:rsidRPr="00FA1A19">
        <w:t xml:space="preserve"> </w:t>
      </w:r>
    </w:p>
    <w:p w14:paraId="25457F30" w14:textId="7FC850B0" w:rsidR="00D51E0B" w:rsidRPr="00FA1A19" w:rsidRDefault="00D51E0B" w:rsidP="00364D1B">
      <w:r w:rsidRPr="00FA1A19">
        <w:t>Additionally, in recent years, GST turnover has also been used to determine eligibility for non</w:t>
      </w:r>
      <w:r w:rsidR="00F75232">
        <w:noBreakHyphen/>
      </w:r>
      <w:r w:rsidRPr="00FA1A19">
        <w:t>GST related measures, for example the COVID</w:t>
      </w:r>
      <w:r w:rsidR="00F75232">
        <w:noBreakHyphen/>
      </w:r>
      <w:r w:rsidRPr="00FA1A19">
        <w:t xml:space="preserve">19 JobKeeper stimulus payments. </w:t>
      </w:r>
    </w:p>
    <w:p w14:paraId="762D0F54" w14:textId="08DBE62B" w:rsidR="00D51E0B" w:rsidRPr="00FA1A19" w:rsidRDefault="00D51E0B" w:rsidP="00364D1B">
      <w:r w:rsidRPr="00FA1A19">
        <w:t>GST turnover is calculated in relation to a single entity and represents the value of all supplies that are made in connection with an enterprise being carried on during a 12</w:t>
      </w:r>
      <w:r w:rsidR="00F75232">
        <w:noBreakHyphen/>
      </w:r>
      <w:r w:rsidRPr="00FA1A19">
        <w:t xml:space="preserve">month period, other than </w:t>
      </w:r>
      <w:r w:rsidR="002C0E42">
        <w:t>input</w:t>
      </w:r>
      <w:r w:rsidR="00F75232">
        <w:noBreakHyphen/>
      </w:r>
      <w:r w:rsidR="002C0E42">
        <w:t>taxed</w:t>
      </w:r>
      <w:r w:rsidRPr="00FA1A19">
        <w:t xml:space="preserve"> supplies and supplies that are not for consideration. </w:t>
      </w:r>
    </w:p>
    <w:p w14:paraId="39B200E1" w14:textId="77777777" w:rsidR="00D51E0B" w:rsidRPr="00FA1A19" w:rsidRDefault="00D51E0B" w:rsidP="00364D1B">
      <w:r w:rsidRPr="00FA1A19">
        <w:t>GST turnover may be considered in relation to either:</w:t>
      </w:r>
    </w:p>
    <w:p w14:paraId="7CD878D9" w14:textId="77777777" w:rsidR="00D51E0B" w:rsidRPr="00FA1A19" w:rsidRDefault="00D51E0B" w:rsidP="00657003">
      <w:pPr>
        <w:pStyle w:val="Bullet"/>
      </w:pPr>
      <w:r w:rsidRPr="00AD28CB">
        <w:rPr>
          <w:rStyle w:val="Strong"/>
        </w:rPr>
        <w:t>Current GST turnover</w:t>
      </w:r>
    </w:p>
    <w:p w14:paraId="17A1171E" w14:textId="1F27F46F" w:rsidR="00D51E0B" w:rsidRPr="00FA1A19" w:rsidRDefault="00D51E0B" w:rsidP="00077135">
      <w:pPr>
        <w:pStyle w:val="NormalIndent"/>
      </w:pPr>
      <w:r w:rsidRPr="00FA1A19">
        <w:t>Value of relevant supplies that the entity made or is likely to make during the 12 months ending at the end of that month.</w:t>
      </w:r>
      <w:r w:rsidRPr="00170ADC">
        <w:rPr>
          <w:rStyle w:val="FootnoteReference"/>
        </w:rPr>
        <w:footnoteReference w:id="576"/>
      </w:r>
    </w:p>
    <w:p w14:paraId="1A009E29" w14:textId="77777777" w:rsidR="00D51E0B" w:rsidRPr="00FA1A19" w:rsidRDefault="00D51E0B" w:rsidP="00035989">
      <w:pPr>
        <w:pStyle w:val="Bullet"/>
        <w:keepNext/>
      </w:pPr>
      <w:r w:rsidRPr="00AD28CB">
        <w:rPr>
          <w:rStyle w:val="Strong"/>
        </w:rPr>
        <w:t>Projected GST turnover</w:t>
      </w:r>
    </w:p>
    <w:p w14:paraId="24C05094" w14:textId="5A84493C" w:rsidR="00D51E0B" w:rsidRPr="00FA1A19" w:rsidRDefault="00D51E0B" w:rsidP="00077135">
      <w:pPr>
        <w:pStyle w:val="NormalIndent"/>
      </w:pPr>
      <w:r w:rsidRPr="00FA1A19">
        <w:t>Value of relevant supplies that the entity made or is likely to make during that month and the next 11</w:t>
      </w:r>
      <w:r w:rsidR="001B4233">
        <w:t> </w:t>
      </w:r>
      <w:r w:rsidRPr="00FA1A19">
        <w:t>months.</w:t>
      </w:r>
      <w:r w:rsidRPr="00170ADC">
        <w:rPr>
          <w:rStyle w:val="FootnoteReference"/>
        </w:rPr>
        <w:footnoteReference w:id="577"/>
      </w:r>
    </w:p>
    <w:p w14:paraId="00E014C3" w14:textId="57146535" w:rsidR="00D51E0B" w:rsidRPr="00FA1A19" w:rsidRDefault="00D51E0B" w:rsidP="00364D1B">
      <w:r w:rsidRPr="00FA1A19">
        <w:t>For these purposes an entity</w:t>
      </w:r>
      <w:r w:rsidR="00F75232">
        <w:t>’</w:t>
      </w:r>
      <w:r w:rsidRPr="00FA1A19">
        <w:t>s turnover will meet a relevant threshold if</w:t>
      </w:r>
      <w:r w:rsidR="008E0CF3">
        <w:t xml:space="preserve"> either of the following apply</w:t>
      </w:r>
      <w:r w:rsidRPr="00FA1A19">
        <w:t>:</w:t>
      </w:r>
    </w:p>
    <w:p w14:paraId="2F892BE5" w14:textId="4B17EDEB" w:rsidR="00D51E0B" w:rsidRPr="00FA1A19" w:rsidRDefault="00D51E0B" w:rsidP="00657003">
      <w:pPr>
        <w:pStyle w:val="Bullet"/>
      </w:pPr>
      <w:r w:rsidRPr="00FA1A19">
        <w:t>current GST turnover is at or above the relevant threshold, and the Commissioner is not satisfied that projected turnover is below the relevant threshold</w:t>
      </w:r>
    </w:p>
    <w:p w14:paraId="3C65CCBB" w14:textId="77777777" w:rsidR="00D51E0B" w:rsidRPr="00FA1A19" w:rsidRDefault="00D51E0B" w:rsidP="00657003">
      <w:pPr>
        <w:pStyle w:val="Bullet"/>
      </w:pPr>
      <w:r w:rsidRPr="00FA1A19">
        <w:t xml:space="preserve">projected GST turnover is at or above the turnover threshold. </w:t>
      </w:r>
    </w:p>
    <w:p w14:paraId="286BED6D" w14:textId="30CA6E50" w:rsidR="00D51E0B" w:rsidRPr="00FA1A19" w:rsidRDefault="00D51E0B" w:rsidP="00364D1B">
      <w:r w:rsidRPr="00FA1A19">
        <w:t>The registration turnover threshold is currently set out in the GST Regulations as $150,000 for non</w:t>
      </w:r>
      <w:r w:rsidR="00F75232">
        <w:noBreakHyphen/>
      </w:r>
      <w:r w:rsidRPr="00FA1A19">
        <w:t>profit bodies and $75,000 for all other entities.</w:t>
      </w:r>
      <w:r w:rsidRPr="00170ADC">
        <w:rPr>
          <w:rStyle w:val="FootnoteReference"/>
        </w:rPr>
        <w:footnoteReference w:id="578"/>
      </w:r>
    </w:p>
    <w:p w14:paraId="4F803554" w14:textId="55F5EAFC" w:rsidR="00D51E0B" w:rsidRPr="00FA1A19" w:rsidRDefault="00D51E0B" w:rsidP="00364D1B">
      <w:r w:rsidRPr="00FA1A19">
        <w:t>The inability of an entity to determine whether a supply is GST</w:t>
      </w:r>
      <w:r w:rsidR="00F75232">
        <w:noBreakHyphen/>
      </w:r>
      <w:r w:rsidRPr="00FA1A19">
        <w:t>free or input</w:t>
      </w:r>
      <w:r w:rsidR="00F75232">
        <w:noBreakHyphen/>
      </w:r>
      <w:r w:rsidRPr="00FA1A19">
        <w:t>taxed, due to the recipient</w:t>
      </w:r>
      <w:r w:rsidR="00F75232">
        <w:t>’</w:t>
      </w:r>
      <w:r w:rsidRPr="00FA1A19">
        <w:t>s location being unknown or unable to be confirmed</w:t>
      </w:r>
      <w:r w:rsidR="00452056" w:rsidRPr="00FA1A19">
        <w:t>,</w:t>
      </w:r>
      <w:r w:rsidRPr="00FA1A19">
        <w:t xml:space="preserve"> makes it difficult, if not impossible, for an entity to calculate its GST turnover and therefore to determine its full GST obligations. </w:t>
      </w:r>
    </w:p>
    <w:p w14:paraId="048AC357" w14:textId="144F2FA7" w:rsidR="00D51E0B" w:rsidRPr="00FA1A19" w:rsidRDefault="00D51E0B" w:rsidP="00364D1B">
      <w:r w:rsidRPr="00FA1A19">
        <w:t xml:space="preserve">In a practical sense, the GST consequences of digital currency being treated as </w:t>
      </w:r>
      <w:r w:rsidR="00181B68">
        <w:t>GST</w:t>
      </w:r>
      <w:r w:rsidR="00F75232">
        <w:noBreakHyphen/>
      </w:r>
      <w:r w:rsidR="00181B68">
        <w:t>free</w:t>
      </w:r>
      <w:r w:rsidRPr="00FA1A19">
        <w:t xml:space="preserve"> or input</w:t>
      </w:r>
      <w:r w:rsidR="00F75232">
        <w:noBreakHyphen/>
      </w:r>
      <w:r w:rsidRPr="00FA1A19">
        <w:t>taxed is largely the same</w:t>
      </w:r>
      <w:r w:rsidR="00060B69" w:rsidRPr="00FA1A19">
        <w:t>. Under both treatments,</w:t>
      </w:r>
      <w:r w:rsidR="004F0A51" w:rsidRPr="00FA1A19">
        <w:t xml:space="preserve"> </w:t>
      </w:r>
      <w:r w:rsidRPr="00FA1A19">
        <w:t xml:space="preserve">no GST is required to be remitted, however the taxpayer making </w:t>
      </w:r>
      <w:r w:rsidR="00181B68">
        <w:t>GST</w:t>
      </w:r>
      <w:r w:rsidR="00F75232">
        <w:noBreakHyphen/>
      </w:r>
      <w:r w:rsidR="00181B68">
        <w:t>free</w:t>
      </w:r>
      <w:r w:rsidRPr="00FA1A19">
        <w:t xml:space="preserve"> supplies may be entitled to input tax credits on acquisitions, whereas the one making input</w:t>
      </w:r>
      <w:r w:rsidR="00F75232">
        <w:noBreakHyphen/>
      </w:r>
      <w:r w:rsidRPr="00FA1A19">
        <w:t xml:space="preserve">taxed supplies will generally not be entitled </w:t>
      </w:r>
      <w:r w:rsidR="00060B69" w:rsidRPr="00FA1A19">
        <w:t>(</w:t>
      </w:r>
      <w:r w:rsidRPr="00FA1A19">
        <w:t xml:space="preserve">or </w:t>
      </w:r>
      <w:r w:rsidR="00060B69" w:rsidRPr="00FA1A19">
        <w:t xml:space="preserve">be </w:t>
      </w:r>
      <w:r w:rsidRPr="00FA1A19">
        <w:t>significantly limited</w:t>
      </w:r>
      <w:r w:rsidR="00060B69" w:rsidRPr="00FA1A19">
        <w:t>)</w:t>
      </w:r>
      <w:r w:rsidRPr="00FA1A19">
        <w:t xml:space="preserve"> </w:t>
      </w:r>
      <w:r w:rsidR="00060B69" w:rsidRPr="00FA1A19">
        <w:t>to</w:t>
      </w:r>
      <w:r w:rsidRPr="00FA1A19">
        <w:t xml:space="preserve"> input tax credits. </w:t>
      </w:r>
    </w:p>
    <w:p w14:paraId="5A74A2B1" w14:textId="3D634307" w:rsidR="00D51E0B" w:rsidRPr="00FA1A19" w:rsidRDefault="00D51E0B" w:rsidP="00364D1B">
      <w:r w:rsidRPr="00FA1A19">
        <w:t>The more significant issues arise however as a result of the registration obligations. This creates an issue both from a compliance perspective (i.e. is the entity appropriately registered), and a GST liability perspective, where the taxpayer is making taxable supplies in addition to their digital currency supplies.</w:t>
      </w:r>
      <w:r w:rsidR="004F0A51" w:rsidRPr="00FA1A19">
        <w:t xml:space="preserve"> </w:t>
      </w:r>
      <w:r w:rsidRPr="00FA1A19">
        <w:t xml:space="preserve">This can be illustrated in the following scenarios: </w:t>
      </w:r>
    </w:p>
    <w:tbl>
      <w:tblPr>
        <w:tblStyle w:val="ListTable3-Accent1"/>
        <w:tblW w:w="5000" w:type="pct"/>
        <w:tblBorders>
          <w:insideH w:val="single" w:sz="4" w:space="0" w:color="142147" w:themeColor="accent1"/>
          <w:insideV w:val="single" w:sz="4" w:space="0" w:color="142147" w:themeColor="accent1"/>
        </w:tblBorders>
        <w:tblLook w:val="0420" w:firstRow="1" w:lastRow="0" w:firstColumn="0" w:lastColumn="0" w:noHBand="0" w:noVBand="1"/>
      </w:tblPr>
      <w:tblGrid>
        <w:gridCol w:w="4531"/>
        <w:gridCol w:w="1986"/>
        <w:gridCol w:w="1558"/>
        <w:gridCol w:w="1556"/>
      </w:tblGrid>
      <w:tr w:rsidR="00D51E0B" w:rsidRPr="00FA1A19" w14:paraId="253DEC7E" w14:textId="77777777" w:rsidTr="00E23D88">
        <w:trPr>
          <w:cnfStyle w:val="100000000000" w:firstRow="1" w:lastRow="0" w:firstColumn="0" w:lastColumn="0" w:oddVBand="0" w:evenVBand="0" w:oddHBand="0" w:evenHBand="0" w:firstRowFirstColumn="0" w:firstRowLastColumn="0" w:lastRowFirstColumn="0" w:lastRowLastColumn="0"/>
          <w:tblHeader/>
        </w:trPr>
        <w:tc>
          <w:tcPr>
            <w:tcW w:w="2352" w:type="pct"/>
          </w:tcPr>
          <w:p w14:paraId="50FDFB0A" w14:textId="77777777" w:rsidR="00D51E0B" w:rsidRPr="00FA1A19" w:rsidRDefault="00D51E0B" w:rsidP="00657003">
            <w:pPr>
              <w:pStyle w:val="TableColumnHeadingLeft"/>
            </w:pPr>
            <w:bookmarkStart w:id="142" w:name="_Hlk150771566"/>
            <w:r w:rsidRPr="00FA1A19">
              <w:rPr>
                <w:lang w:eastAsia="en-US"/>
              </w:rPr>
              <w:t>Scenario</w:t>
            </w:r>
          </w:p>
        </w:tc>
        <w:tc>
          <w:tcPr>
            <w:tcW w:w="1031" w:type="pct"/>
          </w:tcPr>
          <w:p w14:paraId="3A949F8D" w14:textId="77777777" w:rsidR="00D51E0B" w:rsidRPr="00FA1A19" w:rsidRDefault="00D51E0B" w:rsidP="00657003">
            <w:pPr>
              <w:pStyle w:val="TableColumnHeadingLeft"/>
            </w:pPr>
            <w:r w:rsidRPr="00FA1A19">
              <w:rPr>
                <w:lang w:eastAsia="en-US"/>
              </w:rPr>
              <w:t>GST Classification of digital currency supplies</w:t>
            </w:r>
          </w:p>
        </w:tc>
        <w:tc>
          <w:tcPr>
            <w:tcW w:w="809" w:type="pct"/>
          </w:tcPr>
          <w:p w14:paraId="72B9B3CB" w14:textId="77777777" w:rsidR="00D51E0B" w:rsidRPr="00FA1A19" w:rsidRDefault="00D51E0B" w:rsidP="00657003">
            <w:pPr>
              <w:pStyle w:val="TableColumnHeadingLeft"/>
            </w:pPr>
            <w:r w:rsidRPr="00FA1A19">
              <w:rPr>
                <w:lang w:eastAsia="en-US"/>
              </w:rPr>
              <w:t>Requirement to register</w:t>
            </w:r>
          </w:p>
        </w:tc>
        <w:tc>
          <w:tcPr>
            <w:tcW w:w="808" w:type="pct"/>
          </w:tcPr>
          <w:p w14:paraId="59336F33" w14:textId="77777777" w:rsidR="00D51E0B" w:rsidRPr="00FA1A19" w:rsidRDefault="00D51E0B" w:rsidP="00657003">
            <w:pPr>
              <w:pStyle w:val="TableColumnHeadingLeft"/>
            </w:pPr>
            <w:r w:rsidRPr="00FA1A19">
              <w:rPr>
                <w:lang w:eastAsia="en-US"/>
              </w:rPr>
              <w:t>GST treatment of other supplies</w:t>
            </w:r>
          </w:p>
        </w:tc>
      </w:tr>
      <w:tr w:rsidR="00D51E0B" w:rsidRPr="00FA1A19" w14:paraId="102D5AE5" w14:textId="77777777" w:rsidTr="00E23D88">
        <w:trPr>
          <w:cnfStyle w:val="000000100000" w:firstRow="0" w:lastRow="0" w:firstColumn="0" w:lastColumn="0" w:oddVBand="0" w:evenVBand="0" w:oddHBand="1" w:evenHBand="0" w:firstRowFirstColumn="0" w:firstRowLastColumn="0" w:lastRowFirstColumn="0" w:lastRowLastColumn="0"/>
        </w:trPr>
        <w:tc>
          <w:tcPr>
            <w:tcW w:w="2352" w:type="pct"/>
            <w:tcBorders>
              <w:top w:val="none" w:sz="0" w:space="0" w:color="auto"/>
              <w:bottom w:val="none" w:sz="0" w:space="0" w:color="auto"/>
            </w:tcBorders>
            <w:hideMark/>
          </w:tcPr>
          <w:p w14:paraId="53A66601" w14:textId="77777777" w:rsidR="00D51E0B" w:rsidRPr="00FA1A19" w:rsidRDefault="00D51E0B" w:rsidP="00657003">
            <w:pPr>
              <w:pStyle w:val="TableTextLeft"/>
              <w:rPr>
                <w:lang w:eastAsia="en-US"/>
              </w:rPr>
            </w:pPr>
            <w:r w:rsidRPr="00AD28CB">
              <w:rPr>
                <w:rStyle w:val="Strong"/>
              </w:rPr>
              <w:t>Scenario 1:</w:t>
            </w:r>
          </w:p>
          <w:p w14:paraId="31A4121A" w14:textId="77777777" w:rsidR="00D51E0B" w:rsidRPr="00FA1A19" w:rsidRDefault="00D51E0B" w:rsidP="00657003">
            <w:pPr>
              <w:pStyle w:val="TableTextLeft"/>
              <w:rPr>
                <w:lang w:eastAsia="en-US"/>
              </w:rPr>
            </w:pPr>
            <w:r w:rsidRPr="00FA1A19">
              <w:rPr>
                <w:lang w:eastAsia="en-US"/>
              </w:rPr>
              <w:t>Enterprise only makes supplies of digital currency to recipients inside Australia:</w:t>
            </w:r>
          </w:p>
          <w:p w14:paraId="7E572BD6" w14:textId="6256DA27" w:rsidR="00D51E0B" w:rsidRPr="00FA1A19" w:rsidRDefault="00D51E0B" w:rsidP="00657003">
            <w:pPr>
              <w:pStyle w:val="TableTextLeft"/>
              <w:rPr>
                <w:lang w:eastAsia="en-US"/>
              </w:rPr>
            </w:pPr>
            <w:r w:rsidRPr="00FA1A19">
              <w:rPr>
                <w:lang w:eastAsia="en-US"/>
              </w:rPr>
              <w:t>Turnover of digital currency is more than $</w:t>
            </w:r>
            <w:r w:rsidR="007C4A4E" w:rsidRPr="00FA1A19">
              <w:rPr>
                <w:lang w:eastAsia="en-US"/>
              </w:rPr>
              <w:t>75</w:t>
            </w:r>
            <w:r w:rsidR="007C4A4E">
              <w:rPr>
                <w:lang w:eastAsia="en-US"/>
              </w:rPr>
              <w:t>,000</w:t>
            </w:r>
          </w:p>
        </w:tc>
        <w:tc>
          <w:tcPr>
            <w:tcW w:w="1031" w:type="pct"/>
            <w:tcBorders>
              <w:top w:val="none" w:sz="0" w:space="0" w:color="auto"/>
              <w:bottom w:val="none" w:sz="0" w:space="0" w:color="auto"/>
            </w:tcBorders>
            <w:hideMark/>
          </w:tcPr>
          <w:p w14:paraId="49D66D3C" w14:textId="090E43F4" w:rsidR="00D51E0B" w:rsidRPr="00FA1A19" w:rsidRDefault="00D51E0B" w:rsidP="00657003">
            <w:pPr>
              <w:pStyle w:val="TableTextLeft"/>
              <w:rPr>
                <w:lang w:eastAsia="en-US"/>
              </w:rPr>
            </w:pPr>
            <w:r w:rsidRPr="00FA1A19">
              <w:rPr>
                <w:lang w:eastAsia="en-US"/>
              </w:rPr>
              <w:t>Input</w:t>
            </w:r>
            <w:r w:rsidR="00F75232">
              <w:rPr>
                <w:lang w:eastAsia="en-US"/>
              </w:rPr>
              <w:noBreakHyphen/>
            </w:r>
            <w:r w:rsidRPr="00FA1A19">
              <w:rPr>
                <w:lang w:eastAsia="en-US"/>
              </w:rPr>
              <w:t>taxed</w:t>
            </w:r>
          </w:p>
        </w:tc>
        <w:tc>
          <w:tcPr>
            <w:tcW w:w="809" w:type="pct"/>
            <w:tcBorders>
              <w:top w:val="none" w:sz="0" w:space="0" w:color="auto"/>
              <w:bottom w:val="none" w:sz="0" w:space="0" w:color="auto"/>
            </w:tcBorders>
            <w:hideMark/>
          </w:tcPr>
          <w:p w14:paraId="4B122C0B" w14:textId="6F7E9FA0" w:rsidR="00D51E0B" w:rsidRPr="00FA1A19" w:rsidRDefault="00D51E0B" w:rsidP="00657003">
            <w:pPr>
              <w:pStyle w:val="TableTextLeft"/>
              <w:rPr>
                <w:lang w:eastAsia="en-US"/>
              </w:rPr>
            </w:pPr>
            <w:r w:rsidRPr="00FA1A19">
              <w:rPr>
                <w:lang w:eastAsia="en-US"/>
              </w:rPr>
              <w:t>No (input</w:t>
            </w:r>
            <w:r w:rsidR="00F75232">
              <w:rPr>
                <w:lang w:eastAsia="en-US"/>
              </w:rPr>
              <w:noBreakHyphen/>
            </w:r>
            <w:r w:rsidRPr="00FA1A19">
              <w:rPr>
                <w:lang w:eastAsia="en-US"/>
              </w:rPr>
              <w:t>taxed supplies do not count towards turnover)</w:t>
            </w:r>
          </w:p>
        </w:tc>
        <w:tc>
          <w:tcPr>
            <w:tcW w:w="808" w:type="pct"/>
            <w:tcBorders>
              <w:top w:val="none" w:sz="0" w:space="0" w:color="auto"/>
              <w:bottom w:val="none" w:sz="0" w:space="0" w:color="auto"/>
            </w:tcBorders>
            <w:hideMark/>
          </w:tcPr>
          <w:p w14:paraId="43E3AB3F" w14:textId="77777777" w:rsidR="00D51E0B" w:rsidRPr="00FA1A19" w:rsidRDefault="00D51E0B" w:rsidP="00657003">
            <w:pPr>
              <w:pStyle w:val="TableTextLeft"/>
              <w:rPr>
                <w:lang w:eastAsia="en-US"/>
              </w:rPr>
            </w:pPr>
            <w:r w:rsidRPr="00FA1A19">
              <w:rPr>
                <w:lang w:eastAsia="en-US"/>
              </w:rPr>
              <w:t>N/A</w:t>
            </w:r>
          </w:p>
        </w:tc>
      </w:tr>
      <w:tr w:rsidR="00D51E0B" w:rsidRPr="00FA1A19" w14:paraId="545F792F" w14:textId="77777777" w:rsidTr="00E23D88">
        <w:tc>
          <w:tcPr>
            <w:tcW w:w="2352" w:type="pct"/>
            <w:hideMark/>
          </w:tcPr>
          <w:p w14:paraId="3704AFD9" w14:textId="77777777" w:rsidR="00D51E0B" w:rsidRPr="00FA1A19" w:rsidRDefault="00D51E0B" w:rsidP="00657003">
            <w:pPr>
              <w:pStyle w:val="TableTextLeft"/>
              <w:rPr>
                <w:lang w:eastAsia="en-US"/>
              </w:rPr>
            </w:pPr>
            <w:r w:rsidRPr="00AD28CB">
              <w:rPr>
                <w:rStyle w:val="Strong"/>
              </w:rPr>
              <w:t>Scenario 2:</w:t>
            </w:r>
          </w:p>
          <w:p w14:paraId="49DAFB90" w14:textId="77777777" w:rsidR="00D51E0B" w:rsidRPr="00FA1A19" w:rsidRDefault="00D51E0B" w:rsidP="00657003">
            <w:pPr>
              <w:pStyle w:val="TableTextLeft"/>
              <w:rPr>
                <w:lang w:eastAsia="en-US"/>
              </w:rPr>
            </w:pPr>
            <w:r w:rsidRPr="00FA1A19">
              <w:rPr>
                <w:lang w:eastAsia="en-US"/>
              </w:rPr>
              <w:t>Enterprise only makes supplies of digital currency to recipients outside Australia:</w:t>
            </w:r>
          </w:p>
          <w:p w14:paraId="70F19415" w14:textId="570E447A" w:rsidR="00D51E0B" w:rsidRPr="00FA1A19" w:rsidRDefault="00D51E0B" w:rsidP="00657003">
            <w:pPr>
              <w:pStyle w:val="TableTextLeft"/>
              <w:rPr>
                <w:lang w:eastAsia="en-US"/>
              </w:rPr>
            </w:pPr>
            <w:r w:rsidRPr="00FA1A19">
              <w:rPr>
                <w:lang w:eastAsia="en-US"/>
              </w:rPr>
              <w:t>Turnover of digital currency is more than $</w:t>
            </w:r>
            <w:r w:rsidR="007C4A4E" w:rsidRPr="00FA1A19">
              <w:rPr>
                <w:lang w:eastAsia="en-US"/>
              </w:rPr>
              <w:t>75</w:t>
            </w:r>
            <w:r w:rsidR="007C4A4E">
              <w:rPr>
                <w:lang w:eastAsia="en-US"/>
              </w:rPr>
              <w:t>,000</w:t>
            </w:r>
          </w:p>
        </w:tc>
        <w:tc>
          <w:tcPr>
            <w:tcW w:w="1031" w:type="pct"/>
            <w:hideMark/>
          </w:tcPr>
          <w:p w14:paraId="485FAECD" w14:textId="18502C5A" w:rsidR="00D51E0B" w:rsidRPr="00FA1A19" w:rsidRDefault="00181B68" w:rsidP="00657003">
            <w:pPr>
              <w:pStyle w:val="TableTextLeft"/>
              <w:rPr>
                <w:lang w:eastAsia="en-US"/>
              </w:rPr>
            </w:pPr>
            <w:r>
              <w:rPr>
                <w:lang w:eastAsia="en-US"/>
              </w:rPr>
              <w:t>GST</w:t>
            </w:r>
            <w:r w:rsidR="00F75232">
              <w:rPr>
                <w:lang w:eastAsia="en-US"/>
              </w:rPr>
              <w:noBreakHyphen/>
            </w:r>
            <w:r>
              <w:rPr>
                <w:lang w:eastAsia="en-US"/>
              </w:rPr>
              <w:t>free</w:t>
            </w:r>
          </w:p>
        </w:tc>
        <w:tc>
          <w:tcPr>
            <w:tcW w:w="809" w:type="pct"/>
            <w:hideMark/>
          </w:tcPr>
          <w:p w14:paraId="3873CAA7" w14:textId="71988BFE" w:rsidR="00D51E0B" w:rsidRPr="00FA1A19" w:rsidRDefault="00D51E0B" w:rsidP="00657003">
            <w:pPr>
              <w:pStyle w:val="TableTextLeft"/>
              <w:rPr>
                <w:lang w:eastAsia="en-US"/>
              </w:rPr>
            </w:pPr>
            <w:r w:rsidRPr="00FA1A19">
              <w:rPr>
                <w:lang w:eastAsia="en-US"/>
              </w:rPr>
              <w:t>Yes (</w:t>
            </w:r>
            <w:r w:rsidR="00181B68">
              <w:rPr>
                <w:lang w:eastAsia="en-US"/>
              </w:rPr>
              <w:t>GST</w:t>
            </w:r>
            <w:r w:rsidR="00F75232">
              <w:rPr>
                <w:lang w:eastAsia="en-US"/>
              </w:rPr>
              <w:noBreakHyphen/>
            </w:r>
            <w:r w:rsidR="00181B68">
              <w:rPr>
                <w:lang w:eastAsia="en-US"/>
              </w:rPr>
              <w:t>free</w:t>
            </w:r>
            <w:r w:rsidRPr="00FA1A19">
              <w:rPr>
                <w:lang w:eastAsia="en-US"/>
              </w:rPr>
              <w:t xml:space="preserve"> supplies will count towards turnover)</w:t>
            </w:r>
          </w:p>
        </w:tc>
        <w:tc>
          <w:tcPr>
            <w:tcW w:w="808" w:type="pct"/>
            <w:hideMark/>
          </w:tcPr>
          <w:p w14:paraId="197C65F0" w14:textId="77777777" w:rsidR="00D51E0B" w:rsidRPr="00FA1A19" w:rsidRDefault="00D51E0B" w:rsidP="00657003">
            <w:pPr>
              <w:pStyle w:val="TableTextLeft"/>
              <w:rPr>
                <w:lang w:eastAsia="en-US"/>
              </w:rPr>
            </w:pPr>
            <w:r w:rsidRPr="00FA1A19">
              <w:rPr>
                <w:lang w:eastAsia="en-US"/>
              </w:rPr>
              <w:t>N/A</w:t>
            </w:r>
          </w:p>
        </w:tc>
      </w:tr>
      <w:tr w:rsidR="00D51E0B" w:rsidRPr="00FA1A19" w14:paraId="086B2E9F" w14:textId="77777777" w:rsidTr="00E23D88">
        <w:trPr>
          <w:cnfStyle w:val="000000100000" w:firstRow="0" w:lastRow="0" w:firstColumn="0" w:lastColumn="0" w:oddVBand="0" w:evenVBand="0" w:oddHBand="1" w:evenHBand="0" w:firstRowFirstColumn="0" w:firstRowLastColumn="0" w:lastRowFirstColumn="0" w:lastRowLastColumn="0"/>
        </w:trPr>
        <w:tc>
          <w:tcPr>
            <w:tcW w:w="2352" w:type="pct"/>
            <w:tcBorders>
              <w:top w:val="none" w:sz="0" w:space="0" w:color="auto"/>
              <w:bottom w:val="none" w:sz="0" w:space="0" w:color="auto"/>
            </w:tcBorders>
            <w:hideMark/>
          </w:tcPr>
          <w:p w14:paraId="6DB8E779" w14:textId="77777777" w:rsidR="00D51E0B" w:rsidRPr="00FA1A19" w:rsidRDefault="00D51E0B" w:rsidP="00657003">
            <w:pPr>
              <w:pStyle w:val="TableTextLeft"/>
              <w:rPr>
                <w:lang w:eastAsia="en-US"/>
              </w:rPr>
            </w:pPr>
            <w:r w:rsidRPr="00AD28CB">
              <w:rPr>
                <w:rStyle w:val="Strong"/>
              </w:rPr>
              <w:t>Scenario 3:</w:t>
            </w:r>
          </w:p>
          <w:p w14:paraId="69950045" w14:textId="77777777" w:rsidR="00D51E0B" w:rsidRPr="00FA1A19" w:rsidRDefault="00D51E0B" w:rsidP="00657003">
            <w:pPr>
              <w:pStyle w:val="TableTextLeft"/>
              <w:rPr>
                <w:lang w:eastAsia="en-US"/>
              </w:rPr>
            </w:pPr>
            <w:r w:rsidRPr="00FA1A19">
              <w:rPr>
                <w:lang w:eastAsia="en-US"/>
              </w:rPr>
              <w:t>Enterprise makes supplies of digital currency to recipients inside Australia:</w:t>
            </w:r>
          </w:p>
          <w:p w14:paraId="143845E3" w14:textId="659F1FB4" w:rsidR="00D51E0B" w:rsidRPr="00FA1A19" w:rsidRDefault="00D51E0B" w:rsidP="00657003">
            <w:pPr>
              <w:pStyle w:val="TableTextLeft"/>
              <w:rPr>
                <w:lang w:eastAsia="en-US"/>
              </w:rPr>
            </w:pPr>
            <w:r w:rsidRPr="00FA1A19">
              <w:rPr>
                <w:lang w:eastAsia="en-US"/>
              </w:rPr>
              <w:t>Turnover of digital currency is less than $75</w:t>
            </w:r>
            <w:r w:rsidR="00B26A76">
              <w:rPr>
                <w:lang w:eastAsia="en-US"/>
              </w:rPr>
              <w:t>,000</w:t>
            </w:r>
          </w:p>
          <w:p w14:paraId="4DDDE1BE" w14:textId="77777777" w:rsidR="00D51E0B" w:rsidRPr="00FA1A19" w:rsidRDefault="00D51E0B" w:rsidP="00657003">
            <w:pPr>
              <w:pStyle w:val="TableTextLeft"/>
              <w:rPr>
                <w:lang w:eastAsia="en-US"/>
              </w:rPr>
            </w:pPr>
            <w:r w:rsidRPr="00FA1A19">
              <w:rPr>
                <w:lang w:eastAsia="en-US"/>
              </w:rPr>
              <w:t>Enterprise also makes supplies of other taxable supplies:</w:t>
            </w:r>
          </w:p>
          <w:p w14:paraId="542A0C6A" w14:textId="29093DF7" w:rsidR="00D51E0B" w:rsidRPr="00FA1A19" w:rsidRDefault="00D51E0B" w:rsidP="00657003">
            <w:pPr>
              <w:pStyle w:val="TableTextLeft"/>
              <w:rPr>
                <w:lang w:eastAsia="en-US"/>
              </w:rPr>
            </w:pPr>
            <w:r w:rsidRPr="00FA1A19">
              <w:rPr>
                <w:lang w:eastAsia="en-US"/>
              </w:rPr>
              <w:t>Turnover of other supplies are less than $75</w:t>
            </w:r>
            <w:r w:rsidR="00B26A76">
              <w:rPr>
                <w:lang w:eastAsia="en-US"/>
              </w:rPr>
              <w:t>,000.</w:t>
            </w:r>
          </w:p>
          <w:p w14:paraId="6C2B28E7" w14:textId="30C605B1" w:rsidR="00D51E0B" w:rsidRPr="00FA1A19" w:rsidRDefault="00D51E0B" w:rsidP="00657003">
            <w:pPr>
              <w:pStyle w:val="TableTextLeft"/>
              <w:rPr>
                <w:i/>
                <w:iCs/>
                <w:lang w:eastAsia="en-US"/>
              </w:rPr>
            </w:pPr>
            <w:r w:rsidRPr="00813896">
              <w:rPr>
                <w:rStyle w:val="Emphasis"/>
              </w:rPr>
              <w:t>Total of digital and other supplies total more than $</w:t>
            </w:r>
            <w:r w:rsidR="005D6545" w:rsidRPr="00813896">
              <w:rPr>
                <w:rStyle w:val="Emphasis"/>
              </w:rPr>
              <w:t>75</w:t>
            </w:r>
            <w:r w:rsidR="005D6545">
              <w:rPr>
                <w:rStyle w:val="Emphasis"/>
              </w:rPr>
              <w:t>,000</w:t>
            </w:r>
          </w:p>
        </w:tc>
        <w:tc>
          <w:tcPr>
            <w:tcW w:w="1031" w:type="pct"/>
            <w:tcBorders>
              <w:top w:val="none" w:sz="0" w:space="0" w:color="auto"/>
              <w:bottom w:val="none" w:sz="0" w:space="0" w:color="auto"/>
            </w:tcBorders>
            <w:hideMark/>
          </w:tcPr>
          <w:p w14:paraId="2ED4C9AA" w14:textId="11231E87" w:rsidR="00D51E0B" w:rsidRPr="00FA1A19" w:rsidRDefault="00D51E0B" w:rsidP="00657003">
            <w:pPr>
              <w:pStyle w:val="TableTextLeft"/>
              <w:rPr>
                <w:lang w:eastAsia="en-US"/>
              </w:rPr>
            </w:pPr>
            <w:r w:rsidRPr="00FA1A19">
              <w:rPr>
                <w:lang w:eastAsia="en-US"/>
              </w:rPr>
              <w:t>Input</w:t>
            </w:r>
            <w:r w:rsidR="00F75232">
              <w:rPr>
                <w:lang w:eastAsia="en-US"/>
              </w:rPr>
              <w:noBreakHyphen/>
            </w:r>
            <w:r w:rsidRPr="00FA1A19">
              <w:rPr>
                <w:lang w:eastAsia="en-US"/>
              </w:rPr>
              <w:t>taxed</w:t>
            </w:r>
          </w:p>
        </w:tc>
        <w:tc>
          <w:tcPr>
            <w:tcW w:w="809" w:type="pct"/>
            <w:tcBorders>
              <w:top w:val="none" w:sz="0" w:space="0" w:color="auto"/>
              <w:bottom w:val="none" w:sz="0" w:space="0" w:color="auto"/>
            </w:tcBorders>
            <w:hideMark/>
          </w:tcPr>
          <w:p w14:paraId="7D0F54CB" w14:textId="4E8C19EF" w:rsidR="00D51E0B" w:rsidRPr="00FA1A19" w:rsidRDefault="00D51E0B" w:rsidP="00657003">
            <w:pPr>
              <w:pStyle w:val="TableTextLeft"/>
              <w:rPr>
                <w:lang w:eastAsia="en-US"/>
              </w:rPr>
            </w:pPr>
            <w:r w:rsidRPr="00FA1A19">
              <w:rPr>
                <w:lang w:eastAsia="en-US"/>
              </w:rPr>
              <w:t xml:space="preserve">No (only turnover from </w:t>
            </w:r>
            <w:r w:rsidR="00F75232">
              <w:rPr>
                <w:lang w:eastAsia="en-US"/>
              </w:rPr>
              <w:t>‘</w:t>
            </w:r>
            <w:r w:rsidRPr="00FA1A19">
              <w:rPr>
                <w:lang w:eastAsia="en-US"/>
              </w:rPr>
              <w:t>other taxable supplies</w:t>
            </w:r>
            <w:r w:rsidR="00F75232">
              <w:rPr>
                <w:lang w:eastAsia="en-US"/>
              </w:rPr>
              <w:t>’</w:t>
            </w:r>
            <w:r w:rsidRPr="00FA1A19">
              <w:rPr>
                <w:lang w:eastAsia="en-US"/>
              </w:rPr>
              <w:t xml:space="preserve"> will count toward turnover)</w:t>
            </w:r>
          </w:p>
        </w:tc>
        <w:tc>
          <w:tcPr>
            <w:tcW w:w="808" w:type="pct"/>
            <w:tcBorders>
              <w:top w:val="none" w:sz="0" w:space="0" w:color="auto"/>
              <w:bottom w:val="none" w:sz="0" w:space="0" w:color="auto"/>
            </w:tcBorders>
            <w:hideMark/>
          </w:tcPr>
          <w:p w14:paraId="19987272" w14:textId="77777777" w:rsidR="00D51E0B" w:rsidRPr="00FA1A19" w:rsidRDefault="00D51E0B" w:rsidP="00657003">
            <w:pPr>
              <w:pStyle w:val="TableTextLeft"/>
              <w:rPr>
                <w:lang w:eastAsia="en-US"/>
              </w:rPr>
            </w:pPr>
            <w:r w:rsidRPr="00FA1A19">
              <w:rPr>
                <w:lang w:eastAsia="en-US"/>
              </w:rPr>
              <w:t>No registration requirement therefore not subject to GST</w:t>
            </w:r>
          </w:p>
        </w:tc>
      </w:tr>
      <w:tr w:rsidR="00D51E0B" w:rsidRPr="00FA1A19" w14:paraId="1802796C" w14:textId="77777777" w:rsidTr="00E23D88">
        <w:tc>
          <w:tcPr>
            <w:tcW w:w="2352" w:type="pct"/>
            <w:hideMark/>
          </w:tcPr>
          <w:p w14:paraId="12E84DE0" w14:textId="77777777" w:rsidR="00D51E0B" w:rsidRPr="00FA1A19" w:rsidRDefault="00D51E0B" w:rsidP="00657003">
            <w:pPr>
              <w:pStyle w:val="TableTextLeft"/>
              <w:rPr>
                <w:lang w:eastAsia="en-US"/>
              </w:rPr>
            </w:pPr>
            <w:r w:rsidRPr="00AD28CB">
              <w:rPr>
                <w:rStyle w:val="Strong"/>
              </w:rPr>
              <w:t>Scenario 4:</w:t>
            </w:r>
          </w:p>
          <w:p w14:paraId="7500421E" w14:textId="77777777" w:rsidR="00D51E0B" w:rsidRPr="00FA1A19" w:rsidRDefault="00D51E0B" w:rsidP="00657003">
            <w:pPr>
              <w:pStyle w:val="TableTextLeft"/>
              <w:rPr>
                <w:lang w:eastAsia="en-US"/>
              </w:rPr>
            </w:pPr>
            <w:r w:rsidRPr="00FA1A19">
              <w:rPr>
                <w:lang w:eastAsia="en-US"/>
              </w:rPr>
              <w:t>Enterprise makes supplies of digital currency to recipients outside Australia:</w:t>
            </w:r>
          </w:p>
          <w:p w14:paraId="25F57E7F" w14:textId="48BD1389" w:rsidR="00D51E0B" w:rsidRPr="00FA1A19" w:rsidRDefault="00D51E0B" w:rsidP="00657003">
            <w:pPr>
              <w:pStyle w:val="TableTextLeft"/>
              <w:rPr>
                <w:lang w:eastAsia="en-US"/>
              </w:rPr>
            </w:pPr>
            <w:r w:rsidRPr="00FA1A19">
              <w:rPr>
                <w:lang w:eastAsia="en-US"/>
              </w:rPr>
              <w:t>Turnover of digital currency is less than $</w:t>
            </w:r>
            <w:r w:rsidR="005D6545" w:rsidRPr="00FA1A19">
              <w:rPr>
                <w:lang w:eastAsia="en-US"/>
              </w:rPr>
              <w:t>75</w:t>
            </w:r>
            <w:r w:rsidR="005D6545">
              <w:rPr>
                <w:lang w:eastAsia="en-US"/>
              </w:rPr>
              <w:t>,</w:t>
            </w:r>
            <w:r w:rsidR="00D3295E">
              <w:rPr>
                <w:lang w:eastAsia="en-US"/>
              </w:rPr>
              <w:t>000</w:t>
            </w:r>
          </w:p>
          <w:p w14:paraId="5602A2E1" w14:textId="77777777" w:rsidR="00D51E0B" w:rsidRPr="00FA1A19" w:rsidRDefault="00D51E0B" w:rsidP="00657003">
            <w:pPr>
              <w:pStyle w:val="TableTextLeft"/>
              <w:rPr>
                <w:lang w:eastAsia="en-US"/>
              </w:rPr>
            </w:pPr>
            <w:r w:rsidRPr="00FA1A19">
              <w:rPr>
                <w:lang w:eastAsia="en-US"/>
              </w:rPr>
              <w:t>Enterprise also makes supplies of other taxable supplies:</w:t>
            </w:r>
          </w:p>
          <w:p w14:paraId="3E2F7C49" w14:textId="73CB6778" w:rsidR="00D51E0B" w:rsidRPr="00FA1A19" w:rsidRDefault="00D51E0B" w:rsidP="00657003">
            <w:pPr>
              <w:pStyle w:val="TableTextLeft"/>
              <w:rPr>
                <w:lang w:eastAsia="en-US"/>
              </w:rPr>
            </w:pPr>
            <w:r w:rsidRPr="00FA1A19">
              <w:rPr>
                <w:lang w:eastAsia="en-US"/>
              </w:rPr>
              <w:t>Turnover of other supplies are less than $</w:t>
            </w:r>
            <w:r w:rsidR="00D3295E" w:rsidRPr="00FA1A19">
              <w:rPr>
                <w:lang w:eastAsia="en-US"/>
              </w:rPr>
              <w:t>75</w:t>
            </w:r>
            <w:r w:rsidR="00D3295E">
              <w:rPr>
                <w:lang w:eastAsia="en-US"/>
              </w:rPr>
              <w:t>,000</w:t>
            </w:r>
          </w:p>
          <w:p w14:paraId="3EBFE199" w14:textId="6759985C" w:rsidR="00D51E0B" w:rsidRPr="00FA1A19" w:rsidRDefault="00D51E0B" w:rsidP="00657003">
            <w:pPr>
              <w:pStyle w:val="TableTextLeft"/>
              <w:rPr>
                <w:i/>
                <w:iCs/>
                <w:lang w:eastAsia="en-US"/>
              </w:rPr>
            </w:pPr>
            <w:r w:rsidRPr="00813896">
              <w:rPr>
                <w:rStyle w:val="Emphasis"/>
              </w:rPr>
              <w:t>Total of digital and other supplies total more than $</w:t>
            </w:r>
            <w:r w:rsidR="00D3295E" w:rsidRPr="00813896">
              <w:rPr>
                <w:rStyle w:val="Emphasis"/>
              </w:rPr>
              <w:t>75</w:t>
            </w:r>
            <w:r w:rsidR="00D3295E">
              <w:rPr>
                <w:rStyle w:val="Emphasis"/>
              </w:rPr>
              <w:t>,000</w:t>
            </w:r>
          </w:p>
        </w:tc>
        <w:tc>
          <w:tcPr>
            <w:tcW w:w="1031" w:type="pct"/>
            <w:hideMark/>
          </w:tcPr>
          <w:p w14:paraId="139BD2B6" w14:textId="1DE45B53" w:rsidR="00D51E0B" w:rsidRPr="00FA1A19" w:rsidRDefault="00181B68" w:rsidP="00657003">
            <w:pPr>
              <w:pStyle w:val="TableTextLeft"/>
              <w:rPr>
                <w:lang w:eastAsia="en-US"/>
              </w:rPr>
            </w:pPr>
            <w:r>
              <w:rPr>
                <w:lang w:eastAsia="en-US"/>
              </w:rPr>
              <w:t>GST</w:t>
            </w:r>
            <w:r w:rsidR="00F75232">
              <w:rPr>
                <w:lang w:eastAsia="en-US"/>
              </w:rPr>
              <w:noBreakHyphen/>
            </w:r>
            <w:r>
              <w:rPr>
                <w:lang w:eastAsia="en-US"/>
              </w:rPr>
              <w:t>free</w:t>
            </w:r>
          </w:p>
        </w:tc>
        <w:tc>
          <w:tcPr>
            <w:tcW w:w="809" w:type="pct"/>
            <w:hideMark/>
          </w:tcPr>
          <w:p w14:paraId="05EF8529" w14:textId="277F47C9" w:rsidR="00D51E0B" w:rsidRPr="00FA1A19" w:rsidRDefault="00D51E0B" w:rsidP="00657003">
            <w:pPr>
              <w:pStyle w:val="TableTextLeft"/>
              <w:rPr>
                <w:lang w:eastAsia="en-US"/>
              </w:rPr>
            </w:pPr>
            <w:r w:rsidRPr="00FA1A19">
              <w:rPr>
                <w:lang w:eastAsia="en-US"/>
              </w:rPr>
              <w:t>Yes (</w:t>
            </w:r>
            <w:r w:rsidR="00181B68">
              <w:rPr>
                <w:lang w:eastAsia="en-US"/>
              </w:rPr>
              <w:t>GST</w:t>
            </w:r>
            <w:r w:rsidR="00F75232">
              <w:rPr>
                <w:lang w:eastAsia="en-US"/>
              </w:rPr>
              <w:noBreakHyphen/>
            </w:r>
            <w:r w:rsidR="00181B68">
              <w:rPr>
                <w:lang w:eastAsia="en-US"/>
              </w:rPr>
              <w:t>free</w:t>
            </w:r>
            <w:r w:rsidRPr="00FA1A19">
              <w:rPr>
                <w:lang w:eastAsia="en-US"/>
              </w:rPr>
              <w:t xml:space="preserve"> digital currency and other taxable supplies will count towards turnover)</w:t>
            </w:r>
          </w:p>
        </w:tc>
        <w:tc>
          <w:tcPr>
            <w:tcW w:w="808" w:type="pct"/>
            <w:hideMark/>
          </w:tcPr>
          <w:p w14:paraId="76AE4E65" w14:textId="77777777" w:rsidR="00D51E0B" w:rsidRPr="00FA1A19" w:rsidRDefault="00D51E0B" w:rsidP="00657003">
            <w:pPr>
              <w:pStyle w:val="TableTextLeft"/>
              <w:rPr>
                <w:lang w:eastAsia="en-US"/>
              </w:rPr>
            </w:pPr>
            <w:r w:rsidRPr="00FA1A19">
              <w:rPr>
                <w:lang w:eastAsia="en-US"/>
              </w:rPr>
              <w:t>Required to register and subject to GST</w:t>
            </w:r>
          </w:p>
        </w:tc>
      </w:tr>
    </w:tbl>
    <w:bookmarkEnd w:id="142"/>
    <w:p w14:paraId="32D42EA7" w14:textId="4F909B09" w:rsidR="00D51E0B" w:rsidRPr="00FA1A19" w:rsidRDefault="00D51E0B" w:rsidP="00364D1B">
      <w:pPr>
        <w:rPr>
          <w:lang w:eastAsia="en-US"/>
        </w:rPr>
      </w:pPr>
      <w:r w:rsidRPr="00FA1A19">
        <w:rPr>
          <w:lang w:eastAsia="en-US"/>
        </w:rPr>
        <w:t>Notwithstanding the differing registration obligations in scenarios 1, 2 and 3, the resulting GST liability on supplies will be the same (i.e. no GST will be payable). There will however be differences in the entity</w:t>
      </w:r>
      <w:r w:rsidR="00F75232">
        <w:rPr>
          <w:lang w:eastAsia="en-US"/>
        </w:rPr>
        <w:t>’</w:t>
      </w:r>
      <w:r w:rsidRPr="00FA1A19">
        <w:rPr>
          <w:lang w:eastAsia="en-US"/>
        </w:rPr>
        <w:t xml:space="preserve">s entitlement to input tax credits. </w:t>
      </w:r>
    </w:p>
    <w:p w14:paraId="110E8547" w14:textId="3D214EBA" w:rsidR="00D51E0B" w:rsidRPr="00FA1A19" w:rsidRDefault="00D51E0B" w:rsidP="00364D1B">
      <w:pPr>
        <w:rPr>
          <w:lang w:eastAsia="en-US"/>
        </w:rPr>
      </w:pPr>
      <w:r w:rsidRPr="00FA1A19">
        <w:rPr>
          <w:lang w:eastAsia="en-US"/>
        </w:rPr>
        <w:t xml:space="preserve">In Scenario 4 however, the treatment of the digital currency as </w:t>
      </w:r>
      <w:r w:rsidR="00181B68">
        <w:rPr>
          <w:lang w:eastAsia="en-US"/>
        </w:rPr>
        <w:t>GST</w:t>
      </w:r>
      <w:r w:rsidR="00F75232">
        <w:rPr>
          <w:lang w:eastAsia="en-US"/>
        </w:rPr>
        <w:noBreakHyphen/>
      </w:r>
      <w:r w:rsidR="00181B68">
        <w:rPr>
          <w:lang w:eastAsia="en-US"/>
        </w:rPr>
        <w:t>free</w:t>
      </w:r>
      <w:r w:rsidRPr="00FA1A19">
        <w:rPr>
          <w:lang w:eastAsia="en-US"/>
        </w:rPr>
        <w:t xml:space="preserve"> results in the entity being obliged to register for GST and accordingly the entity will be required to charge GST on its other taxable supplies, whereas it will not in scenario 3. </w:t>
      </w:r>
    </w:p>
    <w:p w14:paraId="751BA8A4" w14:textId="71E3D8B5" w:rsidR="00D51E0B" w:rsidRPr="00FA1A19" w:rsidRDefault="00D51E0B" w:rsidP="0069352C">
      <w:pPr>
        <w:pStyle w:val="Heading4"/>
      </w:pPr>
      <w:r w:rsidRPr="00FA1A19">
        <w:t>Tax Invoices</w:t>
      </w:r>
    </w:p>
    <w:p w14:paraId="41219018" w14:textId="77777777" w:rsidR="00D51E0B" w:rsidRPr="00FA1A19" w:rsidRDefault="00D51E0B" w:rsidP="00170ADC">
      <w:r w:rsidRPr="00FA1A19">
        <w:t>Where an entity makes a taxable supply, it is obliged to provide the recipient with a tax invoice, setting out relevant information. This information will vary depending on the value of the supply being made as follows:</w:t>
      </w:r>
    </w:p>
    <w:p w14:paraId="388CDDD5" w14:textId="3A9EA21D" w:rsidR="00D51E0B" w:rsidRPr="00FA1A19" w:rsidRDefault="00D51E0B" w:rsidP="00657003">
      <w:pPr>
        <w:pStyle w:val="Bullet"/>
      </w:pPr>
      <w:r w:rsidRPr="00FA1A19">
        <w:t>supply value is less than $82.50 including GST – no obligation to provide a tax invoice</w:t>
      </w:r>
    </w:p>
    <w:p w14:paraId="0F2710C5" w14:textId="77777777" w:rsidR="00D51E0B" w:rsidRPr="00FA1A19" w:rsidRDefault="00D51E0B" w:rsidP="00657003">
      <w:pPr>
        <w:pStyle w:val="Bullet"/>
      </w:pPr>
      <w:r w:rsidRPr="00FA1A19">
        <w:t>supply value is between $82.50 and $1,000 including GST – must provide a tax invoice detailing:</w:t>
      </w:r>
    </w:p>
    <w:p w14:paraId="68BB079E" w14:textId="3AF0A4B2" w:rsidR="00D51E0B" w:rsidRPr="00FA1A19" w:rsidRDefault="00D51E0B" w:rsidP="00657003">
      <w:pPr>
        <w:pStyle w:val="Dash"/>
      </w:pPr>
      <w:r w:rsidRPr="00FA1A19">
        <w:t>that the document is intended to be a tax invoice</w:t>
      </w:r>
    </w:p>
    <w:p w14:paraId="6A201F1F" w14:textId="18A0F0C5" w:rsidR="00D51E0B" w:rsidRPr="00FA1A19" w:rsidRDefault="00D51E0B" w:rsidP="00657003">
      <w:pPr>
        <w:pStyle w:val="Dash"/>
      </w:pPr>
      <w:r w:rsidRPr="00FA1A19">
        <w:t>seller</w:t>
      </w:r>
      <w:r w:rsidR="00F75232">
        <w:t>’</w:t>
      </w:r>
      <w:r w:rsidRPr="00FA1A19">
        <w:t>s identity</w:t>
      </w:r>
    </w:p>
    <w:p w14:paraId="6D56E996" w14:textId="5119B350" w:rsidR="00D51E0B" w:rsidRPr="00FA1A19" w:rsidRDefault="00D51E0B" w:rsidP="00657003">
      <w:pPr>
        <w:pStyle w:val="Dash"/>
      </w:pPr>
      <w:r w:rsidRPr="00FA1A19">
        <w:t>seller</w:t>
      </w:r>
      <w:r w:rsidR="00F75232">
        <w:t>’</w:t>
      </w:r>
      <w:r w:rsidRPr="00FA1A19">
        <w:t>s A</w:t>
      </w:r>
      <w:r w:rsidR="008D6776">
        <w:t>ustralian Business Number (A</w:t>
      </w:r>
      <w:r w:rsidRPr="00FA1A19">
        <w:t>BN</w:t>
      </w:r>
      <w:r w:rsidR="008D6776">
        <w:t>)</w:t>
      </w:r>
    </w:p>
    <w:p w14:paraId="3A4C0CF7" w14:textId="6438A698" w:rsidR="00D51E0B" w:rsidRPr="00FA1A19" w:rsidRDefault="00D51E0B" w:rsidP="00657003">
      <w:pPr>
        <w:pStyle w:val="Dash"/>
      </w:pPr>
      <w:r w:rsidRPr="00FA1A19">
        <w:t>date the invoice was issued</w:t>
      </w:r>
    </w:p>
    <w:p w14:paraId="129A21BF" w14:textId="385C95E6" w:rsidR="00D51E0B" w:rsidRPr="00FA1A19" w:rsidRDefault="00D51E0B" w:rsidP="00657003">
      <w:pPr>
        <w:pStyle w:val="Dash"/>
      </w:pPr>
      <w:r w:rsidRPr="00FA1A19">
        <w:t>brief description of items sold, quantity (if applicable) and price</w:t>
      </w:r>
    </w:p>
    <w:p w14:paraId="3E0D50D6" w14:textId="6BD24AA2" w:rsidR="00D51E0B" w:rsidRPr="00FA1A19" w:rsidRDefault="00D51E0B" w:rsidP="00657003">
      <w:pPr>
        <w:pStyle w:val="Dash"/>
      </w:pPr>
      <w:r w:rsidRPr="00FA1A19">
        <w:t>GST amount (if any) payable</w:t>
      </w:r>
    </w:p>
    <w:p w14:paraId="1FE30147" w14:textId="77777777" w:rsidR="00D51E0B" w:rsidRPr="00FA1A19" w:rsidRDefault="00D51E0B" w:rsidP="00657003">
      <w:pPr>
        <w:pStyle w:val="Dash"/>
      </w:pPr>
      <w:r w:rsidRPr="00FA1A19">
        <w:t>extent to which each sale on the invoice is a taxable sale.</w:t>
      </w:r>
    </w:p>
    <w:p w14:paraId="62B4CAF8" w14:textId="30BF2513" w:rsidR="00D51E0B" w:rsidRPr="00FA1A19" w:rsidRDefault="00D51E0B" w:rsidP="00657003">
      <w:pPr>
        <w:pStyle w:val="Bullet"/>
      </w:pPr>
      <w:r w:rsidRPr="00FA1A19">
        <w:t>supply is more than $1,000 including GST – must provide a tax invoice detailing the above information plus the buyer</w:t>
      </w:r>
      <w:r w:rsidR="00F75232">
        <w:t>’</w:t>
      </w:r>
      <w:r w:rsidRPr="00FA1A19">
        <w:t xml:space="preserve">s identity or ABN. </w:t>
      </w:r>
    </w:p>
    <w:p w14:paraId="4CDB858D" w14:textId="77777777" w:rsidR="00D51E0B" w:rsidRPr="00FA1A19" w:rsidRDefault="00D51E0B" w:rsidP="00364D1B">
      <w:r w:rsidRPr="00FA1A19">
        <w:t xml:space="preserve">Therefore, where a taxable supply of a crypto asset is being made for more than $1,000 it is necessary that the buyer is identified on the invoice and as established above, this information may be unavailable to the seller. </w:t>
      </w:r>
    </w:p>
    <w:p w14:paraId="1C9F5CEC" w14:textId="7798CB6F" w:rsidR="00D51E0B" w:rsidRPr="00FA1A19" w:rsidRDefault="00D51E0B" w:rsidP="00364D1B">
      <w:r w:rsidRPr="00FA1A19">
        <w:t>The Board notes that an obligation to issue a valid tax invoice is imposed where it is requested by the recipient of the supply.</w:t>
      </w:r>
      <w:r w:rsidRPr="00170ADC">
        <w:rPr>
          <w:rStyle w:val="FootnoteReference"/>
        </w:rPr>
        <w:footnoteReference w:id="579"/>
      </w:r>
      <w:r w:rsidR="004F0A51" w:rsidRPr="00FA1A19">
        <w:t xml:space="preserve"> </w:t>
      </w:r>
      <w:r w:rsidRPr="00FA1A19">
        <w:t xml:space="preserve">In that case the supplier would be in a position to obtain the relevant information from the recipient to enable compliance. </w:t>
      </w:r>
    </w:p>
    <w:p w14:paraId="28BC9663" w14:textId="48822A33" w:rsidR="00D51E0B" w:rsidRPr="00FA1A19" w:rsidRDefault="00D51E0B" w:rsidP="0069352C">
      <w:pPr>
        <w:pStyle w:val="Heading4"/>
      </w:pPr>
      <w:r w:rsidRPr="00FA1A19">
        <w:t>No</w:t>
      </w:r>
      <w:r w:rsidR="00F75232">
        <w:noBreakHyphen/>
      </w:r>
      <w:r w:rsidRPr="00FA1A19">
        <w:t>ABN withholding</w:t>
      </w:r>
    </w:p>
    <w:p w14:paraId="65E226D5" w14:textId="10C8E441" w:rsidR="00D51E0B" w:rsidRPr="00FA1A19" w:rsidRDefault="00D51E0B" w:rsidP="00364D1B">
      <w:r w:rsidRPr="00FA1A19">
        <w:t>While not specifically a GST issue, taxpayers carrying on an enterprise are subject to obligations in relation to withholding from payments to an entity where that entity does not provide an ABN under section 12</w:t>
      </w:r>
      <w:r w:rsidR="00F75232">
        <w:noBreakHyphen/>
      </w:r>
      <w:r w:rsidRPr="00FA1A19">
        <w:t>190 of Part 2</w:t>
      </w:r>
      <w:r w:rsidR="00F75232">
        <w:noBreakHyphen/>
      </w:r>
      <w:r w:rsidRPr="00FA1A19">
        <w:t>5 of Schedule 1 to the TAA 1953. This requirement acts as a compliance measure against entities operating outside of the system, particularly in relation to cash payments to non</w:t>
      </w:r>
      <w:r w:rsidR="00F75232">
        <w:noBreakHyphen/>
      </w:r>
      <w:r w:rsidRPr="00FA1A19">
        <w:t xml:space="preserve">GST registered entities. </w:t>
      </w:r>
    </w:p>
    <w:p w14:paraId="2FF8B589" w14:textId="77777777" w:rsidR="00D51E0B" w:rsidRPr="00FA1A19" w:rsidRDefault="00D51E0B" w:rsidP="00364D1B">
      <w:r w:rsidRPr="00FA1A19">
        <w:t xml:space="preserve">The obligation arises where an entity (the payer) makes a payment to another entity (the supplier) for a supply the supplier has made in the course of furtherance of an enterprise carried on in Australia by the supplier. Hence, the obligation will not arise where there is no enterprise being carried on by the supplier, or the enterprise is not being carried on in Australia. </w:t>
      </w:r>
    </w:p>
    <w:p w14:paraId="735921C8" w14:textId="7F5EDF25" w:rsidR="00D51E0B" w:rsidRPr="00FA1A19" w:rsidRDefault="00D51E0B" w:rsidP="00364D1B">
      <w:r w:rsidRPr="00FA1A19">
        <w:t xml:space="preserve">There are a number of exemptions to this requirement, including where the supplier provides an ABN, or alternatively where the supply is </w:t>
      </w:r>
      <w:r w:rsidR="002C0E42">
        <w:t>input</w:t>
      </w:r>
      <w:r w:rsidR="00F75232">
        <w:noBreakHyphen/>
      </w:r>
      <w:r w:rsidR="002C0E42">
        <w:t>taxed</w:t>
      </w:r>
      <w:r w:rsidRPr="00FA1A19">
        <w:t xml:space="preserve">. This </w:t>
      </w:r>
      <w:r w:rsidR="002C0E42">
        <w:t>input</w:t>
      </w:r>
      <w:r w:rsidR="00F75232">
        <w:noBreakHyphen/>
      </w:r>
      <w:r w:rsidR="002C0E42">
        <w:t>taxed</w:t>
      </w:r>
      <w:r w:rsidRPr="00FA1A19">
        <w:t xml:space="preserve"> exemption means that the obligation does not present in relation to transactions involving digital currency.</w:t>
      </w:r>
      <w:r w:rsidR="004F0A51" w:rsidRPr="00FA1A19">
        <w:t xml:space="preserve"> </w:t>
      </w:r>
    </w:p>
    <w:p w14:paraId="3D71EDC4" w14:textId="43F2FE97" w:rsidR="00D51E0B" w:rsidRPr="00FA1A19" w:rsidRDefault="00D51E0B" w:rsidP="00364D1B">
      <w:r w:rsidRPr="00FA1A19">
        <w:t>For transactions involving other crypto assets however, it may be necessary to understand the supplier</w:t>
      </w:r>
      <w:r w:rsidR="00F75232">
        <w:t>’</w:t>
      </w:r>
      <w:r w:rsidRPr="00FA1A19">
        <w:t xml:space="preserve">s location or nature of activities, otherwise the obligation to withhold will arise. The complexity in knowing the location of parties involved in a crypto asset transaction will also cause issues in this space. </w:t>
      </w:r>
    </w:p>
    <w:p w14:paraId="6C443649" w14:textId="7ED1E32D" w:rsidR="00D51E0B" w:rsidRPr="00FA1A19" w:rsidRDefault="00D51E0B" w:rsidP="0069352C">
      <w:pPr>
        <w:pStyle w:val="Heading4"/>
      </w:pPr>
      <w:r w:rsidRPr="00FA1A19">
        <w:t>Board</w:t>
      </w:r>
      <w:r w:rsidR="00F75232">
        <w:t>’</w:t>
      </w:r>
      <w:r w:rsidRPr="00FA1A19">
        <w:t xml:space="preserve">s consideration </w:t>
      </w:r>
    </w:p>
    <w:p w14:paraId="0FE37CE4" w14:textId="7F8F6692" w:rsidR="00D51E0B" w:rsidRPr="00FA1A19" w:rsidRDefault="00D51E0B" w:rsidP="00364D1B">
      <w:r w:rsidRPr="00FA1A19">
        <w:t>The anonymity of the parties to many crypto asset transactions presents challenges for taxpayer entities in determining a wide range of issues from their obligation to register for GST, through to the appropriate treatment of transactions and compliance with administrative obligations.</w:t>
      </w:r>
      <w:r w:rsidR="004F0A51" w:rsidRPr="00FA1A19">
        <w:t xml:space="preserve"> </w:t>
      </w:r>
      <w:r w:rsidRPr="00FA1A19">
        <w:t>The feedback from stakeholders is that it is not likely to be possible currently for taxpayers to fully comply with the law.</w:t>
      </w:r>
    </w:p>
    <w:p w14:paraId="63719F05" w14:textId="42F72D1E" w:rsidR="00D51E0B" w:rsidRPr="00FA1A19" w:rsidRDefault="00D51E0B" w:rsidP="00364D1B">
      <w:r w:rsidRPr="00FA1A19">
        <w:t>The Board has considered options to address the potential inability of a taxpayer entity to determine the location of a customer to a transaction.</w:t>
      </w:r>
      <w:r w:rsidR="004F0A51" w:rsidRPr="00FA1A19">
        <w:t xml:space="preserve"> </w:t>
      </w:r>
      <w:r w:rsidRPr="00FA1A19">
        <w:t>The Board notes that the ATO currently accepts in non</w:t>
      </w:r>
      <w:r w:rsidR="00F75232">
        <w:noBreakHyphen/>
      </w:r>
      <w:r w:rsidRPr="00FA1A19">
        <w:t>binding guidance that where a transaction is undertaken through an exchange, and the location of the exchange is outside Australia, this will be accepted as evidence to determine GST</w:t>
      </w:r>
      <w:r w:rsidR="00F75232">
        <w:noBreakHyphen/>
      </w:r>
      <w:r w:rsidRPr="00FA1A19">
        <w:t>free treatment for the transaction.</w:t>
      </w:r>
      <w:r w:rsidR="00067F5B" w:rsidRPr="00FA1A19">
        <w:t xml:space="preserve"> </w:t>
      </w:r>
    </w:p>
    <w:p w14:paraId="18EE66D9" w14:textId="409CD9BC" w:rsidR="00D51E0B" w:rsidRPr="00FA1A19" w:rsidRDefault="00D51E0B" w:rsidP="00364D1B">
      <w:r w:rsidRPr="00FA1A19">
        <w:t>The Board has also noted that digital currency exchanges, which include individual businesses or organisations that exchange money for digital currency or digital currency for money</w:t>
      </w:r>
      <w:r w:rsidR="00B86B83" w:rsidRPr="00FA1A19">
        <w:t>,</w:t>
      </w:r>
      <w:r w:rsidRPr="00FA1A19">
        <w:t xml:space="preserve"> are currently subject to obligations through AUSTRAC. These obligations include the requirement to undertake customer identification and verification, which includes the requirement to identify the recipient</w:t>
      </w:r>
      <w:r w:rsidR="00F75232">
        <w:t>’</w:t>
      </w:r>
      <w:r w:rsidRPr="00FA1A19">
        <w:t>s address or location. This information will enable the exchange to identify the recipient and consequently enable the appropriate GST classification for Australian resident supplies</w:t>
      </w:r>
      <w:r w:rsidR="00DD7E85">
        <w:t xml:space="preserve">. </w:t>
      </w:r>
    </w:p>
    <w:p w14:paraId="7307D57E" w14:textId="275B6B20" w:rsidR="00D84881" w:rsidRPr="00FA1A19" w:rsidRDefault="008E758A" w:rsidP="00364D1B">
      <w:r w:rsidRPr="00FA1A19">
        <w:t>T</w:t>
      </w:r>
      <w:r w:rsidR="00D84881" w:rsidRPr="00FA1A19">
        <w:t xml:space="preserve">he Board notes </w:t>
      </w:r>
      <w:r w:rsidRPr="00FA1A19">
        <w:t xml:space="preserve">however </w:t>
      </w:r>
      <w:r w:rsidR="00D84881" w:rsidRPr="00FA1A19">
        <w:t xml:space="preserve">that there </w:t>
      </w:r>
      <w:r w:rsidRPr="00FA1A19">
        <w:t>are</w:t>
      </w:r>
      <w:r w:rsidR="00D84881" w:rsidRPr="00FA1A19">
        <w:t xml:space="preserve"> </w:t>
      </w:r>
      <w:r w:rsidRPr="00FA1A19">
        <w:t>instances</w:t>
      </w:r>
      <w:r w:rsidR="00D84881" w:rsidRPr="00FA1A19">
        <w:t xml:space="preserve"> where the location of </w:t>
      </w:r>
      <w:r w:rsidRPr="00FA1A19">
        <w:t>the</w:t>
      </w:r>
      <w:r w:rsidR="00D84881" w:rsidRPr="00FA1A19">
        <w:t xml:space="preserve"> exchange </w:t>
      </w:r>
      <w:r w:rsidR="00294832" w:rsidRPr="00FA1A19">
        <w:t>is not able to be identified</w:t>
      </w:r>
      <w:r w:rsidR="00E268C3" w:rsidRPr="00FA1A19">
        <w:t xml:space="preserve"> and there is a lack of other documentary evidence</w:t>
      </w:r>
      <w:r w:rsidR="00294832" w:rsidRPr="00FA1A19">
        <w:t>, particularly for non</w:t>
      </w:r>
      <w:r w:rsidR="00F75232">
        <w:noBreakHyphen/>
      </w:r>
      <w:r w:rsidR="00294832" w:rsidRPr="00FA1A19">
        <w:t>resident businesses</w:t>
      </w:r>
      <w:r w:rsidRPr="00FA1A19">
        <w:t>.</w:t>
      </w:r>
      <w:r w:rsidR="004F0A51" w:rsidRPr="00FA1A19">
        <w:t xml:space="preserve"> </w:t>
      </w:r>
      <w:r w:rsidR="001A557B" w:rsidRPr="00FA1A19">
        <w:t xml:space="preserve">The feedback received from stakeholder consultations is clear that </w:t>
      </w:r>
      <w:r w:rsidR="003C691C" w:rsidRPr="00FA1A19">
        <w:t xml:space="preserve">an administrative or legislative solution is </w:t>
      </w:r>
      <w:r w:rsidR="0031776B" w:rsidRPr="00FA1A19">
        <w:t>needed to enable taxpayers to meet compliance obligations.</w:t>
      </w:r>
    </w:p>
    <w:p w14:paraId="0CEC591E" w14:textId="2F508FEF" w:rsidR="00D51E0B" w:rsidRPr="00FA1A19" w:rsidRDefault="00D51E0B" w:rsidP="00364D1B">
      <w:r w:rsidRPr="00FA1A19">
        <w:t xml:space="preserve">In its 2010 report to the Assistant Treasurer, </w:t>
      </w:r>
      <w:r w:rsidR="007673C8">
        <w:t>‘</w:t>
      </w:r>
      <w:r w:rsidRPr="008E199E">
        <w:rPr>
          <w:rStyle w:val="Emphasis"/>
          <w:i w:val="0"/>
          <w:iCs w:val="0"/>
        </w:rPr>
        <w:t>Application of GST to Cross</w:t>
      </w:r>
      <w:r w:rsidR="00F75232" w:rsidRPr="008E199E">
        <w:rPr>
          <w:rStyle w:val="Emphasis"/>
          <w:i w:val="0"/>
          <w:iCs w:val="0"/>
        </w:rPr>
        <w:noBreakHyphen/>
      </w:r>
      <w:r w:rsidRPr="008E199E">
        <w:rPr>
          <w:rStyle w:val="Emphasis"/>
          <w:i w:val="0"/>
          <w:iCs w:val="0"/>
        </w:rPr>
        <w:t xml:space="preserve">Border </w:t>
      </w:r>
      <w:r w:rsidR="009957E0">
        <w:rPr>
          <w:rStyle w:val="Emphasis"/>
          <w:i w:val="0"/>
          <w:iCs w:val="0"/>
        </w:rPr>
        <w:t>T</w:t>
      </w:r>
      <w:r w:rsidR="009957E0" w:rsidRPr="008E199E">
        <w:rPr>
          <w:rStyle w:val="Emphasis"/>
          <w:i w:val="0"/>
          <w:iCs w:val="0"/>
        </w:rPr>
        <w:t>ransactions</w:t>
      </w:r>
      <w:r w:rsidR="009957E0">
        <w:t>’</w:t>
      </w:r>
      <w:r w:rsidRPr="005049FC">
        <w:t xml:space="preserve">, </w:t>
      </w:r>
      <w:r w:rsidRPr="00FA1A19">
        <w:t>the Board considered the issue of GST registration requirements for non</w:t>
      </w:r>
      <w:r w:rsidR="00F75232">
        <w:noBreakHyphen/>
      </w:r>
      <w:r w:rsidRPr="00FA1A19">
        <w:t xml:space="preserve">residents making </w:t>
      </w:r>
      <w:r w:rsidR="00181B68">
        <w:t>GST</w:t>
      </w:r>
      <w:r w:rsidR="00F75232">
        <w:noBreakHyphen/>
      </w:r>
      <w:r w:rsidR="00181B68">
        <w:t>free</w:t>
      </w:r>
      <w:r w:rsidRPr="00FA1A19">
        <w:t xml:space="preserve"> supplies.</w:t>
      </w:r>
      <w:r w:rsidR="007673C8" w:rsidRPr="00170ADC">
        <w:rPr>
          <w:rStyle w:val="FootnoteReference"/>
        </w:rPr>
        <w:footnoteReference w:id="580"/>
      </w:r>
      <w:r w:rsidRPr="00FA1A19">
        <w:t xml:space="preserve"> The Board noted that a non</w:t>
      </w:r>
      <w:r w:rsidR="00F75232">
        <w:noBreakHyphen/>
      </w:r>
      <w:r w:rsidRPr="00FA1A19">
        <w:t xml:space="preserve">resident entity making only </w:t>
      </w:r>
      <w:r w:rsidR="00181B68">
        <w:t>GST</w:t>
      </w:r>
      <w:r w:rsidR="00F75232">
        <w:noBreakHyphen/>
      </w:r>
      <w:r w:rsidR="00181B68">
        <w:t>free</w:t>
      </w:r>
      <w:r w:rsidRPr="00FA1A19">
        <w:t xml:space="preserve"> supplies connected with Australia of over</w:t>
      </w:r>
      <w:r w:rsidR="00DE4CCC">
        <w:t> </w:t>
      </w:r>
      <w:r w:rsidRPr="00FA1A19">
        <w:t>$75,000 per annum ($150,000 for a non</w:t>
      </w:r>
      <w:r w:rsidR="00F75232">
        <w:noBreakHyphen/>
      </w:r>
      <w:r w:rsidRPr="00FA1A19">
        <w:t xml:space="preserve">profit entity) would be required to register for GST. In considering the suitability of this, the Board recommended: </w:t>
      </w:r>
    </w:p>
    <w:p w14:paraId="622395E9" w14:textId="293431B3" w:rsidR="00D51E0B" w:rsidRPr="00FA1A19" w:rsidRDefault="00D51E0B" w:rsidP="00722D65">
      <w:pPr>
        <w:pStyle w:val="Quote"/>
      </w:pPr>
      <w:r w:rsidRPr="00FA1A19">
        <w:t>Non</w:t>
      </w:r>
      <w:r w:rsidR="00F75232">
        <w:noBreakHyphen/>
      </w:r>
      <w:r w:rsidRPr="00FA1A19">
        <w:t>residents making only GST</w:t>
      </w:r>
      <w:r w:rsidR="00F75232">
        <w:noBreakHyphen/>
      </w:r>
      <w:r w:rsidRPr="00FA1A19">
        <w:t>free supplies should not be required to register for GST. However to the extent that the non</w:t>
      </w:r>
      <w:r w:rsidR="00F75232">
        <w:noBreakHyphen/>
      </w:r>
      <w:r w:rsidRPr="00FA1A19">
        <w:t>resident also makes other supplies that are not GST</w:t>
      </w:r>
      <w:r w:rsidR="00F75232">
        <w:noBreakHyphen/>
      </w:r>
      <w:r w:rsidRPr="00FA1A19">
        <w:t xml:space="preserve">free, then the </w:t>
      </w:r>
      <w:r w:rsidR="00181B68">
        <w:t>GST</w:t>
      </w:r>
      <w:r w:rsidR="00F75232">
        <w:noBreakHyphen/>
      </w:r>
      <w:r w:rsidR="00181B68">
        <w:t>free</w:t>
      </w:r>
      <w:r w:rsidRPr="00FA1A19">
        <w:t xml:space="preserve"> supplies should count towards the GST registration threshold.</w:t>
      </w:r>
      <w:r w:rsidR="006534F5" w:rsidRPr="00170ADC">
        <w:rPr>
          <w:rStyle w:val="FootnoteReference"/>
        </w:rPr>
        <w:footnoteReference w:id="581"/>
      </w:r>
      <w:r w:rsidRPr="00FA1A19">
        <w:t xml:space="preserve"> </w:t>
      </w:r>
    </w:p>
    <w:p w14:paraId="4AE9FB52" w14:textId="4AEB667A" w:rsidR="008D47FA" w:rsidRPr="00FA1A19" w:rsidRDefault="00D51E0B" w:rsidP="00364D1B">
      <w:r w:rsidRPr="00FA1A19">
        <w:t xml:space="preserve">While the Board acknowledges that this recommendation addresses a different issue, it has considered whether the </w:t>
      </w:r>
      <w:r w:rsidR="00FF401C" w:rsidRPr="00FA1A19">
        <w:t>recommendation</w:t>
      </w:r>
      <w:r w:rsidRPr="00FA1A19">
        <w:t xml:space="preserve"> could be applied to</w:t>
      </w:r>
      <w:r w:rsidR="004F0A51" w:rsidRPr="00FA1A19">
        <w:t xml:space="preserve"> </w:t>
      </w:r>
      <w:r w:rsidR="0031776B" w:rsidRPr="00FA1A19">
        <w:t>crypto</w:t>
      </w:r>
      <w:r w:rsidR="004F0A51" w:rsidRPr="00FA1A19">
        <w:t xml:space="preserve"> </w:t>
      </w:r>
      <w:r w:rsidRPr="00FA1A19">
        <w:t>asset transactions, with an expansion of the scope</w:t>
      </w:r>
      <w:r w:rsidR="0031776B" w:rsidRPr="00FA1A19">
        <w:t>.</w:t>
      </w:r>
      <w:r w:rsidR="004F0A51" w:rsidRPr="00FA1A19">
        <w:t xml:space="preserve"> </w:t>
      </w:r>
      <w:r w:rsidR="0031776B" w:rsidRPr="00FA1A19">
        <w:t>This could</w:t>
      </w:r>
      <w:r w:rsidR="004F0A51" w:rsidRPr="00FA1A19">
        <w:t xml:space="preserve"> </w:t>
      </w:r>
      <w:r w:rsidRPr="00FA1A19">
        <w:t xml:space="preserve">resolve the issue in relation to the inability to identify customer location to determine the appropriate GST treatment and registration obligations, however taxpayers </w:t>
      </w:r>
      <w:r w:rsidR="00B9438B" w:rsidRPr="00FA1A19">
        <w:t>(whether resident in Australia or not)</w:t>
      </w:r>
      <w:r w:rsidR="004F0A51" w:rsidRPr="00FA1A19">
        <w:t xml:space="preserve"> </w:t>
      </w:r>
      <w:r w:rsidRPr="00FA1A19">
        <w:t>making mixed supplies of digital and non</w:t>
      </w:r>
      <w:r w:rsidR="00F75232">
        <w:noBreakHyphen/>
      </w:r>
      <w:r w:rsidRPr="00FA1A19">
        <w:t xml:space="preserve">digital goods and services would still need to identify the appropriate classification of their </w:t>
      </w:r>
      <w:r w:rsidR="00B9438B" w:rsidRPr="00FA1A19">
        <w:t xml:space="preserve">crypto </w:t>
      </w:r>
      <w:r w:rsidRPr="00FA1A19">
        <w:t xml:space="preserve">asset supplies to understand their registration </w:t>
      </w:r>
      <w:r w:rsidR="0059075D" w:rsidRPr="00FA1A19">
        <w:t xml:space="preserve">and other </w:t>
      </w:r>
      <w:r w:rsidRPr="00FA1A19">
        <w:t xml:space="preserve">obligations. </w:t>
      </w:r>
    </w:p>
    <w:p w14:paraId="1696A7D1" w14:textId="7B8F5E09" w:rsidR="00D51E0B" w:rsidRPr="00FA1A19" w:rsidRDefault="00D51E0B" w:rsidP="00364D1B">
      <w:r w:rsidRPr="00FA1A19">
        <w:t>Taking this into account, the Board</w:t>
      </w:r>
      <w:r w:rsidR="00F75232">
        <w:t>’</w:t>
      </w:r>
      <w:r w:rsidRPr="00FA1A19">
        <w:t>s view is that the</w:t>
      </w:r>
      <w:r w:rsidR="003861D0" w:rsidRPr="00FA1A19">
        <w:t xml:space="preserve"> appropriate </w:t>
      </w:r>
      <w:r w:rsidR="6432F961" w:rsidRPr="00FA1A19">
        <w:t xml:space="preserve">outcome </w:t>
      </w:r>
      <w:r w:rsidR="003861D0" w:rsidRPr="00FA1A19">
        <w:t xml:space="preserve">under the law is that if a taxpayer is not able to </w:t>
      </w:r>
      <w:r w:rsidR="008D47FA" w:rsidRPr="00FA1A19">
        <w:t>provide ev</w:t>
      </w:r>
      <w:r w:rsidR="003861D0" w:rsidRPr="00FA1A19">
        <w:t>idence that a supply is GST</w:t>
      </w:r>
      <w:r w:rsidR="00F75232">
        <w:noBreakHyphen/>
      </w:r>
      <w:r w:rsidR="003861D0" w:rsidRPr="00FA1A19">
        <w:t>free, the</w:t>
      </w:r>
      <w:r w:rsidR="004F0A51" w:rsidRPr="00FA1A19">
        <w:t xml:space="preserve"> </w:t>
      </w:r>
      <w:r w:rsidRPr="00FA1A19">
        <w:t>treatment</w:t>
      </w:r>
      <w:r w:rsidR="003861D0" w:rsidRPr="00FA1A19">
        <w:t xml:space="preserve"> should </w:t>
      </w:r>
      <w:r w:rsidR="00367E78">
        <w:t xml:space="preserve">administratively </w:t>
      </w:r>
      <w:r w:rsidR="003861D0" w:rsidRPr="00FA1A19">
        <w:t xml:space="preserve">default </w:t>
      </w:r>
      <w:r w:rsidR="00440508" w:rsidRPr="00FA1A19">
        <w:t xml:space="preserve">to </w:t>
      </w:r>
      <w:r w:rsidR="002C0E42">
        <w:t>input</w:t>
      </w:r>
      <w:r w:rsidR="00F75232">
        <w:noBreakHyphen/>
      </w:r>
      <w:r w:rsidR="002C0E42">
        <w:t>taxed</w:t>
      </w:r>
      <w:r w:rsidR="00440508" w:rsidRPr="00FA1A19">
        <w:t xml:space="preserve"> or taxable</w:t>
      </w:r>
      <w:r w:rsidR="000A35FC" w:rsidRPr="00FA1A19">
        <w:t>.</w:t>
      </w:r>
      <w:r w:rsidR="004F0A51" w:rsidRPr="00FA1A19">
        <w:t xml:space="preserve"> </w:t>
      </w:r>
      <w:r w:rsidR="000A35FC" w:rsidRPr="00FA1A19">
        <w:t>D</w:t>
      </w:r>
      <w:r w:rsidRPr="00FA1A19">
        <w:t>isposals of digital currency</w:t>
      </w:r>
      <w:r w:rsidR="00DC5563" w:rsidRPr="00FA1A19">
        <w:t xml:space="preserve"> </w:t>
      </w:r>
      <w:r w:rsidR="00BE12EE" w:rsidRPr="00FA1A19">
        <w:t xml:space="preserve">and other transactions that would, if connected with Australia, be </w:t>
      </w:r>
      <w:r w:rsidR="002C0E42">
        <w:t>input</w:t>
      </w:r>
      <w:r w:rsidR="00F75232">
        <w:noBreakHyphen/>
      </w:r>
      <w:r w:rsidR="002C0E42">
        <w:t>taxed</w:t>
      </w:r>
      <w:r w:rsidR="00505773" w:rsidRPr="00FA1A19">
        <w:t xml:space="preserve"> </w:t>
      </w:r>
      <w:r w:rsidR="00DC5563" w:rsidRPr="00FA1A19">
        <w:t>should be</w:t>
      </w:r>
      <w:r w:rsidRPr="00FA1A19">
        <w:t xml:space="preserve"> treated as </w:t>
      </w:r>
      <w:r w:rsidR="002C0E42">
        <w:t>input</w:t>
      </w:r>
      <w:r w:rsidR="00F75232">
        <w:noBreakHyphen/>
      </w:r>
      <w:r w:rsidR="002C0E42">
        <w:t>taxed</w:t>
      </w:r>
      <w:r w:rsidRPr="00FA1A19">
        <w:t xml:space="preserve"> </w:t>
      </w:r>
      <w:r w:rsidR="002D4C3F">
        <w:t>in circumstances where</w:t>
      </w:r>
      <w:r w:rsidRPr="00FA1A19">
        <w:t xml:space="preserve"> the location of the recipient</w:t>
      </w:r>
      <w:r w:rsidR="00C127D7">
        <w:t xml:space="preserve"> </w:t>
      </w:r>
      <w:r w:rsidR="00D55541">
        <w:t xml:space="preserve">cannot be </w:t>
      </w:r>
      <w:r w:rsidR="00E67D1D">
        <w:t>established to be outside of Australia.</w:t>
      </w:r>
      <w:r w:rsidR="00DD7E85">
        <w:t xml:space="preserve"> </w:t>
      </w:r>
    </w:p>
    <w:p w14:paraId="7EB4AF1F" w14:textId="79F9C0B3" w:rsidR="00505773" w:rsidRPr="00FA1A19" w:rsidRDefault="002522B7" w:rsidP="0031776B">
      <w:r w:rsidRPr="00FA1A19">
        <w:t>A</w:t>
      </w:r>
      <w:r w:rsidR="00025F3E" w:rsidRPr="00FA1A19">
        <w:t xml:space="preserve">s </w:t>
      </w:r>
      <w:r w:rsidR="002C0E42">
        <w:t>input</w:t>
      </w:r>
      <w:r w:rsidR="00F75232">
        <w:noBreakHyphen/>
      </w:r>
      <w:r w:rsidR="002C0E42">
        <w:t>taxed</w:t>
      </w:r>
      <w:r w:rsidR="00025F3E" w:rsidRPr="00FA1A19">
        <w:t xml:space="preserve"> supplies do not count towards the registration turnover threshold, this </w:t>
      </w:r>
      <w:r w:rsidR="00D149B9">
        <w:t xml:space="preserve">administrative </w:t>
      </w:r>
      <w:r w:rsidR="00025F3E" w:rsidRPr="00FA1A19">
        <w:t xml:space="preserve">default </w:t>
      </w:r>
      <w:r w:rsidRPr="00FA1A19">
        <w:t>will</w:t>
      </w:r>
      <w:r w:rsidR="00025F3E" w:rsidRPr="00FA1A19">
        <w:t xml:space="preserve"> remove </w:t>
      </w:r>
      <w:r w:rsidRPr="00FA1A19">
        <w:t xml:space="preserve">the requirement for </w:t>
      </w:r>
      <w:r w:rsidR="00025F3E" w:rsidRPr="00FA1A19">
        <w:t>many non</w:t>
      </w:r>
      <w:r w:rsidR="00F75232">
        <w:noBreakHyphen/>
      </w:r>
      <w:r w:rsidR="00025F3E" w:rsidRPr="00FA1A19">
        <w:t xml:space="preserve">resident taxpayers </w:t>
      </w:r>
      <w:r w:rsidRPr="00FA1A19">
        <w:t xml:space="preserve">to register </w:t>
      </w:r>
      <w:r w:rsidR="009B36A4" w:rsidRPr="00FA1A19">
        <w:t xml:space="preserve">for </w:t>
      </w:r>
      <w:r w:rsidRPr="00FA1A19">
        <w:t>GST, unless they make significant taxable supplies.</w:t>
      </w:r>
      <w:r w:rsidR="004F0A51" w:rsidRPr="00FA1A19">
        <w:t xml:space="preserve"> </w:t>
      </w:r>
      <w:r w:rsidRPr="00FA1A19">
        <w:t>The alternative approach</w:t>
      </w:r>
      <w:r w:rsidR="0080161A">
        <w:t xml:space="preserve"> (i.e.</w:t>
      </w:r>
      <w:r w:rsidRPr="00FA1A19">
        <w:t xml:space="preserve"> to default to GST</w:t>
      </w:r>
      <w:r w:rsidR="00F75232">
        <w:noBreakHyphen/>
      </w:r>
      <w:r w:rsidRPr="00FA1A19">
        <w:t>free treatment</w:t>
      </w:r>
      <w:r w:rsidR="0080161A">
        <w:t>)</w:t>
      </w:r>
      <w:r w:rsidR="000811C3" w:rsidRPr="00FA1A19">
        <w:t xml:space="preserve"> </w:t>
      </w:r>
      <w:r w:rsidRPr="00FA1A19">
        <w:t xml:space="preserve">may </w:t>
      </w:r>
      <w:r w:rsidR="009B36A4" w:rsidRPr="00FA1A19">
        <w:t>result in</w:t>
      </w:r>
      <w:r w:rsidRPr="00FA1A19">
        <w:t xml:space="preserve"> taxpayers</w:t>
      </w:r>
      <w:r w:rsidR="009B36A4" w:rsidRPr="00FA1A19">
        <w:t xml:space="preserve"> being required</w:t>
      </w:r>
      <w:r w:rsidRPr="00FA1A19">
        <w:t xml:space="preserve"> to register for GST unnecessarily.</w:t>
      </w:r>
    </w:p>
    <w:p w14:paraId="657A5393" w14:textId="77777777" w:rsidR="00F14E7E" w:rsidRDefault="00505773" w:rsidP="00364D1B">
      <w:r w:rsidRPr="00FA1A19">
        <w:t xml:space="preserve">Similarly, transactions involving other crypto assets that may be taxable should be treated as taxable as the </w:t>
      </w:r>
      <w:r w:rsidR="00A00710">
        <w:t xml:space="preserve">administrative </w:t>
      </w:r>
      <w:r w:rsidRPr="00FA1A19">
        <w:t>default.</w:t>
      </w:r>
      <w:r w:rsidR="0069352C">
        <w:t xml:space="preserve"> </w:t>
      </w:r>
    </w:p>
    <w:p w14:paraId="2CB0A9A9" w14:textId="343EBA35" w:rsidR="00D51E0B" w:rsidRPr="00FA1A19" w:rsidRDefault="00D51E0B" w:rsidP="00364D1B">
      <w:r w:rsidRPr="00FA1A19">
        <w:t xml:space="preserve">The Board acknowledges that applying a default treatment may result in some taxpayers who would otherwise be entitled to register for GST and claim input tax credits against </w:t>
      </w:r>
      <w:r w:rsidR="00181B68">
        <w:t>GST</w:t>
      </w:r>
      <w:r w:rsidR="00F75232">
        <w:noBreakHyphen/>
      </w:r>
      <w:r w:rsidR="00181B68">
        <w:t>free</w:t>
      </w:r>
      <w:r w:rsidRPr="00FA1A19">
        <w:t xml:space="preserve"> or taxable supplies no longer be</w:t>
      </w:r>
      <w:r w:rsidR="00321B91" w:rsidRPr="00FA1A19">
        <w:t>ing</w:t>
      </w:r>
      <w:r w:rsidRPr="00FA1A19">
        <w:t xml:space="preserve"> entitled to do so.</w:t>
      </w:r>
      <w:r w:rsidR="004F0A51" w:rsidRPr="00FA1A19">
        <w:t xml:space="preserve"> </w:t>
      </w:r>
      <w:r w:rsidR="001F1E83" w:rsidRPr="00FA1A19">
        <w:t>Therefore</w:t>
      </w:r>
      <w:r w:rsidRPr="00FA1A19">
        <w:t xml:space="preserve"> the Board proposes that </w:t>
      </w:r>
      <w:r w:rsidR="00C95B9B" w:rsidRPr="00FA1A19">
        <w:t xml:space="preserve">the default treatment of </w:t>
      </w:r>
      <w:r w:rsidR="002C0E42">
        <w:t>input</w:t>
      </w:r>
      <w:r w:rsidR="00F75232">
        <w:noBreakHyphen/>
      </w:r>
      <w:r w:rsidR="002C0E42">
        <w:t>taxed</w:t>
      </w:r>
      <w:r w:rsidR="00C95B9B" w:rsidRPr="00FA1A19">
        <w:t xml:space="preserve"> or taxable will not apply if </w:t>
      </w:r>
      <w:r w:rsidRPr="00FA1A19">
        <w:t xml:space="preserve">the taxpayer provides sufficient evidence to substantiate that the supplies are </w:t>
      </w:r>
      <w:r w:rsidR="00181B68">
        <w:t>GST</w:t>
      </w:r>
      <w:r w:rsidR="00F75232">
        <w:noBreakHyphen/>
      </w:r>
      <w:r w:rsidR="00181B68">
        <w:t>free</w:t>
      </w:r>
      <w:r w:rsidRPr="00FA1A19">
        <w:t xml:space="preserve">, with the ATO providing guidance as to </w:t>
      </w:r>
      <w:r w:rsidR="002F2BC9" w:rsidRPr="00FA1A19">
        <w:t xml:space="preserve">what </w:t>
      </w:r>
      <w:r w:rsidRPr="00FA1A19">
        <w:t xml:space="preserve">evidence </w:t>
      </w:r>
      <w:r w:rsidR="002F2BC9" w:rsidRPr="00FA1A19">
        <w:t xml:space="preserve">will be sufficient </w:t>
      </w:r>
      <w:r w:rsidRPr="00FA1A19">
        <w:t xml:space="preserve">to support this position. </w:t>
      </w:r>
    </w:p>
    <w:p w14:paraId="1E5051F5" w14:textId="58459743" w:rsidR="00D335D5" w:rsidRDefault="00FC4F91" w:rsidP="00364D1B">
      <w:r w:rsidRPr="00FA1A19">
        <w:t xml:space="preserve">It is preferable for </w:t>
      </w:r>
      <w:r w:rsidR="00D335D5" w:rsidRPr="00FA1A19">
        <w:t>this</w:t>
      </w:r>
      <w:r w:rsidRPr="00FA1A19">
        <w:t xml:space="preserve"> default treatment to be achieved through an administrative approach that provides binding certainty for taxpayers, rather than legislative change</w:t>
      </w:r>
      <w:r w:rsidR="00D335D5" w:rsidRPr="00FA1A19">
        <w:t>.</w:t>
      </w:r>
      <w:r w:rsidR="004F0A51" w:rsidRPr="00FA1A19">
        <w:t xml:space="preserve"> </w:t>
      </w:r>
      <w:r w:rsidR="00D335D5" w:rsidRPr="00FA1A19">
        <w:t>A</w:t>
      </w:r>
      <w:r w:rsidR="00E2602A" w:rsidRPr="00FA1A19">
        <w:t xml:space="preserve">s </w:t>
      </w:r>
      <w:r w:rsidR="009106A9" w:rsidRPr="00FA1A19">
        <w:t xml:space="preserve">global </w:t>
      </w:r>
      <w:r w:rsidR="00E2602A" w:rsidRPr="00FA1A19">
        <w:t xml:space="preserve">regulation of </w:t>
      </w:r>
      <w:r w:rsidR="007C3291" w:rsidRPr="00FA1A19">
        <w:t>crypto transactions</w:t>
      </w:r>
      <w:r w:rsidR="009106A9" w:rsidRPr="00FA1A19">
        <w:t xml:space="preserve"> increases in</w:t>
      </w:r>
      <w:r w:rsidR="00D335D5" w:rsidRPr="00FA1A19">
        <w:t>to</w:t>
      </w:r>
      <w:r w:rsidR="009106A9" w:rsidRPr="00FA1A19">
        <w:t xml:space="preserve"> the future, </w:t>
      </w:r>
      <w:r w:rsidR="00B80579" w:rsidRPr="00FA1A19">
        <w:t xml:space="preserve">identifying the location and parties to transactions </w:t>
      </w:r>
      <w:r w:rsidR="24952015">
        <w:t xml:space="preserve">is likely to </w:t>
      </w:r>
      <w:r w:rsidR="00B80579">
        <w:t>be</w:t>
      </w:r>
      <w:r w:rsidR="00D335D5">
        <w:t>come easier</w:t>
      </w:r>
      <w:r w:rsidR="00AA2ED4">
        <w:t>.</w:t>
      </w:r>
      <w:r w:rsidR="004F0A51" w:rsidRPr="00FA1A19">
        <w:t xml:space="preserve"> </w:t>
      </w:r>
      <w:r w:rsidR="00AA2ED4" w:rsidRPr="00FA1A19">
        <w:t>A</w:t>
      </w:r>
      <w:r w:rsidR="00D335D5" w:rsidRPr="00FA1A19">
        <w:t>n administrative solution achieves certainty more quickly in the short to medium term</w:t>
      </w:r>
      <w:r w:rsidR="00DD7E85">
        <w:t xml:space="preserve">. </w:t>
      </w:r>
      <w:r w:rsidR="007452FF" w:rsidRPr="00FA1A19">
        <w:t xml:space="preserve">However if an administrative approach is not possible, </w:t>
      </w:r>
      <w:r w:rsidR="00800712" w:rsidRPr="00FA1A19">
        <w:t xml:space="preserve">for example if the ATO view is that the </w:t>
      </w:r>
      <w:r w:rsidR="7514F0F5">
        <w:t xml:space="preserve">default </w:t>
      </w:r>
      <w:r w:rsidR="00800712">
        <w:t>cannot</w:t>
      </w:r>
      <w:r w:rsidR="00800712" w:rsidRPr="00FA1A19">
        <w:t xml:space="preserve"> be applied in the way proposed, </w:t>
      </w:r>
      <w:r w:rsidR="007452FF" w:rsidRPr="00FA1A19">
        <w:t xml:space="preserve">legislative change </w:t>
      </w:r>
      <w:r w:rsidR="00800712" w:rsidRPr="00FA1A19">
        <w:t>may need to</w:t>
      </w:r>
      <w:r w:rsidR="007452FF" w:rsidRPr="00FA1A19">
        <w:t xml:space="preserve"> be considered.</w:t>
      </w:r>
    </w:p>
    <w:p w14:paraId="7E0BA9BB" w14:textId="77777777" w:rsidR="0069352C" w:rsidRPr="00FA1A19" w:rsidRDefault="0069352C" w:rsidP="0069352C">
      <w:pPr>
        <w:pStyle w:val="SingleParagraph"/>
      </w:pPr>
    </w:p>
    <w:tbl>
      <w:tblPr>
        <w:tblStyle w:val="Style2"/>
        <w:tblW w:w="5000" w:type="pct"/>
        <w:tblLook w:val="01E0" w:firstRow="1" w:lastRow="1" w:firstColumn="1" w:lastColumn="1" w:noHBand="0" w:noVBand="0"/>
      </w:tblPr>
      <w:tblGrid>
        <w:gridCol w:w="9641"/>
      </w:tblGrid>
      <w:tr w:rsidR="00D51E0B" w:rsidRPr="00657003" w14:paraId="4F81F35D"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39E2DE96" w14:textId="617E0278" w:rsidR="00D51E0B" w:rsidRPr="00657003" w:rsidRDefault="00372633" w:rsidP="00657003">
            <w:pPr>
              <w:pStyle w:val="BoxHeading1"/>
            </w:pPr>
            <w:r>
              <w:t>Recommendation </w:t>
            </w:r>
            <w:r w:rsidR="00E656CA" w:rsidRPr="00657003">
              <w:t>10.</w:t>
            </w:r>
            <w:r w:rsidR="00D51E0B" w:rsidRPr="00657003">
              <w:t>4</w:t>
            </w:r>
          </w:p>
        </w:tc>
      </w:tr>
      <w:tr w:rsidR="00D51E0B" w:rsidRPr="00FA1A19" w14:paraId="1E88BC2F"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66C42D43" w14:textId="34AE75CD" w:rsidR="00310E28" w:rsidRPr="00FA1A19" w:rsidRDefault="00FC4F91" w:rsidP="00657003">
            <w:pPr>
              <w:pStyle w:val="BoxText"/>
            </w:pPr>
            <w:r w:rsidRPr="00FA1A19">
              <w:t xml:space="preserve">The Board has received feedback that taxpayers are not able to currently comply with their obligations under </w:t>
            </w:r>
            <w:r w:rsidR="002B0640">
              <w:t xml:space="preserve">the </w:t>
            </w:r>
            <w:r w:rsidRPr="00FA1A19">
              <w:t>GST law.</w:t>
            </w:r>
            <w:r w:rsidR="004F0A51" w:rsidRPr="00FA1A19">
              <w:t xml:space="preserve"> </w:t>
            </w:r>
            <w:r w:rsidR="00D51E0B" w:rsidRPr="00FA1A19">
              <w:t xml:space="preserve">The Board </w:t>
            </w:r>
            <w:r w:rsidR="002753E2" w:rsidRPr="00FA1A19">
              <w:t xml:space="preserve">considers that </w:t>
            </w:r>
            <w:r w:rsidR="00552AF8" w:rsidRPr="00FA1A19">
              <w:t>a</w:t>
            </w:r>
            <w:r w:rsidR="002753E2" w:rsidRPr="00FA1A19">
              <w:t xml:space="preserve"> </w:t>
            </w:r>
            <w:r w:rsidR="002D39D0" w:rsidRPr="00FA1A19">
              <w:t xml:space="preserve">more </w:t>
            </w:r>
            <w:r w:rsidR="002753E2" w:rsidRPr="00FA1A19">
              <w:t>correct refle</w:t>
            </w:r>
            <w:r w:rsidR="002D39D0" w:rsidRPr="00FA1A19">
              <w:t>ction</w:t>
            </w:r>
            <w:r w:rsidR="002753E2" w:rsidRPr="00FA1A19">
              <w:t xml:space="preserve"> is that </w:t>
            </w:r>
            <w:r w:rsidR="002D39D0" w:rsidRPr="00FA1A19">
              <w:t xml:space="preserve">taxpayers may not be able to prove that certain supplies are </w:t>
            </w:r>
            <w:r w:rsidR="00622314">
              <w:t xml:space="preserve">not connected with Australia in order to be </w:t>
            </w:r>
            <w:r w:rsidR="00181B68">
              <w:t>GST</w:t>
            </w:r>
            <w:r w:rsidR="00F75232">
              <w:noBreakHyphen/>
            </w:r>
            <w:r w:rsidR="00181B68">
              <w:t>free</w:t>
            </w:r>
            <w:r w:rsidR="00904D50" w:rsidRPr="00FA1A19">
              <w:t xml:space="preserve"> under the law</w:t>
            </w:r>
            <w:r w:rsidR="00622314">
              <w:t>. In such cases,</w:t>
            </w:r>
            <w:r w:rsidR="00210D7C">
              <w:t xml:space="preserve"> </w:t>
            </w:r>
            <w:r w:rsidR="002D39D0" w:rsidRPr="00684FA7">
              <w:t xml:space="preserve">the </w:t>
            </w:r>
            <w:r w:rsidR="00FE2962" w:rsidRPr="00684FA7">
              <w:t xml:space="preserve">Board considers </w:t>
            </w:r>
            <w:r w:rsidR="002D4EC0" w:rsidRPr="00684FA7">
              <w:t>the</w:t>
            </w:r>
            <w:r w:rsidR="007B2BD5" w:rsidRPr="00684FA7">
              <w:t xml:space="preserve"> treatment </w:t>
            </w:r>
            <w:r w:rsidR="002D4EC0" w:rsidRPr="00684FA7">
              <w:t xml:space="preserve">should </w:t>
            </w:r>
            <w:r w:rsidR="007B2BD5" w:rsidRPr="00684FA7">
              <w:t>administratively</w:t>
            </w:r>
            <w:r w:rsidR="002D4EC0" w:rsidRPr="00684FA7">
              <w:t xml:space="preserve"> </w:t>
            </w:r>
            <w:r w:rsidR="00E86F0F" w:rsidRPr="00684FA7">
              <w:t xml:space="preserve">default </w:t>
            </w:r>
            <w:r w:rsidR="002D39D0" w:rsidRPr="00684FA7">
              <w:t xml:space="preserve">to </w:t>
            </w:r>
            <w:r w:rsidR="00436C10" w:rsidRPr="00684FA7">
              <w:t xml:space="preserve">either </w:t>
            </w:r>
            <w:r w:rsidR="002C0E42">
              <w:t>input</w:t>
            </w:r>
            <w:r w:rsidR="00F75232">
              <w:noBreakHyphen/>
            </w:r>
            <w:r w:rsidR="002C0E42">
              <w:t>taxed</w:t>
            </w:r>
            <w:r w:rsidR="00436C10" w:rsidRPr="00684FA7">
              <w:t xml:space="preserve"> or taxable (depending on the applicable circumstances).</w:t>
            </w:r>
            <w:r w:rsidR="004F0A51" w:rsidRPr="00FA1A19">
              <w:t xml:space="preserve"> </w:t>
            </w:r>
            <w:r w:rsidR="00310E28" w:rsidRPr="00FA1A19">
              <w:t xml:space="preserve">If </w:t>
            </w:r>
            <w:r w:rsidR="00D44BC1">
              <w:t>this administrative default applies</w:t>
            </w:r>
            <w:r w:rsidR="00310E28" w:rsidRPr="00FA1A19">
              <w:t xml:space="preserve">, the Board considers that taxpayers are able to comply with their obligations under </w:t>
            </w:r>
            <w:r w:rsidR="002B0640">
              <w:t xml:space="preserve">the </w:t>
            </w:r>
            <w:r w:rsidR="00310E28" w:rsidRPr="00FA1A19">
              <w:t>GST law.</w:t>
            </w:r>
          </w:p>
          <w:p w14:paraId="350CA2DA" w14:textId="0B549B3B" w:rsidR="00310E28" w:rsidRPr="00FA1A19" w:rsidRDefault="00310E28" w:rsidP="00657003">
            <w:pPr>
              <w:pStyle w:val="BoxText"/>
            </w:pPr>
            <w:r w:rsidRPr="00FA1A19">
              <w:t>The Board recommends that the ATO consider this matter and in particular the correct outcome if taxpayers cannot prove that supp</w:t>
            </w:r>
            <w:r w:rsidR="00453E3A" w:rsidRPr="00FA1A19">
              <w:t xml:space="preserve">lies are </w:t>
            </w:r>
            <w:r w:rsidR="00181B68">
              <w:t>GST</w:t>
            </w:r>
            <w:r w:rsidR="00F75232">
              <w:noBreakHyphen/>
            </w:r>
            <w:r w:rsidR="00181B68">
              <w:t>free</w:t>
            </w:r>
            <w:r w:rsidR="00453E3A" w:rsidRPr="00FA1A19">
              <w:t>.</w:t>
            </w:r>
            <w:r w:rsidR="004F0A51" w:rsidRPr="00FA1A19">
              <w:t xml:space="preserve"> </w:t>
            </w:r>
            <w:r w:rsidR="00453E3A" w:rsidRPr="00FA1A19">
              <w:t xml:space="preserve">If the ATO agrees </w:t>
            </w:r>
            <w:r w:rsidR="72F68E2F">
              <w:t xml:space="preserve">with </w:t>
            </w:r>
            <w:r w:rsidR="35A59848">
              <w:t>the</w:t>
            </w:r>
            <w:r w:rsidR="00373E2D" w:rsidRPr="00FA1A19">
              <w:t xml:space="preserve"> Board</w:t>
            </w:r>
            <w:r w:rsidR="00F75232">
              <w:t>’</w:t>
            </w:r>
            <w:r w:rsidR="00373E2D" w:rsidRPr="00FA1A19">
              <w:t>s view</w:t>
            </w:r>
            <w:r w:rsidR="00453E3A" w:rsidRPr="00FA1A19">
              <w:t xml:space="preserve"> </w:t>
            </w:r>
            <w:r w:rsidR="00381B65">
              <w:t>in relation to the application of an administrative default treatment</w:t>
            </w:r>
            <w:r w:rsidR="00453E3A" w:rsidRPr="00FA1A19">
              <w:t xml:space="preserve">, the Board recommends that </w:t>
            </w:r>
            <w:r w:rsidR="00075602" w:rsidRPr="00FA1A19">
              <w:t>the ATO issue guidance that reflects this outcome.</w:t>
            </w:r>
          </w:p>
          <w:p w14:paraId="5A26D365" w14:textId="400A4117" w:rsidR="00D51E0B" w:rsidRPr="00FA1A19" w:rsidRDefault="00075602" w:rsidP="00657003">
            <w:pPr>
              <w:pStyle w:val="BoxText"/>
            </w:pPr>
            <w:r w:rsidRPr="00FA1A19">
              <w:t>If this issue is still unresolved after further consideration, the Government could consider legislative change if appropriate, but the Board does not recommend any legislative change at this stage.</w:t>
            </w:r>
            <w:r w:rsidR="004F0A51" w:rsidRPr="00FA1A19">
              <w:t xml:space="preserve"> </w:t>
            </w:r>
            <w:r w:rsidRPr="00FA1A19">
              <w:t>For further</w:t>
            </w:r>
            <w:r w:rsidR="00D91EB0">
              <w:t xml:space="preserve"> information</w:t>
            </w:r>
            <w:r w:rsidRPr="00FA1A19">
              <w:t xml:space="preserve">, see </w:t>
            </w:r>
            <w:r w:rsidR="00372633">
              <w:t>Chapter </w:t>
            </w:r>
            <w:r w:rsidRPr="00FA1A19">
              <w:t>13 of this Report.</w:t>
            </w:r>
          </w:p>
        </w:tc>
      </w:tr>
    </w:tbl>
    <w:p w14:paraId="7EA81F87" w14:textId="77777777" w:rsidR="00D51E0B" w:rsidRPr="00FA1A19" w:rsidRDefault="00D51E0B" w:rsidP="00342121">
      <w:pPr>
        <w:pStyle w:val="Heading3"/>
      </w:pPr>
      <w:r w:rsidRPr="00FA1A19">
        <w:t>Other GST issues</w:t>
      </w:r>
    </w:p>
    <w:p w14:paraId="12CE70B0" w14:textId="334C609B" w:rsidR="00D51E0B" w:rsidRPr="00FA1A19" w:rsidRDefault="00D51E0B" w:rsidP="00364D1B">
      <w:r w:rsidRPr="00FA1A19">
        <w:t xml:space="preserve">The Board has received feedback in relation to other specific GST issues, including the treatment of brokerage and other fees; and </w:t>
      </w:r>
      <w:r w:rsidR="00C44F8D" w:rsidRPr="00FA1A19">
        <w:t xml:space="preserve">the </w:t>
      </w:r>
      <w:r w:rsidRPr="00FA1A19">
        <w:t xml:space="preserve">operation of the metaverse and resulting interaction with GST concepts. The Board has provided further consideration in relation to the operation of the metaverse in </w:t>
      </w:r>
      <w:r w:rsidR="00372633">
        <w:t>Chapter </w:t>
      </w:r>
      <w:r w:rsidRPr="00FA1A19">
        <w:t>1</w:t>
      </w:r>
      <w:r w:rsidR="004A318B" w:rsidRPr="00FA1A19">
        <w:t>3</w:t>
      </w:r>
      <w:r w:rsidRPr="00FA1A19">
        <w:t xml:space="preserve"> of the report. </w:t>
      </w:r>
    </w:p>
    <w:p w14:paraId="14C5C01F" w14:textId="77777777" w:rsidR="00D51E0B" w:rsidRPr="00FA1A19" w:rsidRDefault="00D51E0B" w:rsidP="0069352C">
      <w:pPr>
        <w:pStyle w:val="Heading4"/>
      </w:pPr>
      <w:r w:rsidRPr="00FA1A19">
        <w:t>Brokerage and service fees</w:t>
      </w:r>
    </w:p>
    <w:p w14:paraId="016810E0" w14:textId="27979795" w:rsidR="00D51E0B" w:rsidRPr="00FA1A19" w:rsidRDefault="00D51E0B" w:rsidP="00D51E0B">
      <w:r w:rsidRPr="00FA1A19">
        <w:t>The GST treatment of fees relating to crypto asset transactions was highlighted as an issue through the Board</w:t>
      </w:r>
      <w:r w:rsidR="00F75232">
        <w:t>’</w:t>
      </w:r>
      <w:r w:rsidRPr="00FA1A19">
        <w:t>s consultation process. Tech Council, Coinbase and Coinstash highlighted the lack of clarity in the GST treatment of fees, specifically:</w:t>
      </w:r>
    </w:p>
    <w:p w14:paraId="105C09EA" w14:textId="3FE740A8" w:rsidR="00D51E0B" w:rsidRPr="00FA1A19" w:rsidRDefault="00D51E0B" w:rsidP="00657003">
      <w:pPr>
        <w:pStyle w:val="Bullet"/>
      </w:pPr>
      <w:r w:rsidRPr="00FA1A19">
        <w:t>Tech Council of Australia noted the need for clarification in relation to fees charged between specific entities for the purchase and sale</w:t>
      </w:r>
      <w:r w:rsidR="00FE4E56" w:rsidRPr="00FA1A19">
        <w:t>.</w:t>
      </w:r>
      <w:r w:rsidRPr="00170ADC">
        <w:rPr>
          <w:rStyle w:val="FootnoteReference"/>
        </w:rPr>
        <w:footnoteReference w:id="582"/>
      </w:r>
    </w:p>
    <w:p w14:paraId="35F513C0" w14:textId="7D62AFF6" w:rsidR="00D51E0B" w:rsidRPr="00E23D88" w:rsidRDefault="00D51E0B" w:rsidP="00657003">
      <w:pPr>
        <w:pStyle w:val="Bullet"/>
        <w:rPr>
          <w:spacing w:val="-3"/>
        </w:rPr>
      </w:pPr>
      <w:r w:rsidRPr="00E23D88">
        <w:rPr>
          <w:spacing w:val="-3"/>
        </w:rPr>
        <w:t xml:space="preserve">Coinbase highlighted the lack of guidance in relation to the GST treatment of the </w:t>
      </w:r>
      <w:r w:rsidR="00F75232" w:rsidRPr="00E23D88">
        <w:rPr>
          <w:spacing w:val="-3"/>
        </w:rPr>
        <w:t>‘</w:t>
      </w:r>
      <w:r w:rsidRPr="00E23D88">
        <w:rPr>
          <w:spacing w:val="-3"/>
        </w:rPr>
        <w:t>spread</w:t>
      </w:r>
      <w:r w:rsidR="00F75232" w:rsidRPr="00E23D88">
        <w:rPr>
          <w:spacing w:val="-3"/>
        </w:rPr>
        <w:t>’</w:t>
      </w:r>
      <w:r w:rsidRPr="00E23D88">
        <w:rPr>
          <w:spacing w:val="-3"/>
        </w:rPr>
        <w:t xml:space="preserve"> for cryptocurrency transactions, noting that they do not believe that GST is being uniformly collected on the spread</w:t>
      </w:r>
      <w:r w:rsidR="00FE4E56" w:rsidRPr="00E23D88">
        <w:rPr>
          <w:spacing w:val="-3"/>
        </w:rPr>
        <w:t>.</w:t>
      </w:r>
      <w:r w:rsidRPr="00E23D88">
        <w:rPr>
          <w:rStyle w:val="FootnoteReference"/>
          <w:spacing w:val="-3"/>
        </w:rPr>
        <w:footnoteReference w:id="583"/>
      </w:r>
      <w:r w:rsidRPr="00E23D88">
        <w:rPr>
          <w:spacing w:val="-3"/>
        </w:rPr>
        <w:t xml:space="preserve"> </w:t>
      </w:r>
    </w:p>
    <w:p w14:paraId="16038581" w14:textId="5EA7D4F6" w:rsidR="00D51E0B" w:rsidRPr="00FA1A19" w:rsidRDefault="00D51E0B" w:rsidP="00657003">
      <w:pPr>
        <w:pStyle w:val="Bullet"/>
      </w:pPr>
      <w:r w:rsidRPr="00FA1A19">
        <w:t>Coinstash noted the need for increased education to international exchanges operating in Australia to create a level playing field in relation to the application of Australian GST legislation</w:t>
      </w:r>
      <w:r w:rsidR="00460143" w:rsidRPr="00FA1A19">
        <w:t>.</w:t>
      </w:r>
      <w:r w:rsidRPr="00170ADC">
        <w:rPr>
          <w:rStyle w:val="FootnoteReference"/>
        </w:rPr>
        <w:footnoteReference w:id="584"/>
      </w:r>
      <w:r w:rsidRPr="00FA1A19">
        <w:t xml:space="preserve"> </w:t>
      </w:r>
    </w:p>
    <w:p w14:paraId="08DF8CF7" w14:textId="2B6AEBC7" w:rsidR="00EB09BD" w:rsidRDefault="00D51E0B" w:rsidP="00254A4B">
      <w:r w:rsidRPr="00FA1A19">
        <w:t xml:space="preserve">The Board notes that in March 2023, the ATO provided an update to its binding ruling, </w:t>
      </w:r>
      <w:hyperlink r:id="rId65" w:history="1">
        <w:r w:rsidRPr="00FA1A19">
          <w:rPr>
            <w:rStyle w:val="Hyperlink"/>
          </w:rPr>
          <w:t>GSTR 2002/2</w:t>
        </w:r>
      </w:hyperlink>
      <w:r w:rsidRPr="00FA1A19">
        <w:t xml:space="preserve"> to incorporate, among other things, references to the GST treatment of digital currency.</w:t>
      </w:r>
      <w:r w:rsidRPr="00170ADC">
        <w:rPr>
          <w:rStyle w:val="FootnoteReference"/>
        </w:rPr>
        <w:footnoteReference w:id="585"/>
      </w:r>
      <w:r w:rsidRPr="00FA1A19">
        <w:t xml:space="preserve"> This Ruling incorporates Table F which sets out the GST status of various fees as they relate to currency (including digital currency). The Board notes that while there is broader complexity in relation to classification of various fees for financial services, the ATO</w:t>
      </w:r>
      <w:r w:rsidR="00F75232">
        <w:t>’</w:t>
      </w:r>
      <w:r w:rsidRPr="00FA1A19">
        <w:t>s update to the GSTR 2002/2 provides greater certainty to crypto</w:t>
      </w:r>
      <w:r w:rsidR="00E23D88">
        <w:t> </w:t>
      </w:r>
      <w:r w:rsidRPr="00FA1A19">
        <w:t>assets.</w:t>
      </w:r>
    </w:p>
    <w:p w14:paraId="1B5548C2" w14:textId="77777777" w:rsidR="00EB09BD" w:rsidRDefault="00EB09BD" w:rsidP="00254A4B"/>
    <w:p w14:paraId="3481EDFF" w14:textId="77777777" w:rsidR="00EB09BD" w:rsidRDefault="00EB09BD" w:rsidP="00254A4B">
      <w:pPr>
        <w:sectPr w:rsidR="00EB09BD" w:rsidSect="00320772">
          <w:pgSz w:w="11909" w:h="16834" w:code="9"/>
          <w:pgMar w:top="1985" w:right="1134" w:bottom="1985" w:left="1134" w:header="1134" w:footer="1134" w:gutter="0"/>
          <w:cols w:space="708"/>
          <w:docGrid w:linePitch="360"/>
        </w:sectPr>
      </w:pPr>
    </w:p>
    <w:p w14:paraId="69572F7D" w14:textId="1AA15721" w:rsidR="00CF47D0" w:rsidRPr="00FA1A19" w:rsidRDefault="00372633" w:rsidP="0069352C">
      <w:pPr>
        <w:pStyle w:val="Heading1"/>
      </w:pPr>
      <w:bookmarkStart w:id="145" w:name="_Toc159513629"/>
      <w:r>
        <w:t>Chapter </w:t>
      </w:r>
      <w:r w:rsidR="00CF47D0" w:rsidRPr="00FA1A19">
        <w:t>11: Record keeping and tax compliance</w:t>
      </w:r>
      <w:bookmarkEnd w:id="145"/>
    </w:p>
    <w:p w14:paraId="50C5B61C" w14:textId="77777777" w:rsidR="00CF47D0" w:rsidRPr="00FA1A19" w:rsidRDefault="00CF47D0" w:rsidP="0069352C">
      <w:pPr>
        <w:pStyle w:val="Heading2"/>
        <w:rPr>
          <w:rStyle w:val="Emphasis"/>
        </w:rPr>
      </w:pPr>
      <w:bookmarkStart w:id="146" w:name="_Toc159513630"/>
      <w:r w:rsidRPr="00FA1A19">
        <w:rPr>
          <w:rStyle w:val="Emphasis"/>
        </w:rPr>
        <w:t>Key Points</w:t>
      </w:r>
      <w:bookmarkEnd w:id="146"/>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2147" w:themeFill="accent1"/>
        <w:tblCellMar>
          <w:top w:w="397" w:type="dxa"/>
          <w:left w:w="454" w:type="dxa"/>
          <w:bottom w:w="397" w:type="dxa"/>
          <w:right w:w="454" w:type="dxa"/>
        </w:tblCellMar>
        <w:tblLook w:val="04A0" w:firstRow="1" w:lastRow="0" w:firstColumn="1" w:lastColumn="0" w:noHBand="0" w:noVBand="1"/>
      </w:tblPr>
      <w:tblGrid>
        <w:gridCol w:w="9641"/>
      </w:tblGrid>
      <w:tr w:rsidR="00CF47D0" w:rsidRPr="00FA1A19" w14:paraId="0AA00E37" w14:textId="77777777" w:rsidTr="00E23D88">
        <w:tc>
          <w:tcPr>
            <w:tcW w:w="5000" w:type="pct"/>
            <w:shd w:val="clear" w:color="auto" w:fill="701F4D" w:themeFill="accent2"/>
          </w:tcPr>
          <w:p w14:paraId="4BE838FF" w14:textId="77777777" w:rsidR="00CF47D0" w:rsidRPr="00657003" w:rsidRDefault="00CF47D0" w:rsidP="000E72DD">
            <w:pPr>
              <w:pStyle w:val="BoxBulletWhite"/>
            </w:pPr>
            <w:r w:rsidRPr="00657003">
              <w:t>Complexity in crypto asset transactions and difficulties in sourcing supporting evidence presents challenges for taxpayers and intermediaries.</w:t>
            </w:r>
          </w:p>
          <w:p w14:paraId="26DF6CE6" w14:textId="77777777" w:rsidR="00CF47D0" w:rsidRPr="00657003" w:rsidRDefault="00CF47D0" w:rsidP="000E72DD">
            <w:pPr>
              <w:pStyle w:val="BoxBulletWhite"/>
            </w:pPr>
            <w:r w:rsidRPr="00657003">
              <w:t>Taxpayers need to ensure that the tools that they use to support their tax calculations and disclosures in relation to crypto assets provide accurate data and evidence that is acceptable to the ATO.</w:t>
            </w:r>
          </w:p>
          <w:p w14:paraId="64617A5C" w14:textId="77777777" w:rsidR="00CF47D0" w:rsidRPr="00657003" w:rsidRDefault="00CF47D0" w:rsidP="000E72DD">
            <w:pPr>
              <w:pStyle w:val="BoxBulletWhite"/>
            </w:pPr>
            <w:r w:rsidRPr="00657003">
              <w:t>The ATO needs to have access to accurate information to undertake targeted compliance activities in relation to crypto asset businesses and users.</w:t>
            </w:r>
          </w:p>
        </w:tc>
      </w:tr>
    </w:tbl>
    <w:p w14:paraId="394E11F2" w14:textId="77777777" w:rsidR="00CF47D0" w:rsidRPr="00FA1A19" w:rsidRDefault="00CF47D0" w:rsidP="0069352C">
      <w:pPr>
        <w:pStyle w:val="Heading2"/>
      </w:pPr>
      <w:bookmarkStart w:id="147" w:name="_Toc159513631"/>
      <w:r w:rsidRPr="00FA1A19">
        <w:t>Introduction</w:t>
      </w:r>
      <w:bookmarkEnd w:id="147"/>
    </w:p>
    <w:p w14:paraId="03135313" w14:textId="7E06E447" w:rsidR="00CF47D0" w:rsidRPr="00FA1A19" w:rsidRDefault="00CF47D0" w:rsidP="00CF47D0">
      <w:r w:rsidRPr="00FA1A19">
        <w:t xml:space="preserve">This </w:t>
      </w:r>
      <w:r w:rsidR="002C78F7" w:rsidRPr="00FA1A19">
        <w:t>c</w:t>
      </w:r>
      <w:r w:rsidR="00A34AB7" w:rsidRPr="00FA1A19">
        <w:t>hapter</w:t>
      </w:r>
      <w:r w:rsidRPr="00FA1A19">
        <w:t xml:space="preserve"> addresses the practical challenges faced by taxpayers, tax agents and the ATO in complying with and administering tax obligations in relation to crypto assets. These challenges have been considered across the following areas:</w:t>
      </w:r>
    </w:p>
    <w:p w14:paraId="1766B16F" w14:textId="7E3F7D39" w:rsidR="00CF47D0" w:rsidRPr="00FA1A19" w:rsidRDefault="00EB41AD" w:rsidP="00657003">
      <w:pPr>
        <w:pStyle w:val="Bullet"/>
      </w:pPr>
      <w:r>
        <w:t>r</w:t>
      </w:r>
      <w:r w:rsidRPr="00FA1A19">
        <w:t xml:space="preserve">ecord </w:t>
      </w:r>
      <w:r w:rsidR="00CF47D0" w:rsidRPr="00FA1A19">
        <w:t>keeping, including the existing legislative requirements and the challenges this presents for crypto asset businesses and users</w:t>
      </w:r>
    </w:p>
    <w:p w14:paraId="59B1A546" w14:textId="257F4AFF" w:rsidR="00CF47D0" w:rsidRPr="00FA1A19" w:rsidRDefault="00EB41AD" w:rsidP="00657003">
      <w:pPr>
        <w:pStyle w:val="Bullet"/>
      </w:pPr>
      <w:r>
        <w:t>c</w:t>
      </w:r>
      <w:r w:rsidRPr="00FA1A19">
        <w:t xml:space="preserve">rypto </w:t>
      </w:r>
      <w:r w:rsidR="008B3385" w:rsidRPr="00FA1A19">
        <w:t>asset</w:t>
      </w:r>
      <w:r w:rsidR="00CF47D0" w:rsidRPr="00FA1A19">
        <w:t xml:space="preserve"> tax software tools, how they may support taxpayers and tax agents and the resulting challenges</w:t>
      </w:r>
    </w:p>
    <w:p w14:paraId="0F1E56E2" w14:textId="77777777" w:rsidR="00CF47D0" w:rsidRPr="00FA1A19" w:rsidRDefault="00CF47D0" w:rsidP="00657003">
      <w:pPr>
        <w:pStyle w:val="Bullet"/>
      </w:pPr>
      <w:r w:rsidRPr="00FA1A19">
        <w:t xml:space="preserve">ATO administration including the use of data matching tools, leveraging income tax return data and compliance activities. </w:t>
      </w:r>
    </w:p>
    <w:p w14:paraId="56C51EFC" w14:textId="77777777" w:rsidR="00CF47D0" w:rsidRPr="00FA1A19" w:rsidRDefault="00CF47D0" w:rsidP="0069352C">
      <w:pPr>
        <w:pStyle w:val="Heading2"/>
      </w:pPr>
      <w:bookmarkStart w:id="148" w:name="_Toc159513632"/>
      <w:r w:rsidRPr="00FA1A19">
        <w:t>Record keeping for crypto assets</w:t>
      </w:r>
      <w:bookmarkEnd w:id="148"/>
    </w:p>
    <w:p w14:paraId="63427FA3" w14:textId="77777777" w:rsidR="00CF47D0" w:rsidRPr="00FA1A19" w:rsidRDefault="00CF47D0" w:rsidP="00342121">
      <w:pPr>
        <w:pStyle w:val="Heading3"/>
      </w:pPr>
      <w:r w:rsidRPr="00FA1A19">
        <w:t>Background</w:t>
      </w:r>
    </w:p>
    <w:p w14:paraId="0927851B" w14:textId="10C95B48" w:rsidR="00CF47D0" w:rsidRPr="00FA1A19" w:rsidRDefault="00CF47D0" w:rsidP="00CF47D0">
      <w:r w:rsidRPr="00FA1A19">
        <w:t xml:space="preserve">As </w:t>
      </w:r>
      <w:r w:rsidR="00BA7D2A" w:rsidRPr="00FA1A19">
        <w:t xml:space="preserve">referenced earlier in </w:t>
      </w:r>
      <w:r w:rsidRPr="00FA1A19">
        <w:t>th</w:t>
      </w:r>
      <w:r w:rsidR="00BA7D2A" w:rsidRPr="00FA1A19">
        <w:t>is</w:t>
      </w:r>
      <w:r w:rsidRPr="00FA1A19">
        <w:t xml:space="preserve"> Report, many crypto asset users are </w:t>
      </w:r>
      <w:r w:rsidR="001B18A5" w:rsidRPr="00FA1A19">
        <w:t xml:space="preserve">from a younger demographic </w:t>
      </w:r>
      <w:r w:rsidRPr="00FA1A19">
        <w:t xml:space="preserve">and are often interacting with the tax system for the first time outside of salary and wage income and basic investment returns. This new or increased engagement with the tax system presents challenges with not only understanding their crypto asset transaction tax reporting obligations, but also in ensuring that sufficient records are retained to support these tax disclosures. As these taxpayers are having their initial interactions with </w:t>
      </w:r>
      <w:r w:rsidR="00162E45" w:rsidRPr="00FA1A19">
        <w:t xml:space="preserve">more complex aspects of the </w:t>
      </w:r>
      <w:r w:rsidRPr="00FA1A19">
        <w:t xml:space="preserve">tax system, these interactions will be instrumental in establishing ongoing compliance and engagement with the tax system. It is therefore </w:t>
      </w:r>
      <w:r w:rsidR="00162E45" w:rsidRPr="00FA1A19">
        <w:t xml:space="preserve">important </w:t>
      </w:r>
      <w:r w:rsidRPr="00FA1A19">
        <w:t>that, where possible, compliance is simple and information accessible to support this engagement.</w:t>
      </w:r>
    </w:p>
    <w:p w14:paraId="4C2A1E12" w14:textId="26C4756E" w:rsidR="00CF47D0" w:rsidRPr="00434F85" w:rsidRDefault="00CF47D0" w:rsidP="00CF47D0">
      <w:r w:rsidRPr="00FA1A19">
        <w:t>Taxpayers may have a general understanding of long</w:t>
      </w:r>
      <w:r w:rsidR="00F75232">
        <w:noBreakHyphen/>
      </w:r>
      <w:r w:rsidRPr="00FA1A19">
        <w:t>established basic record</w:t>
      </w:r>
      <w:r w:rsidR="009C17D8">
        <w:t xml:space="preserve"> </w:t>
      </w:r>
      <w:r w:rsidRPr="00FA1A19">
        <w:t xml:space="preserve">keeping obligations. </w:t>
      </w:r>
      <w:r w:rsidR="00F52669" w:rsidRPr="00FA1A19">
        <w:t>For</w:t>
      </w:r>
      <w:r w:rsidRPr="00FA1A19">
        <w:t xml:space="preserve"> crypto asset</w:t>
      </w:r>
      <w:r w:rsidR="3602523A" w:rsidRPr="00FA1A19">
        <w:t>s</w:t>
      </w:r>
      <w:r w:rsidRPr="00FA1A19">
        <w:t xml:space="preserve"> however, the Board has consistently heard that there is a large gap in knowledge and availability of sufficient records for substantiating crypto asset transactions.</w:t>
      </w:r>
      <w:r w:rsidRPr="00170ADC">
        <w:rPr>
          <w:rStyle w:val="FootnoteReference"/>
        </w:rPr>
        <w:footnoteReference w:id="586"/>
      </w:r>
      <w:r w:rsidRPr="00434F85">
        <w:t xml:space="preserve"> </w:t>
      </w:r>
    </w:p>
    <w:p w14:paraId="4B6A7867" w14:textId="4D3DB2D9" w:rsidR="001D583D" w:rsidRPr="00FA1A19" w:rsidRDefault="00CF47D0" w:rsidP="00657003">
      <w:r w:rsidRPr="00FA1A19">
        <w:t xml:space="preserve">The rapid evolution of crypto assets over the past decade has left taxpayers </w:t>
      </w:r>
      <w:r w:rsidRPr="00657003">
        <w:t>attempting</w:t>
      </w:r>
      <w:r w:rsidRPr="00FA1A19">
        <w:t xml:space="preserve"> to meet their obligations under tax laws that never contemplated the types of transactions that are being undertaken. To date, for example, there have been no specific changes to the record keeping obligations under tax laws to reflect new innovations in the way that transactions are conducted in financial markets, including crypto </w:t>
      </w:r>
      <w:r w:rsidR="001D583D" w:rsidRPr="00FA1A19">
        <w:t xml:space="preserve">asset </w:t>
      </w:r>
      <w:r w:rsidRPr="00FA1A19">
        <w:t>transactions. This was highlighted in EY</w:t>
      </w:r>
      <w:r w:rsidR="00F75232">
        <w:t>’</w:t>
      </w:r>
      <w:r w:rsidRPr="00FA1A19">
        <w:t xml:space="preserve">s submission to the Review: </w:t>
      </w:r>
    </w:p>
    <w:p w14:paraId="06D07A66" w14:textId="57160444" w:rsidR="00CF47D0" w:rsidRPr="00FA1A19" w:rsidRDefault="00CF47D0" w:rsidP="00722D65">
      <w:pPr>
        <w:pStyle w:val="Quote"/>
      </w:pPr>
      <w:r w:rsidRPr="00FA1A19">
        <w:t xml:space="preserve">Where Australian tax laws refer to </w:t>
      </w:r>
      <w:r w:rsidR="00F75232">
        <w:t>‘</w:t>
      </w:r>
      <w:r w:rsidRPr="00FA1A19">
        <w:t>accounting records</w:t>
      </w:r>
      <w:r w:rsidR="00F75232">
        <w:t>’</w:t>
      </w:r>
      <w:r w:rsidRPr="00FA1A19">
        <w:t xml:space="preserve">, legislative references to </w:t>
      </w:r>
      <w:r w:rsidR="00F75232">
        <w:t>‘</w:t>
      </w:r>
      <w:r w:rsidRPr="00FA1A19">
        <w:t>accounting records</w:t>
      </w:r>
      <w:r w:rsidR="00F75232">
        <w:t>’</w:t>
      </w:r>
      <w:r w:rsidRPr="00FA1A19">
        <w:t xml:space="preserve"> may need to updated to include records of blockchain transactions sourced and provided by an approved </w:t>
      </w:r>
      <w:r w:rsidR="00905013" w:rsidRPr="00FA1A19">
        <w:t>[D</w:t>
      </w:r>
      <w:r w:rsidR="00397609" w:rsidRPr="00FA1A19">
        <w:t>EX]</w:t>
      </w:r>
      <w:r w:rsidRPr="00FA1A19">
        <w:t xml:space="preserve"> or third party </w:t>
      </w:r>
      <w:r w:rsidR="00F75232">
        <w:t>‘</w:t>
      </w:r>
      <w:r w:rsidRPr="00FA1A19">
        <w:t>tax calculator</w:t>
      </w:r>
      <w:r w:rsidR="00F75232">
        <w:t>’</w:t>
      </w:r>
      <w:r w:rsidRPr="00FA1A19">
        <w:t xml:space="preserve"> platform.</w:t>
      </w:r>
      <w:r w:rsidRPr="00170ADC">
        <w:rPr>
          <w:rStyle w:val="FootnoteReference"/>
        </w:rPr>
        <w:footnoteReference w:id="587"/>
      </w:r>
      <w:r w:rsidRPr="00FA1A19">
        <w:t xml:space="preserve"> </w:t>
      </w:r>
    </w:p>
    <w:p w14:paraId="06F45713" w14:textId="77777777" w:rsidR="00CF47D0" w:rsidRPr="00FA1A19" w:rsidRDefault="00CF47D0" w:rsidP="00CF47D0">
      <w:r w:rsidRPr="00FA1A19">
        <w:t>This complexity in managing record keeping obligations for crypto assets can be attributed to several factors including:</w:t>
      </w:r>
    </w:p>
    <w:p w14:paraId="66BD3A55" w14:textId="4FB80FD9" w:rsidR="00CF47D0" w:rsidRPr="00FA1A19" w:rsidRDefault="00CF47D0" w:rsidP="00657003">
      <w:pPr>
        <w:pStyle w:val="Bullet"/>
      </w:pPr>
      <w:r w:rsidRPr="00FA1A19">
        <w:t>taxpayer awareness of, and willingness to comply with, the</w:t>
      </w:r>
      <w:r w:rsidR="008F7B1C" w:rsidRPr="00FA1A19">
        <w:t>ir</w:t>
      </w:r>
      <w:r w:rsidRPr="00FA1A19">
        <w:t xml:space="preserve"> record keeping obligations, </w:t>
      </w:r>
      <w:r w:rsidR="00362738" w:rsidRPr="00FA1A19">
        <w:t>which may particularly arise</w:t>
      </w:r>
      <w:r w:rsidRPr="00FA1A19">
        <w:t xml:space="preserve"> from the crypto user demographic and inexperience interacting with the tax system</w:t>
      </w:r>
    </w:p>
    <w:p w14:paraId="0473C532" w14:textId="02599911" w:rsidR="00CF47D0" w:rsidRPr="00FA1A19" w:rsidRDefault="00CF47D0" w:rsidP="00657003">
      <w:pPr>
        <w:pStyle w:val="Bullet"/>
      </w:pPr>
      <w:r w:rsidRPr="00FA1A19">
        <w:t>the challenges in applying record keeping provisions that were established for traditional transactions and do not contemplate the specific features of crypto asset transactions</w:t>
      </w:r>
    </w:p>
    <w:p w14:paraId="6860BB5F" w14:textId="77777777" w:rsidR="00CF47D0" w:rsidRPr="00FA1A19" w:rsidRDefault="00CF47D0" w:rsidP="00657003">
      <w:pPr>
        <w:pStyle w:val="Bullet"/>
      </w:pPr>
      <w:r w:rsidRPr="00FA1A19">
        <w:t>the inconsistency in availability and completeness of records from crypto asset intermediaries.</w:t>
      </w:r>
    </w:p>
    <w:p w14:paraId="62010BCB" w14:textId="77777777" w:rsidR="00CF47D0" w:rsidRPr="00FA1A19" w:rsidRDefault="00CF47D0" w:rsidP="00CF47D0">
      <w:pPr>
        <w:rPr>
          <w:rFonts w:cs="Calibri"/>
          <w:color w:val="000000"/>
        </w:rPr>
      </w:pPr>
      <w:r w:rsidRPr="00FA1A19">
        <w:rPr>
          <w:rFonts w:cs="Calibri"/>
          <w:color w:val="000000"/>
        </w:rPr>
        <w:t xml:space="preserve">In this section the Board will explore these factors and identify ways that these issues may be addressed. </w:t>
      </w:r>
    </w:p>
    <w:p w14:paraId="5D2E543E" w14:textId="77777777" w:rsidR="00CF47D0" w:rsidRPr="00FA1A19" w:rsidRDefault="00CF47D0" w:rsidP="00342121">
      <w:pPr>
        <w:pStyle w:val="Heading3"/>
      </w:pPr>
      <w:r w:rsidRPr="00FA1A19">
        <w:t>Legal requirements for record keeping</w:t>
      </w:r>
    </w:p>
    <w:p w14:paraId="5562C522" w14:textId="7D5E7377" w:rsidR="00CF47D0" w:rsidRPr="00FA1A19" w:rsidRDefault="00CF47D0" w:rsidP="00CF47D0">
      <w:r w:rsidRPr="00FA1A19">
        <w:t>Taxpayers are required to maintain records and statements substantiating how their taxable income has been calculated. Under Australia</w:t>
      </w:r>
      <w:r w:rsidR="00F75232">
        <w:t>’</w:t>
      </w:r>
      <w:r w:rsidRPr="00FA1A19">
        <w:t>s system of self</w:t>
      </w:r>
      <w:r w:rsidR="00F75232">
        <w:noBreakHyphen/>
      </w:r>
      <w:r w:rsidRPr="00FA1A19">
        <w:t xml:space="preserve">assessment, the general position is that these records are not required to be lodged with the ATO in connection with the income tax return, however they must be retained and made available to the Commissioner upon any ATO inquiry. </w:t>
      </w:r>
    </w:p>
    <w:p w14:paraId="493197CC" w14:textId="491D5ED8" w:rsidR="00CF47D0" w:rsidRPr="00FA1A19" w:rsidRDefault="00CF47D0" w:rsidP="00CF47D0">
      <w:pPr>
        <w:rPr>
          <w:rFonts w:cs="Calibri"/>
          <w:color w:val="000000"/>
        </w:rPr>
      </w:pPr>
      <w:r w:rsidRPr="00FA1A19">
        <w:rPr>
          <w:rFonts w:cs="Calibri"/>
          <w:color w:val="000000"/>
        </w:rPr>
        <w:t xml:space="preserve">Record keeping compliance is a significant concern </w:t>
      </w:r>
      <w:r w:rsidR="008C5814" w:rsidRPr="00FA1A19">
        <w:rPr>
          <w:rFonts w:cs="Calibri"/>
          <w:color w:val="000000"/>
        </w:rPr>
        <w:t xml:space="preserve">for </w:t>
      </w:r>
      <w:r w:rsidRPr="00FA1A19">
        <w:rPr>
          <w:rFonts w:cs="Calibri"/>
          <w:color w:val="000000"/>
        </w:rPr>
        <w:t xml:space="preserve">crypto asset users and </w:t>
      </w:r>
      <w:r w:rsidR="0001773C" w:rsidRPr="00FA1A19">
        <w:rPr>
          <w:rFonts w:cs="Calibri"/>
          <w:color w:val="000000"/>
        </w:rPr>
        <w:t>the</w:t>
      </w:r>
      <w:r w:rsidRPr="00FA1A19">
        <w:rPr>
          <w:rFonts w:cs="Calibri"/>
          <w:color w:val="000000"/>
        </w:rPr>
        <w:t xml:space="preserve"> intermediaries providing advice to those users. Not only do taxpayers need to maintain records, but in doing so need to understand what </w:t>
      </w:r>
      <w:r w:rsidR="00EB77E3" w:rsidRPr="00FA1A19">
        <w:rPr>
          <w:rFonts w:cs="Calibri"/>
          <w:color w:val="000000"/>
        </w:rPr>
        <w:t xml:space="preserve">in the view of the ATO </w:t>
      </w:r>
      <w:r w:rsidRPr="00FA1A19">
        <w:rPr>
          <w:rFonts w:cs="Calibri"/>
          <w:color w:val="000000"/>
        </w:rPr>
        <w:t xml:space="preserve">constitutes sufficient records. </w:t>
      </w:r>
    </w:p>
    <w:p w14:paraId="0E993CE9" w14:textId="7CF33A1E" w:rsidR="00CF47D0" w:rsidRPr="00FA1A19" w:rsidRDefault="00CF47D0" w:rsidP="00CF47D0">
      <w:pPr>
        <w:rPr>
          <w:rFonts w:cs="Calibri"/>
          <w:color w:val="000000"/>
        </w:rPr>
      </w:pPr>
      <w:r w:rsidRPr="00FA1A19">
        <w:rPr>
          <w:rFonts w:cs="Calibri"/>
          <w:color w:val="000000"/>
        </w:rPr>
        <w:t>As the regulator of taxpayer record keeping, the ATO may impose a penalty of up to 20 penalty units for failure to maintain suitable records.</w:t>
      </w:r>
      <w:r w:rsidRPr="00170ADC">
        <w:rPr>
          <w:rStyle w:val="FootnoteReference"/>
        </w:rPr>
        <w:footnoteReference w:id="588"/>
      </w:r>
      <w:r w:rsidRPr="00FA1A19">
        <w:rPr>
          <w:rFonts w:cs="Calibri"/>
          <w:color w:val="000000"/>
        </w:rPr>
        <w:t xml:space="preserve"> Additionally, the processes and systems a taxpayer relies upon to maintain these records are relevant considerations in the Commissioner</w:t>
      </w:r>
      <w:r w:rsidR="00F75232">
        <w:rPr>
          <w:rFonts w:cs="Calibri"/>
          <w:color w:val="000000"/>
        </w:rPr>
        <w:t>’</w:t>
      </w:r>
      <w:r w:rsidRPr="00FA1A19">
        <w:rPr>
          <w:rFonts w:cs="Calibri"/>
          <w:color w:val="000000"/>
        </w:rPr>
        <w:t>s determination of any penalties or remissions thereof where a tax shortfall is identified (i.e. the level of reasonable care</w:t>
      </w:r>
      <w:r w:rsidR="00F400E7" w:rsidRPr="00FA1A19">
        <w:rPr>
          <w:rFonts w:cs="Calibri"/>
          <w:color w:val="000000"/>
        </w:rPr>
        <w:t xml:space="preserve"> taken by the taxpayer</w:t>
      </w:r>
      <w:r w:rsidRPr="00FA1A19">
        <w:rPr>
          <w:rFonts w:cs="Calibri"/>
          <w:color w:val="000000"/>
        </w:rPr>
        <w:t>).</w:t>
      </w:r>
      <w:r w:rsidRPr="00170ADC">
        <w:rPr>
          <w:rStyle w:val="FootnoteReference"/>
        </w:rPr>
        <w:footnoteReference w:id="589"/>
      </w:r>
      <w:r w:rsidRPr="00FA1A19">
        <w:rPr>
          <w:rFonts w:cs="Calibri"/>
          <w:color w:val="000000"/>
        </w:rPr>
        <w:t xml:space="preserve"> </w:t>
      </w:r>
    </w:p>
    <w:p w14:paraId="27C27B48" w14:textId="0DE7960F" w:rsidR="00CF47D0" w:rsidRPr="00FA1A19" w:rsidRDefault="00CF47D0" w:rsidP="00657003">
      <w:r w:rsidRPr="00FA1A19">
        <w:t xml:space="preserve">As the </w:t>
      </w:r>
      <w:r w:rsidRPr="00657003">
        <w:t>Board</w:t>
      </w:r>
      <w:r w:rsidRPr="00FA1A19">
        <w:t xml:space="preserve"> set out in </w:t>
      </w:r>
      <w:r w:rsidR="00372633">
        <w:t>Chapter </w:t>
      </w:r>
      <w:r w:rsidR="00C24BB1" w:rsidRPr="00FA1A19">
        <w:t>7</w:t>
      </w:r>
      <w:r w:rsidRPr="00FA1A19">
        <w:t>, current ATO guidance focuses on crypto asset users reporting their crypto asset gains and losses across the following categories:</w:t>
      </w:r>
    </w:p>
    <w:p w14:paraId="6B003B51" w14:textId="2DCCE166" w:rsidR="00CF47D0" w:rsidRPr="00FA1A19" w:rsidRDefault="00CF47D0" w:rsidP="00657003">
      <w:pPr>
        <w:pStyle w:val="Bullet"/>
      </w:pPr>
      <w:r w:rsidRPr="00FA1A19">
        <w:t>Reporting of gains and losses on capital account, through the CGT regime</w:t>
      </w:r>
      <w:r w:rsidR="002D6833">
        <w:t>.</w:t>
      </w:r>
    </w:p>
    <w:p w14:paraId="02F07B2E" w14:textId="77777777" w:rsidR="00CF47D0" w:rsidRPr="00FA1A19" w:rsidRDefault="00CF47D0" w:rsidP="00657003">
      <w:pPr>
        <w:pStyle w:val="Bullet"/>
      </w:pPr>
      <w:r w:rsidRPr="00FA1A19">
        <w:t>Reporting of gains and losses from carrying on a crypto asset business.</w:t>
      </w:r>
    </w:p>
    <w:p w14:paraId="5EB244CA" w14:textId="1ECE1B95" w:rsidR="00CF47D0" w:rsidRPr="00FA1A19" w:rsidRDefault="00CF47D0" w:rsidP="004D25A8">
      <w:r w:rsidRPr="00FA1A19">
        <w:t xml:space="preserve">In this section, the Board has considered the </w:t>
      </w:r>
      <w:r w:rsidR="00062D14" w:rsidRPr="00FA1A19">
        <w:t>legislative</w:t>
      </w:r>
      <w:r w:rsidRPr="00FA1A19">
        <w:t xml:space="preserve"> </w:t>
      </w:r>
      <w:r w:rsidR="00062D14" w:rsidRPr="00FA1A19">
        <w:t xml:space="preserve">record keeping </w:t>
      </w:r>
      <w:r w:rsidRPr="00FA1A19">
        <w:t xml:space="preserve">requirements </w:t>
      </w:r>
      <w:r w:rsidR="00062D14" w:rsidRPr="00FA1A19">
        <w:t xml:space="preserve">and associated ATO guidance </w:t>
      </w:r>
      <w:r w:rsidRPr="00FA1A19">
        <w:t xml:space="preserve">for taxpayers </w:t>
      </w:r>
      <w:r w:rsidR="00062D14" w:rsidRPr="00FA1A19">
        <w:t xml:space="preserve">reporting </w:t>
      </w:r>
      <w:r w:rsidRPr="00FA1A19">
        <w:t xml:space="preserve">capital gains and </w:t>
      </w:r>
      <w:r w:rsidR="00E52023" w:rsidRPr="00FA1A19">
        <w:t xml:space="preserve">taxpayers </w:t>
      </w:r>
      <w:r w:rsidRPr="00FA1A19">
        <w:t xml:space="preserve">undertaking business transactions. </w:t>
      </w:r>
    </w:p>
    <w:p w14:paraId="7805D23F" w14:textId="4F9F8618" w:rsidR="00CF47D0" w:rsidRPr="00FA1A19" w:rsidRDefault="00A3639F" w:rsidP="0069352C">
      <w:pPr>
        <w:pStyle w:val="Heading4"/>
      </w:pPr>
      <w:r>
        <w:t>CGT</w:t>
      </w:r>
      <w:r w:rsidR="00CF47D0" w:rsidRPr="00FA1A19">
        <w:t xml:space="preserve"> record keeping obligations</w:t>
      </w:r>
    </w:p>
    <w:p w14:paraId="125FBC11" w14:textId="5069324F" w:rsidR="00CF47D0" w:rsidRPr="00FA1A19" w:rsidRDefault="00CF47D0" w:rsidP="00CF47D0">
      <w:pPr>
        <w:rPr>
          <w:rFonts w:cs="Calibri"/>
          <w:color w:val="000000"/>
        </w:rPr>
      </w:pPr>
      <w:r w:rsidRPr="00FA1A19">
        <w:rPr>
          <w:rFonts w:cs="Calibri"/>
          <w:color w:val="000000" w:themeColor="text1"/>
        </w:rPr>
        <w:t>The CGT provisions establish detailed and specific record keeping requirement</w:t>
      </w:r>
      <w:r w:rsidR="51AE6614" w:rsidRPr="00FA1A19">
        <w:rPr>
          <w:rFonts w:cs="Calibri"/>
          <w:color w:val="000000" w:themeColor="text1"/>
        </w:rPr>
        <w:t>s</w:t>
      </w:r>
      <w:r w:rsidRPr="00FA1A19">
        <w:rPr>
          <w:rFonts w:cs="Calibri"/>
          <w:color w:val="000000" w:themeColor="text1"/>
        </w:rPr>
        <w:t xml:space="preserve"> for substantiating a gain or loss on a CGT asset and require that these records are generally retained for 5 years after the CGT event occurs. </w:t>
      </w:r>
    </w:p>
    <w:p w14:paraId="7DBE9158" w14:textId="77777777" w:rsidR="00CF47D0" w:rsidRPr="00FA1A19" w:rsidRDefault="00CF47D0" w:rsidP="00CF47D0">
      <w:pPr>
        <w:rPr>
          <w:rFonts w:cs="Calibri"/>
          <w:color w:val="000000"/>
        </w:rPr>
      </w:pPr>
      <w:r w:rsidRPr="00FA1A19">
        <w:rPr>
          <w:rFonts w:cs="Calibri"/>
          <w:color w:val="000000"/>
        </w:rPr>
        <w:t>These records must include information that shows:</w:t>
      </w:r>
    </w:p>
    <w:p w14:paraId="12DACD84" w14:textId="1F85A085" w:rsidR="00CF47D0" w:rsidRPr="00FA1A19" w:rsidRDefault="00CF47D0" w:rsidP="00657003">
      <w:pPr>
        <w:pStyle w:val="Bullet"/>
      </w:pPr>
      <w:r w:rsidRPr="00FA1A19">
        <w:t>the nature of the act, transaction event or circumstance</w:t>
      </w:r>
    </w:p>
    <w:p w14:paraId="6F0AEDD5" w14:textId="5097EF1B" w:rsidR="00CF47D0" w:rsidRPr="00FA1A19" w:rsidRDefault="00CF47D0" w:rsidP="00657003">
      <w:pPr>
        <w:pStyle w:val="Bullet"/>
      </w:pPr>
      <w:r w:rsidRPr="00FA1A19">
        <w:t>the day when it happened or arose</w:t>
      </w:r>
      <w:r w:rsidR="00F55D2D">
        <w:t>, and</w:t>
      </w:r>
    </w:p>
    <w:p w14:paraId="1152FD04" w14:textId="24BB08AA" w:rsidR="00CF47D0" w:rsidRPr="00FA1A19" w:rsidRDefault="00CF47D0" w:rsidP="00657003">
      <w:pPr>
        <w:pStyle w:val="Dash"/>
      </w:pPr>
      <w:r w:rsidRPr="00FA1A19">
        <w:t>in the case of an act – who did it</w:t>
      </w:r>
    </w:p>
    <w:p w14:paraId="37C14703" w14:textId="5549DB54" w:rsidR="00CF47D0" w:rsidRPr="00FA1A19" w:rsidRDefault="00CF47D0" w:rsidP="00657003">
      <w:pPr>
        <w:pStyle w:val="Dash"/>
      </w:pPr>
      <w:r w:rsidRPr="00FA1A19">
        <w:t>in the case of a transaction, who were the parties to it</w:t>
      </w:r>
      <w:r w:rsidR="00F55D2D">
        <w:t>.</w:t>
      </w:r>
    </w:p>
    <w:p w14:paraId="0CCE1FA6" w14:textId="6404E909" w:rsidR="00CF47D0" w:rsidRPr="00FA1A19" w:rsidRDefault="00CF47D0" w:rsidP="00657003">
      <w:pPr>
        <w:pStyle w:val="Bullet"/>
      </w:pPr>
      <w:r w:rsidRPr="00FA1A19">
        <w:t xml:space="preserve">details (including relevant amounts) of how the act, transaction event or circumstance is relevant to working out whether a capital gain or capital loss </w:t>
      </w:r>
      <w:r w:rsidR="3A55569C" w:rsidRPr="00FA1A19">
        <w:t xml:space="preserve">has been </w:t>
      </w:r>
      <w:r w:rsidR="00223B95" w:rsidRPr="00FA1A19">
        <w:t xml:space="preserve">made </w:t>
      </w:r>
      <w:r w:rsidRPr="00FA1A19">
        <w:t>from a CGT event.</w:t>
      </w:r>
      <w:r w:rsidRPr="00170ADC">
        <w:rPr>
          <w:rStyle w:val="FootnoteReference"/>
        </w:rPr>
        <w:footnoteReference w:id="590"/>
      </w:r>
    </w:p>
    <w:p w14:paraId="5AA0E9D0" w14:textId="77777777" w:rsidR="00CF47D0" w:rsidRPr="00FA1A19" w:rsidRDefault="00CF47D0" w:rsidP="00657003">
      <w:r w:rsidRPr="00FA1A19">
        <w:t xml:space="preserve">For the purposes of crypto asset transactions, the ATO has published web </w:t>
      </w:r>
      <w:r w:rsidRPr="00657003">
        <w:t>content</w:t>
      </w:r>
      <w:r w:rsidRPr="00FA1A19">
        <w:t xml:space="preserve"> to assist taxpayers in applying these provisions to crypto assets, detailing that crypto asset users must retain:</w:t>
      </w:r>
    </w:p>
    <w:p w14:paraId="6A36A77A" w14:textId="19B4D8DB" w:rsidR="00CF47D0" w:rsidRPr="00FA1A19" w:rsidRDefault="00CF47D0" w:rsidP="00657003">
      <w:pPr>
        <w:pStyle w:val="Bullet"/>
      </w:pPr>
      <w:r w:rsidRPr="00FA1A19">
        <w:t>receipts for crypto asset purchases, transfers or disposals</w:t>
      </w:r>
    </w:p>
    <w:p w14:paraId="4DC3E822" w14:textId="45B912DB" w:rsidR="00CF47D0" w:rsidRPr="00FA1A19" w:rsidRDefault="00CF47D0" w:rsidP="00657003">
      <w:pPr>
        <w:pStyle w:val="Bullet"/>
      </w:pPr>
      <w:r w:rsidRPr="00FA1A19">
        <w:t>a record of the date of each transaction</w:t>
      </w:r>
    </w:p>
    <w:p w14:paraId="6FAD4102" w14:textId="4A98E372" w:rsidR="00CF47D0" w:rsidRPr="00FA1A19" w:rsidRDefault="00CF47D0" w:rsidP="00657003">
      <w:pPr>
        <w:pStyle w:val="Bullet"/>
      </w:pPr>
      <w:r w:rsidRPr="00FA1A19">
        <w:t>a record of what the transaction is for and who the other party is (this can just be the crypto asset address)</w:t>
      </w:r>
    </w:p>
    <w:p w14:paraId="64A3CFB4" w14:textId="068B4B97" w:rsidR="00CF47D0" w:rsidRPr="00FA1A19" w:rsidRDefault="00CF47D0" w:rsidP="00657003">
      <w:pPr>
        <w:pStyle w:val="Bullet"/>
      </w:pPr>
      <w:r w:rsidRPr="00FA1A19">
        <w:t>exchange records</w:t>
      </w:r>
    </w:p>
    <w:p w14:paraId="7B640E78" w14:textId="45C94FFC" w:rsidR="00CF47D0" w:rsidRPr="00FA1A19" w:rsidRDefault="00CF47D0" w:rsidP="00657003">
      <w:pPr>
        <w:pStyle w:val="Bullet"/>
      </w:pPr>
      <w:r w:rsidRPr="00FA1A19">
        <w:t>a record of the </w:t>
      </w:r>
      <w:hyperlink r:id="rId66" w:anchor="ValuingcryptoassetsinAustraliandollars">
        <w:r w:rsidRPr="00FA1A19">
          <w:t>value of the crypto asset in Australian dollars</w:t>
        </w:r>
      </w:hyperlink>
      <w:r w:rsidRPr="00FA1A19">
        <w:t> at the time of each transaction</w:t>
      </w:r>
    </w:p>
    <w:p w14:paraId="488C08E1" w14:textId="220CD2CB" w:rsidR="00CF47D0" w:rsidRPr="00FA1A19" w:rsidRDefault="00CF47D0" w:rsidP="00657003">
      <w:pPr>
        <w:pStyle w:val="Bullet"/>
      </w:pPr>
      <w:r w:rsidRPr="00FA1A19">
        <w:t>records of agent, accountant and legal costs</w:t>
      </w:r>
    </w:p>
    <w:p w14:paraId="3F3D802C" w14:textId="165437AC" w:rsidR="00CF47D0" w:rsidRPr="00FA1A19" w:rsidRDefault="00CF47D0" w:rsidP="00657003">
      <w:pPr>
        <w:pStyle w:val="Bullet"/>
      </w:pPr>
      <w:r w:rsidRPr="00FA1A19">
        <w:t>digital wallet records and key</w:t>
      </w:r>
    </w:p>
    <w:p w14:paraId="356AE90F" w14:textId="77777777" w:rsidR="00CF47D0" w:rsidRPr="00FA1A19" w:rsidRDefault="00CF47D0" w:rsidP="00657003">
      <w:pPr>
        <w:pStyle w:val="Bullet"/>
      </w:pPr>
      <w:r w:rsidRPr="00FA1A19">
        <w:t>a record of software costs that relate to managing tax affairs.</w:t>
      </w:r>
      <w:r w:rsidRPr="00170ADC">
        <w:rPr>
          <w:rStyle w:val="FootnoteReference"/>
        </w:rPr>
        <w:t xml:space="preserve"> </w:t>
      </w:r>
      <w:r w:rsidRPr="00170ADC">
        <w:rPr>
          <w:rStyle w:val="FootnoteReference"/>
        </w:rPr>
        <w:footnoteReference w:id="591"/>
      </w:r>
    </w:p>
    <w:p w14:paraId="617BAC74" w14:textId="7C52814A" w:rsidR="00CF47D0" w:rsidRPr="00FA1A19" w:rsidRDefault="00CF47D0" w:rsidP="00657003">
      <w:r w:rsidRPr="00FA1A19">
        <w:t xml:space="preserve">This guidance specifically states that these records must be kept in relation to each crypto asset, noting that crypto assets are separate CGT assets. Additionally, the guidance provides tips for keeping good records including various recommendations in relation to exporting transaction history regularly and before account closures, utilising a reputable Australian crypto tax calculator, and using a blockchain explorer or </w:t>
      </w:r>
      <w:r w:rsidR="002D0F7B" w:rsidRPr="00FA1A19">
        <w:t xml:space="preserve">a </w:t>
      </w:r>
      <w:r w:rsidRPr="00FA1A19">
        <w:t>crypto exchange</w:t>
      </w:r>
      <w:r w:rsidR="00F75232">
        <w:t>’</w:t>
      </w:r>
      <w:r w:rsidRPr="00FA1A19">
        <w:t xml:space="preserve">s customer service where there is a need to recreate records. </w:t>
      </w:r>
    </w:p>
    <w:p w14:paraId="6093CD55" w14:textId="77777777" w:rsidR="00CF47D0" w:rsidRPr="00FA1A19" w:rsidRDefault="00CF47D0" w:rsidP="0069352C">
      <w:pPr>
        <w:pStyle w:val="Heading4"/>
      </w:pPr>
      <w:r w:rsidRPr="00FA1A19">
        <w:t>Business record keeping obligations</w:t>
      </w:r>
    </w:p>
    <w:p w14:paraId="21392500" w14:textId="77777777" w:rsidR="00CF47D0" w:rsidRPr="00FA1A19" w:rsidRDefault="00CF47D0" w:rsidP="00657003">
      <w:pPr>
        <w:rPr>
          <w:rFonts w:cs="Calibri"/>
          <w:color w:val="000000"/>
        </w:rPr>
      </w:pPr>
      <w:r w:rsidRPr="00FA1A19">
        <w:t xml:space="preserve">Taxpayers carrying on a business in relation to crypto assets are subject to the same legislative record keeping requirements as all persons </w:t>
      </w:r>
      <w:r w:rsidRPr="00657003">
        <w:t>carrying</w:t>
      </w:r>
      <w:r w:rsidRPr="00FA1A19">
        <w:t xml:space="preserve"> on a business. For income tax purposes, </w:t>
      </w:r>
      <w:r w:rsidRPr="00FA1A19">
        <w:rPr>
          <w:rFonts w:cs="Calibri"/>
          <w:color w:val="000000"/>
        </w:rPr>
        <w:t xml:space="preserve">a business operator must retain all records </w:t>
      </w:r>
      <w:r w:rsidRPr="00FA1A19">
        <w:t>that record and explain all transactions and other acts engaged in that are relevant for any purpose of the taxation acts. This</w:t>
      </w:r>
      <w:r w:rsidRPr="00FA1A19">
        <w:rPr>
          <w:rFonts w:cs="Calibri"/>
          <w:color w:val="000000"/>
        </w:rPr>
        <w:t xml:space="preserve"> includes documents relevant for ascertaining income and expenditure and other documents in relation to elections, choices, estimates, determinations or calculations.</w:t>
      </w:r>
      <w:r w:rsidRPr="00170ADC">
        <w:rPr>
          <w:rStyle w:val="FootnoteReference"/>
        </w:rPr>
        <w:footnoteReference w:id="592"/>
      </w:r>
      <w:r w:rsidRPr="00FA1A19">
        <w:rPr>
          <w:rFonts w:cs="Calibri"/>
          <w:color w:val="000000"/>
        </w:rPr>
        <w:t xml:space="preserve"> </w:t>
      </w:r>
    </w:p>
    <w:p w14:paraId="284D32CA" w14:textId="471568F5" w:rsidR="00CF47D0" w:rsidRPr="00FA1A19" w:rsidRDefault="00CF47D0" w:rsidP="00657003">
      <w:pPr>
        <w:rPr>
          <w:rFonts w:cs="Calibri"/>
          <w:color w:val="000000"/>
        </w:rPr>
      </w:pPr>
      <w:r w:rsidRPr="00FA1A19">
        <w:rPr>
          <w:rFonts w:cs="Calibri"/>
          <w:color w:val="000000"/>
        </w:rPr>
        <w:t xml:space="preserve">The ATO has provided additional binding guidance through Taxation Ruling </w:t>
      </w:r>
      <w:hyperlink r:id="rId67" w:anchor=":~:text=Section%20262A%20of%20the%20Income,any%20purpose%20of%20the%20Act." w:history="1">
        <w:r w:rsidRPr="00813896">
          <w:rPr>
            <w:rStyle w:val="Emphasis"/>
          </w:rPr>
          <w:t>TR 96/7</w:t>
        </w:r>
      </w:hyperlink>
      <w:r w:rsidRPr="00813896">
        <w:rPr>
          <w:rStyle w:val="Emphasis"/>
        </w:rPr>
        <w:t xml:space="preserve"> Income tax: record keeping – section 262A – general principles </w:t>
      </w:r>
      <w:r w:rsidRPr="00FA1A19">
        <w:rPr>
          <w:rFonts w:cs="Calibri"/>
          <w:color w:val="000000"/>
        </w:rPr>
        <w:t>and non</w:t>
      </w:r>
      <w:r w:rsidR="00F75232">
        <w:rPr>
          <w:rFonts w:cs="Calibri"/>
          <w:color w:val="000000"/>
        </w:rPr>
        <w:noBreakHyphen/>
      </w:r>
      <w:r w:rsidRPr="00FA1A19">
        <w:rPr>
          <w:rFonts w:cs="Calibri"/>
          <w:color w:val="000000"/>
        </w:rPr>
        <w:t>binding web guidance on Record keeping for business which aims to provide practical instruction to support business operators in their record keeping obligations.</w:t>
      </w:r>
      <w:r w:rsidRPr="00170ADC">
        <w:rPr>
          <w:rStyle w:val="FootnoteReference"/>
        </w:rPr>
        <w:footnoteReference w:id="593"/>
      </w:r>
      <w:r w:rsidR="004F0A51" w:rsidRPr="00FA1A19">
        <w:rPr>
          <w:rFonts w:cs="Calibri"/>
          <w:color w:val="000000"/>
        </w:rPr>
        <w:t xml:space="preserve"> </w:t>
      </w:r>
    </w:p>
    <w:p w14:paraId="34A2354B" w14:textId="77777777" w:rsidR="00CF47D0" w:rsidRPr="00FA1A19" w:rsidRDefault="00CF47D0" w:rsidP="00657003">
      <w:pPr>
        <w:rPr>
          <w:rFonts w:cs="Calibri"/>
          <w:color w:val="000000"/>
        </w:rPr>
      </w:pPr>
      <w:r w:rsidRPr="00FA1A19">
        <w:rPr>
          <w:rFonts w:cs="Calibri"/>
          <w:color w:val="000000"/>
        </w:rPr>
        <w:t>Similar record keeping obligations are imposed on an entity that is required to be registered for GST, including records that show the income and expenses used to calculate and support the amounts reported and claimed for GST credits.</w:t>
      </w:r>
      <w:r w:rsidRPr="00170ADC">
        <w:rPr>
          <w:rStyle w:val="FootnoteReference"/>
        </w:rPr>
        <w:footnoteReference w:id="594"/>
      </w:r>
      <w:r w:rsidRPr="00FA1A19">
        <w:rPr>
          <w:rFonts w:cs="Calibri"/>
          <w:color w:val="000000"/>
        </w:rPr>
        <w:t xml:space="preserve"> In many instances these records will overlap with those required to meet income tax obligations. </w:t>
      </w:r>
    </w:p>
    <w:p w14:paraId="4DE343C7" w14:textId="4A8F69B4" w:rsidR="00CF47D0" w:rsidRPr="00FA1A19" w:rsidRDefault="00CF47D0" w:rsidP="00657003">
      <w:pPr>
        <w:rPr>
          <w:rFonts w:cs="Calibri"/>
          <w:color w:val="000000"/>
        </w:rPr>
      </w:pPr>
      <w:r w:rsidRPr="00FA1A19">
        <w:rPr>
          <w:rFonts w:cs="Calibri"/>
          <w:color w:val="000000"/>
        </w:rPr>
        <w:t>In relation to crypto asset business record keeping obligations however, the</w:t>
      </w:r>
      <w:r w:rsidR="00526477" w:rsidRPr="00FA1A19">
        <w:rPr>
          <w:rFonts w:cs="Calibri"/>
          <w:color w:val="000000" w:themeColor="text1"/>
        </w:rPr>
        <w:t>re is</w:t>
      </w:r>
      <w:r w:rsidRPr="00FA1A19">
        <w:rPr>
          <w:rFonts w:cs="Calibri"/>
          <w:color w:val="000000"/>
        </w:rPr>
        <w:t xml:space="preserve"> limited specific guidance</w:t>
      </w:r>
      <w:r w:rsidR="00526477" w:rsidRPr="00FA1A19">
        <w:rPr>
          <w:rFonts w:cs="Calibri"/>
          <w:color w:val="000000" w:themeColor="text1"/>
        </w:rPr>
        <w:t xml:space="preserve"> on the ATO website</w:t>
      </w:r>
      <w:r w:rsidR="009F4F21" w:rsidRPr="00FA1A19">
        <w:rPr>
          <w:rFonts w:cs="Calibri"/>
          <w:color w:val="000000" w:themeColor="text1"/>
        </w:rPr>
        <w:t>.</w:t>
      </w:r>
      <w:r w:rsidR="004F0A51" w:rsidRPr="00FA1A19">
        <w:rPr>
          <w:rFonts w:cs="Calibri"/>
          <w:color w:val="000000" w:themeColor="text1"/>
        </w:rPr>
        <w:t xml:space="preserve"> </w:t>
      </w:r>
      <w:r w:rsidR="009F4F21" w:rsidRPr="00FA1A19">
        <w:rPr>
          <w:rFonts w:cs="Calibri"/>
          <w:color w:val="000000" w:themeColor="text1"/>
        </w:rPr>
        <w:t>Instead,</w:t>
      </w:r>
      <w:r w:rsidR="00C418D8" w:rsidRPr="00FA1A19">
        <w:rPr>
          <w:rFonts w:cs="Calibri"/>
          <w:color w:val="000000" w:themeColor="text1"/>
        </w:rPr>
        <w:t xml:space="preserve"> t</w:t>
      </w:r>
      <w:r w:rsidRPr="00FA1A19">
        <w:rPr>
          <w:rFonts w:cs="Calibri"/>
          <w:color w:val="000000"/>
        </w:rPr>
        <w:t>he ATO website guidance references the ATO</w:t>
      </w:r>
      <w:r w:rsidR="00F75232">
        <w:rPr>
          <w:rFonts w:cs="Calibri"/>
          <w:color w:val="000000"/>
        </w:rPr>
        <w:t>’</w:t>
      </w:r>
      <w:r w:rsidRPr="00FA1A19">
        <w:rPr>
          <w:rFonts w:cs="Calibri"/>
          <w:color w:val="000000"/>
        </w:rPr>
        <w:t>s crypto asset data</w:t>
      </w:r>
      <w:r w:rsidR="00F75232">
        <w:rPr>
          <w:rFonts w:cs="Calibri"/>
          <w:color w:val="000000"/>
        </w:rPr>
        <w:noBreakHyphen/>
      </w:r>
      <w:r w:rsidRPr="00FA1A19">
        <w:rPr>
          <w:rFonts w:cs="Calibri"/>
          <w:color w:val="000000"/>
        </w:rPr>
        <w:t>matching program and notes the need to keep records of each of crypto asset and all transactions for tax purposes.</w:t>
      </w:r>
      <w:r w:rsidRPr="00170ADC">
        <w:rPr>
          <w:rStyle w:val="FootnoteReference"/>
        </w:rPr>
        <w:footnoteReference w:id="595"/>
      </w:r>
      <w:r w:rsidRPr="00FA1A19">
        <w:rPr>
          <w:rFonts w:cs="Calibri"/>
          <w:color w:val="000000"/>
        </w:rPr>
        <w:t xml:space="preserve"> </w:t>
      </w:r>
    </w:p>
    <w:p w14:paraId="22AC18B7" w14:textId="77777777" w:rsidR="00CF47D0" w:rsidRPr="00170ADC" w:rsidRDefault="00CF47D0" w:rsidP="00657003">
      <w:pPr>
        <w:rPr>
          <w:rStyle w:val="FootnoteReference"/>
        </w:rPr>
      </w:pPr>
      <w:r w:rsidRPr="00FA1A19">
        <w:rPr>
          <w:rFonts w:cs="Calibri"/>
          <w:color w:val="000000" w:themeColor="text1"/>
        </w:rPr>
        <w:t>Taxpayers are generally required to retain records for 5 years after a tax return is lodged, although other statutory rules may impose a different period.</w:t>
      </w:r>
    </w:p>
    <w:p w14:paraId="3F3CDBC7" w14:textId="204E2E16" w:rsidR="00CF47D0" w:rsidRPr="00FA1A19" w:rsidRDefault="00CF47D0" w:rsidP="00342121">
      <w:pPr>
        <w:pStyle w:val="Heading3"/>
      </w:pPr>
      <w:r w:rsidRPr="00FA1A19">
        <w:t>Challenges with crypto asset record</w:t>
      </w:r>
      <w:r w:rsidR="007847BB">
        <w:t xml:space="preserve"> </w:t>
      </w:r>
      <w:r w:rsidRPr="00FA1A19">
        <w:t>keeping</w:t>
      </w:r>
    </w:p>
    <w:p w14:paraId="1CC83D15" w14:textId="0C384D48" w:rsidR="00CF47D0" w:rsidRPr="00FA1A19" w:rsidRDefault="00CF47D0" w:rsidP="00CF47D0">
      <w:r w:rsidRPr="00FA1A19">
        <w:t>Crypto asset transactions are often complex and may occur in high volume across multiple intermediary platforms. Transactions are not limited to straight</w:t>
      </w:r>
      <w:r w:rsidR="00F75232">
        <w:noBreakHyphen/>
      </w:r>
      <w:r w:rsidRPr="00FA1A19">
        <w:t>forward conversions to fiat currency and include an ever</w:t>
      </w:r>
      <w:r w:rsidR="00F75232">
        <w:noBreakHyphen/>
      </w:r>
      <w:r w:rsidRPr="00FA1A19">
        <w:t>increasing number of ways through which crypto assets are acquired, created, evolved and disposed</w:t>
      </w:r>
      <w:r w:rsidR="00B262BF" w:rsidRPr="00FA1A19">
        <w:t>, particularly increasing with the growth in DeFi</w:t>
      </w:r>
      <w:r w:rsidRPr="00FA1A19">
        <w:t xml:space="preserve">. As a result, taxpayers may be faced with challenges in accessing consistent and appropriate records to support their tax disclosures. </w:t>
      </w:r>
    </w:p>
    <w:p w14:paraId="48DC15A9" w14:textId="659991D1" w:rsidR="00CF47D0" w:rsidRPr="00FA1A19" w:rsidRDefault="00B262BF" w:rsidP="00CF47D0">
      <w:r w:rsidRPr="00FA1A19">
        <w:t xml:space="preserve">The </w:t>
      </w:r>
      <w:r w:rsidR="00CF47D0" w:rsidRPr="00FA1A19">
        <w:t>SMSF Association noted in their submission:</w:t>
      </w:r>
    </w:p>
    <w:p w14:paraId="3E37D5BA" w14:textId="0CD70506" w:rsidR="00CF47D0" w:rsidRPr="00FA1A19" w:rsidRDefault="00CF47D0" w:rsidP="00722D65">
      <w:pPr>
        <w:pStyle w:val="Quote"/>
      </w:pPr>
      <w:r w:rsidRPr="00FA1A19">
        <w:t xml:space="preserve">Due to the underlying nature of digital assets, it is difficult to obtain and retain compliant accounting </w:t>
      </w:r>
      <w:r w:rsidRPr="00FA1A19">
        <w:rPr>
          <w:rFonts w:asciiTheme="minorHAnsi" w:hAnsiTheme="minorHAnsi" w:cstheme="minorHAnsi"/>
        </w:rPr>
        <w:t>records</w:t>
      </w:r>
      <w:r w:rsidRPr="00FA1A19">
        <w:t>. The nature of blockchain technology means that transactions are represented by code and are not supported by contemporaneous documentation.</w:t>
      </w:r>
      <w:r w:rsidR="00511F44" w:rsidRPr="00170ADC">
        <w:rPr>
          <w:rStyle w:val="FootnoteReference"/>
        </w:rPr>
        <w:footnoteReference w:id="596"/>
      </w:r>
      <w:r w:rsidRPr="00FA1A19">
        <w:t xml:space="preserve"> </w:t>
      </w:r>
    </w:p>
    <w:p w14:paraId="7F0F1888" w14:textId="77777777" w:rsidR="00CF47D0" w:rsidRPr="00FA1A19" w:rsidRDefault="00CF47D0" w:rsidP="0069352C">
      <w:pPr>
        <w:pStyle w:val="Heading4"/>
      </w:pPr>
      <w:r w:rsidRPr="00FA1A19">
        <w:t>Source of records</w:t>
      </w:r>
    </w:p>
    <w:p w14:paraId="012D230E" w14:textId="0906A350" w:rsidR="00CF47D0" w:rsidRPr="00FA1A19" w:rsidRDefault="00CF47D0" w:rsidP="00CF47D0">
      <w:r w:rsidRPr="00FA1A19">
        <w:t>Taxpayers may be interacting directly with the blockchain through a wallet and/or through one or more intermediary, such as a crypto exchange. A user may choose to rely upon source data from blockchain records, reports from exchanges</w:t>
      </w:r>
      <w:r w:rsidR="00977253" w:rsidRPr="00FA1A19">
        <w:t>,</w:t>
      </w:r>
      <w:r w:rsidRPr="00FA1A19">
        <w:t xml:space="preserve"> or utilise a crypto tax software tool to consolidate their records and produce reports for tax purposes. </w:t>
      </w:r>
      <w:r w:rsidR="00275EAF" w:rsidRPr="00FA1A19">
        <w:t>These record sources may be used on their own or be brought together</w:t>
      </w:r>
      <w:r w:rsidR="0040166C" w:rsidRPr="00FA1A19">
        <w:t>,</w:t>
      </w:r>
      <w:r w:rsidR="00275EAF" w:rsidRPr="00FA1A19">
        <w:t xml:space="preserve"> as</w:t>
      </w:r>
      <w:r w:rsidRPr="00FA1A19">
        <w:t xml:space="preserve"> illustrated in the following diagram:</w:t>
      </w:r>
    </w:p>
    <w:p w14:paraId="3BA67720" w14:textId="7D8B753C" w:rsidR="00CF47D0" w:rsidRPr="00FA1A19" w:rsidRDefault="007D1419" w:rsidP="00657003">
      <w:pPr>
        <w:pStyle w:val="ChartGraphic"/>
      </w:pPr>
      <w:r w:rsidRPr="00FA1A19">
        <w:rPr>
          <w:noProof/>
        </w:rPr>
        <w:drawing>
          <wp:inline distT="0" distB="0" distL="0" distR="0" wp14:anchorId="211A9521" wp14:editId="308CFB1F">
            <wp:extent cx="5311276" cy="5551714"/>
            <wp:effectExtent l="0" t="0" r="3810" b="0"/>
            <wp:docPr id="19" name="Picture 19" descr="This infographic shows that crypto asset records obtained through blockchain records and explorers and crypto exchange records and reports and may be combined to obtain reports from crypto tax soft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nfographic shows that crypto asset records obtained through blockchain records and explorers and crypto exchange records and reports and may be combined to obtain reports from crypto tax software. "/>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79744" cy="5623282"/>
                    </a:xfrm>
                    <a:prstGeom prst="rect">
                      <a:avLst/>
                    </a:prstGeom>
                  </pic:spPr>
                </pic:pic>
              </a:graphicData>
            </a:graphic>
          </wp:inline>
        </w:drawing>
      </w:r>
    </w:p>
    <w:p w14:paraId="7C34D273" w14:textId="28DCCED8" w:rsidR="00CF47D0" w:rsidRPr="00FA1A19" w:rsidRDefault="00CF47D0" w:rsidP="00CF47D0">
      <w:r w:rsidRPr="00FA1A19">
        <w:t>The Board has considered the complexity that arises with each of the sources of materials below.</w:t>
      </w:r>
    </w:p>
    <w:p w14:paraId="117A8A8E" w14:textId="77777777" w:rsidR="00CF47D0" w:rsidRPr="00FA1A19" w:rsidRDefault="00CF47D0" w:rsidP="00CF47D0">
      <w:pPr>
        <w:pStyle w:val="Heading5"/>
      </w:pPr>
      <w:r w:rsidRPr="00FA1A19">
        <w:t>Blockchain tools</w:t>
      </w:r>
    </w:p>
    <w:p w14:paraId="252217F8" w14:textId="225550C8" w:rsidR="00CF47D0" w:rsidRPr="00FA1A19" w:rsidRDefault="00CF47D0" w:rsidP="00CF47D0">
      <w:r w:rsidRPr="00FA1A19">
        <w:t>While a large portion of crypto asset users hold their crypto assets through an intermediary, such as a crypto exchange, many users choose to hold their investments directly through a non</w:t>
      </w:r>
      <w:r w:rsidR="00F75232">
        <w:noBreakHyphen/>
      </w:r>
      <w:r w:rsidRPr="00FA1A19">
        <w:t>custodial wallet. Some users may make this choice due to the additional level of control over their crypto assets, which has</w:t>
      </w:r>
      <w:r w:rsidR="00E65895">
        <w:t> </w:t>
      </w:r>
      <w:r w:rsidRPr="00FA1A19">
        <w:t xml:space="preserve">become increasingly relevant </w:t>
      </w:r>
      <w:bookmarkStart w:id="149" w:name="_Int_BqTfUjC1"/>
      <w:r w:rsidRPr="00FA1A19">
        <w:t>in light of</w:t>
      </w:r>
      <w:bookmarkEnd w:id="149"/>
      <w:r w:rsidRPr="00FA1A19">
        <w:t xml:space="preserve"> collapses of high</w:t>
      </w:r>
      <w:r w:rsidR="00F75232">
        <w:noBreakHyphen/>
      </w:r>
      <w:r w:rsidRPr="00FA1A19">
        <w:t>profile crypto exchanges, including FTX in late</w:t>
      </w:r>
      <w:r w:rsidR="00E26F98">
        <w:t> </w:t>
      </w:r>
      <w:r w:rsidRPr="00FA1A19">
        <w:t>2022.</w:t>
      </w:r>
      <w:r w:rsidRPr="00170ADC">
        <w:rPr>
          <w:rStyle w:val="FootnoteReference"/>
        </w:rPr>
        <w:footnoteReference w:id="597"/>
      </w:r>
      <w:r w:rsidRPr="00FA1A19">
        <w:t xml:space="preserve"> </w:t>
      </w:r>
    </w:p>
    <w:p w14:paraId="27FE4948" w14:textId="39614CCD" w:rsidR="00CF47D0" w:rsidRPr="00FA1A19" w:rsidRDefault="00CF47D0" w:rsidP="00CF47D0">
      <w:r w:rsidRPr="00FA1A19">
        <w:t>Crypto users who are not investing or transacting through an intermediary may utilise a blockchain explorer tool to identify information on the public blockchain, such as etherscan.io for the Ethereum blockchain or blockchain.com for the Bitcoin network. These tools can provide detailed insights into transactions and can be used to obtain details on specific blockchains and/or wallet addresses, enabling the user to track relevant transaction data, including cost base and transaction fee</w:t>
      </w:r>
      <w:r w:rsidR="00275EAF" w:rsidRPr="00FA1A19">
        <w:t>s</w:t>
      </w:r>
      <w:r w:rsidRPr="00FA1A19">
        <w:t>.</w:t>
      </w:r>
      <w:r w:rsidRPr="00170ADC">
        <w:rPr>
          <w:rStyle w:val="FootnoteReference"/>
        </w:rPr>
        <w:footnoteReference w:id="598"/>
      </w:r>
      <w:r w:rsidRPr="00FA1A19">
        <w:t xml:space="preserve"> This information will then need to be appropriately categorised, consolidated with other crypto asset transaction data and tax calculations undertaken. </w:t>
      </w:r>
    </w:p>
    <w:p w14:paraId="614E0DDF" w14:textId="77777777" w:rsidR="00CF47D0" w:rsidRPr="00FA1A19" w:rsidRDefault="00CF47D0" w:rsidP="00CF47D0">
      <w:pPr>
        <w:pStyle w:val="Heading5"/>
      </w:pPr>
      <w:r w:rsidRPr="00FA1A19">
        <w:t>Exchange records</w:t>
      </w:r>
    </w:p>
    <w:p w14:paraId="0A76FF21" w14:textId="77777777" w:rsidR="00CF47D0" w:rsidRPr="00FA1A19" w:rsidRDefault="00CF47D0" w:rsidP="00657003">
      <w:r w:rsidRPr="00FA1A19">
        <w:t xml:space="preserve">Many crypto asset users hold their crypto investments through an intermediary exchange. While the Board notes that there are a number of significant Australian based exchanges, many </w:t>
      </w:r>
      <w:r w:rsidRPr="00657003">
        <w:t>Australians</w:t>
      </w:r>
      <w:r w:rsidRPr="00FA1A19">
        <w:t xml:space="preserve"> also transact with crypto assets through exchanges located in other jurisdictions. This has resulted in a lack of consistency in the information available to users to comply with their tax and record keeping obligations.</w:t>
      </w:r>
    </w:p>
    <w:p w14:paraId="1F36B83D" w14:textId="74345BC1" w:rsidR="001F0088" w:rsidRPr="00FA1A19" w:rsidRDefault="001F0088" w:rsidP="001F0088">
      <w:r>
        <w:t xml:space="preserve">In </w:t>
      </w:r>
      <w:r w:rsidR="00372633">
        <w:t>Chapter </w:t>
      </w:r>
      <w:r>
        <w:t xml:space="preserve">10, the </w:t>
      </w:r>
      <w:r w:rsidRPr="00FA1A19">
        <w:t xml:space="preserve">Board noted that digital currency exchanges, which include individual businesses or organisations that exchange money for digital currency or digital currency for money, are currently subject to obligations through </w:t>
      </w:r>
      <w:r>
        <w:t>AUSTRAC.</w:t>
      </w:r>
      <w:r w:rsidRPr="00FA1A19">
        <w:t xml:space="preserve"> These obligations include the requirement to undertake customer identification and verification, which includes the requirement to identify the recipient</w:t>
      </w:r>
      <w:r w:rsidR="00F75232">
        <w:t>’</w:t>
      </w:r>
      <w:r w:rsidRPr="00FA1A19">
        <w:t xml:space="preserve">s address or location. </w:t>
      </w:r>
      <w:r w:rsidR="00EB5F0C">
        <w:t xml:space="preserve">The </w:t>
      </w:r>
      <w:r w:rsidR="007545FB">
        <w:t xml:space="preserve">purpose of this measure is to identify, mitigate and manage money laundering </w:t>
      </w:r>
      <w:r w:rsidR="006474EE">
        <w:t>and terrorism financing risk</w:t>
      </w:r>
      <w:r w:rsidR="00027347">
        <w:t>.</w:t>
      </w:r>
      <w:r w:rsidR="005B2E59" w:rsidRPr="00170ADC">
        <w:rPr>
          <w:rStyle w:val="FootnoteReference"/>
        </w:rPr>
        <w:footnoteReference w:id="599"/>
      </w:r>
      <w:r w:rsidR="00027347">
        <w:t xml:space="preserve"> The Board observes that </w:t>
      </w:r>
      <w:r w:rsidR="00D65324">
        <w:t xml:space="preserve">the collection of this information is also an important </w:t>
      </w:r>
      <w:r w:rsidR="00F352C1">
        <w:t xml:space="preserve">component of improving transparency </w:t>
      </w:r>
      <w:r w:rsidR="00574851">
        <w:t>for tax compliance purposes</w:t>
      </w:r>
      <w:r w:rsidR="00051B76">
        <w:t xml:space="preserve"> and supports the ATO</w:t>
      </w:r>
      <w:r w:rsidR="00F75232">
        <w:t>’</w:t>
      </w:r>
      <w:r w:rsidR="00051B76">
        <w:t xml:space="preserve">s data matching activities (discussed below). </w:t>
      </w:r>
    </w:p>
    <w:p w14:paraId="122643AC" w14:textId="775655D5" w:rsidR="00CF47D0" w:rsidRPr="00FA1A19" w:rsidRDefault="00CF47D0" w:rsidP="00CF47D0">
      <w:r w:rsidRPr="00FA1A19">
        <w:t xml:space="preserve">At the time of the writing of the Report, crypto asset intermediaries are not obliged to comply with any Australian regulations in relation to reporting tax information to users. </w:t>
      </w:r>
      <w:r w:rsidR="00183B07" w:rsidRPr="00FA1A19">
        <w:t xml:space="preserve">As explained in </w:t>
      </w:r>
      <w:r w:rsidR="00372633">
        <w:t>Chapter </w:t>
      </w:r>
      <w:r w:rsidR="00183B07" w:rsidRPr="00FA1A19">
        <w:t>2, i</w:t>
      </w:r>
      <w:r w:rsidRPr="00FA1A19">
        <w:t>n June</w:t>
      </w:r>
      <w:r w:rsidR="00DE0061">
        <w:t> </w:t>
      </w:r>
      <w:r w:rsidRPr="00FA1A19">
        <w:t>2023 the OECD published its final report on a model Crypto</w:t>
      </w:r>
      <w:r w:rsidR="00F75232">
        <w:noBreakHyphen/>
      </w:r>
      <w:r w:rsidRPr="00FA1A19">
        <w:t>Asset Reporting Framework (CARF)</w:t>
      </w:r>
      <w:r w:rsidR="00F62BB3" w:rsidRPr="00FA1A19">
        <w:t>. The</w:t>
      </w:r>
      <w:r w:rsidR="00434F85">
        <w:t> </w:t>
      </w:r>
      <w:r w:rsidR="00F62BB3" w:rsidRPr="00FA1A19">
        <w:t>CARF</w:t>
      </w:r>
      <w:r w:rsidRPr="00FA1A19">
        <w:t xml:space="preserve"> provides a framework for automatic exchange of tax</w:t>
      </w:r>
      <w:r w:rsidR="00F75232">
        <w:noBreakHyphen/>
      </w:r>
      <w:r w:rsidRPr="00FA1A19">
        <w:t>relevant information on crypto assets in a standardised manner.</w:t>
      </w:r>
      <w:r w:rsidRPr="00170ADC">
        <w:rPr>
          <w:rStyle w:val="FootnoteReference"/>
        </w:rPr>
        <w:footnoteReference w:id="600"/>
      </w:r>
      <w:r w:rsidRPr="00FA1A19">
        <w:t xml:space="preserve"> The CARF sets out the relevant crypto assets in scope and the intermediaries and other service providers that will be subject to reporting.</w:t>
      </w:r>
      <w:r w:rsidR="004F0A51" w:rsidRPr="00FA1A19">
        <w:t xml:space="preserve"> </w:t>
      </w:r>
    </w:p>
    <w:p w14:paraId="60FED72D" w14:textId="52C00B7C" w:rsidR="00CF47D0" w:rsidRPr="00FA1A19" w:rsidRDefault="00CF47D0" w:rsidP="00CF47D0">
      <w:r w:rsidRPr="00FA1A19">
        <w:t>The CARF consists of rules and commentary that can be transposed into domestic law to collect information from crypto</w:t>
      </w:r>
      <w:r w:rsidR="0064746A" w:rsidRPr="00FA1A19">
        <w:t xml:space="preserve"> asset</w:t>
      </w:r>
      <w:r w:rsidRPr="00FA1A19">
        <w:t xml:space="preserve"> service providers, with a relevant nexus to the implementing jurisdiction. On 10</w:t>
      </w:r>
      <w:r w:rsidR="00DE0061">
        <w:t> </w:t>
      </w:r>
      <w:r w:rsidRPr="00FA1A19">
        <w:t>November 2023 a Joint Statement was released by participating countries (including Australia) to work towards swiftly transposing the CARF into domestic law and activating exchange agreements in time for exchanges to commence by 2027, subject to national legislative procedures as applicable.</w:t>
      </w:r>
      <w:r w:rsidRPr="00170ADC">
        <w:rPr>
          <w:rStyle w:val="FootnoteReference"/>
        </w:rPr>
        <w:footnoteReference w:id="601"/>
      </w:r>
    </w:p>
    <w:p w14:paraId="2B91D44E" w14:textId="7A469F1D" w:rsidR="00CF47D0" w:rsidRPr="00FA1A19" w:rsidRDefault="00CF47D0" w:rsidP="00E26F98">
      <w:pPr>
        <w:keepNext/>
      </w:pPr>
      <w:r w:rsidRPr="00FA1A19">
        <w:t>The Board has heard that taxpayers continue to face challenges in accessing consistent and accurate records in relation to their crypto asset holdings through intermediaries</w:t>
      </w:r>
      <w:r w:rsidR="008C512F" w:rsidRPr="00FA1A19">
        <w:t>, including the</w:t>
      </w:r>
      <w:r w:rsidRPr="00FA1A19">
        <w:t xml:space="preserve"> variability in the quality of data exports available from crypto exchanges</w:t>
      </w:r>
      <w:r w:rsidR="008C512F" w:rsidRPr="00FA1A19">
        <w:t>.</w:t>
      </w:r>
      <w:r w:rsidR="004F0A51" w:rsidRPr="00FA1A19">
        <w:t xml:space="preserve"> </w:t>
      </w:r>
      <w:r w:rsidR="002A1033" w:rsidRPr="00FA1A19">
        <w:t xml:space="preserve">The </w:t>
      </w:r>
      <w:r w:rsidRPr="00FA1A19">
        <w:t xml:space="preserve">SMSF Association </w:t>
      </w:r>
      <w:r w:rsidR="008C512F" w:rsidRPr="00FA1A19">
        <w:t>noted</w:t>
      </w:r>
      <w:r w:rsidRPr="00FA1A19">
        <w:t>:</w:t>
      </w:r>
    </w:p>
    <w:p w14:paraId="148A90F3" w14:textId="77777777" w:rsidR="00CF47D0" w:rsidRPr="00FA1A19" w:rsidRDefault="00CF47D0" w:rsidP="00722D65">
      <w:pPr>
        <w:pStyle w:val="Quote"/>
      </w:pPr>
      <w:r w:rsidRPr="00FA1A19">
        <w:t>The only record will be that provided by the trading platform used to facilitate the transaction. What is provided by a trading platform is highly variable with some providing on screen information only via their dedicated app through to downloadable transaction listings in a CSV file format only.</w:t>
      </w:r>
      <w:r w:rsidRPr="00170ADC">
        <w:rPr>
          <w:rStyle w:val="FootnoteReference"/>
        </w:rPr>
        <w:footnoteReference w:id="602"/>
      </w:r>
    </w:p>
    <w:p w14:paraId="22E7813D" w14:textId="6E42E717" w:rsidR="00CF47D0" w:rsidRPr="00FA1A19" w:rsidRDefault="009571C7" w:rsidP="00CF47D0">
      <w:r w:rsidRPr="00FA1A19">
        <w:t>Syla, a c</w:t>
      </w:r>
      <w:r w:rsidR="00CF47D0" w:rsidRPr="00FA1A19">
        <w:t>rypto tax software provider</w:t>
      </w:r>
      <w:r w:rsidRPr="00FA1A19">
        <w:t xml:space="preserve">, </w:t>
      </w:r>
      <w:r w:rsidR="00CF47D0" w:rsidRPr="00FA1A19">
        <w:t xml:space="preserve">provided a list of common issues that present in data exports from digital currency exchanges including: </w:t>
      </w:r>
    </w:p>
    <w:p w14:paraId="2655B52A" w14:textId="4CCD7616" w:rsidR="00CF47D0" w:rsidRPr="00FA1A19" w:rsidRDefault="00CF47D0" w:rsidP="00657003">
      <w:pPr>
        <w:pStyle w:val="Bullet"/>
      </w:pPr>
      <w:r w:rsidRPr="00FA1A19">
        <w:t>restrictions on accessing historical transactions</w:t>
      </w:r>
    </w:p>
    <w:p w14:paraId="4113C1FB" w14:textId="66F768C6" w:rsidR="00CF47D0" w:rsidRPr="00FA1A19" w:rsidRDefault="00CF47D0" w:rsidP="00657003">
      <w:pPr>
        <w:pStyle w:val="Bullet"/>
      </w:pPr>
      <w:r w:rsidRPr="00FA1A19">
        <w:t xml:space="preserve">missing transactions in data exports </w:t>
      </w:r>
    </w:p>
    <w:p w14:paraId="2E059D17" w14:textId="5A989148" w:rsidR="00CF47D0" w:rsidRPr="00FA1A19" w:rsidRDefault="00CF47D0" w:rsidP="00657003">
      <w:pPr>
        <w:pStyle w:val="Bullet"/>
      </w:pPr>
      <w:r w:rsidRPr="00FA1A19">
        <w:t>lack of information to identify the nature of transactions (e.g. airdrops being recorded as deposits)</w:t>
      </w:r>
    </w:p>
    <w:p w14:paraId="28684C34" w14:textId="31A08759" w:rsidR="00CF47D0" w:rsidRPr="00FA1A19" w:rsidRDefault="00CF47D0" w:rsidP="00657003">
      <w:pPr>
        <w:pStyle w:val="Bullet"/>
      </w:pPr>
      <w:r w:rsidRPr="00FA1A19">
        <w:t>limited number accuracy and inappropriate rounding issues</w:t>
      </w:r>
    </w:p>
    <w:p w14:paraId="4440405B" w14:textId="306CCE62" w:rsidR="00CF47D0" w:rsidRPr="00FA1A19" w:rsidRDefault="00CF47D0" w:rsidP="00657003">
      <w:pPr>
        <w:pStyle w:val="Bullet"/>
      </w:pPr>
      <w:r w:rsidRPr="00FA1A19">
        <w:t>lack of time zones reported on date and time for transactions, creating ambiguity</w:t>
      </w:r>
    </w:p>
    <w:p w14:paraId="6FF1B840" w14:textId="70480147" w:rsidR="00CF47D0" w:rsidRPr="00FA1A19" w:rsidRDefault="00CF47D0" w:rsidP="00657003">
      <w:pPr>
        <w:pStyle w:val="Bullet"/>
      </w:pPr>
      <w:r w:rsidRPr="00FA1A19">
        <w:t>absence of supporting information to aid in identifying transactions</w:t>
      </w:r>
    </w:p>
    <w:p w14:paraId="27365D3F" w14:textId="2D650FA7" w:rsidR="00CF47D0" w:rsidRPr="00FA1A19" w:rsidRDefault="00CF47D0" w:rsidP="00657003">
      <w:pPr>
        <w:pStyle w:val="Bullet"/>
      </w:pPr>
      <w:r w:rsidRPr="00FA1A19">
        <w:t>lack of confirmation of any GST collected on the transaction</w:t>
      </w:r>
    </w:p>
    <w:p w14:paraId="6BA4063C" w14:textId="0FD2AD48" w:rsidR="00CF47D0" w:rsidRPr="00FA1A19" w:rsidRDefault="00CF47D0" w:rsidP="00657003">
      <w:pPr>
        <w:pStyle w:val="Bullet"/>
      </w:pPr>
      <w:r w:rsidRPr="00FA1A19">
        <w:t>absence of components of a transaction such as withdrawal fee or network fee</w:t>
      </w:r>
    </w:p>
    <w:p w14:paraId="0E902F86" w14:textId="77777777" w:rsidR="00CF47D0" w:rsidRPr="00FA1A19" w:rsidRDefault="00CF47D0" w:rsidP="00657003">
      <w:pPr>
        <w:pStyle w:val="Bullet"/>
      </w:pPr>
      <w:r w:rsidRPr="00FA1A19">
        <w:t>presence of redundant data in CSV exports.</w:t>
      </w:r>
      <w:r w:rsidRPr="00170ADC">
        <w:rPr>
          <w:rStyle w:val="FootnoteReference"/>
        </w:rPr>
        <w:footnoteReference w:id="603"/>
      </w:r>
    </w:p>
    <w:p w14:paraId="639CEE49" w14:textId="5E6BDFE0" w:rsidR="00937779" w:rsidRPr="00FA1A19" w:rsidRDefault="00CF47D0" w:rsidP="004D25A8">
      <w:r w:rsidRPr="00FA1A19">
        <w:t>The global nature of crypto asset exchanges means that an Australian</w:t>
      </w:r>
      <w:r w:rsidR="00F75232">
        <w:noBreakHyphen/>
      </w:r>
      <w:r w:rsidRPr="00FA1A19">
        <w:t>only response to these reporting issues will be insufficient to address the challenges faced by Australian crypto asset holders.</w:t>
      </w:r>
    </w:p>
    <w:p w14:paraId="2B33CE79" w14:textId="62B7FCB6" w:rsidR="00EE60B2" w:rsidRDefault="00937779" w:rsidP="00EB09BD">
      <w:r w:rsidRPr="00FA1A19">
        <w:t xml:space="preserve">It is noted, however, that taxpayers </w:t>
      </w:r>
      <w:r w:rsidR="00A7127A" w:rsidRPr="00FA1A19">
        <w:t xml:space="preserve">may choose the exchange </w:t>
      </w:r>
      <w:r w:rsidR="005D4330" w:rsidRPr="00FA1A19">
        <w:t>that they utilise, and must take some responsibility for ensuring that the exchange</w:t>
      </w:r>
      <w:r w:rsidR="004D6CA1" w:rsidRPr="00FA1A19">
        <w:t xml:space="preserve"> is a reputable exchange and provides them with the services (including taxation records) that they require.</w:t>
      </w:r>
      <w:r w:rsidR="00530334" w:rsidRPr="00FA1A19" w:rsidDel="00530334">
        <w:t xml:space="preserve"> </w:t>
      </w:r>
    </w:p>
    <w:p w14:paraId="1CB47506" w14:textId="77777777" w:rsidR="00434F85" w:rsidRPr="00434F85" w:rsidRDefault="00434F85" w:rsidP="00434F85">
      <w:pPr>
        <w:pStyle w:val="SingleParagraph"/>
      </w:pPr>
    </w:p>
    <w:tbl>
      <w:tblPr>
        <w:tblStyle w:val="Style2"/>
        <w:tblW w:w="5000" w:type="pct"/>
        <w:tblLook w:val="01E0" w:firstRow="1" w:lastRow="1" w:firstColumn="1" w:lastColumn="1" w:noHBand="0" w:noVBand="0"/>
      </w:tblPr>
      <w:tblGrid>
        <w:gridCol w:w="9641"/>
      </w:tblGrid>
      <w:tr w:rsidR="00CF47D0" w:rsidRPr="00657003" w14:paraId="6B44FA65"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709BA83" w14:textId="1F9C8A58" w:rsidR="00CF47D0" w:rsidRPr="00657003" w:rsidRDefault="00372633" w:rsidP="00657003">
            <w:pPr>
              <w:pStyle w:val="BoxHeading1"/>
            </w:pPr>
            <w:r>
              <w:t>Recommendation </w:t>
            </w:r>
            <w:r w:rsidR="00CF47D0" w:rsidRPr="00657003">
              <w:t>11.1</w:t>
            </w:r>
          </w:p>
        </w:tc>
      </w:tr>
      <w:tr w:rsidR="00CF47D0" w:rsidRPr="00FA1A19" w14:paraId="4B2B3E03"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5166F2DC" w14:textId="0A75F420" w:rsidR="0063591F" w:rsidRPr="00FA1A19" w:rsidRDefault="00FB551D" w:rsidP="00657003">
            <w:pPr>
              <w:pStyle w:val="BoxText"/>
            </w:pPr>
            <w:r w:rsidRPr="00FA1A19">
              <w:t xml:space="preserve">The Board observes that </w:t>
            </w:r>
            <w:r w:rsidR="0063591F" w:rsidRPr="00FA1A19">
              <w:t xml:space="preserve">until </w:t>
            </w:r>
            <w:r w:rsidR="00EB57C9" w:rsidRPr="00FA1A19">
              <w:t>t</w:t>
            </w:r>
            <w:r w:rsidRPr="00FA1A19">
              <w:t>here is widespread, consistent, and timely implementation of an international standard for crypto</w:t>
            </w:r>
            <w:r w:rsidR="00F75232">
              <w:noBreakHyphen/>
            </w:r>
            <w:r w:rsidRPr="00FA1A19">
              <w:t>asset reporting</w:t>
            </w:r>
            <w:r w:rsidR="0063591F" w:rsidRPr="00FA1A19">
              <w:t xml:space="preserve">, taxpayers will be faced with ongoing challenges in obtaining information in relation to their crypto asset holdings, which may include information relating to required tax disclosures. </w:t>
            </w:r>
          </w:p>
          <w:p w14:paraId="4828508D" w14:textId="648270C0" w:rsidR="0063591F" w:rsidRPr="00FA1A19" w:rsidRDefault="0063591F" w:rsidP="00657003">
            <w:pPr>
              <w:pStyle w:val="BoxText"/>
              <w:rPr>
                <w:bCs/>
              </w:rPr>
            </w:pPr>
            <w:r w:rsidRPr="00FA1A19">
              <w:t>It is important that taxpayers understand these issues and the actions that can be taken to minimise the associated risks, both for making tax disclosures and retaining sufficient supporting records. This is particularly relevant for demonstrating to the ATO that reasonable care has been taken in arriving at tax positions</w:t>
            </w:r>
            <w:r w:rsidR="008825FE" w:rsidRPr="00FA1A19">
              <w:t>, which can be relevant to the level of tax penalties that may arise on resulting tax shortfalls</w:t>
            </w:r>
            <w:r w:rsidRPr="00FA1A19">
              <w:t>.</w:t>
            </w:r>
            <w:r w:rsidRPr="00170ADC">
              <w:rPr>
                <w:rStyle w:val="FootnoteReference"/>
              </w:rPr>
              <w:footnoteReference w:id="604"/>
            </w:r>
          </w:p>
          <w:p w14:paraId="7DA626CB" w14:textId="1A232934" w:rsidR="0070546C" w:rsidRPr="00FA1A19" w:rsidRDefault="0070546C" w:rsidP="00657003">
            <w:pPr>
              <w:pStyle w:val="BoxText"/>
              <w:rPr>
                <w:bCs/>
              </w:rPr>
            </w:pPr>
            <w:r w:rsidRPr="00FA1A19">
              <w:t xml:space="preserve">Whilst acknowledging this taxpayer responsibility, the Board also acknowledges the difficulties faced by taxpayers </w:t>
            </w:r>
            <w:r w:rsidR="0063591F" w:rsidRPr="00FA1A19">
              <w:t>in</w:t>
            </w:r>
            <w:r w:rsidRPr="00FA1A19">
              <w:t xml:space="preserve"> light of the information challenges in </w:t>
            </w:r>
            <w:r w:rsidR="001C37BE" w:rsidRPr="00FA1A19">
              <w:t>the</w:t>
            </w:r>
            <w:r w:rsidRPr="00FA1A19">
              <w:t xml:space="preserve"> new and </w:t>
            </w:r>
            <w:r w:rsidR="00960042" w:rsidRPr="00FA1A19">
              <w:t xml:space="preserve">developing </w:t>
            </w:r>
            <w:r w:rsidR="001C37BE" w:rsidRPr="00FA1A19">
              <w:t>crypto ecosystem</w:t>
            </w:r>
            <w:r w:rsidRPr="00FA1A19">
              <w:t>.</w:t>
            </w:r>
          </w:p>
          <w:p w14:paraId="5046E77B" w14:textId="32E13078" w:rsidR="00CF47D0" w:rsidRPr="00FA1A19" w:rsidRDefault="0070546C" w:rsidP="00657003">
            <w:pPr>
              <w:pStyle w:val="BoxText"/>
            </w:pPr>
            <w:r w:rsidRPr="00FA1A19">
              <w:t xml:space="preserve">Accordingly, the </w:t>
            </w:r>
            <w:r w:rsidR="00511C85" w:rsidRPr="00FA1A19">
              <w:t>Board recommends that the</w:t>
            </w:r>
            <w:r w:rsidR="00CF47D0" w:rsidRPr="00FA1A19">
              <w:t xml:space="preserve"> ATO </w:t>
            </w:r>
            <w:r w:rsidR="00795AB0" w:rsidRPr="00FA1A19">
              <w:t>consider whether it is possible to</w:t>
            </w:r>
            <w:r w:rsidR="0087747A" w:rsidRPr="00FA1A19">
              <w:t xml:space="preserve">, in consultation with </w:t>
            </w:r>
            <w:r w:rsidR="008A62C8" w:rsidRPr="00E81174">
              <w:t xml:space="preserve">industry stakeholders and taxpayer representative groups </w:t>
            </w:r>
            <w:r w:rsidR="008A62C8" w:rsidRPr="008A62C8">
              <w:t>including</w:t>
            </w:r>
            <w:r w:rsidR="008A62C8" w:rsidRPr="00E81174">
              <w:t xml:space="preserve"> </w:t>
            </w:r>
            <w:r w:rsidR="008A62C8" w:rsidRPr="00FA1A19">
              <w:t>the</w:t>
            </w:r>
            <w:r w:rsidR="0087747A" w:rsidRPr="00FA1A19">
              <w:t xml:space="preserve"> Crypto Industry Working Group,</w:t>
            </w:r>
            <w:r w:rsidR="00795AB0" w:rsidRPr="00FA1A19">
              <w:t xml:space="preserve"> </w:t>
            </w:r>
            <w:r w:rsidR="00CF47D0" w:rsidRPr="00FA1A19">
              <w:t xml:space="preserve">develop guidance for taxpayers that rely upon data from crypto exchanges </w:t>
            </w:r>
            <w:r w:rsidR="00BD48E0" w:rsidRPr="00FA1A19">
              <w:t xml:space="preserve">to </w:t>
            </w:r>
            <w:r w:rsidR="009365AB" w:rsidRPr="00FA1A19">
              <w:t>determine</w:t>
            </w:r>
            <w:r w:rsidR="00BD48E0" w:rsidRPr="00FA1A19">
              <w:t xml:space="preserve"> their tax </w:t>
            </w:r>
            <w:r w:rsidR="000E0261" w:rsidRPr="00FA1A19">
              <w:t>positions</w:t>
            </w:r>
            <w:r w:rsidR="006F5555" w:rsidRPr="00FA1A19">
              <w:t>,</w:t>
            </w:r>
            <w:r w:rsidR="0087747A" w:rsidRPr="00FA1A19">
              <w:t xml:space="preserve"> </w:t>
            </w:r>
            <w:r w:rsidR="002F576D" w:rsidRPr="00FA1A19">
              <w:t>as t</w:t>
            </w:r>
            <w:r w:rsidR="00511C85" w:rsidRPr="00FA1A19">
              <w:t xml:space="preserve">o </w:t>
            </w:r>
            <w:r w:rsidR="002F576D" w:rsidRPr="00FA1A19">
              <w:t>how they might</w:t>
            </w:r>
            <w:r w:rsidR="00CF47D0" w:rsidRPr="00FA1A19">
              <w:t xml:space="preserve"> </w:t>
            </w:r>
            <w:r w:rsidR="004075AD">
              <w:t xml:space="preserve">comply with appropriate record keeping </w:t>
            </w:r>
            <w:r w:rsidR="004F2A49">
              <w:t xml:space="preserve">requirements including for the purposes of, for example, </w:t>
            </w:r>
            <w:r w:rsidR="001405D4">
              <w:t>demonstrating</w:t>
            </w:r>
            <w:r w:rsidR="004F2A49">
              <w:t xml:space="preserve"> that the taxpayer has acted with reasonable care</w:t>
            </w:r>
            <w:r w:rsidR="00CF47D0" w:rsidRPr="00FA1A19">
              <w:t>.</w:t>
            </w:r>
            <w:r w:rsidR="00CF47D0" w:rsidRPr="00170ADC">
              <w:rPr>
                <w:rStyle w:val="FootnoteReference"/>
              </w:rPr>
              <w:t xml:space="preserve"> </w:t>
            </w:r>
          </w:p>
        </w:tc>
      </w:tr>
    </w:tbl>
    <w:p w14:paraId="1D45D7C8" w14:textId="2BF5D982" w:rsidR="00CF47D0" w:rsidRPr="00FA1A19" w:rsidRDefault="00CF47D0" w:rsidP="00CF47D0">
      <w:pPr>
        <w:pStyle w:val="Heading5"/>
      </w:pPr>
      <w:r w:rsidRPr="00FA1A19">
        <w:t>Crypto tax software</w:t>
      </w:r>
    </w:p>
    <w:p w14:paraId="1B73C99B" w14:textId="77777777" w:rsidR="00CF47D0" w:rsidRPr="00FA1A19" w:rsidRDefault="00CF47D0" w:rsidP="00657003">
      <w:r w:rsidRPr="00FA1A19">
        <w:t xml:space="preserve">An increasing number of crypto tax software programs and tools are available to assist taxpayers in collating crypto asset records from all sources. These tools are generally designed to </w:t>
      </w:r>
      <w:r w:rsidRPr="00657003">
        <w:t>collate</w:t>
      </w:r>
      <w:r w:rsidRPr="00FA1A19">
        <w:t xml:space="preserve"> data across a variety of crypto sources and create a tax report to assist in preparation of tax disclosures. The role of software providers has been considered by the Board in the following section. </w:t>
      </w:r>
    </w:p>
    <w:p w14:paraId="440A10C1" w14:textId="77777777" w:rsidR="00CF47D0" w:rsidRPr="00FA1A19" w:rsidRDefault="00CF47D0" w:rsidP="0069352C">
      <w:pPr>
        <w:pStyle w:val="Heading2"/>
      </w:pPr>
      <w:bookmarkStart w:id="150" w:name="io696155sl24368691"/>
      <w:bookmarkStart w:id="151" w:name="_Toc159513633"/>
      <w:bookmarkEnd w:id="150"/>
      <w:r w:rsidRPr="00FA1A19">
        <w:t>Role of software providers</w:t>
      </w:r>
      <w:bookmarkEnd w:id="151"/>
    </w:p>
    <w:p w14:paraId="5131A6F6" w14:textId="4F7E996A" w:rsidR="00CF47D0" w:rsidRPr="00FA1A19" w:rsidRDefault="00CF47D0" w:rsidP="00CF47D0">
      <w:pPr>
        <w:rPr>
          <w:rFonts w:cs="Calibri"/>
          <w:color w:val="000000"/>
        </w:rPr>
      </w:pPr>
      <w:r w:rsidRPr="00FA1A19">
        <w:rPr>
          <w:rFonts w:cs="Calibri"/>
          <w:color w:val="000000"/>
        </w:rPr>
        <w:t>Taxpayers are increasingly reliant upon crypto tax calculator software and tools to manage their crypto asset record keeping obligations. As KPMG set out in their submission, these tools integrate both the application programming interfaces from centralised exchanges as well as the on</w:t>
      </w:r>
      <w:r w:rsidR="00F75232">
        <w:rPr>
          <w:rFonts w:cs="Calibri"/>
          <w:color w:val="000000"/>
        </w:rPr>
        <w:noBreakHyphen/>
      </w:r>
      <w:r w:rsidRPr="00FA1A19">
        <w:rPr>
          <w:rFonts w:cs="Calibri"/>
          <w:color w:val="000000"/>
        </w:rPr>
        <w:t>chain data associated with a taxpayer</w:t>
      </w:r>
      <w:r w:rsidR="00F75232">
        <w:rPr>
          <w:rFonts w:cs="Calibri"/>
          <w:color w:val="000000"/>
        </w:rPr>
        <w:t>’</w:t>
      </w:r>
      <w:r w:rsidRPr="00FA1A19">
        <w:rPr>
          <w:rFonts w:cs="Calibri"/>
          <w:color w:val="000000"/>
        </w:rPr>
        <w:t>s public wallet address to aggregate the total transaction history of the taxpayer and produce a tax report based on the assumptions set for the calculations.</w:t>
      </w:r>
      <w:r w:rsidRPr="00170ADC">
        <w:rPr>
          <w:rStyle w:val="FootnoteReference"/>
        </w:rPr>
        <w:footnoteReference w:id="605"/>
      </w:r>
      <w:r w:rsidRPr="00FA1A19">
        <w:rPr>
          <w:rFonts w:cs="Calibri"/>
          <w:color w:val="000000"/>
        </w:rPr>
        <w:t xml:space="preserve"> The tools are offered as standalone products or as add</w:t>
      </w:r>
      <w:r w:rsidR="00F75232">
        <w:rPr>
          <w:rFonts w:cs="Calibri"/>
          <w:color w:val="000000"/>
        </w:rPr>
        <w:noBreakHyphen/>
      </w:r>
      <w:r w:rsidRPr="00FA1A19">
        <w:rPr>
          <w:rFonts w:cs="Calibri"/>
          <w:color w:val="000000"/>
        </w:rPr>
        <w:t>ons integrated with existing ledger software tools.</w:t>
      </w:r>
      <w:r w:rsidR="001D7FCC" w:rsidRPr="00170ADC" w:rsidDel="001D7FCC">
        <w:rPr>
          <w:rStyle w:val="FootnoteReference"/>
        </w:rPr>
        <w:t xml:space="preserve"> </w:t>
      </w:r>
    </w:p>
    <w:p w14:paraId="78DF05F4" w14:textId="343F1B1D" w:rsidR="00CF47D0" w:rsidRPr="00FA1A19" w:rsidRDefault="00CF47D0" w:rsidP="00CF47D0">
      <w:pPr>
        <w:rPr>
          <w:rFonts w:cs="Calibri"/>
          <w:color w:val="000000" w:themeColor="text1"/>
        </w:rPr>
      </w:pPr>
      <w:r w:rsidRPr="00FA1A19">
        <w:rPr>
          <w:rFonts w:cs="Calibri"/>
          <w:color w:val="000000"/>
        </w:rPr>
        <w:t xml:space="preserve">The volume and complexity of crypto asset transactions makes reliance upon these types of tools extremely important in supporting taxpayers to obtain a </w:t>
      </w:r>
      <w:r w:rsidRPr="00FA1A19">
        <w:rPr>
          <w:rFonts w:cs="Calibri"/>
          <w:color w:val="000000" w:themeColor="text1"/>
        </w:rPr>
        <w:t xml:space="preserve">complete </w:t>
      </w:r>
      <w:r w:rsidRPr="00FA1A19">
        <w:rPr>
          <w:rFonts w:cs="Calibri"/>
          <w:color w:val="000000"/>
        </w:rPr>
        <w:t xml:space="preserve">picture of their crypto asset transactions and maintain sufficient records to support tax disclosures. The critical role of these tools was a common theme throughout submissions to the Review, however stakeholders highlighted </w:t>
      </w:r>
      <w:r w:rsidR="00470B55" w:rsidRPr="00FA1A19">
        <w:rPr>
          <w:rFonts w:cs="Calibri"/>
          <w:color w:val="000000"/>
        </w:rPr>
        <w:t>they</w:t>
      </w:r>
      <w:r w:rsidRPr="00FA1A19">
        <w:rPr>
          <w:rFonts w:cs="Calibri"/>
          <w:color w:val="000000"/>
        </w:rPr>
        <w:t xml:space="preserve"> do not provide an automated solution to tax calculations and crypto asset record keeping. </w:t>
      </w:r>
      <w:r w:rsidR="00E32B4C" w:rsidRPr="00FA1A19">
        <w:rPr>
          <w:rFonts w:cs="Calibri"/>
          <w:color w:val="000000"/>
        </w:rPr>
        <w:t>The</w:t>
      </w:r>
      <w:r w:rsidRPr="00FA1A19">
        <w:rPr>
          <w:rFonts w:cs="Calibri"/>
          <w:color w:val="000000"/>
        </w:rPr>
        <w:t xml:space="preserve"> use of this software does not of itself mitigate any risk in relation to tax disclosures and taxpayers need to make choices within the software tools in relation to the tax treatments being applied and bear the full risk in relation to these choices and calculations. In many instances taxpayers </w:t>
      </w:r>
      <w:r w:rsidRPr="00FA1A19">
        <w:rPr>
          <w:rFonts w:cs="Calibri"/>
          <w:color w:val="000000" w:themeColor="text1"/>
        </w:rPr>
        <w:t xml:space="preserve">may </w:t>
      </w:r>
      <w:r w:rsidRPr="00FA1A19">
        <w:rPr>
          <w:rFonts w:cs="Calibri"/>
          <w:color w:val="000000"/>
        </w:rPr>
        <w:t xml:space="preserve">not be </w:t>
      </w:r>
      <w:r w:rsidR="00F75232">
        <w:rPr>
          <w:rFonts w:cs="Calibri"/>
          <w:color w:val="000000"/>
        </w:rPr>
        <w:t>‘</w:t>
      </w:r>
      <w:r w:rsidRPr="00FA1A19">
        <w:rPr>
          <w:rFonts w:cs="Calibri"/>
          <w:color w:val="000000"/>
        </w:rPr>
        <w:t>equipped to review the software to ensure it is producing correct tax outcomes.</w:t>
      </w:r>
      <w:r w:rsidR="00F75232">
        <w:rPr>
          <w:rFonts w:cs="Calibri"/>
          <w:color w:val="000000"/>
        </w:rPr>
        <w:t>’</w:t>
      </w:r>
      <w:r w:rsidRPr="00170ADC">
        <w:rPr>
          <w:rStyle w:val="FootnoteReference"/>
        </w:rPr>
        <w:t xml:space="preserve"> </w:t>
      </w:r>
      <w:r w:rsidRPr="00170ADC">
        <w:rPr>
          <w:rStyle w:val="FootnoteReference"/>
        </w:rPr>
        <w:footnoteReference w:id="606"/>
      </w:r>
    </w:p>
    <w:p w14:paraId="1EF452A3" w14:textId="77777777" w:rsidR="00CF47D0" w:rsidRPr="00FA1A19" w:rsidRDefault="00CF47D0" w:rsidP="00342121">
      <w:pPr>
        <w:pStyle w:val="Heading3"/>
      </w:pPr>
      <w:r w:rsidRPr="00FA1A19">
        <w:t>Risks in utilising the software</w:t>
      </w:r>
    </w:p>
    <w:p w14:paraId="1E12E765" w14:textId="3DEE60CF" w:rsidR="00CF47D0" w:rsidRPr="00FA1A19" w:rsidRDefault="00CF47D0" w:rsidP="00CF47D0">
      <w:pPr>
        <w:rPr>
          <w:rFonts w:cs="Calibri"/>
          <w:color w:val="000000"/>
        </w:rPr>
      </w:pPr>
      <w:r w:rsidRPr="00FA1A19">
        <w:rPr>
          <w:rFonts w:cs="Calibri"/>
          <w:color w:val="000000" w:themeColor="text1"/>
        </w:rPr>
        <w:t>The Board has been provided with feedback indicating that these software tools can result in significant variations in tax calculations, even where the same source information is input into the tool. Issues raised as part of the Board</w:t>
      </w:r>
      <w:r w:rsidR="00F75232">
        <w:rPr>
          <w:rFonts w:cs="Calibri"/>
          <w:color w:val="000000" w:themeColor="text1"/>
        </w:rPr>
        <w:t>’</w:t>
      </w:r>
      <w:r w:rsidRPr="00FA1A19">
        <w:rPr>
          <w:rFonts w:cs="Calibri"/>
          <w:color w:val="000000" w:themeColor="text1"/>
        </w:rPr>
        <w:t xml:space="preserve">s consultations include: </w:t>
      </w:r>
    </w:p>
    <w:p w14:paraId="5643DFA9" w14:textId="409830C0" w:rsidR="00CF47D0" w:rsidRPr="00FA1A19" w:rsidRDefault="00CF47D0" w:rsidP="00657003">
      <w:pPr>
        <w:pStyle w:val="Bullet"/>
        <w:rPr>
          <w:color w:val="000000"/>
        </w:rPr>
      </w:pPr>
      <w:r w:rsidRPr="00FA1A19">
        <w:t>Crypto tax software is generally designed to pick up all on</w:t>
      </w:r>
      <w:r w:rsidR="00F75232">
        <w:noBreakHyphen/>
      </w:r>
      <w:r w:rsidRPr="00FA1A19">
        <w:t>chain activity, however users may need to undertake a manual entry and reconciliation to incorporate transactions which are taking place off</w:t>
      </w:r>
      <w:r w:rsidR="00F75232">
        <w:noBreakHyphen/>
      </w:r>
      <w:r w:rsidRPr="00FA1A19">
        <w:t xml:space="preserve">chain. Where this manual reconciliation is not undertaken, the related transaction will be excluded from any reports produced by the software. </w:t>
      </w:r>
    </w:p>
    <w:p w14:paraId="04E84BA9" w14:textId="3282A3AA" w:rsidR="00CF47D0" w:rsidRPr="00FA1A19" w:rsidRDefault="00CF47D0" w:rsidP="00657003">
      <w:pPr>
        <w:pStyle w:val="Bullet"/>
        <w:rPr>
          <w:color w:val="000000"/>
        </w:rPr>
      </w:pPr>
      <w:r w:rsidRPr="00FA1A19">
        <w:t xml:space="preserve">Unreconciled transactions, or transactions between an included and an excluded source need to be reviewed to determine if they represent disposals, acquisitions or a mere transfer between wallets. Some software products may provide a default or optional treatment for these types of transactions, rather than flagging them for review by the user. This default treatment can result in over or understatement of elements of the transaction. For example, a tool that applies a default treatment for all </w:t>
      </w:r>
      <w:r w:rsidR="00F75232">
        <w:t>‘</w:t>
      </w:r>
      <w:r w:rsidRPr="00FA1A19">
        <w:t>transfers in</w:t>
      </w:r>
      <w:r w:rsidR="00F75232">
        <w:t>’</w:t>
      </w:r>
      <w:r w:rsidRPr="00FA1A19">
        <w:t xml:space="preserve"> as being an acquisition at market value, may result in an overstatement of cost base for an asset. </w:t>
      </w:r>
    </w:p>
    <w:p w14:paraId="5EAB5022" w14:textId="13B6D23E" w:rsidR="00CF47D0" w:rsidRPr="00FA1A19" w:rsidRDefault="00CF47D0" w:rsidP="00657003">
      <w:pPr>
        <w:pStyle w:val="Bullet"/>
        <w:rPr>
          <w:color w:val="000000"/>
        </w:rPr>
      </w:pPr>
      <w:r w:rsidRPr="00FA1A19">
        <w:t>Where these assumptions are not explicitly flagged to the user, or the user does not understand the process required to reconcile the transactions and manage exceptions, the resulting tax calculation output will not be correct. Due to the number of choices required with these tools, the Board observes that a significant amount of risk may be</w:t>
      </w:r>
      <w:r w:rsidR="004F0A51" w:rsidRPr="00FA1A19">
        <w:t xml:space="preserve"> </w:t>
      </w:r>
      <w:r w:rsidRPr="00FA1A19">
        <w:t>assumed by the user (the taxpayer or their intermediate tax agent) in utilising the tool.</w:t>
      </w:r>
      <w:r w:rsidR="004F0A51" w:rsidRPr="00FA1A19">
        <w:t xml:space="preserve"> </w:t>
      </w:r>
      <w:r w:rsidR="007E21A7" w:rsidRPr="00FA1A19">
        <w:t>For example, the accuracy of outputs may be compromised by factors such as the nature of default positions that are taken (including treatment of unreconciled transactions), how users are alerted to unreconciled transactions, the basis of valuation methods used for transactions, and what tax positions form the basis of the methodology used for calculation of tax liabilities (e</w:t>
      </w:r>
      <w:r w:rsidR="00C86066">
        <w:t>.</w:t>
      </w:r>
      <w:r w:rsidR="007E21A7" w:rsidRPr="00FA1A19">
        <w:t>g</w:t>
      </w:r>
      <w:r w:rsidR="00C86066">
        <w:t>.</w:t>
      </w:r>
      <w:r w:rsidR="007E21A7" w:rsidRPr="00FA1A19">
        <w:t xml:space="preserve"> capital or revenue characterisation of holdings).</w:t>
      </w:r>
    </w:p>
    <w:p w14:paraId="73489FB8" w14:textId="6C195D58" w:rsidR="005D54D9" w:rsidRPr="00FA1A19" w:rsidRDefault="005D54D9" w:rsidP="005D54D9">
      <w:pPr>
        <w:rPr>
          <w:rFonts w:cs="Calibri"/>
          <w:color w:val="000000" w:themeColor="text1"/>
        </w:rPr>
      </w:pPr>
      <w:r w:rsidRPr="00FA1A19">
        <w:rPr>
          <w:rFonts w:cs="Calibri"/>
          <w:color w:val="000000" w:themeColor="text1"/>
        </w:rPr>
        <w:t xml:space="preserve">Ultimately, and like all accounting software, the quality of output from these tools will be limited by the quality and completeness of the information that the user inputs into the software, as well as the </w:t>
      </w:r>
      <w:r w:rsidR="00F01B4A" w:rsidRPr="00FA1A19">
        <w:rPr>
          <w:rFonts w:cs="Calibri"/>
          <w:color w:val="000000" w:themeColor="text1"/>
        </w:rPr>
        <w:t xml:space="preserve">processes </w:t>
      </w:r>
      <w:r w:rsidR="00AF6F53" w:rsidRPr="00FA1A19">
        <w:rPr>
          <w:rFonts w:cs="Calibri"/>
          <w:color w:val="000000" w:themeColor="text1"/>
        </w:rPr>
        <w:t>and assumptions that the software implements.</w:t>
      </w:r>
      <w:r w:rsidRPr="00FA1A19">
        <w:rPr>
          <w:rFonts w:cs="Calibri"/>
          <w:color w:val="000000" w:themeColor="text1"/>
        </w:rPr>
        <w:t xml:space="preserve"> </w:t>
      </w:r>
    </w:p>
    <w:p w14:paraId="3188FFB8" w14:textId="538C4644" w:rsidR="005D54D9" w:rsidRPr="00FA1A19" w:rsidRDefault="005D54D9" w:rsidP="00E26F98">
      <w:pPr>
        <w:keepLines/>
        <w:rPr>
          <w:rFonts w:cs="Calibri"/>
          <w:color w:val="000000"/>
        </w:rPr>
      </w:pPr>
      <w:r w:rsidRPr="00FA1A19">
        <w:rPr>
          <w:rFonts w:cs="Calibri"/>
          <w:color w:val="000000" w:themeColor="text1"/>
        </w:rPr>
        <w:t xml:space="preserve">The ATO has published Taxation Ruling </w:t>
      </w:r>
      <w:hyperlink r:id="rId69">
        <w:r w:rsidRPr="00FA1A19">
          <w:rPr>
            <w:rStyle w:val="Hyperlink"/>
            <w:rFonts w:cs="Calibri"/>
          </w:rPr>
          <w:t>TR 2018/2</w:t>
        </w:r>
      </w:hyperlink>
      <w:r w:rsidRPr="00FA1A19">
        <w:rPr>
          <w:rFonts w:cs="Calibri"/>
          <w:color w:val="000000" w:themeColor="text1"/>
        </w:rPr>
        <w:t xml:space="preserve"> </w:t>
      </w:r>
      <w:r w:rsidRPr="00813896">
        <w:rPr>
          <w:rStyle w:val="Emphasis"/>
        </w:rPr>
        <w:t>Income tax: record keeping and access – electronic records</w:t>
      </w:r>
      <w:r w:rsidRPr="00FA1A19">
        <w:rPr>
          <w:rFonts w:cs="Calibri"/>
          <w:color w:val="000000" w:themeColor="text1"/>
        </w:rPr>
        <w:t xml:space="preserve"> (TR 2018/2) and associated Practice Statement, </w:t>
      </w:r>
      <w:hyperlink r:id="rId70">
        <w:r w:rsidRPr="00FA1A19">
          <w:rPr>
            <w:rStyle w:val="Hyperlink"/>
            <w:rFonts w:cs="Calibri"/>
          </w:rPr>
          <w:t>PSLA 2008/14</w:t>
        </w:r>
      </w:hyperlink>
      <w:r w:rsidRPr="00FA1A19">
        <w:rPr>
          <w:rFonts w:cs="Calibri"/>
          <w:color w:val="000000" w:themeColor="text1"/>
        </w:rPr>
        <w:t xml:space="preserve"> </w:t>
      </w:r>
      <w:r w:rsidRPr="00813896">
        <w:rPr>
          <w:rStyle w:val="Emphasis"/>
        </w:rPr>
        <w:t>Record keeping when using commercial off the shelf software</w:t>
      </w:r>
      <w:r w:rsidRPr="00FA1A19">
        <w:rPr>
          <w:rFonts w:cs="Calibri"/>
          <w:color w:val="000000" w:themeColor="text1"/>
        </w:rPr>
        <w:t xml:space="preserve"> (PS LA 2008/14) which sets out what the ATO will accept as </w:t>
      </w:r>
      <w:r w:rsidR="00F75232">
        <w:rPr>
          <w:rFonts w:cs="Calibri"/>
          <w:color w:val="000000" w:themeColor="text1"/>
        </w:rPr>
        <w:t>‘</w:t>
      </w:r>
      <w:r w:rsidRPr="00FA1A19">
        <w:rPr>
          <w:rFonts w:cs="Calibri"/>
          <w:color w:val="000000" w:themeColor="text1"/>
        </w:rPr>
        <w:t>sufficient record keeping</w:t>
      </w:r>
      <w:r w:rsidR="00F75232">
        <w:rPr>
          <w:rFonts w:cs="Calibri"/>
          <w:color w:val="000000" w:themeColor="text1"/>
        </w:rPr>
        <w:t>’</w:t>
      </w:r>
      <w:r w:rsidRPr="00FA1A19">
        <w:rPr>
          <w:rFonts w:cs="Calibri"/>
          <w:color w:val="000000" w:themeColor="text1"/>
        </w:rPr>
        <w:t xml:space="preserve"> where taxpayers use commercial off the shelf software packages. Currently neither of these provide any guidance specifically in relation to crypto asset record keeping. </w:t>
      </w:r>
    </w:p>
    <w:p w14:paraId="1CF3B6FD" w14:textId="77777777" w:rsidR="00CF47D0" w:rsidRPr="00FA1A19" w:rsidRDefault="00CF47D0" w:rsidP="00342121">
      <w:pPr>
        <w:pStyle w:val="Heading3"/>
      </w:pPr>
      <w:r w:rsidRPr="00FA1A19">
        <w:t>Reliance by tax agents</w:t>
      </w:r>
    </w:p>
    <w:p w14:paraId="4CBFBCE2" w14:textId="51B8E0F5" w:rsidR="00CF47D0" w:rsidRPr="00FA1A19" w:rsidRDefault="00CF47D0" w:rsidP="00CF47D0">
      <w:pPr>
        <w:rPr>
          <w:rFonts w:cs="Calibri"/>
          <w:color w:val="000000"/>
        </w:rPr>
      </w:pPr>
      <w:r w:rsidRPr="00FA1A19">
        <w:rPr>
          <w:rFonts w:cs="Calibri"/>
          <w:color w:val="000000"/>
        </w:rPr>
        <w:t>The</w:t>
      </w:r>
      <w:r w:rsidRPr="00FA1A19" w:rsidDel="000E0BB9">
        <w:rPr>
          <w:rFonts w:cs="Calibri"/>
          <w:color w:val="000000"/>
        </w:rPr>
        <w:t xml:space="preserve"> </w:t>
      </w:r>
      <w:r w:rsidR="000E0BB9" w:rsidRPr="00FA1A19">
        <w:rPr>
          <w:rFonts w:cs="Calibri"/>
          <w:color w:val="000000"/>
        </w:rPr>
        <w:t>necessary</w:t>
      </w:r>
      <w:r w:rsidRPr="00FA1A19">
        <w:rPr>
          <w:rFonts w:cs="Calibri"/>
          <w:color w:val="000000"/>
        </w:rPr>
        <w:t xml:space="preserve"> reliance on crypto tax software has led to increasing uncertainty with the tax agent community in relation to how they may meet their professional obligations in utilising such tools. </w:t>
      </w:r>
    </w:p>
    <w:p w14:paraId="72BE140C" w14:textId="7C8A885B" w:rsidR="00CF47D0" w:rsidRPr="00FA1A19" w:rsidRDefault="00CF47D0" w:rsidP="00CF47D0">
      <w:pPr>
        <w:rPr>
          <w:rFonts w:cs="Calibri"/>
          <w:color w:val="000000"/>
        </w:rPr>
      </w:pPr>
      <w:r w:rsidRPr="00FA1A19">
        <w:rPr>
          <w:rFonts w:cs="Calibri"/>
          <w:color w:val="000000"/>
        </w:rPr>
        <w:t>Under the TASA 2009 Code (</w:t>
      </w:r>
      <w:r w:rsidR="000E0BB9" w:rsidRPr="00FA1A19">
        <w:rPr>
          <w:rFonts w:cs="Calibri"/>
          <w:color w:val="000000"/>
        </w:rPr>
        <w:t>see</w:t>
      </w:r>
      <w:r w:rsidRPr="00FA1A19">
        <w:rPr>
          <w:rFonts w:cs="Calibri"/>
          <w:color w:val="000000"/>
        </w:rPr>
        <w:t xml:space="preserve"> </w:t>
      </w:r>
      <w:r w:rsidR="00372633">
        <w:rPr>
          <w:rFonts w:cs="Calibri"/>
          <w:color w:val="000000"/>
        </w:rPr>
        <w:t>Chapter </w:t>
      </w:r>
      <w:r w:rsidR="00A02BF8" w:rsidRPr="00FA1A19">
        <w:rPr>
          <w:rFonts w:cs="Calibri"/>
          <w:color w:val="000000"/>
        </w:rPr>
        <w:t>6</w:t>
      </w:r>
      <w:r w:rsidRPr="00FA1A19">
        <w:rPr>
          <w:rFonts w:cs="Calibri"/>
          <w:color w:val="000000"/>
        </w:rPr>
        <w:t xml:space="preserve">), tax agents must </w:t>
      </w:r>
      <w:r w:rsidRPr="00FA1A19">
        <w:t>take reasonable care in ascertaining a client</w:t>
      </w:r>
      <w:r w:rsidR="00F75232">
        <w:t>’</w:t>
      </w:r>
      <w:r w:rsidRPr="00FA1A19">
        <w:t>s state of affairs, to the extent that ascertaining the state of those affairs is relevant to a statement being made or thing being done on behalf of the client.</w:t>
      </w:r>
      <w:r w:rsidRPr="00170ADC">
        <w:rPr>
          <w:rStyle w:val="FootnoteReference"/>
        </w:rPr>
        <w:footnoteReference w:id="607"/>
      </w:r>
      <w:r w:rsidRPr="00FA1A19">
        <w:t xml:space="preserve"> </w:t>
      </w:r>
      <w:r w:rsidR="00DC79E5" w:rsidRPr="00FA1A19">
        <w:t xml:space="preserve">Tax </w:t>
      </w:r>
      <w:r w:rsidRPr="00FA1A19">
        <w:t>agents need to consider the information provided to them by their client and consider the veracity of these supporting materials to ensure accurate disclosures are being made.</w:t>
      </w:r>
    </w:p>
    <w:p w14:paraId="78E080A9" w14:textId="4A47B880" w:rsidR="00CF47D0" w:rsidRPr="00FA1A19" w:rsidRDefault="00CF47D0" w:rsidP="00DC79E5">
      <w:pPr>
        <w:rPr>
          <w:color w:val="000000"/>
        </w:rPr>
      </w:pPr>
      <w:r w:rsidRPr="00FA1A19">
        <w:rPr>
          <w:rFonts w:cs="Calibri"/>
          <w:color w:val="000000"/>
        </w:rPr>
        <w:t xml:space="preserve">The Board has heard that guidance and education is required in relation to TASA 2009 Code obligations where tax agents seek to rely upon tax reports generated by </w:t>
      </w:r>
      <w:r w:rsidR="00C0611D" w:rsidRPr="00FA1A19">
        <w:rPr>
          <w:rFonts w:cs="Calibri"/>
          <w:color w:val="000000"/>
        </w:rPr>
        <w:t xml:space="preserve">digital currency exchanges </w:t>
      </w:r>
      <w:r w:rsidRPr="00FA1A19">
        <w:rPr>
          <w:rFonts w:cs="Calibri"/>
          <w:color w:val="000000"/>
        </w:rPr>
        <w:t>or third</w:t>
      </w:r>
      <w:r w:rsidR="0023105F">
        <w:rPr>
          <w:rFonts w:cs="Calibri"/>
          <w:color w:val="000000"/>
        </w:rPr>
        <w:t>-</w:t>
      </w:r>
      <w:r w:rsidRPr="00FA1A19">
        <w:rPr>
          <w:rFonts w:cs="Calibri"/>
          <w:color w:val="000000"/>
        </w:rPr>
        <w:t xml:space="preserve">party </w:t>
      </w:r>
      <w:r w:rsidR="00F75232">
        <w:rPr>
          <w:rFonts w:cs="Calibri"/>
          <w:color w:val="000000"/>
        </w:rPr>
        <w:t>‘</w:t>
      </w:r>
      <w:r w:rsidRPr="00FA1A19">
        <w:rPr>
          <w:rFonts w:cs="Calibri"/>
          <w:color w:val="000000"/>
        </w:rPr>
        <w:t>tax calculator</w:t>
      </w:r>
      <w:r w:rsidR="00F75232">
        <w:rPr>
          <w:rFonts w:cs="Calibri"/>
          <w:color w:val="000000"/>
        </w:rPr>
        <w:t>’</w:t>
      </w:r>
      <w:r w:rsidRPr="00FA1A19">
        <w:rPr>
          <w:rFonts w:cs="Calibri"/>
          <w:color w:val="000000"/>
        </w:rPr>
        <w:t xml:space="preserve"> platforms.</w:t>
      </w:r>
      <w:r w:rsidRPr="00170ADC">
        <w:rPr>
          <w:rStyle w:val="FootnoteReference"/>
        </w:rPr>
        <w:footnoteReference w:id="608"/>
      </w:r>
      <w:r w:rsidRPr="00FA1A19">
        <w:rPr>
          <w:rFonts w:cs="Calibri"/>
          <w:color w:val="000000"/>
        </w:rPr>
        <w:t xml:space="preserve"> </w:t>
      </w:r>
    </w:p>
    <w:p w14:paraId="57B4D2C6" w14:textId="4ACD2FA7" w:rsidR="00CF47D0" w:rsidRPr="00FA1A19" w:rsidRDefault="00635DD0" w:rsidP="00342121">
      <w:pPr>
        <w:pStyle w:val="Heading3"/>
      </w:pPr>
      <w:r w:rsidRPr="00FA1A19">
        <w:t>Board</w:t>
      </w:r>
      <w:r w:rsidR="00F75232">
        <w:t>’</w:t>
      </w:r>
      <w:r w:rsidRPr="00FA1A19">
        <w:t>s consideration</w:t>
      </w:r>
    </w:p>
    <w:p w14:paraId="064A86AB" w14:textId="77777777" w:rsidR="006F52DA" w:rsidRPr="00FA1A19" w:rsidRDefault="006F52DA" w:rsidP="006F52DA">
      <w:pPr>
        <w:rPr>
          <w:rFonts w:cs="Calibri"/>
          <w:color w:val="000000"/>
        </w:rPr>
      </w:pPr>
      <w:r w:rsidRPr="00FA1A19">
        <w:rPr>
          <w:rFonts w:cs="Calibri"/>
          <w:color w:val="000000"/>
        </w:rPr>
        <w:t>The Board would expect that its recommendations regarding improvements to the current ATO guidance for taxpayers regarding crypto asset transactions (including being supported by the Crypto Industry Working Group in developing that guidance) should assist software providers in improving the quality of the outputs form crypto asset software products.</w:t>
      </w:r>
    </w:p>
    <w:p w14:paraId="54F971F8" w14:textId="33857E94" w:rsidR="006B5BCA" w:rsidRPr="00FA1A19" w:rsidRDefault="006F52DA" w:rsidP="00CF47D0">
      <w:pPr>
        <w:rPr>
          <w:rFonts w:cs="Calibri"/>
          <w:color w:val="000000" w:themeColor="text1"/>
        </w:rPr>
      </w:pPr>
      <w:r w:rsidRPr="00FA1A19">
        <w:rPr>
          <w:rFonts w:cs="Calibri"/>
          <w:color w:val="000000" w:themeColor="text1"/>
        </w:rPr>
        <w:t>Ultimately, however, t</w:t>
      </w:r>
      <w:r w:rsidR="00CF47D0" w:rsidRPr="00FA1A19">
        <w:rPr>
          <w:rFonts w:cs="Calibri"/>
          <w:color w:val="000000" w:themeColor="text1"/>
        </w:rPr>
        <w:t xml:space="preserve">he Board </w:t>
      </w:r>
      <w:r w:rsidR="00B73270" w:rsidRPr="00FA1A19">
        <w:rPr>
          <w:rFonts w:cs="Calibri"/>
          <w:color w:val="000000" w:themeColor="text1"/>
        </w:rPr>
        <w:t xml:space="preserve">recognises </w:t>
      </w:r>
      <w:r w:rsidR="00CF47D0" w:rsidRPr="00FA1A19">
        <w:rPr>
          <w:rFonts w:cs="Calibri"/>
          <w:color w:val="000000" w:themeColor="text1"/>
        </w:rPr>
        <w:t>that it is not the role of the ATO to review, critique or endorse particular software products that apply to crypto assets.</w:t>
      </w:r>
      <w:r w:rsidR="004F0A51" w:rsidRPr="00FA1A19">
        <w:rPr>
          <w:rFonts w:cs="Calibri"/>
          <w:color w:val="000000" w:themeColor="text1"/>
        </w:rPr>
        <w:t xml:space="preserve"> </w:t>
      </w:r>
      <w:r w:rsidR="00CF47D0" w:rsidRPr="00FA1A19">
        <w:rPr>
          <w:rFonts w:cs="Calibri"/>
          <w:color w:val="000000" w:themeColor="text1"/>
        </w:rPr>
        <w:t xml:space="preserve">In this respect, </w:t>
      </w:r>
      <w:r w:rsidR="009A2963" w:rsidRPr="00FA1A19">
        <w:rPr>
          <w:rFonts w:cs="Calibri"/>
          <w:color w:val="000000" w:themeColor="text1"/>
        </w:rPr>
        <w:t xml:space="preserve">tax software </w:t>
      </w:r>
      <w:r w:rsidR="00D5303F" w:rsidRPr="00FA1A19">
        <w:rPr>
          <w:rFonts w:cs="Calibri"/>
          <w:color w:val="000000" w:themeColor="text1"/>
        </w:rPr>
        <w:t xml:space="preserve">developed for </w:t>
      </w:r>
      <w:r w:rsidR="00CF47D0" w:rsidRPr="00FA1A19">
        <w:rPr>
          <w:rFonts w:cs="Calibri"/>
          <w:color w:val="000000" w:themeColor="text1"/>
        </w:rPr>
        <w:t xml:space="preserve">crypto assets </w:t>
      </w:r>
      <w:r w:rsidR="00D5303F" w:rsidRPr="00FA1A19">
        <w:rPr>
          <w:rFonts w:cs="Calibri"/>
          <w:color w:val="000000" w:themeColor="text1"/>
        </w:rPr>
        <w:t xml:space="preserve">is </w:t>
      </w:r>
      <w:r w:rsidR="00CF47D0" w:rsidRPr="00FA1A19">
        <w:rPr>
          <w:rFonts w:cs="Calibri"/>
          <w:color w:val="000000" w:themeColor="text1"/>
        </w:rPr>
        <w:t xml:space="preserve">no different to any other </w:t>
      </w:r>
      <w:r w:rsidR="00F75232">
        <w:rPr>
          <w:rFonts w:cs="Calibri"/>
          <w:color w:val="000000" w:themeColor="text1"/>
        </w:rPr>
        <w:t>‘</w:t>
      </w:r>
      <w:r w:rsidR="00CF47D0" w:rsidRPr="00FA1A19">
        <w:rPr>
          <w:rFonts w:cs="Calibri"/>
          <w:color w:val="000000" w:themeColor="text1"/>
        </w:rPr>
        <w:t>external</w:t>
      </w:r>
      <w:r w:rsidR="00F75232">
        <w:rPr>
          <w:rFonts w:cs="Calibri"/>
          <w:color w:val="000000" w:themeColor="text1"/>
        </w:rPr>
        <w:t>’</w:t>
      </w:r>
      <w:r w:rsidR="00CF47D0" w:rsidRPr="00FA1A19">
        <w:rPr>
          <w:rFonts w:cs="Calibri"/>
          <w:color w:val="000000" w:themeColor="text1"/>
        </w:rPr>
        <w:t xml:space="preserve"> tax compliance tool</w:t>
      </w:r>
      <w:r w:rsidR="00F34101" w:rsidRPr="00FA1A19">
        <w:rPr>
          <w:rFonts w:cs="Calibri"/>
          <w:color w:val="000000" w:themeColor="text1"/>
        </w:rPr>
        <w:t xml:space="preserve"> and that the Commissioner is responsible for administering the tax law, not for administering the transactions that taxpayers choose to enter into</w:t>
      </w:r>
      <w:r w:rsidR="00E46579" w:rsidRPr="00FA1A19">
        <w:rPr>
          <w:rFonts w:cs="Calibri"/>
          <w:color w:val="000000" w:themeColor="text1"/>
        </w:rPr>
        <w:t>,</w:t>
      </w:r>
      <w:r w:rsidR="00F34101" w:rsidRPr="00FA1A19">
        <w:rPr>
          <w:rFonts w:cs="Calibri"/>
          <w:color w:val="000000" w:themeColor="text1"/>
        </w:rPr>
        <w:t xml:space="preserve"> </w:t>
      </w:r>
      <w:r w:rsidR="006B5BCA" w:rsidRPr="00FA1A19">
        <w:rPr>
          <w:rFonts w:cs="Calibri"/>
          <w:color w:val="000000" w:themeColor="text1"/>
        </w:rPr>
        <w:t xml:space="preserve">or the means by which </w:t>
      </w:r>
      <w:r w:rsidR="00FE203E" w:rsidRPr="00FA1A19">
        <w:rPr>
          <w:rFonts w:cs="Calibri"/>
          <w:color w:val="000000" w:themeColor="text1"/>
        </w:rPr>
        <w:t>taxpayers may</w:t>
      </w:r>
      <w:r w:rsidR="006B5BCA" w:rsidRPr="00FA1A19">
        <w:rPr>
          <w:rFonts w:cs="Calibri"/>
          <w:color w:val="000000" w:themeColor="text1"/>
        </w:rPr>
        <w:t xml:space="preserve"> seek to comply with their tax obligations.</w:t>
      </w:r>
    </w:p>
    <w:p w14:paraId="53E1C44A" w14:textId="197E5DDA" w:rsidR="00CF47D0" w:rsidRPr="00FA1A19" w:rsidRDefault="00FE0A0B" w:rsidP="00CF47D0">
      <w:pPr>
        <w:rPr>
          <w:rFonts w:cs="Calibri"/>
          <w:color w:val="000000" w:themeColor="text1"/>
        </w:rPr>
      </w:pPr>
      <w:r w:rsidRPr="00FA1A19">
        <w:rPr>
          <w:rFonts w:cs="Calibri"/>
          <w:color w:val="000000" w:themeColor="text1"/>
        </w:rPr>
        <w:t>Whilst recognising the responsibility on taxpayers to keep their tax affairs in order</w:t>
      </w:r>
      <w:r w:rsidR="006626EA" w:rsidRPr="00FA1A19">
        <w:rPr>
          <w:rFonts w:cs="Calibri"/>
          <w:color w:val="000000" w:themeColor="text1"/>
        </w:rPr>
        <w:t xml:space="preserve"> and that they </w:t>
      </w:r>
      <w:r w:rsidR="00A97F48" w:rsidRPr="00FA1A19">
        <w:rPr>
          <w:rFonts w:cs="Calibri"/>
          <w:color w:val="000000" w:themeColor="text1"/>
        </w:rPr>
        <w:t xml:space="preserve">choose the software provider whose services they use, </w:t>
      </w:r>
      <w:r w:rsidR="00E17632" w:rsidRPr="00FA1A19">
        <w:rPr>
          <w:rFonts w:cs="Calibri"/>
          <w:color w:val="000000" w:themeColor="text1"/>
        </w:rPr>
        <w:t>t</w:t>
      </w:r>
      <w:r w:rsidR="00CF47D0" w:rsidRPr="00FA1A19">
        <w:rPr>
          <w:rFonts w:cs="Calibri"/>
          <w:color w:val="000000"/>
        </w:rPr>
        <w:t xml:space="preserve">he Board </w:t>
      </w:r>
      <w:r w:rsidR="00D5303F" w:rsidRPr="00FA1A19">
        <w:rPr>
          <w:rFonts w:cs="Calibri"/>
          <w:color w:val="000000"/>
        </w:rPr>
        <w:t xml:space="preserve">suggests </w:t>
      </w:r>
      <w:r w:rsidR="00CF47D0" w:rsidRPr="00FA1A19">
        <w:rPr>
          <w:rFonts w:cs="Calibri"/>
          <w:color w:val="000000"/>
        </w:rPr>
        <w:t xml:space="preserve">that further consideration </w:t>
      </w:r>
      <w:r w:rsidR="00E17632" w:rsidRPr="00FA1A19">
        <w:rPr>
          <w:rFonts w:cs="Calibri"/>
          <w:color w:val="000000"/>
        </w:rPr>
        <w:t xml:space="preserve">be </w:t>
      </w:r>
      <w:r w:rsidR="00CF47D0" w:rsidRPr="00FA1A19">
        <w:rPr>
          <w:rFonts w:cs="Calibri"/>
          <w:color w:val="000000"/>
        </w:rPr>
        <w:t xml:space="preserve">given </w:t>
      </w:r>
      <w:r w:rsidR="00E17632" w:rsidRPr="00FA1A19">
        <w:rPr>
          <w:rFonts w:cs="Calibri"/>
          <w:color w:val="000000"/>
        </w:rPr>
        <w:t>by the ATO as to how they m</w:t>
      </w:r>
      <w:r w:rsidR="00CF47D0" w:rsidRPr="00FA1A19">
        <w:rPr>
          <w:rFonts w:cs="Calibri"/>
          <w:color w:val="000000"/>
        </w:rPr>
        <w:t>ight be able to assist in improving the useability of outputs from these software products.</w:t>
      </w:r>
      <w:r w:rsidR="004F0A51" w:rsidRPr="00FA1A19">
        <w:rPr>
          <w:rFonts w:cs="Calibri"/>
          <w:color w:val="000000"/>
        </w:rPr>
        <w:t xml:space="preserve"> </w:t>
      </w:r>
    </w:p>
    <w:p w14:paraId="73610136" w14:textId="428797F2" w:rsidR="00CF47D0" w:rsidRPr="00FA1A19" w:rsidRDefault="00CF47D0" w:rsidP="00657003">
      <w:pPr>
        <w:pStyle w:val="SingleParagraph"/>
      </w:pPr>
    </w:p>
    <w:tbl>
      <w:tblPr>
        <w:tblStyle w:val="Style2"/>
        <w:tblW w:w="5000" w:type="pct"/>
        <w:tblLook w:val="01E0" w:firstRow="1" w:lastRow="1" w:firstColumn="1" w:lastColumn="1" w:noHBand="0" w:noVBand="0"/>
      </w:tblPr>
      <w:tblGrid>
        <w:gridCol w:w="9641"/>
      </w:tblGrid>
      <w:tr w:rsidR="00CF47D0" w:rsidRPr="00FA1A19" w14:paraId="7760E996"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6850014" w14:textId="287FAFDE" w:rsidR="00CF47D0" w:rsidRPr="00FA1A19" w:rsidRDefault="00372633" w:rsidP="00657003">
            <w:pPr>
              <w:pStyle w:val="BoxHeading1"/>
            </w:pPr>
            <w:r>
              <w:t>Recommendation </w:t>
            </w:r>
            <w:r w:rsidR="00CF47D0" w:rsidRPr="00FA1A19">
              <w:t>11.2</w:t>
            </w:r>
          </w:p>
        </w:tc>
      </w:tr>
      <w:tr w:rsidR="00CF47D0" w:rsidRPr="00FA1A19" w14:paraId="57CFF22B"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16915EEC" w14:textId="6CC8715D" w:rsidR="00110F42" w:rsidRPr="00FA1A19" w:rsidRDefault="00110F42" w:rsidP="00657003">
            <w:pPr>
              <w:pStyle w:val="BoxText"/>
            </w:pPr>
            <w:r w:rsidRPr="00FA1A19">
              <w:t>It is important that taxpayers understand the limitations in any software tools that they are using to substantiate their tax positions, and the associated impact on their meeting their tax obligations.</w:t>
            </w:r>
            <w:r w:rsidR="004F0A51" w:rsidRPr="00FA1A19">
              <w:t xml:space="preserve"> </w:t>
            </w:r>
            <w:r w:rsidR="005140FD" w:rsidRPr="00FA1A19">
              <w:t xml:space="preserve">The Board </w:t>
            </w:r>
            <w:r w:rsidRPr="00FA1A19">
              <w:t>recognises that ultimately, it is the responsibility of taxpayers to comply with the taxation obligations that arise from their activities.</w:t>
            </w:r>
          </w:p>
          <w:p w14:paraId="61F34BE3" w14:textId="0FF892AF" w:rsidR="00110F42" w:rsidRPr="00FA1A19" w:rsidRDefault="00110F42" w:rsidP="00657003">
            <w:pPr>
              <w:pStyle w:val="BoxText"/>
            </w:pPr>
            <w:r w:rsidRPr="00FA1A19">
              <w:t>Whilst acknowledging this taxpayer responsibility, the Board also acknowledges the difficulties faced by taxpayers in light of the information challenges in</w:t>
            </w:r>
            <w:r w:rsidR="001C37BE" w:rsidRPr="00FA1A19">
              <w:t xml:space="preserve"> the</w:t>
            </w:r>
            <w:r w:rsidRPr="00FA1A19">
              <w:t xml:space="preserve"> new and developing </w:t>
            </w:r>
            <w:r w:rsidR="00785E66" w:rsidRPr="00FA1A19">
              <w:t>crypto ecosystem</w:t>
            </w:r>
            <w:r w:rsidRPr="00FA1A19">
              <w:t>.</w:t>
            </w:r>
          </w:p>
          <w:p w14:paraId="5BEE1607" w14:textId="1FDEB573" w:rsidR="00CF47D0" w:rsidRPr="00FA1A19" w:rsidRDefault="00EE5B96" w:rsidP="00657003">
            <w:pPr>
              <w:pStyle w:val="BoxText"/>
            </w:pPr>
            <w:r w:rsidRPr="00FA1A19">
              <w:t>Accordingly</w:t>
            </w:r>
            <w:r w:rsidR="00985D8A" w:rsidRPr="00FA1A19">
              <w:t xml:space="preserve">, the </w:t>
            </w:r>
            <w:r w:rsidR="005140FD" w:rsidRPr="00FA1A19">
              <w:t>Board recommends that t</w:t>
            </w:r>
            <w:r w:rsidR="00CF47D0" w:rsidRPr="00FA1A19">
              <w:t>he ATO</w:t>
            </w:r>
            <w:r w:rsidR="000216D3" w:rsidRPr="00FA1A19">
              <w:t xml:space="preserve"> consider whether </w:t>
            </w:r>
            <w:r w:rsidR="00016034" w:rsidRPr="00FA1A19">
              <w:t>there are any steps that it can take</w:t>
            </w:r>
            <w:r w:rsidR="00CF47D0" w:rsidRPr="00FA1A19">
              <w:t xml:space="preserve">, in </w:t>
            </w:r>
            <w:r w:rsidR="008B6FE5" w:rsidRPr="00FA1A19">
              <w:t xml:space="preserve">consultation </w:t>
            </w:r>
            <w:r w:rsidR="00CF47D0" w:rsidRPr="00FA1A19">
              <w:t xml:space="preserve">with </w:t>
            </w:r>
            <w:r w:rsidR="008A62C8" w:rsidRPr="00E81174">
              <w:t xml:space="preserve">industry stakeholders and taxpayer representative groups </w:t>
            </w:r>
            <w:r w:rsidR="008A62C8" w:rsidRPr="008A62C8">
              <w:t>including</w:t>
            </w:r>
            <w:r w:rsidR="00CF47D0" w:rsidRPr="00FA1A19">
              <w:t xml:space="preserve"> the Crypto Industry Working Group (and including representatives of crypto asset </w:t>
            </w:r>
            <w:r w:rsidR="00395A20" w:rsidRPr="00FA1A19">
              <w:t xml:space="preserve">tax </w:t>
            </w:r>
            <w:r w:rsidR="00CF47D0" w:rsidRPr="00FA1A19">
              <w:t>software providers)</w:t>
            </w:r>
            <w:r w:rsidR="00785E66" w:rsidRPr="00FA1A19">
              <w:t>,</w:t>
            </w:r>
            <w:r w:rsidR="00CF47D0" w:rsidRPr="00FA1A19">
              <w:t xml:space="preserve"> </w:t>
            </w:r>
            <w:r w:rsidR="00B66038" w:rsidRPr="00FA1A19">
              <w:t xml:space="preserve">to </w:t>
            </w:r>
            <w:r w:rsidR="00FD1A21" w:rsidRPr="00FA1A19">
              <w:t xml:space="preserve">provide </w:t>
            </w:r>
            <w:r w:rsidR="000216D3" w:rsidRPr="00FA1A19">
              <w:t xml:space="preserve">guidance </w:t>
            </w:r>
            <w:r w:rsidR="00985D8A" w:rsidRPr="00FA1A19">
              <w:t>to assist in improving the useability, coverage and outputs associated with crypto tax software</w:t>
            </w:r>
            <w:r w:rsidR="00CF47D0" w:rsidRPr="00FA1A19">
              <w:t xml:space="preserve">. </w:t>
            </w:r>
          </w:p>
        </w:tc>
      </w:tr>
    </w:tbl>
    <w:p w14:paraId="5F8A3D7A" w14:textId="77777777" w:rsidR="00CF47D0" w:rsidRPr="00FA1A19" w:rsidRDefault="00CF47D0" w:rsidP="0069352C">
      <w:pPr>
        <w:pStyle w:val="Heading2"/>
      </w:pPr>
      <w:bookmarkStart w:id="152" w:name="_Toc159513634"/>
      <w:r w:rsidRPr="00FA1A19">
        <w:t>ATO Administration</w:t>
      </w:r>
      <w:bookmarkEnd w:id="152"/>
    </w:p>
    <w:p w14:paraId="556553B3" w14:textId="77777777" w:rsidR="00CF47D0" w:rsidRPr="00FA1A19" w:rsidRDefault="00CF47D0" w:rsidP="00342121">
      <w:pPr>
        <w:pStyle w:val="Heading3"/>
      </w:pPr>
      <w:r w:rsidRPr="00FA1A19">
        <w:t>Introduction</w:t>
      </w:r>
    </w:p>
    <w:p w14:paraId="2B48E6D3" w14:textId="709B6A38" w:rsidR="00CF47D0" w:rsidRPr="00FA1A19" w:rsidRDefault="00CF47D0" w:rsidP="00CF47D0">
      <w:r w:rsidRPr="00FA1A19">
        <w:t xml:space="preserve">As set out in </w:t>
      </w:r>
      <w:r w:rsidR="00372633">
        <w:t>Chapter </w:t>
      </w:r>
      <w:r w:rsidR="00CA138A" w:rsidRPr="00FA1A19">
        <w:t>6</w:t>
      </w:r>
      <w:r w:rsidRPr="00FA1A19">
        <w:t>, the ATO is responsible for administering the taxation system and in doing so utilise</w:t>
      </w:r>
      <w:r w:rsidR="4705DF08" w:rsidRPr="00FA1A19">
        <w:t>s</w:t>
      </w:r>
      <w:r w:rsidRPr="00FA1A19">
        <w:t xml:space="preserve"> a variety of tools and methods to ensure that integrity in the system is maintained </w:t>
      </w:r>
      <w:r w:rsidR="00D25C37" w:rsidRPr="00FA1A19">
        <w:t xml:space="preserve">while </w:t>
      </w:r>
      <w:r w:rsidRPr="00FA1A19">
        <w:t>suppor</w:t>
      </w:r>
      <w:r w:rsidR="00D25C37" w:rsidRPr="00FA1A19">
        <w:t>ting</w:t>
      </w:r>
      <w:r w:rsidRPr="00FA1A19">
        <w:t xml:space="preserve"> taxpayer compliance. </w:t>
      </w:r>
    </w:p>
    <w:p w14:paraId="26CBFC9A" w14:textId="2C3C5650" w:rsidR="00CF47D0" w:rsidRPr="00E23D88" w:rsidRDefault="00CF47D0" w:rsidP="00CF47D0">
      <w:pPr>
        <w:rPr>
          <w:spacing w:val="-2"/>
        </w:rPr>
      </w:pPr>
      <w:r w:rsidRPr="00E23D88">
        <w:rPr>
          <w:spacing w:val="-2"/>
        </w:rPr>
        <w:t>In this section the Board has considered the ATO</w:t>
      </w:r>
      <w:r w:rsidR="00F75232" w:rsidRPr="00E23D88">
        <w:rPr>
          <w:spacing w:val="-2"/>
        </w:rPr>
        <w:t>’</w:t>
      </w:r>
      <w:r w:rsidRPr="00E23D88">
        <w:rPr>
          <w:spacing w:val="-2"/>
        </w:rPr>
        <w:t xml:space="preserve">s administration and compliance activities in relation to crypto asset transactions including the use of data matching, tax return disclosures and compliance activities. </w:t>
      </w:r>
    </w:p>
    <w:p w14:paraId="7AA67283" w14:textId="77777777" w:rsidR="00CF47D0" w:rsidRPr="00FA1A19" w:rsidRDefault="00CF47D0" w:rsidP="00342121">
      <w:pPr>
        <w:pStyle w:val="Heading3"/>
      </w:pPr>
      <w:r w:rsidRPr="00FA1A19">
        <w:t xml:space="preserve">Data matching </w:t>
      </w:r>
    </w:p>
    <w:p w14:paraId="5E84123C" w14:textId="104A5C76" w:rsidR="00CF47D0" w:rsidRPr="00FA1A19" w:rsidRDefault="00CF47D0" w:rsidP="00CF47D0">
      <w:r w:rsidRPr="00FA1A19">
        <w:t>The ATO utilises data matching from a variety of sources as a key feature of their administration and compliance programs. Information is collected from third</w:t>
      </w:r>
      <w:r w:rsidR="00F75232">
        <w:noBreakHyphen/>
      </w:r>
      <w:r w:rsidRPr="00FA1A19">
        <w:t>party sources and compiled electronically, validated, analysed and used for a range of education and compliance activities.</w:t>
      </w:r>
      <w:r w:rsidRPr="00170ADC">
        <w:rPr>
          <w:rStyle w:val="FootnoteReference"/>
        </w:rPr>
        <w:footnoteReference w:id="609"/>
      </w:r>
      <w:r w:rsidRPr="00FA1A19">
        <w:t xml:space="preserve"> The ATO collects information both through its legislated data collection and through other reporting mechanisms, utilising powers to collect information for specific industries, issues or risks.</w:t>
      </w:r>
      <w:r w:rsidR="004F0A51" w:rsidRPr="00FA1A19">
        <w:t xml:space="preserve"> </w:t>
      </w:r>
      <w:r w:rsidR="001B1059" w:rsidRPr="00FA1A19">
        <w:t>The ATO</w:t>
      </w:r>
      <w:r w:rsidR="00F75232">
        <w:t>’</w:t>
      </w:r>
      <w:r w:rsidR="001B1059" w:rsidRPr="00FA1A19">
        <w:t>s information collecting powers include its powers under s</w:t>
      </w:r>
      <w:r w:rsidR="00E9425C">
        <w:t>ection</w:t>
      </w:r>
      <w:r w:rsidR="001B1059" w:rsidRPr="00FA1A19">
        <w:t> 353</w:t>
      </w:r>
      <w:r w:rsidR="00F75232">
        <w:noBreakHyphen/>
      </w:r>
      <w:r w:rsidR="001B1059" w:rsidRPr="00FA1A19">
        <w:t xml:space="preserve">10 of Schedule 1 to the </w:t>
      </w:r>
      <w:r w:rsidR="001B1059" w:rsidRPr="00813896">
        <w:rPr>
          <w:rStyle w:val="Emphasis"/>
        </w:rPr>
        <w:t>Taxation Administration Act 1953</w:t>
      </w:r>
      <w:r w:rsidR="00E9425C">
        <w:rPr>
          <w:rStyle w:val="Emphasis"/>
        </w:rPr>
        <w:t>.</w:t>
      </w:r>
      <w:r w:rsidR="00A42C1E" w:rsidRPr="00170ADC" w:rsidDel="00A42C1E">
        <w:rPr>
          <w:rStyle w:val="FootnoteReference"/>
        </w:rPr>
        <w:t xml:space="preserve"> </w:t>
      </w:r>
    </w:p>
    <w:p w14:paraId="0BBC7160" w14:textId="262712F0" w:rsidR="00CF47D0" w:rsidRPr="00FA1A19" w:rsidRDefault="00CF47D0" w:rsidP="00E23D88">
      <w:r w:rsidRPr="00FA1A19">
        <w:t>The ATO has been undertaking a crypto asset data matching program since 2019 and includes data relating back to the 2015 income year. Through the program, the ATO seeks to obtain crypto transaction data to identify buyers and sellers of crypto assets and quantify the related transaction.</w:t>
      </w:r>
      <w:r w:rsidRPr="00170ADC">
        <w:rPr>
          <w:rStyle w:val="FootnoteReference"/>
        </w:rPr>
        <w:footnoteReference w:id="610"/>
      </w:r>
      <w:r w:rsidRPr="00FA1A19">
        <w:t xml:space="preserve"> </w:t>
      </w:r>
    </w:p>
    <w:p w14:paraId="575620BA" w14:textId="20DFC20A" w:rsidR="00CF47D0" w:rsidRPr="00FA1A19" w:rsidRDefault="00CF47D0" w:rsidP="00CF47D0">
      <w:r w:rsidRPr="00FA1A19">
        <w:t xml:space="preserve">The ATO </w:t>
      </w:r>
      <w:r w:rsidR="00063612" w:rsidRPr="00FA1A19">
        <w:t>may include a data owner in this</w:t>
      </w:r>
      <w:r w:rsidRPr="00FA1A19">
        <w:t xml:space="preserve"> program </w:t>
      </w:r>
      <w:r w:rsidR="00063612" w:rsidRPr="00FA1A19">
        <w:t>if</w:t>
      </w:r>
      <w:r w:rsidRPr="00FA1A19">
        <w:t>:</w:t>
      </w:r>
    </w:p>
    <w:p w14:paraId="1E3269E5" w14:textId="547E9208" w:rsidR="00CF47D0" w:rsidRPr="00FA1A19" w:rsidRDefault="009D44C9" w:rsidP="00657003">
      <w:pPr>
        <w:pStyle w:val="Bullet"/>
      </w:pPr>
      <w:r>
        <w:t>t</w:t>
      </w:r>
      <w:r w:rsidRPr="00FA1A19">
        <w:t xml:space="preserve">he </w:t>
      </w:r>
      <w:r w:rsidR="00CF47D0" w:rsidRPr="00FA1A19">
        <w:t>data owner or its subsidiary operates a business in Australia that is governed by Australian law</w:t>
      </w:r>
    </w:p>
    <w:p w14:paraId="0F15465E" w14:textId="3F3BAC45" w:rsidR="00CF47D0" w:rsidRPr="00FA1A19" w:rsidRDefault="009D44C9" w:rsidP="00657003">
      <w:pPr>
        <w:pStyle w:val="Bullet"/>
      </w:pPr>
      <w:r>
        <w:t>t</w:t>
      </w:r>
      <w:r w:rsidR="00CF47D0" w:rsidRPr="00FA1A19">
        <w:t>he data owner provides a crypto asset designated service for individuals or businesses</w:t>
      </w:r>
    </w:p>
    <w:p w14:paraId="3E394543" w14:textId="6F4CB06D" w:rsidR="00CF47D0" w:rsidRPr="00FA1A19" w:rsidRDefault="009D44C9" w:rsidP="00657003">
      <w:pPr>
        <w:pStyle w:val="Bullet"/>
      </w:pPr>
      <w:r>
        <w:t>t</w:t>
      </w:r>
      <w:r w:rsidR="00CF47D0" w:rsidRPr="00FA1A19">
        <w:t>he data owner provided these facilities for the years in focus.</w:t>
      </w:r>
    </w:p>
    <w:p w14:paraId="3622EF43" w14:textId="4323C0F7" w:rsidR="00CF47D0" w:rsidRPr="00FA1A19" w:rsidRDefault="00CF47D0" w:rsidP="00063612">
      <w:r w:rsidRPr="00FA1A19">
        <w:t xml:space="preserve">Where the client base of a data </w:t>
      </w:r>
      <w:r w:rsidR="00AD6D2E" w:rsidRPr="00FA1A19">
        <w:t xml:space="preserve">owner </w:t>
      </w:r>
      <w:r w:rsidRPr="00FA1A19">
        <w:t>does not present a risk, or the administrative or financial cost of collecting the data exceeds the benefit the data may provide, the data owner may be excluded from the program.</w:t>
      </w:r>
      <w:r w:rsidRPr="00170ADC">
        <w:rPr>
          <w:rStyle w:val="FootnoteReference"/>
        </w:rPr>
        <w:footnoteReference w:id="611"/>
      </w:r>
    </w:p>
    <w:p w14:paraId="7541A199" w14:textId="4B9C1C0A" w:rsidR="00CF47D0" w:rsidRPr="00FA1A19" w:rsidRDefault="00CF47D0" w:rsidP="00657003">
      <w:r w:rsidRPr="00FA1A19">
        <w:t xml:space="preserve">Publicly, the ATO advise that the number of individuals affected by this </w:t>
      </w:r>
      <w:r w:rsidR="004A72BA" w:rsidRPr="00FA1A19">
        <w:t xml:space="preserve">program </w:t>
      </w:r>
      <w:r w:rsidRPr="00FA1A19">
        <w:t xml:space="preserve">is expected to range </w:t>
      </w:r>
      <w:r w:rsidR="00BC121C" w:rsidRPr="00FA1A19">
        <w:t xml:space="preserve">from </w:t>
      </w:r>
      <w:r w:rsidRPr="00FA1A19">
        <w:t>between 400,000 and 600,000 per year. The data is sourced from providers</w:t>
      </w:r>
      <w:r w:rsidR="00F75232">
        <w:t>’</w:t>
      </w:r>
      <w:r w:rsidRPr="00FA1A19">
        <w:t xml:space="preserve"> systems and the ATO then undertakes further scrutiny and analytics to verify the data. The collected data includes information across identification details (differing for individuals and non</w:t>
      </w:r>
      <w:r w:rsidR="00F75232">
        <w:noBreakHyphen/>
      </w:r>
      <w:r w:rsidRPr="00FA1A19">
        <w:t>individuals) and crypto transaction details, including broad details about the account, wallet and transactions.</w:t>
      </w:r>
      <w:r w:rsidRPr="00170ADC">
        <w:rPr>
          <w:rStyle w:val="FootnoteReference"/>
        </w:rPr>
        <w:footnoteReference w:id="612"/>
      </w:r>
      <w:r w:rsidRPr="00FA1A19">
        <w:t xml:space="preserve"> </w:t>
      </w:r>
    </w:p>
    <w:p w14:paraId="71E156A0" w14:textId="1E8D7809" w:rsidR="00CF47D0" w:rsidRPr="00FA1A19" w:rsidRDefault="00CF47D0" w:rsidP="00657003">
      <w:r w:rsidRPr="00FA1A19">
        <w:t xml:space="preserve">The Board notes that the ATO currently only collects data in relation where the data owner or its subsidiary operate a business in Australia that is governed by Australian law. Many Australian crypto users will be operating through overseas exchanges that are not governed under Australian law. This means that the information gathered by the ATO will only capture the subset of crypto users operating through the </w:t>
      </w:r>
      <w:r w:rsidR="00D60764" w:rsidRPr="00FA1A19">
        <w:t xml:space="preserve">relevant </w:t>
      </w:r>
      <w:r w:rsidRPr="00FA1A19">
        <w:t>Australian exchanges. The Board notes</w:t>
      </w:r>
      <w:r w:rsidR="001D55EF" w:rsidRPr="00FA1A19">
        <w:t xml:space="preserve">, however, </w:t>
      </w:r>
      <w:r w:rsidRPr="00FA1A19">
        <w:t>that the implementation of the CARF over the coming years</w:t>
      </w:r>
      <w:r w:rsidR="002F2388">
        <w:t xml:space="preserve"> may provide</w:t>
      </w:r>
      <w:r w:rsidRPr="00FA1A19">
        <w:t xml:space="preserve"> the ATO wi</w:t>
      </w:r>
      <w:r w:rsidR="002F2388">
        <w:t>th</w:t>
      </w:r>
      <w:r w:rsidRPr="00FA1A19">
        <w:t xml:space="preserve"> access to higher quality data from the OECD countries that implement the recommendations. </w:t>
      </w:r>
    </w:p>
    <w:p w14:paraId="6CC535A1" w14:textId="040D41D7" w:rsidR="00CF47D0" w:rsidRPr="00FA1A19" w:rsidRDefault="00CF47D0" w:rsidP="00657003">
      <w:r w:rsidRPr="00FA1A19">
        <w:t xml:space="preserve">The ATO utilises the above collected information to provide a prompt for taxpayers through the </w:t>
      </w:r>
      <w:r w:rsidR="00670171">
        <w:t>m</w:t>
      </w:r>
      <w:r w:rsidR="00670171" w:rsidRPr="00FA1A19">
        <w:t xml:space="preserve">yTax </w:t>
      </w:r>
      <w:r w:rsidRPr="00FA1A19">
        <w:t xml:space="preserve">and Online service for agents, where the following alert is made: </w:t>
      </w:r>
    </w:p>
    <w:p w14:paraId="64A744EB" w14:textId="767DB748" w:rsidR="00CF47D0" w:rsidRPr="00FA1A19" w:rsidRDefault="00CF47D0" w:rsidP="00722D65">
      <w:pPr>
        <w:pStyle w:val="Quote"/>
      </w:pPr>
      <w:r w:rsidRPr="00FA1A19">
        <w:t xml:space="preserve">You held or disposed of cryptocurrency that may have resulted in a capital gains tax event. Visit </w:t>
      </w:r>
      <w:r w:rsidR="005A7AC5" w:rsidRPr="00FA1A19">
        <w:t xml:space="preserve">tax treatment of cryptocurrencies </w:t>
      </w:r>
      <w:r w:rsidRPr="00FA1A19">
        <w:t>to learn more about your tax obligations.</w:t>
      </w:r>
    </w:p>
    <w:p w14:paraId="000BC6B7" w14:textId="15097201" w:rsidR="00CF47D0" w:rsidRPr="00FA1A19" w:rsidRDefault="00CF47D0" w:rsidP="00657003">
      <w:r w:rsidRPr="00FA1A19">
        <w:t>Given the apparent lack of awareness in relation to the tax treatment of crypto assets, the Board considers that the use of the prompt for taxpayers who are likely to have undertaken crypto asset activities to consider their reporting obligations is an important initiative by the ATO.</w:t>
      </w:r>
      <w:r w:rsidR="004F0A51" w:rsidRPr="00FA1A19">
        <w:t xml:space="preserve"> </w:t>
      </w:r>
    </w:p>
    <w:p w14:paraId="5ED2F7B3" w14:textId="77777777" w:rsidR="00CF47D0" w:rsidRPr="00FA1A19" w:rsidRDefault="00CF47D0" w:rsidP="00657003">
      <w:r w:rsidRPr="00FA1A19">
        <w:t>Additionally, the ATO advises that the data obtained through this program is matched with what is reported in a tax return to help identify buyers and sellers of crypto assets and quantify transactions.</w:t>
      </w:r>
      <w:r w:rsidRPr="00170ADC">
        <w:rPr>
          <w:rStyle w:val="FootnoteReference"/>
        </w:rPr>
        <w:footnoteReference w:id="613"/>
      </w:r>
      <w:r w:rsidRPr="00FA1A19">
        <w:t xml:space="preserve"> </w:t>
      </w:r>
    </w:p>
    <w:p w14:paraId="5E758816" w14:textId="77777777" w:rsidR="00CF47D0" w:rsidRPr="00E23D88" w:rsidRDefault="00CF47D0" w:rsidP="00E23D88">
      <w:r w:rsidRPr="00FA1A19">
        <w:t xml:space="preserve">Many submissions received by the Board have highlighted challenges faced by taxpayers and practitioners in relying upon the information gathered by the ATO. </w:t>
      </w:r>
    </w:p>
    <w:p w14:paraId="5DF29758" w14:textId="77777777" w:rsidR="00CF47D0" w:rsidRPr="00FA1A19" w:rsidRDefault="00CF47D0" w:rsidP="001F6BC5">
      <w:pPr>
        <w:autoSpaceDE w:val="0"/>
        <w:autoSpaceDN w:val="0"/>
        <w:adjustRightInd w:val="0"/>
      </w:pPr>
      <w:r w:rsidRPr="00FA1A19">
        <w:t xml:space="preserve">The Joint Bodies posited the following reason for issues in the matched data: </w:t>
      </w:r>
    </w:p>
    <w:p w14:paraId="5BD5B23A" w14:textId="38164B3D" w:rsidR="00CF47D0" w:rsidRPr="00FA1A19" w:rsidRDefault="00CF47D0" w:rsidP="00722D65">
      <w:pPr>
        <w:pStyle w:val="Quote"/>
      </w:pPr>
      <w:r w:rsidRPr="00FA1A19">
        <w:t>The ATO</w:t>
      </w:r>
      <w:r w:rsidR="00F75232">
        <w:t>’</w:t>
      </w:r>
      <w:r w:rsidRPr="00FA1A19">
        <w:t>s existing data</w:t>
      </w:r>
      <w:r w:rsidR="00F75232">
        <w:noBreakHyphen/>
      </w:r>
      <w:r w:rsidRPr="00FA1A19">
        <w:t>matching program provides the ATO with a wealth of data regarding dealings conducted through regulated Australian exchanges. However, some members of the Joint Bodies have shared anecdotes that the pre</w:t>
      </w:r>
      <w:r w:rsidR="00F75232">
        <w:noBreakHyphen/>
      </w:r>
      <w:r w:rsidRPr="00FA1A19">
        <w:t>filled reports generated using the ATO</w:t>
      </w:r>
      <w:r w:rsidR="00F75232">
        <w:t>’</w:t>
      </w:r>
      <w:r w:rsidRPr="00FA1A19">
        <w:t xml:space="preserve">s data do not always tie the correct digital wallets to the correct individuals, with the result that such data </w:t>
      </w:r>
      <w:r w:rsidRPr="00FA1A19">
        <w:rPr>
          <w:rFonts w:asciiTheme="minorHAnsi" w:hAnsiTheme="minorHAnsi" w:cstheme="minorHAnsi"/>
        </w:rPr>
        <w:t>should</w:t>
      </w:r>
      <w:r w:rsidRPr="00FA1A19">
        <w:t xml:space="preserve"> not necessarily be treated as an absolute source of truth. We understand that this issue may be driven in part by the fact that the ATO</w:t>
      </w:r>
      <w:r w:rsidR="00F75232">
        <w:t>’</w:t>
      </w:r>
      <w:r w:rsidRPr="00FA1A19">
        <w:t>s data</w:t>
      </w:r>
      <w:r w:rsidR="00F75232">
        <w:noBreakHyphen/>
      </w:r>
      <w:r w:rsidRPr="00FA1A19">
        <w:t>matching attempts to link digital wallets to individuals by their name, rather than the digital wallet identification numbers.</w:t>
      </w:r>
      <w:r w:rsidR="005A51AC" w:rsidRPr="00170ADC">
        <w:rPr>
          <w:rStyle w:val="FootnoteReference"/>
        </w:rPr>
        <w:footnoteReference w:id="614"/>
      </w:r>
      <w:r w:rsidRPr="00FA1A19">
        <w:t xml:space="preserve"> </w:t>
      </w:r>
    </w:p>
    <w:p w14:paraId="5155A474" w14:textId="218EFBAE" w:rsidR="00CF47D0" w:rsidRPr="00FA1A19" w:rsidRDefault="00CF47D0" w:rsidP="00CF47D0">
      <w:r w:rsidRPr="00FA1A19">
        <w:t xml:space="preserve">The Board considers that the use of the data as a prompt for taxpayers is an efficient way to encourage compliance. The consequence of inaccuracies in the data is of lower significance to taxpayers as they are merely being presented a reminder and </w:t>
      </w:r>
      <w:r w:rsidR="00E524AC" w:rsidRPr="00FA1A19">
        <w:t xml:space="preserve">are </w:t>
      </w:r>
      <w:r w:rsidRPr="00FA1A19">
        <w:t xml:space="preserve">not required to respond or directly engage with the ATO. </w:t>
      </w:r>
    </w:p>
    <w:p w14:paraId="5D92E050" w14:textId="62A82084" w:rsidR="00CF47D0" w:rsidRPr="00FA1A19" w:rsidRDefault="00CF47D0" w:rsidP="00CF47D0">
      <w:r w:rsidRPr="00FA1A19">
        <w:t xml:space="preserve">However, the Board considers that there is a need for a higher level of integrity in the data where it is used for the purpose of raising inquiries with taxpayers asking for </w:t>
      </w:r>
      <w:r w:rsidR="00EB79CE" w:rsidRPr="00FA1A19">
        <w:t xml:space="preserve">disclosures (or the absence of disclosures) </w:t>
      </w:r>
      <w:r w:rsidRPr="00FA1A19">
        <w:t xml:space="preserve">to be explained. Taxpayers will incur compliance costs in receiving and responding to these requests, regardless of whether correct disclosures were made in original </w:t>
      </w:r>
      <w:r w:rsidR="0060183B" w:rsidRPr="00FA1A19">
        <w:t>lodgement</w:t>
      </w:r>
      <w:r w:rsidRPr="00FA1A19">
        <w:t xml:space="preserve">s or crypto asset transactions </w:t>
      </w:r>
      <w:r w:rsidR="00EB79CE" w:rsidRPr="00FA1A19">
        <w:t xml:space="preserve">were undertaken </w:t>
      </w:r>
      <w:r w:rsidRPr="00FA1A19">
        <w:t>during the income year.</w:t>
      </w:r>
      <w:r w:rsidR="004F0A51" w:rsidRPr="00FA1A19">
        <w:t xml:space="preserve"> </w:t>
      </w:r>
    </w:p>
    <w:p w14:paraId="66B445A9" w14:textId="2AC32D7B" w:rsidR="00CF47D0" w:rsidRPr="00FA1A19" w:rsidRDefault="00CF47D0" w:rsidP="00CF47D0">
      <w:r w:rsidRPr="00FA1A19">
        <w:t>In KPMG</w:t>
      </w:r>
      <w:r w:rsidR="00F75232">
        <w:t>’</w:t>
      </w:r>
      <w:r w:rsidRPr="00FA1A19">
        <w:t>s submission to the review, it was proposed that the ATO look to further utilise data to assist in tax return preparation, noting:</w:t>
      </w:r>
      <w:r w:rsidR="004F0A51" w:rsidRPr="00FA1A19">
        <w:t xml:space="preserve"> </w:t>
      </w:r>
    </w:p>
    <w:p w14:paraId="2CE1541D" w14:textId="63FC844E" w:rsidR="00CF47D0" w:rsidRPr="00FA1A19" w:rsidRDefault="00CF47D0" w:rsidP="00722D65">
      <w:pPr>
        <w:pStyle w:val="Quote"/>
      </w:pPr>
      <w:r w:rsidRPr="00FA1A19">
        <w:t xml:space="preserve">Whilst the program is currently utilised to identify taxpayers who may be failing to meet their registration </w:t>
      </w:r>
      <w:r w:rsidRPr="00FA1A19">
        <w:rPr>
          <w:rFonts w:asciiTheme="minorHAnsi" w:hAnsiTheme="minorHAnsi" w:cstheme="minorHAnsi"/>
        </w:rPr>
        <w:t>and</w:t>
      </w:r>
      <w:r w:rsidRPr="00FA1A19">
        <w:t xml:space="preserve"> lodgement obligations, KPMG considers that the information may also be leverage</w:t>
      </w:r>
      <w:r w:rsidR="00CF6E16" w:rsidRPr="00FA1A19">
        <w:t>d</w:t>
      </w:r>
      <w:r w:rsidRPr="00FA1A19">
        <w:t xml:space="preserve"> to pre</w:t>
      </w:r>
      <w:r w:rsidR="00F75232">
        <w:noBreakHyphen/>
      </w:r>
      <w:r w:rsidRPr="00FA1A19">
        <w:t>fill tax returns.</w:t>
      </w:r>
    </w:p>
    <w:p w14:paraId="40B57E0F" w14:textId="3664D194" w:rsidR="00CF47D0" w:rsidRPr="00FA1A19" w:rsidRDefault="00CF47D0" w:rsidP="00722D65">
      <w:pPr>
        <w:pStyle w:val="Quote"/>
      </w:pPr>
      <w:r w:rsidRPr="00FA1A19">
        <w:t>Further it may be appropriate to extend this program (possibly on an opt</w:t>
      </w:r>
      <w:r w:rsidR="00F75232">
        <w:noBreakHyphen/>
      </w:r>
      <w:r w:rsidRPr="00FA1A19">
        <w:t>in basis) to allow taxpayers to utilise data from wallets, exchanges or crypto tax solutions … to automatically pre</w:t>
      </w:r>
      <w:r w:rsidR="00F75232">
        <w:noBreakHyphen/>
      </w:r>
      <w:r w:rsidRPr="00FA1A19">
        <w:t>fill tax returns with default assumptions about treatment of relevant transactions to simplify compliance for many taxpayers.</w:t>
      </w:r>
      <w:r w:rsidRPr="00170ADC">
        <w:rPr>
          <w:rStyle w:val="FootnoteReference"/>
        </w:rPr>
        <w:footnoteReference w:id="615"/>
      </w:r>
    </w:p>
    <w:p w14:paraId="7937E96D" w14:textId="3C796EB0" w:rsidR="00CF47D0" w:rsidRPr="00FA1A19" w:rsidRDefault="00CF47D0" w:rsidP="00434F85">
      <w:r w:rsidRPr="00FA1A19">
        <w:t>The Board is supportive of measures that will simplify the tax disclosure process for individual taxpayers and highlights the need for there to be integrity in any data that is utilised to provide pre</w:t>
      </w:r>
      <w:r w:rsidR="00F75232">
        <w:noBreakHyphen/>
      </w:r>
      <w:r w:rsidRPr="00FA1A19">
        <w:t xml:space="preserve">filling information. As highlighted in the previous section, currently the lack of consistency in data available through various sources causes inconsistent outcomes and incorrect disclosures for taxpayers. </w:t>
      </w:r>
    </w:p>
    <w:p w14:paraId="7102F33B" w14:textId="77777777" w:rsidR="00CF47D0" w:rsidRPr="00434F85" w:rsidRDefault="00CF47D0" w:rsidP="00434F85">
      <w:pPr>
        <w:pStyle w:val="SingleParagraph"/>
      </w:pPr>
    </w:p>
    <w:tbl>
      <w:tblPr>
        <w:tblStyle w:val="Style2"/>
        <w:tblW w:w="5000" w:type="pct"/>
        <w:tblLook w:val="01E0" w:firstRow="1" w:lastRow="1" w:firstColumn="1" w:lastColumn="1" w:noHBand="0" w:noVBand="0"/>
      </w:tblPr>
      <w:tblGrid>
        <w:gridCol w:w="9641"/>
      </w:tblGrid>
      <w:tr w:rsidR="00CF47D0" w:rsidRPr="00657003" w14:paraId="6285C9B0"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93A095C" w14:textId="725DD5E2" w:rsidR="00CF47D0" w:rsidRPr="00657003" w:rsidRDefault="00372633" w:rsidP="00657003">
            <w:pPr>
              <w:pStyle w:val="BoxHeading1"/>
            </w:pPr>
            <w:r>
              <w:t>Recommendation </w:t>
            </w:r>
            <w:r w:rsidR="00CF47D0" w:rsidRPr="00657003">
              <w:t>11.3</w:t>
            </w:r>
          </w:p>
        </w:tc>
      </w:tr>
      <w:tr w:rsidR="00CF47D0" w:rsidRPr="00FA1A19" w14:paraId="66359D16"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419758C7" w14:textId="09A2A4AA" w:rsidR="00CF47D0" w:rsidRPr="00FA1A19" w:rsidRDefault="00CF47D0" w:rsidP="00657003">
            <w:pPr>
              <w:pStyle w:val="BoxText"/>
            </w:pPr>
            <w:r w:rsidRPr="00FA1A19">
              <w:t xml:space="preserve">The Board recommends that the ATO </w:t>
            </w:r>
            <w:r w:rsidR="00635282" w:rsidRPr="00FA1A19">
              <w:t xml:space="preserve">consult </w:t>
            </w:r>
            <w:r w:rsidRPr="00FA1A19">
              <w:t xml:space="preserve">with </w:t>
            </w:r>
            <w:r w:rsidR="008A62C8" w:rsidRPr="00E81174">
              <w:t>industry stakeholders and taxpayer representative groups</w:t>
            </w:r>
            <w:r w:rsidR="008C0C01">
              <w:t xml:space="preserve">, </w:t>
            </w:r>
            <w:r w:rsidRPr="00FA1A19">
              <w:t xml:space="preserve">the Crypto Industry Working Group </w:t>
            </w:r>
            <w:r w:rsidR="008C0C01">
              <w:t xml:space="preserve">and </w:t>
            </w:r>
            <w:r w:rsidRPr="00FA1A19">
              <w:t xml:space="preserve">crypto exchanges to identify and implement improvements to the data matching of exchange data, with particular reference to </w:t>
            </w:r>
            <w:r w:rsidR="00F47506" w:rsidRPr="00FA1A19">
              <w:t xml:space="preserve">identifying information used for data matching. </w:t>
            </w:r>
          </w:p>
        </w:tc>
      </w:tr>
    </w:tbl>
    <w:p w14:paraId="51A2A3D9" w14:textId="1DA078A3" w:rsidR="00CF47D0" w:rsidRPr="00FA1A19" w:rsidRDefault="00CF47D0" w:rsidP="00342121">
      <w:pPr>
        <w:pStyle w:val="Heading3"/>
      </w:pPr>
      <w:r w:rsidRPr="00FA1A19">
        <w:t>Tax return obligations</w:t>
      </w:r>
    </w:p>
    <w:p w14:paraId="0829B22F" w14:textId="078B1B0D" w:rsidR="008E09A3" w:rsidRPr="00FA1A19" w:rsidRDefault="008E09A3" w:rsidP="0069352C">
      <w:pPr>
        <w:pStyle w:val="Heading4"/>
      </w:pPr>
      <w:r w:rsidRPr="00FA1A19">
        <w:t>Australian obligations</w:t>
      </w:r>
    </w:p>
    <w:p w14:paraId="67748D34" w14:textId="02C562F6" w:rsidR="00CF47D0" w:rsidRPr="00FA1A19" w:rsidRDefault="00CF47D0" w:rsidP="00CF47D0">
      <w:r w:rsidRPr="00FA1A19">
        <w:t xml:space="preserve">As detailed above, individual taxpayers currently receive a notification through myTax and/or Online services for agents where the ATO has matched data indicating that the taxpayer has undertaken crypto asset activity during the income year. </w:t>
      </w:r>
    </w:p>
    <w:p w14:paraId="7D59E7C4" w14:textId="1559C113" w:rsidR="00CF47D0" w:rsidRPr="00FA1A19" w:rsidRDefault="00CF47D0" w:rsidP="00CF47D0">
      <w:r w:rsidRPr="00FA1A19">
        <w:t xml:space="preserve">The Board considers that </w:t>
      </w:r>
      <w:r w:rsidR="007C7FAA" w:rsidRPr="00FA1A19">
        <w:t>the ATO</w:t>
      </w:r>
      <w:r w:rsidR="00F75232">
        <w:t>’</w:t>
      </w:r>
      <w:r w:rsidR="007C7FAA" w:rsidRPr="00FA1A19">
        <w:t>s use of a</w:t>
      </w:r>
      <w:r w:rsidRPr="00FA1A19">
        <w:t xml:space="preserve"> prompt is useful to remind and encourage taxpayers that they may have disclosure obligations, however notes that the usefulness is limited due to the notification only being made to those taxpayers </w:t>
      </w:r>
      <w:r w:rsidR="003417D9">
        <w:t>who hold crypto assets</w:t>
      </w:r>
      <w:r w:rsidRPr="00FA1A19">
        <w:t xml:space="preserve"> through an included </w:t>
      </w:r>
      <w:r w:rsidR="003417D9">
        <w:t>data provider</w:t>
      </w:r>
      <w:r w:rsidRPr="00FA1A19">
        <w:t>.</w:t>
      </w:r>
    </w:p>
    <w:p w14:paraId="65764153" w14:textId="77777777" w:rsidR="008B0C50" w:rsidRPr="00FA1A19" w:rsidRDefault="008B0C50" w:rsidP="008B0C50">
      <w:r w:rsidRPr="00FA1A19">
        <w:t xml:space="preserve">Australian taxpayers are not required to provide any specific information in relation to crypto asset transactions on their income tax returns. Individual taxpayers carrying on a business in relation to crypto assets will need to complete a </w:t>
      </w:r>
      <w:r w:rsidRPr="00813896">
        <w:rPr>
          <w:rStyle w:val="Emphasis"/>
        </w:rPr>
        <w:t>Business and professional items schedule</w:t>
      </w:r>
      <w:r w:rsidRPr="00FA1A19">
        <w:t xml:space="preserve"> to disclose their relevant business activity. This schedule requires the taxpayer to provide a description of the main business or professional activity that is being undertaken in a free text field. A taxpayer carrying on a crypto asset business would therefore disclose this information in this field.</w:t>
      </w:r>
    </w:p>
    <w:p w14:paraId="04B4E785" w14:textId="77777777" w:rsidR="008B0C50" w:rsidRPr="00FA1A19" w:rsidRDefault="008B0C50" w:rsidP="008B0C50">
      <w:r w:rsidRPr="00FA1A19">
        <w:t xml:space="preserve">Individual taxpayers that are reporting capital gains or losses in relation to crypto assets need to complete the relevant item of the </w:t>
      </w:r>
      <w:r w:rsidRPr="00813896">
        <w:rPr>
          <w:rStyle w:val="Emphasis"/>
        </w:rPr>
        <w:t>Tax return for individuals (supplementary section)</w:t>
      </w:r>
      <w:r w:rsidRPr="00FA1A19">
        <w:t xml:space="preserve"> form (Supplementary return). This does not require the disclosure of the type of asset that has generated the capital gain or loss. The ATO provides a </w:t>
      </w:r>
      <w:r w:rsidRPr="00813896">
        <w:rPr>
          <w:rStyle w:val="Emphasis"/>
        </w:rPr>
        <w:t>Capital gain or capital loss worksheet</w:t>
      </w:r>
      <w:r w:rsidRPr="00170ADC">
        <w:rPr>
          <w:rStyle w:val="FootnoteReference"/>
        </w:rPr>
        <w:footnoteReference w:id="616"/>
      </w:r>
      <w:r w:rsidRPr="00FA1A19">
        <w:rPr>
          <w:i/>
          <w:iCs/>
        </w:rPr>
        <w:t xml:space="preserve"> </w:t>
      </w:r>
      <w:r w:rsidRPr="00FA1A19">
        <w:t xml:space="preserve">(worksheet) to support taxpayers in calculating their capital gains. This worksheet is not submitted to the ATO and is provided to help taxpayers calculate the capital gain or loss on their CGT assets. The form provides a listing of 9 asset types or events and does not explicitly make any reference to crypto assets. </w:t>
      </w:r>
    </w:p>
    <w:p w14:paraId="2B228F0B" w14:textId="7DEF3CA7" w:rsidR="008B0C50" w:rsidRPr="00FA1A19" w:rsidRDefault="008B0C50" w:rsidP="008B0C50">
      <w:r w:rsidRPr="00FA1A19">
        <w:t>Non</w:t>
      </w:r>
      <w:r w:rsidR="00F75232">
        <w:noBreakHyphen/>
      </w:r>
      <w:r w:rsidRPr="00FA1A19">
        <w:t xml:space="preserve">individual taxpayers may be required to complete a </w:t>
      </w:r>
      <w:r w:rsidRPr="00813896">
        <w:rPr>
          <w:rStyle w:val="Emphasis"/>
        </w:rPr>
        <w:t>Capital gains tax (CGT) schedule</w:t>
      </w:r>
      <w:r w:rsidRPr="00FA1A19">
        <w:t xml:space="preserve"> which is submitted to the ATO with the tax return. This schedule requires the taxpayer to provide a breakdown of the source of the capital gain across 10 categories, including the same 9 as the worksheet, plus an additional category for amounts deferred under transitional CGT relief for superannuation funds. An extract from the </w:t>
      </w:r>
      <w:r w:rsidRPr="00813896">
        <w:rPr>
          <w:rStyle w:val="Emphasis"/>
        </w:rPr>
        <w:t>Capital gains tax (CGT) schedule 2023</w:t>
      </w:r>
      <w:r w:rsidRPr="00170ADC">
        <w:rPr>
          <w:rStyle w:val="FootnoteReference"/>
        </w:rPr>
        <w:footnoteReference w:id="617"/>
      </w:r>
      <w:r w:rsidRPr="00FA1A19">
        <w:t xml:space="preserve"> has been provided below: </w:t>
      </w:r>
    </w:p>
    <w:p w14:paraId="249C5FFC" w14:textId="77777777" w:rsidR="008B0C50" w:rsidRPr="00FA1A19" w:rsidRDefault="008B0C50" w:rsidP="00657003">
      <w:pPr>
        <w:pStyle w:val="ChartGraphic"/>
      </w:pPr>
      <w:r w:rsidRPr="00FA1A19">
        <w:rPr>
          <w:noProof/>
        </w:rPr>
        <w:drawing>
          <wp:inline distT="0" distB="0" distL="0" distR="0" wp14:anchorId="64B33821" wp14:editId="7F2B027C">
            <wp:extent cx="6120000" cy="4560658"/>
            <wp:effectExtent l="0" t="0" r="0" b="0"/>
            <wp:docPr id="1945178050" name="Picture 1945178050" descr="This infographic shows the categories of CGT assets and events that are separately disclosed on the CGT schedule: shares in companies listed on an Australian securities exchange, other shares, units in unit trusts listed on an Australian securities exchange, other units, real estate situated in Australia, other real estate, amount of capital gains from a trust, collectables, other CGT assets and any other CGT events and amount of capital gain previously deferred under transitional CGT relief for superannuation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8050" name="Picture 1945178050" descr="This infographic shows the categories of CGT assets and events that are separately disclosed on the CGT schedule: shares in companies listed on an Australian securities exchange, other shares, units in unit trusts listed on an Australian securities exchange, other units, real estate situated in Australia, other real estate, amount of capital gains from a trust, collectables, other CGT assets and any other CGT events and amount of capital gain previously deferred under transitional CGT relief for superannuation funds.   "/>
                    <pic:cNvPicPr/>
                  </pic:nvPicPr>
                  <pic:blipFill>
                    <a:blip r:embed="rId71"/>
                    <a:stretch>
                      <a:fillRect/>
                    </a:stretch>
                  </pic:blipFill>
                  <pic:spPr>
                    <a:xfrm>
                      <a:off x="0" y="0"/>
                      <a:ext cx="6120000" cy="4560658"/>
                    </a:xfrm>
                    <a:prstGeom prst="rect">
                      <a:avLst/>
                    </a:prstGeom>
                  </pic:spPr>
                </pic:pic>
              </a:graphicData>
            </a:graphic>
          </wp:inline>
        </w:drawing>
      </w:r>
    </w:p>
    <w:p w14:paraId="5E0AA861" w14:textId="10EB8528" w:rsidR="008E09A3" w:rsidRPr="00FA1A19" w:rsidRDefault="008E09A3" w:rsidP="0069352C">
      <w:pPr>
        <w:pStyle w:val="Heading4"/>
      </w:pPr>
      <w:r w:rsidRPr="00FA1A19">
        <w:t>International comparison</w:t>
      </w:r>
    </w:p>
    <w:p w14:paraId="7D1D4F46" w14:textId="4EA90C86" w:rsidR="00CF47D0" w:rsidRPr="00FA1A19" w:rsidRDefault="00CF47D0" w:rsidP="00CF47D0">
      <w:r w:rsidRPr="00FA1A19">
        <w:t xml:space="preserve">The Board has explored </w:t>
      </w:r>
      <w:r w:rsidR="00E85ED7" w:rsidRPr="00FA1A19">
        <w:t xml:space="preserve">disclosure requirements in relation to crypto asset </w:t>
      </w:r>
      <w:r w:rsidRPr="00FA1A19">
        <w:t xml:space="preserve">transactions as part of its international consultation process with </w:t>
      </w:r>
      <w:r w:rsidR="00BA0F47" w:rsidRPr="00FA1A19">
        <w:t xml:space="preserve">Canada, NZ, </w:t>
      </w:r>
      <w:r w:rsidR="00CD5D79" w:rsidRPr="00FA1A19">
        <w:t>Singapore</w:t>
      </w:r>
      <w:r w:rsidR="00CD5D79">
        <w:t>,</w:t>
      </w:r>
      <w:r w:rsidR="00CD5D79" w:rsidRPr="00FA1A19">
        <w:t xml:space="preserve"> </w:t>
      </w:r>
      <w:r w:rsidR="00BA0F47" w:rsidRPr="00FA1A19">
        <w:t>UK</w:t>
      </w:r>
      <w:r w:rsidR="00CD5D79">
        <w:t xml:space="preserve"> and</w:t>
      </w:r>
      <w:r w:rsidR="00BA0F47" w:rsidRPr="00FA1A19">
        <w:t xml:space="preserve"> </w:t>
      </w:r>
      <w:r w:rsidRPr="00FA1A19">
        <w:t>US. The following disclosures are required in relation to crypto assets for each of these jurisdictions:</w:t>
      </w:r>
    </w:p>
    <w:p w14:paraId="1C495160" w14:textId="77777777" w:rsidR="007F52D8" w:rsidRPr="00AD28CB" w:rsidRDefault="007F52D8" w:rsidP="00657003">
      <w:pPr>
        <w:pStyle w:val="Bullet"/>
        <w:rPr>
          <w:rStyle w:val="Strong"/>
        </w:rPr>
      </w:pPr>
      <w:r w:rsidRPr="00AD28CB">
        <w:rPr>
          <w:rStyle w:val="Strong"/>
        </w:rPr>
        <w:t>Canada</w:t>
      </w:r>
    </w:p>
    <w:p w14:paraId="43C38A3F" w14:textId="6CAC148F" w:rsidR="007F52D8" w:rsidRPr="00FA1A19" w:rsidRDefault="007F52D8" w:rsidP="00EE60B2">
      <w:pPr>
        <w:pStyle w:val="NormalIndent"/>
      </w:pPr>
      <w:r w:rsidRPr="00FA1A19">
        <w:t xml:space="preserve">Canada does not currently collect any specific information through the tax return process in relation to crypto asset holdings. Individual income taxpayers that are reporting a capital gain are required to complete a </w:t>
      </w:r>
      <w:r w:rsidRPr="00813896">
        <w:rPr>
          <w:rStyle w:val="Emphasis"/>
        </w:rPr>
        <w:t>Schedule 3 Capital Gains (or Losses)</w:t>
      </w:r>
      <w:r w:rsidRPr="00170ADC">
        <w:rPr>
          <w:rStyle w:val="FootnoteReference"/>
        </w:rPr>
        <w:footnoteReference w:id="618"/>
      </w:r>
      <w:r w:rsidRPr="00FA1A19">
        <w:t xml:space="preserve"> which requires gains or losses to be reported in relation to the specific category of asset. For the 2022 income year, crypto assets are included in a category of </w:t>
      </w:r>
      <w:r w:rsidR="00F75232">
        <w:t>‘</w:t>
      </w:r>
      <w:r w:rsidRPr="00FA1A19">
        <w:t>Bonds, debentures, promissory notes, crypto</w:t>
      </w:r>
      <w:r w:rsidR="00F75232">
        <w:noBreakHyphen/>
      </w:r>
      <w:r w:rsidRPr="00FA1A19">
        <w:t>assets, and other similar properties</w:t>
      </w:r>
      <w:r w:rsidR="00F75232">
        <w:t>’</w:t>
      </w:r>
      <w:r w:rsidRPr="00FA1A19">
        <w:t xml:space="preserve">. </w:t>
      </w:r>
    </w:p>
    <w:p w14:paraId="5FBC985C" w14:textId="77777777" w:rsidR="007F52D8" w:rsidRPr="00AD28CB" w:rsidRDefault="007F52D8" w:rsidP="00B01909">
      <w:pPr>
        <w:pStyle w:val="Bullet"/>
        <w:keepNext/>
        <w:rPr>
          <w:rStyle w:val="Strong"/>
        </w:rPr>
      </w:pPr>
      <w:r w:rsidRPr="00AD28CB">
        <w:rPr>
          <w:rStyle w:val="Strong"/>
        </w:rPr>
        <w:t>New Zealand</w:t>
      </w:r>
    </w:p>
    <w:p w14:paraId="3770BC01" w14:textId="70309780" w:rsidR="00FA3375" w:rsidRPr="00FA1A19" w:rsidRDefault="00D44290" w:rsidP="00EE60B2">
      <w:pPr>
        <w:pStyle w:val="NormalIndent"/>
      </w:pPr>
      <w:r>
        <w:t>NZ</w:t>
      </w:r>
      <w:r w:rsidR="007F52D8" w:rsidRPr="00FA1A19">
        <w:t xml:space="preserve"> does not currently have any obligation for crypto asset gains to be separately identified on income tax returns, or any taxpayer prompts through the tax portals.</w:t>
      </w:r>
    </w:p>
    <w:p w14:paraId="14193765" w14:textId="5D3A6C28" w:rsidR="00975B2C" w:rsidRPr="00AD28CB" w:rsidRDefault="00975B2C" w:rsidP="00657003">
      <w:pPr>
        <w:pStyle w:val="Bullet"/>
        <w:rPr>
          <w:rStyle w:val="Strong"/>
        </w:rPr>
      </w:pPr>
      <w:r w:rsidRPr="00AD28CB">
        <w:rPr>
          <w:rStyle w:val="Strong"/>
        </w:rPr>
        <w:t>United Kingdom</w:t>
      </w:r>
    </w:p>
    <w:p w14:paraId="6C6C5D7C" w14:textId="46F23D07" w:rsidR="007F52D8" w:rsidRPr="00FA1A19" w:rsidRDefault="007F52D8" w:rsidP="00EE60B2">
      <w:pPr>
        <w:pStyle w:val="NormalIndent"/>
      </w:pPr>
      <w:r w:rsidRPr="00FA1A19">
        <w:t>While the UK does not currently require any separate disclosure in relation to crypto assets on income tax returns, from the 2024</w:t>
      </w:r>
      <w:r w:rsidR="00BC3F14">
        <w:t>–</w:t>
      </w:r>
      <w:r w:rsidRPr="00FA1A19">
        <w:t>25 tax year, amounts in respect of crypto assets will be required to be separately identified on the income tax form. The Board understands that this will be through the incorporation of a new category of assets on the Capital Gains Tax Summary forms (SA108 for individuals</w:t>
      </w:r>
      <w:r w:rsidRPr="00170ADC">
        <w:rPr>
          <w:rStyle w:val="FootnoteReference"/>
        </w:rPr>
        <w:footnoteReference w:id="619"/>
      </w:r>
      <w:r w:rsidRPr="00FA1A19">
        <w:t xml:space="preserve"> and SA 905</w:t>
      </w:r>
      <w:r w:rsidRPr="00170ADC">
        <w:rPr>
          <w:rStyle w:val="FootnoteReference"/>
        </w:rPr>
        <w:footnoteReference w:id="620"/>
      </w:r>
      <w:r w:rsidRPr="00FA1A19">
        <w:t xml:space="preserve"> for trust or estates).</w:t>
      </w:r>
    </w:p>
    <w:p w14:paraId="6877210B" w14:textId="77777777" w:rsidR="00CF47D0" w:rsidRPr="00FA1A19" w:rsidRDefault="00CF47D0" w:rsidP="00657003">
      <w:pPr>
        <w:pStyle w:val="Bullet"/>
      </w:pPr>
      <w:r w:rsidRPr="00AD28CB">
        <w:rPr>
          <w:rStyle w:val="Strong"/>
        </w:rPr>
        <w:t xml:space="preserve">United States </w:t>
      </w:r>
    </w:p>
    <w:p w14:paraId="3D3BA380" w14:textId="77777777" w:rsidR="00CF47D0" w:rsidRPr="00170ADC" w:rsidRDefault="00CF47D0" w:rsidP="005E488B">
      <w:pPr>
        <w:pStyle w:val="NormalIndent"/>
        <w:spacing w:after="0"/>
        <w:rPr>
          <w:rStyle w:val="FootnoteReference"/>
        </w:rPr>
      </w:pPr>
      <w:r w:rsidRPr="00FA1A19">
        <w:t>Completion of the following question is required by all taxpayers on the front page of the Individual income tax return (Form 1040):</w:t>
      </w:r>
      <w:r w:rsidRPr="00170ADC">
        <w:rPr>
          <w:rStyle w:val="FootnoteReference"/>
        </w:rPr>
        <w:t xml:space="preserve"> </w:t>
      </w:r>
      <w:r w:rsidRPr="00170ADC">
        <w:rPr>
          <w:rStyle w:val="FootnoteReference"/>
        </w:rPr>
        <w:footnoteReference w:id="621"/>
      </w:r>
    </w:p>
    <w:p w14:paraId="2BBE2EAA" w14:textId="5A586ED7" w:rsidR="00657003" w:rsidRPr="00E65895" w:rsidRDefault="005E488B" w:rsidP="005E488B">
      <w:pPr>
        <w:pStyle w:val="ChartGraphic"/>
        <w:spacing w:after="120"/>
        <w:jc w:val="left"/>
      </w:pPr>
      <w:r w:rsidRPr="00FA1A19">
        <w:rPr>
          <w:noProof/>
        </w:rPr>
        <w:object w:dxaOrig="11480" w:dyaOrig="5660" w14:anchorId="1D701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nfographic is an extract of the front page of the US Individual tax return and shows the following yes/no question in relation to digital assets: ‘At any time during 2023, did you: (a) receive (as a reward, award, or payment for property or services); or (b) sell, exchange, or otherwise dispose of a digital asset (or a financial interest in a digital asset)?’." style="width:438.55pt;height:214.5pt" o:ole="">
            <v:imagedata r:id="rId72" o:title=""/>
          </v:shape>
          <o:OLEObject Type="Embed" ProgID="Paint.Picture.1" ShapeID="_x0000_i1025" DrawAspect="Content" ObjectID="_1777801389" r:id="rId73"/>
        </w:object>
      </w:r>
    </w:p>
    <w:p w14:paraId="14118469" w14:textId="5111C9A8" w:rsidR="00CF47D0" w:rsidRPr="00FA1A19" w:rsidRDefault="00CF47D0" w:rsidP="00657003">
      <w:r w:rsidRPr="00FA1A19">
        <w:t xml:space="preserve">Additionally, individual taxpayers that have made a </w:t>
      </w:r>
      <w:r w:rsidR="00F75232">
        <w:t>‘</w:t>
      </w:r>
      <w:r w:rsidRPr="00FA1A19">
        <w:t xml:space="preserve">sales and </w:t>
      </w:r>
      <w:r w:rsidR="009F04E1" w:rsidRPr="00FA1A19">
        <w:t>other disposi</w:t>
      </w:r>
      <w:r w:rsidR="00F155EC" w:rsidRPr="00FA1A19">
        <w:t xml:space="preserve">tion </w:t>
      </w:r>
      <w:r w:rsidRPr="00FA1A19">
        <w:t>of capital assets</w:t>
      </w:r>
      <w:r w:rsidR="00F75232">
        <w:t>’</w:t>
      </w:r>
      <w:r w:rsidRPr="00FA1A19">
        <w:t xml:space="preserve"> are required to complete an additional Form 8949 to support their tax return. In relation to crypto assets, the form requires the taxpayer to detail </w:t>
      </w:r>
      <w:r w:rsidR="00F75232">
        <w:t>‘</w:t>
      </w:r>
      <w:r w:rsidRPr="00FA1A19">
        <w:t>the full name or an abbreviated symbol of the digital asset and the exact amount of units sold or disposed of in the transaction, and include the sale transaction ID number, if available</w:t>
      </w:r>
      <w:r w:rsidR="00F75232">
        <w:t>’</w:t>
      </w:r>
      <w:r w:rsidRPr="00FA1A19">
        <w:t xml:space="preserve"> in relation to the transaction.</w:t>
      </w:r>
      <w:r w:rsidRPr="00170ADC">
        <w:rPr>
          <w:rStyle w:val="FootnoteReference"/>
        </w:rPr>
        <w:footnoteReference w:id="622"/>
      </w:r>
    </w:p>
    <w:p w14:paraId="5384F075" w14:textId="43BAFEF6" w:rsidR="008B0C50" w:rsidRPr="00FA1A19" w:rsidRDefault="008B0C50" w:rsidP="0069352C">
      <w:pPr>
        <w:pStyle w:val="Heading4"/>
      </w:pPr>
      <w:r w:rsidRPr="00FA1A19">
        <w:t>Board</w:t>
      </w:r>
      <w:r w:rsidR="00F75232">
        <w:t>’</w:t>
      </w:r>
      <w:r w:rsidRPr="00FA1A19">
        <w:t>s consideration</w:t>
      </w:r>
    </w:p>
    <w:p w14:paraId="53A41837" w14:textId="72EDE578" w:rsidR="00CF47D0" w:rsidRPr="00FA1A19" w:rsidRDefault="006D1381" w:rsidP="00CF47D0">
      <w:r>
        <w:t>The Board recommends that consideration is given to including a specific crypto asset investment prompt</w:t>
      </w:r>
      <w:r w:rsidR="00D41905">
        <w:t xml:space="preserve"> in Australian taxation returns</w:t>
      </w:r>
      <w:r w:rsidR="00F75232">
        <w:t xml:space="preserve">. </w:t>
      </w:r>
      <w:r w:rsidR="0047205F" w:rsidRPr="00FA1A19">
        <w:t>A</w:t>
      </w:r>
      <w:r w:rsidR="00CF47D0" w:rsidRPr="00FA1A19">
        <w:t xml:space="preserve"> requirement for a taxpayer to make </w:t>
      </w:r>
      <w:r w:rsidR="0047205F" w:rsidRPr="00FA1A19">
        <w:t xml:space="preserve">express </w:t>
      </w:r>
      <w:r w:rsidR="00CF47D0" w:rsidRPr="00FA1A19">
        <w:t xml:space="preserve">disclosures in relation to crypto assets on the tax return may help the ATO further target its compliance resources. In addition, the Board considers that such a </w:t>
      </w:r>
      <w:r w:rsidR="008B159B" w:rsidRPr="00FA1A19">
        <w:t xml:space="preserve">disclosure </w:t>
      </w:r>
      <w:r w:rsidR="00CF47D0" w:rsidRPr="00FA1A19">
        <w:t>will play an important role as a prompt for tax agents in asking relevant questions of their clients to understand their crypto asset activities, that may otherwise not be considered. This approach has been used by the ATO in relation to foreign investments where certain individual taxpayers are required to complete a box answering yes or no to the following question on the Supplementary return:</w:t>
      </w:r>
    </w:p>
    <w:p w14:paraId="5941CB79" w14:textId="77777777" w:rsidR="00CF47D0" w:rsidRPr="00FA1A19" w:rsidRDefault="00CF47D0" w:rsidP="00722D65">
      <w:pPr>
        <w:pStyle w:val="Quote"/>
      </w:pPr>
      <w:r w:rsidRPr="00FA1A19">
        <w:t xml:space="preserve">During the </w:t>
      </w:r>
      <w:r w:rsidRPr="00FA1A19">
        <w:rPr>
          <w:rFonts w:asciiTheme="minorHAnsi" w:hAnsiTheme="minorHAnsi" w:cstheme="minorHAnsi"/>
        </w:rPr>
        <w:t>year</w:t>
      </w:r>
      <w:r w:rsidRPr="00FA1A19">
        <w:t xml:space="preserve"> did you own, or have an interest in, assets located outside Australia which had a total value of AUD$50,000 or more?</w:t>
      </w:r>
    </w:p>
    <w:p w14:paraId="3A2BD06D" w14:textId="77777777" w:rsidR="00A3304C" w:rsidRPr="00FA1A19" w:rsidRDefault="00A3304C" w:rsidP="00DF5DFD">
      <w:pPr>
        <w:pStyle w:val="SingleParagraph"/>
      </w:pPr>
    </w:p>
    <w:tbl>
      <w:tblPr>
        <w:tblStyle w:val="Style2"/>
        <w:tblW w:w="5000" w:type="pct"/>
        <w:tblLook w:val="01E0" w:firstRow="1" w:lastRow="1" w:firstColumn="1" w:lastColumn="1" w:noHBand="0" w:noVBand="0"/>
      </w:tblPr>
      <w:tblGrid>
        <w:gridCol w:w="9641"/>
      </w:tblGrid>
      <w:tr w:rsidR="00CF47D0" w:rsidRPr="00DF5DFD" w14:paraId="2CA8C51A"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C27C476" w14:textId="6D7BFF98" w:rsidR="00CF47D0" w:rsidRPr="00DF5DFD" w:rsidRDefault="00372633" w:rsidP="00DF5DFD">
            <w:pPr>
              <w:pStyle w:val="BoxHeading1"/>
            </w:pPr>
            <w:r>
              <w:t>Recommendation </w:t>
            </w:r>
            <w:r w:rsidR="00CF47D0" w:rsidRPr="00DF5DFD">
              <w:t>11.4</w:t>
            </w:r>
          </w:p>
        </w:tc>
      </w:tr>
      <w:tr w:rsidR="00CF47D0" w:rsidRPr="00FA1A19" w14:paraId="0C7BABBF"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619E2EF1" w14:textId="395B268C" w:rsidR="00CF47D0" w:rsidRPr="005E488B" w:rsidRDefault="00CF47D0" w:rsidP="00DF5DFD">
            <w:pPr>
              <w:pStyle w:val="BoxText"/>
              <w:rPr>
                <w:spacing w:val="-3"/>
              </w:rPr>
            </w:pPr>
            <w:r w:rsidRPr="005E488B">
              <w:rPr>
                <w:spacing w:val="-3"/>
              </w:rPr>
              <w:t xml:space="preserve">The Board recommends </w:t>
            </w:r>
            <w:r w:rsidR="00E733F6" w:rsidRPr="005E488B">
              <w:rPr>
                <w:spacing w:val="-3"/>
              </w:rPr>
              <w:t xml:space="preserve">that consideration be given to including </w:t>
            </w:r>
            <w:r w:rsidRPr="005E488B">
              <w:rPr>
                <w:spacing w:val="-3"/>
              </w:rPr>
              <w:t xml:space="preserve">a specific crypto asset investment or transaction related disclosure </w:t>
            </w:r>
            <w:r w:rsidR="00A911A2" w:rsidRPr="005E488B">
              <w:rPr>
                <w:spacing w:val="-3"/>
              </w:rPr>
              <w:t xml:space="preserve">be </w:t>
            </w:r>
            <w:r w:rsidRPr="005E488B">
              <w:rPr>
                <w:spacing w:val="-3"/>
              </w:rPr>
              <w:t>added to the individual income tax return</w:t>
            </w:r>
            <w:r w:rsidR="00A911A2" w:rsidRPr="005E488B">
              <w:rPr>
                <w:spacing w:val="-3"/>
              </w:rPr>
              <w:t>, to support</w:t>
            </w:r>
            <w:r w:rsidRPr="005E488B">
              <w:rPr>
                <w:spacing w:val="-3"/>
              </w:rPr>
              <w:t xml:space="preserve"> compliance and provide a prompt for tax agent</w:t>
            </w:r>
            <w:r w:rsidR="00A911A2" w:rsidRPr="005E488B">
              <w:rPr>
                <w:spacing w:val="-3"/>
              </w:rPr>
              <w:t>s</w:t>
            </w:r>
            <w:r w:rsidRPr="005E488B">
              <w:rPr>
                <w:spacing w:val="-3"/>
              </w:rPr>
              <w:t xml:space="preserve"> and taxpayers to include crypto asset related disclosures in their returns.</w:t>
            </w:r>
            <w:r w:rsidR="004F0A51" w:rsidRPr="005E488B">
              <w:rPr>
                <w:spacing w:val="-3"/>
              </w:rPr>
              <w:t xml:space="preserve"> </w:t>
            </w:r>
          </w:p>
        </w:tc>
      </w:tr>
    </w:tbl>
    <w:p w14:paraId="49816ACB" w14:textId="77777777" w:rsidR="00CF47D0" w:rsidRPr="00FA1A19" w:rsidRDefault="00CF47D0" w:rsidP="00342121">
      <w:pPr>
        <w:pStyle w:val="Heading3"/>
      </w:pPr>
      <w:r w:rsidRPr="00FA1A19">
        <w:t xml:space="preserve">Compliance activities </w:t>
      </w:r>
    </w:p>
    <w:p w14:paraId="04EADA2C" w14:textId="18192949" w:rsidR="00CF47D0" w:rsidRPr="00FA1A19" w:rsidRDefault="00CF47D0" w:rsidP="00CF47D0">
      <w:r w:rsidRPr="00FA1A19">
        <w:t>The Board has highlighted feedback throughout the Report about the challenges facing taxpayers seeking to make accurate disclosures in relation to their crypto asset activities. In response, the Board has made various recommendations in relation to the ATO</w:t>
      </w:r>
      <w:r w:rsidR="00F75232">
        <w:t>’</w:t>
      </w:r>
      <w:r w:rsidRPr="00FA1A19">
        <w:t xml:space="preserve">s approach to providing additional guidance and applying penalties where a tax shortfall is identified. </w:t>
      </w:r>
    </w:p>
    <w:p w14:paraId="40C07717" w14:textId="4916F67A" w:rsidR="00CF47D0" w:rsidRPr="00FA1A19" w:rsidRDefault="00CF47D0" w:rsidP="00CF47D0">
      <w:r w:rsidRPr="00FA1A19">
        <w:t>In relation to ATO compliance activities, the Board has heard that there is a need for the ATO provide an educational response to taxpayers where errors are made.</w:t>
      </w:r>
      <w:r w:rsidRPr="00170ADC">
        <w:rPr>
          <w:rStyle w:val="FootnoteReference"/>
        </w:rPr>
        <w:footnoteReference w:id="623"/>
      </w:r>
      <w:r w:rsidRPr="00FA1A19">
        <w:t xml:space="preserve"> </w:t>
      </w:r>
    </w:p>
    <w:p w14:paraId="4CE8F2B0" w14:textId="4C99A07B" w:rsidR="0D47C05A" w:rsidRPr="00FA1A19" w:rsidRDefault="0D47C05A">
      <w:r w:rsidRPr="00FA1A19">
        <w:t>Other feedback received by the Board in relation to the targeting of compliance activities highlighted the uncertain basis upon which many taxpayers are making disclosures for income tax and the limited cost</w:t>
      </w:r>
      <w:r w:rsidR="00F75232">
        <w:noBreakHyphen/>
      </w:r>
      <w:r w:rsidRPr="00FA1A19">
        <w:t>effective avenues that are available to these taxpayers to obtain confidence over their positions.</w:t>
      </w:r>
    </w:p>
    <w:p w14:paraId="59EB20C9" w14:textId="2C393F9F" w:rsidR="70F360CC" w:rsidRPr="00FA1A19" w:rsidRDefault="70F360CC" w:rsidP="00DF5DFD">
      <w:pPr>
        <w:pStyle w:val="SingleParagraph"/>
      </w:pPr>
    </w:p>
    <w:tbl>
      <w:tblPr>
        <w:tblStyle w:val="BoTObservation"/>
        <w:tblW w:w="5000" w:type="pct"/>
        <w:tblLook w:val="01E0" w:firstRow="1" w:lastRow="1" w:firstColumn="1" w:lastColumn="1" w:noHBand="0" w:noVBand="0"/>
      </w:tblPr>
      <w:tblGrid>
        <w:gridCol w:w="9641"/>
      </w:tblGrid>
      <w:tr w:rsidR="00CF47D0" w:rsidRPr="00DF5DFD" w14:paraId="154003D2"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32A59488" w14:textId="6D90C650" w:rsidR="00CF47D0" w:rsidRPr="00DF5DFD" w:rsidRDefault="00372633" w:rsidP="00DF5DFD">
            <w:pPr>
              <w:pStyle w:val="BoxHeading1"/>
            </w:pPr>
            <w:r>
              <w:t>Observation </w:t>
            </w:r>
            <w:r w:rsidR="00CF47D0" w:rsidRPr="00DF5DFD">
              <w:t>11.</w:t>
            </w:r>
            <w:r w:rsidR="00714A2B" w:rsidRPr="00DF5DFD">
              <w:t>1</w:t>
            </w:r>
          </w:p>
        </w:tc>
      </w:tr>
      <w:tr w:rsidR="00CF47D0" w:rsidRPr="00FA1A19" w14:paraId="364DB3AC"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53DF3DAB" w14:textId="62353642" w:rsidR="00CF47D0" w:rsidRPr="00FA1A19" w:rsidRDefault="00CF47D0" w:rsidP="00DF5DFD">
            <w:pPr>
              <w:pStyle w:val="BoxText"/>
            </w:pPr>
            <w:r w:rsidRPr="00FA1A19">
              <w:t xml:space="preserve">Many taxpayers are seeking to </w:t>
            </w:r>
            <w:r w:rsidR="00F75232">
              <w:t>‘</w:t>
            </w:r>
            <w:r w:rsidRPr="00FA1A19">
              <w:t>do the right thing</w:t>
            </w:r>
            <w:r w:rsidR="00F75232">
              <w:t>’</w:t>
            </w:r>
            <w:r w:rsidRPr="00FA1A19">
              <w:t xml:space="preserve"> when completing their income tax returns, however due to the evolving ecosystem and </w:t>
            </w:r>
            <w:r w:rsidR="37DB510B" w:rsidRPr="00FA1A19">
              <w:t xml:space="preserve">limited </w:t>
            </w:r>
            <w:r w:rsidRPr="00FA1A19">
              <w:t xml:space="preserve">guidance </w:t>
            </w:r>
            <w:r w:rsidR="00856263" w:rsidRPr="00FA1A19">
              <w:t>may</w:t>
            </w:r>
            <w:r w:rsidRPr="00FA1A19">
              <w:t xml:space="preserve"> make errors in disclosures. These</w:t>
            </w:r>
            <w:r w:rsidR="005E488B">
              <w:t> </w:t>
            </w:r>
            <w:r w:rsidRPr="00FA1A19">
              <w:t>taxpayers may benefit from further education as an alternative to penalties</w:t>
            </w:r>
            <w:r w:rsidR="00242E17" w:rsidRPr="00FA1A19">
              <w:t xml:space="preserve"> at this stage of the development of the crypto</w:t>
            </w:r>
            <w:r w:rsidR="4493145B" w:rsidRPr="00FA1A19">
              <w:t xml:space="preserve"> </w:t>
            </w:r>
            <w:r w:rsidR="00242E17" w:rsidRPr="00FA1A19">
              <w:t>ecosystem, whilst recognising that a balance must be struck with the personal responsibility of taxpayers to ensure that they meet their taxation obligations in relation to activities in which they engage</w:t>
            </w:r>
            <w:r w:rsidR="00DD7E85">
              <w:t xml:space="preserve">. </w:t>
            </w:r>
          </w:p>
        </w:tc>
      </w:tr>
    </w:tbl>
    <w:p w14:paraId="174BE542" w14:textId="77777777" w:rsidR="00DF5DFD" w:rsidRDefault="00DF5DFD" w:rsidP="005E488B">
      <w:pPr>
        <w:pStyle w:val="SingleParagraph"/>
        <w:sectPr w:rsidR="00DF5DFD" w:rsidSect="00320772">
          <w:pgSz w:w="11909" w:h="16834" w:code="9"/>
          <w:pgMar w:top="1985" w:right="1134" w:bottom="1985" w:left="1134" w:header="1134" w:footer="1134" w:gutter="0"/>
          <w:cols w:space="708"/>
          <w:docGrid w:linePitch="360"/>
        </w:sectPr>
      </w:pPr>
    </w:p>
    <w:p w14:paraId="743745A1" w14:textId="57E2AA67" w:rsidR="00641869" w:rsidRPr="00FA1A19" w:rsidRDefault="00372633" w:rsidP="0069352C">
      <w:pPr>
        <w:pStyle w:val="Heading1"/>
      </w:pPr>
      <w:bookmarkStart w:id="153" w:name="_Toc159513635"/>
      <w:r>
        <w:t>Chapter </w:t>
      </w:r>
      <w:r w:rsidR="00641869" w:rsidRPr="00FA1A19">
        <w:t>1</w:t>
      </w:r>
      <w:r w:rsidR="00D17075" w:rsidRPr="00FA1A19">
        <w:t>2</w:t>
      </w:r>
      <w:r w:rsidR="00641869" w:rsidRPr="00FA1A19">
        <w:t xml:space="preserve">: International Taxation of </w:t>
      </w:r>
      <w:r w:rsidR="00643A3E" w:rsidRPr="00FA1A19">
        <w:t xml:space="preserve">Digital </w:t>
      </w:r>
      <w:r w:rsidR="00641869" w:rsidRPr="00FA1A19">
        <w:t>Assets</w:t>
      </w:r>
      <w:r w:rsidR="00643A3E" w:rsidRPr="00FA1A19">
        <w:t xml:space="preserve"> and Transactions</w:t>
      </w:r>
      <w:bookmarkEnd w:id="153"/>
    </w:p>
    <w:p w14:paraId="07771705" w14:textId="77777777" w:rsidR="00641869" w:rsidRPr="00FA1A19" w:rsidRDefault="00641869" w:rsidP="0069352C">
      <w:pPr>
        <w:pStyle w:val="Heading2"/>
        <w:rPr>
          <w:rStyle w:val="Emphasis"/>
        </w:rPr>
      </w:pPr>
      <w:bookmarkStart w:id="154" w:name="_Toc159513636"/>
      <w:r w:rsidRPr="00FA1A19">
        <w:rPr>
          <w:rStyle w:val="Emphasis"/>
        </w:rPr>
        <w:t>Key Points</w:t>
      </w:r>
      <w:bookmarkEnd w:id="154"/>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2147" w:themeFill="accent1"/>
        <w:tblCellMar>
          <w:top w:w="397" w:type="dxa"/>
          <w:left w:w="454" w:type="dxa"/>
          <w:bottom w:w="397" w:type="dxa"/>
          <w:right w:w="454" w:type="dxa"/>
        </w:tblCellMar>
        <w:tblLook w:val="04A0" w:firstRow="1" w:lastRow="0" w:firstColumn="1" w:lastColumn="0" w:noHBand="0" w:noVBand="1"/>
      </w:tblPr>
      <w:tblGrid>
        <w:gridCol w:w="9641"/>
      </w:tblGrid>
      <w:tr w:rsidR="00641869" w:rsidRPr="00FA1A19" w14:paraId="41EF5EDB" w14:textId="77777777" w:rsidTr="005E488B">
        <w:tc>
          <w:tcPr>
            <w:tcW w:w="5000" w:type="pct"/>
            <w:shd w:val="clear" w:color="auto" w:fill="701F4D" w:themeFill="accent2"/>
          </w:tcPr>
          <w:p w14:paraId="7EBAD316" w14:textId="1C9D5289" w:rsidR="00641869" w:rsidRPr="00DF5DFD" w:rsidRDefault="00643A3E" w:rsidP="00B01909">
            <w:pPr>
              <w:pStyle w:val="BoxBulletWhite"/>
            </w:pPr>
            <w:r w:rsidRPr="00DF5DFD">
              <w:t xml:space="preserve">In the course of the </w:t>
            </w:r>
            <w:r w:rsidR="00522AFD">
              <w:t>R</w:t>
            </w:r>
            <w:r w:rsidR="00522AFD" w:rsidRPr="00DF5DFD">
              <w:t>eview</w:t>
            </w:r>
            <w:r w:rsidRPr="00DF5DFD">
              <w:t xml:space="preserve">, the </w:t>
            </w:r>
            <w:r w:rsidR="00641869" w:rsidRPr="00DF5DFD">
              <w:t xml:space="preserve">Board engaged directly with </w:t>
            </w:r>
            <w:r w:rsidRPr="00DF5DFD">
              <w:t>r</w:t>
            </w:r>
            <w:r w:rsidR="00641869" w:rsidRPr="00DF5DFD">
              <w:t xml:space="preserve">evenue authorities in </w:t>
            </w:r>
            <w:r w:rsidR="007F52D8" w:rsidRPr="00DF5DFD">
              <w:t xml:space="preserve">Canada, </w:t>
            </w:r>
            <w:r w:rsidR="00D44290">
              <w:t>NZ</w:t>
            </w:r>
            <w:r w:rsidR="00082EFF" w:rsidRPr="00DF5DFD">
              <w:t>,</w:t>
            </w:r>
            <w:r w:rsidR="00677436">
              <w:t xml:space="preserve"> </w:t>
            </w:r>
            <w:r w:rsidR="00641869" w:rsidRPr="00DF5DFD">
              <w:t>U</w:t>
            </w:r>
            <w:r w:rsidR="00D93558" w:rsidRPr="00DF5DFD">
              <w:t>K</w:t>
            </w:r>
            <w:r w:rsidR="00CD5D79">
              <w:t>, US</w:t>
            </w:r>
            <w:r w:rsidR="00677436">
              <w:t xml:space="preserve"> and</w:t>
            </w:r>
            <w:r w:rsidR="00677436" w:rsidRPr="00DF5DFD">
              <w:t xml:space="preserve"> </w:t>
            </w:r>
            <w:r w:rsidR="00CD5D79">
              <w:t>Singapore</w:t>
            </w:r>
            <w:r w:rsidR="00CD5D79" w:rsidRPr="00DF5DFD">
              <w:t xml:space="preserve"> </w:t>
            </w:r>
            <w:r w:rsidRPr="00DF5DFD">
              <w:t>t</w:t>
            </w:r>
            <w:r w:rsidR="00641869" w:rsidRPr="00DF5DFD">
              <w:t xml:space="preserve">o gain insights on </w:t>
            </w:r>
            <w:r w:rsidRPr="00DF5DFD">
              <w:t>the taxation and revenue administration of digital assets and transactions in those jurisdictions.</w:t>
            </w:r>
          </w:p>
          <w:p w14:paraId="335D5DEA" w14:textId="77777777" w:rsidR="00641869" w:rsidRPr="00DF5DFD" w:rsidRDefault="00641869" w:rsidP="000E72DD">
            <w:pPr>
              <w:pStyle w:val="BoxBulletWhite"/>
            </w:pPr>
            <w:r w:rsidRPr="00DF5DFD">
              <w:t>All jurisdictions have provided clear guidance and communications on the tax consequences of crypto transactions and are developing new valuation methods for crypto assets and software tools to assist taxpayers. The Board considers that the ATO is a leader in this area.</w:t>
            </w:r>
          </w:p>
          <w:p w14:paraId="1FE8A7C9" w14:textId="0CE66C15" w:rsidR="00641869" w:rsidRPr="00DF5DFD" w:rsidRDefault="00641869" w:rsidP="000E72DD">
            <w:pPr>
              <w:pStyle w:val="BoxBulletWhite"/>
            </w:pPr>
            <w:r w:rsidRPr="00DF5DFD">
              <w:t>Most jurisdictions are using</w:t>
            </w:r>
            <w:r w:rsidR="00643A3E" w:rsidRPr="00DF5DFD">
              <w:t xml:space="preserve"> or exploring</w:t>
            </w:r>
            <w:r w:rsidRPr="00DF5DFD">
              <w:t xml:space="preserve"> third</w:t>
            </w:r>
            <w:r w:rsidR="00F75232">
              <w:noBreakHyphen/>
            </w:r>
            <w:r w:rsidRPr="00DF5DFD">
              <w:t>party information reporting which generally leads to higher levels of taxpayer compliance as well as exploring other options to improve reporting obligations of taxpayers and registrants.</w:t>
            </w:r>
          </w:p>
          <w:p w14:paraId="3B799253" w14:textId="3CC230EE" w:rsidR="00641869" w:rsidRPr="00DF5DFD" w:rsidRDefault="00643A3E" w:rsidP="00B01909">
            <w:pPr>
              <w:pStyle w:val="BoxBulletWhite"/>
            </w:pPr>
            <w:r w:rsidRPr="00DF5DFD">
              <w:t>S</w:t>
            </w:r>
            <w:r w:rsidR="00641869" w:rsidRPr="00DF5DFD">
              <w:t>ome countries</w:t>
            </w:r>
            <w:r w:rsidRPr="00DF5DFD">
              <w:t xml:space="preserve"> have </w:t>
            </w:r>
            <w:r w:rsidRPr="00B01909">
              <w:t>introduced</w:t>
            </w:r>
            <w:r w:rsidR="00641869" w:rsidRPr="00DF5DFD">
              <w:t xml:space="preserve"> </w:t>
            </w:r>
            <w:r w:rsidR="00D01A36">
              <w:t xml:space="preserve">specific </w:t>
            </w:r>
            <w:r w:rsidR="00641869" w:rsidRPr="00DF5DFD">
              <w:t xml:space="preserve">tax </w:t>
            </w:r>
            <w:r w:rsidRPr="00DF5DFD">
              <w:t>concessions</w:t>
            </w:r>
            <w:r w:rsidR="00D01A36">
              <w:t xml:space="preserve"> or regimes</w:t>
            </w:r>
            <w:r w:rsidRPr="00DF5DFD">
              <w:t xml:space="preserve"> in relation to crypto assets and transactions which may have purposes including simplicity of administration and </w:t>
            </w:r>
            <w:r w:rsidR="00BB0016">
              <w:t>encouraging</w:t>
            </w:r>
            <w:r w:rsidR="00BB0016" w:rsidRPr="00DF5DFD">
              <w:t xml:space="preserve"> </w:t>
            </w:r>
            <w:r w:rsidR="00BB0016">
              <w:t xml:space="preserve">or discouraging </w:t>
            </w:r>
            <w:r w:rsidR="00BB0016" w:rsidRPr="00DF5DFD">
              <w:t xml:space="preserve">crypto assets and transactions </w:t>
            </w:r>
            <w:r w:rsidR="00BB0016">
              <w:t>in</w:t>
            </w:r>
            <w:r w:rsidR="00BB0016" w:rsidRPr="00DF5DFD">
              <w:t xml:space="preserve"> the jurisdiction.</w:t>
            </w:r>
          </w:p>
        </w:tc>
      </w:tr>
    </w:tbl>
    <w:p w14:paraId="6223FF73" w14:textId="77777777" w:rsidR="00641869" w:rsidRPr="00FA1A19" w:rsidRDefault="00641869" w:rsidP="0069352C">
      <w:pPr>
        <w:pStyle w:val="Heading2"/>
      </w:pPr>
      <w:bookmarkStart w:id="155" w:name="_Toc159513637"/>
      <w:r w:rsidRPr="00FA1A19">
        <w:t>Introduction</w:t>
      </w:r>
      <w:bookmarkEnd w:id="155"/>
    </w:p>
    <w:p w14:paraId="75C2CD42" w14:textId="6A773B1D" w:rsidR="00043163" w:rsidRPr="00FA1A19" w:rsidRDefault="007B1321" w:rsidP="00641869">
      <w:r w:rsidRPr="00FA1A19">
        <w:t>The Board</w:t>
      </w:r>
      <w:r w:rsidR="00F75232">
        <w:t>’</w:t>
      </w:r>
      <w:r w:rsidR="007C0A81" w:rsidRPr="00FA1A19">
        <w:t>s</w:t>
      </w:r>
      <w:r w:rsidRPr="00FA1A19">
        <w:t xml:space="preserve"> </w:t>
      </w:r>
      <w:r w:rsidR="00DF3BE8" w:rsidRPr="00FA1A19">
        <w:t xml:space="preserve">work </w:t>
      </w:r>
      <w:r w:rsidR="007C0A81" w:rsidRPr="00FA1A19">
        <w:t>in analysing</w:t>
      </w:r>
      <w:r w:rsidR="00DF3BE8" w:rsidRPr="00FA1A19">
        <w:t xml:space="preserve"> and </w:t>
      </w:r>
      <w:r w:rsidR="007C0A81" w:rsidRPr="00FA1A19">
        <w:t>considering</w:t>
      </w:r>
      <w:r w:rsidRPr="00FA1A19">
        <w:t xml:space="preserve"> the taxation of digital assets and transactions in comparative jurisdictions comprised </w:t>
      </w:r>
      <w:r w:rsidR="009D5236" w:rsidRPr="00FA1A19">
        <w:t>three</w:t>
      </w:r>
      <w:r w:rsidRPr="00FA1A19">
        <w:t xml:space="preserve"> </w:t>
      </w:r>
      <w:r w:rsidR="00643A3E" w:rsidRPr="00FA1A19">
        <w:t>parts</w:t>
      </w:r>
      <w:r w:rsidRPr="00FA1A19">
        <w:t>:</w:t>
      </w:r>
    </w:p>
    <w:p w14:paraId="7F4FECB3" w14:textId="3E603636" w:rsidR="00043163" w:rsidRPr="00FA1A19" w:rsidRDefault="00677436" w:rsidP="00DF5DFD">
      <w:pPr>
        <w:pStyle w:val="Bullet"/>
      </w:pPr>
      <w:r>
        <w:t>F</w:t>
      </w:r>
      <w:r w:rsidRPr="00FA1A19">
        <w:t>irst</w:t>
      </w:r>
      <w:r w:rsidR="007B1321" w:rsidRPr="00FA1A19">
        <w:t xml:space="preserve">, the Board undertook its own research into </w:t>
      </w:r>
      <w:r w:rsidR="006E1148" w:rsidRPr="00FA1A19">
        <w:t>the way in which</w:t>
      </w:r>
      <w:r w:rsidR="00DF3BE8" w:rsidRPr="00FA1A19">
        <w:t xml:space="preserve"> digital assets and transactions are taxed in</w:t>
      </w:r>
      <w:r w:rsidR="006E1148" w:rsidRPr="00FA1A19">
        <w:t xml:space="preserve"> </w:t>
      </w:r>
      <w:r w:rsidR="00FE1A47" w:rsidRPr="00FA1A19">
        <w:t xml:space="preserve">the </w:t>
      </w:r>
      <w:r w:rsidR="006E1148" w:rsidRPr="00FA1A19">
        <w:t xml:space="preserve">comparative jurisdictions </w:t>
      </w:r>
      <w:r w:rsidR="00FE1A47" w:rsidRPr="00FA1A19">
        <w:t xml:space="preserve">of </w:t>
      </w:r>
      <w:r w:rsidR="00082EFF" w:rsidRPr="00FA1A19">
        <w:t xml:space="preserve">Canada, </w:t>
      </w:r>
      <w:r w:rsidR="00D44290">
        <w:t>NZ</w:t>
      </w:r>
      <w:r w:rsidR="00082EFF" w:rsidRPr="00FA1A19">
        <w:t xml:space="preserve">, </w:t>
      </w:r>
      <w:r w:rsidRPr="00FA1A19">
        <w:t>Singapore</w:t>
      </w:r>
      <w:r>
        <w:t>,</w:t>
      </w:r>
      <w:r w:rsidRPr="00FA1A19">
        <w:t xml:space="preserve"> </w:t>
      </w:r>
      <w:r w:rsidR="00082EFF" w:rsidRPr="00FA1A19">
        <w:t>U</w:t>
      </w:r>
      <w:r w:rsidR="00D93558" w:rsidRPr="00FA1A19">
        <w:t>K</w:t>
      </w:r>
      <w:r>
        <w:t xml:space="preserve"> and</w:t>
      </w:r>
      <w:r w:rsidRPr="00FA1A19">
        <w:t xml:space="preserve"> </w:t>
      </w:r>
      <w:r w:rsidR="00082EFF" w:rsidRPr="00FA1A19">
        <w:t>U</w:t>
      </w:r>
      <w:r w:rsidR="00D93558" w:rsidRPr="00FA1A19">
        <w:t>S</w:t>
      </w:r>
      <w:r>
        <w:t>.</w:t>
      </w:r>
    </w:p>
    <w:p w14:paraId="2A57BA17" w14:textId="33E8989A" w:rsidR="00043163" w:rsidRPr="00FA1A19" w:rsidRDefault="00677436" w:rsidP="00DF5DFD">
      <w:pPr>
        <w:pStyle w:val="Bullet"/>
      </w:pPr>
      <w:r>
        <w:t>S</w:t>
      </w:r>
      <w:r w:rsidRPr="00FA1A19">
        <w:t>econd</w:t>
      </w:r>
      <w:r w:rsidR="00043163" w:rsidRPr="00FA1A19">
        <w:t>,</w:t>
      </w:r>
      <w:r w:rsidR="00153CD7" w:rsidRPr="00FA1A19">
        <w:t xml:space="preserve"> the Board asked each comparative jurisdiction a </w:t>
      </w:r>
      <w:r w:rsidR="00115A3D" w:rsidRPr="00FA1A19">
        <w:t>set</w:t>
      </w:r>
      <w:r w:rsidR="00153CD7" w:rsidRPr="00FA1A19">
        <w:t xml:space="preserve"> of 10 </w:t>
      </w:r>
      <w:r w:rsidR="009D5236" w:rsidRPr="00FA1A19">
        <w:t>relevant questions</w:t>
      </w:r>
      <w:r>
        <w:t>.</w:t>
      </w:r>
    </w:p>
    <w:p w14:paraId="3883B191" w14:textId="10D81650" w:rsidR="009D5236" w:rsidRPr="00FA1A19" w:rsidRDefault="00677436" w:rsidP="00DF5DFD">
      <w:pPr>
        <w:pStyle w:val="Bullet"/>
      </w:pPr>
      <w:r>
        <w:t>T</w:t>
      </w:r>
      <w:r w:rsidRPr="00FA1A19">
        <w:t>hird</w:t>
      </w:r>
      <w:r w:rsidR="00043163" w:rsidRPr="00FA1A19">
        <w:t xml:space="preserve">, </w:t>
      </w:r>
      <w:r w:rsidR="009D5236" w:rsidRPr="00FA1A19">
        <w:t xml:space="preserve">the Board conducted virtual meetings/consultations with officials from the </w:t>
      </w:r>
      <w:r w:rsidR="009054C8" w:rsidRPr="00FA1A19">
        <w:t xml:space="preserve">revenue authorities of </w:t>
      </w:r>
      <w:r w:rsidR="00082EFF" w:rsidRPr="00FA1A19">
        <w:t>Canada,</w:t>
      </w:r>
      <w:r w:rsidR="00D93558" w:rsidRPr="00FA1A19">
        <w:t xml:space="preserve"> </w:t>
      </w:r>
      <w:r w:rsidR="00D44290">
        <w:t>NZ</w:t>
      </w:r>
      <w:r w:rsidR="00D93558" w:rsidRPr="00FA1A19">
        <w:t>,</w:t>
      </w:r>
      <w:r w:rsidR="00082EFF" w:rsidRPr="00FA1A19">
        <w:t xml:space="preserve"> </w:t>
      </w:r>
      <w:r w:rsidR="009D5236" w:rsidRPr="00FA1A19">
        <w:t>UK</w:t>
      </w:r>
      <w:r w:rsidR="00D93558" w:rsidRPr="00FA1A19">
        <w:t xml:space="preserve"> and</w:t>
      </w:r>
      <w:r w:rsidR="009D5236" w:rsidRPr="00FA1A19">
        <w:t xml:space="preserve"> US</w:t>
      </w:r>
      <w:r w:rsidR="009054C8" w:rsidRPr="00FA1A19">
        <w:t xml:space="preserve"> on some complex issues</w:t>
      </w:r>
      <w:r w:rsidR="007312C5" w:rsidRPr="00FA1A19">
        <w:t>.</w:t>
      </w:r>
    </w:p>
    <w:p w14:paraId="3BF987D5" w14:textId="2428CC90" w:rsidR="008B524B" w:rsidRPr="00FA1A19" w:rsidRDefault="008B524B" w:rsidP="008B524B">
      <w:r w:rsidRPr="00FA1A19">
        <w:t>The international consultations</w:t>
      </w:r>
      <w:r w:rsidR="00652307" w:rsidRPr="00FA1A19">
        <w:t xml:space="preserve"> </w:t>
      </w:r>
      <w:r w:rsidR="00C31AC0" w:rsidRPr="00FA1A19">
        <w:t xml:space="preserve">were </w:t>
      </w:r>
      <w:r w:rsidRPr="00FA1A19">
        <w:t>invaluable</w:t>
      </w:r>
      <w:r w:rsidR="00C31AC0" w:rsidRPr="00FA1A19">
        <w:t xml:space="preserve"> in providing </w:t>
      </w:r>
      <w:r w:rsidRPr="00FA1A19">
        <w:t xml:space="preserve">the Board with a better insight as to how other jurisdictions are dealing with </w:t>
      </w:r>
      <w:r w:rsidR="00C31AC0" w:rsidRPr="00FA1A19">
        <w:t>the</w:t>
      </w:r>
      <w:r w:rsidRPr="00FA1A19">
        <w:t xml:space="preserve"> complex issues about the tax treatment of </w:t>
      </w:r>
      <w:r w:rsidR="00C31AC0" w:rsidRPr="00FA1A19">
        <w:t>digital</w:t>
      </w:r>
      <w:r w:rsidRPr="00FA1A19">
        <w:t xml:space="preserve"> assets and transactions.</w:t>
      </w:r>
      <w:r w:rsidR="004F0A51" w:rsidRPr="00FA1A19">
        <w:t xml:space="preserve"> </w:t>
      </w:r>
      <w:r w:rsidR="00652307" w:rsidRPr="00FA1A19">
        <w:t>The Board is grateful to the officials and authorities for their assistance in the Board</w:t>
      </w:r>
      <w:r w:rsidR="00F75232">
        <w:t>’</w:t>
      </w:r>
      <w:r w:rsidR="00652307" w:rsidRPr="00FA1A19">
        <w:t xml:space="preserve">s conduct of this part of </w:t>
      </w:r>
      <w:r w:rsidR="00643A3E" w:rsidRPr="00FA1A19">
        <w:t>the Review</w:t>
      </w:r>
      <w:r w:rsidR="00652307" w:rsidRPr="00FA1A19">
        <w:t>.</w:t>
      </w:r>
    </w:p>
    <w:p w14:paraId="6EDCBD42" w14:textId="05708055" w:rsidR="008B524B" w:rsidRPr="00FA1A19" w:rsidRDefault="00652307" w:rsidP="008B524B">
      <w:r w:rsidRPr="00FA1A19">
        <w:t>The Board found that despite</w:t>
      </w:r>
      <w:r w:rsidR="008B524B" w:rsidRPr="00FA1A19">
        <w:t xml:space="preserve"> each of the countries in the key jurisdictions having different taxation systems, there is high degree of similarity of issues</w:t>
      </w:r>
      <w:r w:rsidR="00733A8C" w:rsidRPr="00FA1A19">
        <w:t>.</w:t>
      </w:r>
      <w:r w:rsidR="004F0A51" w:rsidRPr="00FA1A19">
        <w:t xml:space="preserve"> </w:t>
      </w:r>
      <w:r w:rsidR="00733A8C" w:rsidRPr="00FA1A19">
        <w:t xml:space="preserve">The experiences </w:t>
      </w:r>
      <w:r w:rsidR="00B533F0" w:rsidRPr="00FA1A19">
        <w:t xml:space="preserve">of authorities in the comparative jurisdictions </w:t>
      </w:r>
      <w:r w:rsidR="00733A8C" w:rsidRPr="00FA1A19">
        <w:t xml:space="preserve">confirmed that the taxation of digital assets and transactions is a global issue being considered by revenue authorities around the world, and </w:t>
      </w:r>
      <w:r w:rsidR="00B533F0" w:rsidRPr="00FA1A19">
        <w:t xml:space="preserve">of </w:t>
      </w:r>
      <w:r w:rsidR="008B524B" w:rsidRPr="00FA1A19">
        <w:t>the need to adopt and use similar taxing and reporting regimes to avoid tax base leakage and fair collection of revenue.</w:t>
      </w:r>
    </w:p>
    <w:p w14:paraId="4F5D0F92" w14:textId="4553FC77" w:rsidR="00641869" w:rsidRPr="00FA1A19" w:rsidRDefault="00D05ECE" w:rsidP="00641869">
      <w:r w:rsidRPr="00FA1A19">
        <w:t xml:space="preserve">This </w:t>
      </w:r>
      <w:r w:rsidR="002C78F7" w:rsidRPr="00FA1A19">
        <w:t>c</w:t>
      </w:r>
      <w:r w:rsidRPr="00FA1A19">
        <w:t>hapter sets out the results of the Board</w:t>
      </w:r>
      <w:r w:rsidR="00F75232">
        <w:t>’</w:t>
      </w:r>
      <w:r w:rsidRPr="00FA1A19">
        <w:t xml:space="preserve">s </w:t>
      </w:r>
      <w:r w:rsidR="00AB712F" w:rsidRPr="00FA1A19">
        <w:t>work in this area.</w:t>
      </w:r>
    </w:p>
    <w:p w14:paraId="4A3A86B8" w14:textId="6DFC7079" w:rsidR="00641869" w:rsidRPr="00FA1A19" w:rsidRDefault="00643A3E" w:rsidP="0069352C">
      <w:pPr>
        <w:pStyle w:val="Heading2"/>
      </w:pPr>
      <w:bookmarkStart w:id="156" w:name="_Toc159513638"/>
      <w:r w:rsidRPr="00FA1A19">
        <w:t>Summary</w:t>
      </w:r>
      <w:r w:rsidR="00641869" w:rsidRPr="00FA1A19">
        <w:t xml:space="preserve"> of the tax treatment of crypto assets and transactions in </w:t>
      </w:r>
      <w:r w:rsidRPr="00FA1A19">
        <w:t xml:space="preserve">Comparable </w:t>
      </w:r>
      <w:r w:rsidR="00641869" w:rsidRPr="00FA1A19">
        <w:t>Jurisdictions</w:t>
      </w:r>
      <w:bookmarkEnd w:id="156"/>
    </w:p>
    <w:p w14:paraId="424F252C" w14:textId="38D24337" w:rsidR="00641869" w:rsidRPr="00FA1A19" w:rsidRDefault="00643A3E" w:rsidP="00641869">
      <w:r w:rsidRPr="00FA1A19">
        <w:t>The tables below summarise the Board</w:t>
      </w:r>
      <w:r w:rsidR="00F75232">
        <w:t>’</w:t>
      </w:r>
      <w:r w:rsidRPr="00FA1A19">
        <w:t xml:space="preserve">s analysis of </w:t>
      </w:r>
      <w:r w:rsidR="00641869" w:rsidRPr="00FA1A19">
        <w:t xml:space="preserve">the tax treatment of crypto assets and transactions in following </w:t>
      </w:r>
      <w:r w:rsidRPr="00FA1A19">
        <w:t xml:space="preserve">comparable </w:t>
      </w:r>
      <w:r w:rsidR="00641869" w:rsidRPr="00FA1A19">
        <w:t xml:space="preserve">jurisdictions: </w:t>
      </w:r>
      <w:r w:rsidR="00566948" w:rsidRPr="00FA1A19">
        <w:t xml:space="preserve">Canada, </w:t>
      </w:r>
      <w:r w:rsidR="00D44290">
        <w:t>NZ</w:t>
      </w:r>
      <w:r w:rsidR="00566948" w:rsidRPr="00FA1A19">
        <w:t xml:space="preserve">, </w:t>
      </w:r>
      <w:r w:rsidR="006B438B" w:rsidRPr="00FA1A19">
        <w:t>Singapore</w:t>
      </w:r>
      <w:r w:rsidR="006B438B">
        <w:t xml:space="preserve">, </w:t>
      </w:r>
      <w:r w:rsidR="004B121F">
        <w:t>UK</w:t>
      </w:r>
      <w:r w:rsidR="006B438B">
        <w:t xml:space="preserve"> and</w:t>
      </w:r>
      <w:r w:rsidR="004B121F" w:rsidRPr="00FA1A19">
        <w:t xml:space="preserve"> </w:t>
      </w:r>
      <w:r w:rsidR="004B121F">
        <w:t>US</w:t>
      </w:r>
      <w:r w:rsidR="00641869" w:rsidRPr="00FA1A19">
        <w:t>.</w:t>
      </w:r>
      <w:r w:rsidR="004F0A51" w:rsidRPr="00FA1A19">
        <w:t xml:space="preserve"> </w:t>
      </w:r>
      <w:r w:rsidRPr="00FA1A19">
        <w:t>The information was obtained from the Board</w:t>
      </w:r>
      <w:r w:rsidR="00F75232">
        <w:t>’</w:t>
      </w:r>
      <w:r w:rsidRPr="00FA1A19">
        <w:t>s research and consultations with the offshore authorities.</w:t>
      </w:r>
    </w:p>
    <w:p w14:paraId="3023601E" w14:textId="77777777" w:rsidR="00D93558" w:rsidRPr="00FA1A19" w:rsidRDefault="00D93558" w:rsidP="00342121">
      <w:pPr>
        <w:pStyle w:val="Heading3"/>
      </w:pPr>
      <w:r w:rsidRPr="00FA1A19">
        <w:t>Canada</w:t>
      </w:r>
    </w:p>
    <w:tbl>
      <w:tblPr>
        <w:tblStyle w:val="ListTable3-Accent1"/>
        <w:tblW w:w="5000" w:type="pct"/>
        <w:tblLook w:val="04A0" w:firstRow="1" w:lastRow="0" w:firstColumn="1" w:lastColumn="0" w:noHBand="0" w:noVBand="1"/>
      </w:tblPr>
      <w:tblGrid>
        <w:gridCol w:w="1670"/>
        <w:gridCol w:w="7961"/>
      </w:tblGrid>
      <w:tr w:rsidR="00D93558" w:rsidRPr="00FA1A19" w14:paraId="5C09CDDF" w14:textId="77777777" w:rsidTr="00EB09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67" w:type="pct"/>
          </w:tcPr>
          <w:p w14:paraId="0D185D3E" w14:textId="731B93EF" w:rsidR="00D93558" w:rsidRPr="00FA1A19" w:rsidRDefault="00D93558" w:rsidP="00DF5DFD">
            <w:pPr>
              <w:pStyle w:val="TableColumnHeadingLeft"/>
              <w:rPr>
                <w:rFonts w:eastAsiaTheme="minorHAnsi"/>
                <w:lang w:eastAsia="en-US"/>
              </w:rPr>
            </w:pPr>
            <w:r w:rsidRPr="00FA1A19">
              <w:rPr>
                <w:rFonts w:eastAsiaTheme="minorHAnsi"/>
                <w:lang w:eastAsia="en-US"/>
              </w:rPr>
              <w:t xml:space="preserve">Topic </w:t>
            </w:r>
          </w:p>
        </w:tc>
        <w:tc>
          <w:tcPr>
            <w:tcW w:w="4133" w:type="pct"/>
          </w:tcPr>
          <w:p w14:paraId="7ABDBD08" w14:textId="77777777" w:rsidR="00D93558" w:rsidRPr="00FA1A19" w:rsidRDefault="00D93558" w:rsidP="00DF5DFD">
            <w:pPr>
              <w:pStyle w:val="TableColumnHeadingLeft"/>
              <w:cnfStyle w:val="100000000000" w:firstRow="1"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Explanation</w:t>
            </w:r>
          </w:p>
        </w:tc>
      </w:tr>
      <w:tr w:rsidR="00D93558" w:rsidRPr="00FA1A19" w14:paraId="452BEC8A"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055CBDA8" w14:textId="72632F96" w:rsidR="00D93558" w:rsidRPr="00FA1A19" w:rsidRDefault="00B560C7" w:rsidP="00651344">
            <w:pPr>
              <w:pStyle w:val="TableTextLeft"/>
              <w:rPr>
                <w:rFonts w:eastAsiaTheme="minorHAnsi" w:cstheme="minorBidi"/>
                <w:lang w:eastAsia="en-US"/>
              </w:rPr>
            </w:pPr>
            <w:r w:rsidRPr="00FA1A19">
              <w:rPr>
                <w:rFonts w:eastAsiaTheme="minorHAnsi"/>
                <w:lang w:eastAsia="en-US"/>
              </w:rPr>
              <w:t xml:space="preserve">Revenue Authority </w:t>
            </w:r>
          </w:p>
        </w:tc>
        <w:tc>
          <w:tcPr>
            <w:tcW w:w="4133" w:type="pct"/>
          </w:tcPr>
          <w:p w14:paraId="51E47A12" w14:textId="4B4CDA47" w:rsidR="00D93558"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cstheme="minorBidi"/>
                <w:lang w:eastAsia="en-US"/>
              </w:rPr>
            </w:pPr>
            <w:r w:rsidRPr="00FA1A19">
              <w:rPr>
                <w:rFonts w:eastAsiaTheme="minorEastAsia" w:cstheme="minorBidi"/>
                <w:lang w:eastAsia="en-US"/>
              </w:rPr>
              <w:t>The Canada Revenue Agency (CRA)</w:t>
            </w:r>
            <w:r w:rsidR="00F40CEF">
              <w:rPr>
                <w:rFonts w:eastAsiaTheme="minorEastAsia" w:cstheme="minorBidi"/>
                <w:lang w:eastAsia="en-US"/>
              </w:rPr>
              <w:t xml:space="preserve"> is the</w:t>
            </w:r>
            <w:r w:rsidRPr="00FA1A19">
              <w:rPr>
                <w:rFonts w:eastAsiaTheme="minorEastAsia" w:cstheme="minorBidi"/>
                <w:lang w:eastAsia="en-US"/>
              </w:rPr>
              <w:t xml:space="preserve"> federal government body responsible for administering taxes in Canada. </w:t>
            </w:r>
            <w:r w:rsidR="005E58DE" w:rsidRPr="00FA1A19">
              <w:rPr>
                <w:rFonts w:eastAsiaTheme="minorEastAsia" w:cstheme="minorBidi"/>
                <w:lang w:eastAsia="en-US"/>
              </w:rPr>
              <w:t>The development of tax policy is primarily the responsibility of Canada</w:t>
            </w:r>
            <w:r w:rsidR="00F75232">
              <w:rPr>
                <w:rFonts w:eastAsiaTheme="minorEastAsia" w:cstheme="minorBidi"/>
                <w:lang w:eastAsia="en-US"/>
              </w:rPr>
              <w:t>’</w:t>
            </w:r>
            <w:r w:rsidR="005E58DE" w:rsidRPr="00FA1A19">
              <w:rPr>
                <w:rFonts w:eastAsiaTheme="minorEastAsia" w:cstheme="minorBidi"/>
                <w:lang w:eastAsia="en-US"/>
              </w:rPr>
              <w:t>s Department of Finance.</w:t>
            </w:r>
          </w:p>
        </w:tc>
      </w:tr>
      <w:tr w:rsidR="00D93558" w:rsidRPr="00FA1A19" w14:paraId="295A2BA7" w14:textId="77777777" w:rsidTr="00EB09BD">
        <w:tc>
          <w:tcPr>
            <w:cnfStyle w:val="001000000000" w:firstRow="0" w:lastRow="0" w:firstColumn="1" w:lastColumn="0" w:oddVBand="0" w:evenVBand="0" w:oddHBand="0" w:evenHBand="0" w:firstRowFirstColumn="0" w:firstRowLastColumn="0" w:lastRowFirstColumn="0" w:lastRowLastColumn="0"/>
            <w:tcW w:w="867" w:type="pct"/>
          </w:tcPr>
          <w:p w14:paraId="411E4878" w14:textId="55FBD483" w:rsidR="00D93558" w:rsidRPr="00FA1A19" w:rsidRDefault="00B560C7" w:rsidP="00651344">
            <w:pPr>
              <w:pStyle w:val="TableTextLeft"/>
              <w:rPr>
                <w:rFonts w:eastAsiaTheme="minorHAnsi" w:cstheme="minorBidi"/>
                <w:lang w:eastAsia="en-US"/>
              </w:rPr>
            </w:pPr>
            <w:r w:rsidRPr="00FA1A19">
              <w:rPr>
                <w:rFonts w:eastAsiaTheme="minorHAnsi"/>
                <w:lang w:eastAsia="en-US"/>
              </w:rPr>
              <w:t>Current Direct Tax Treatment</w:t>
            </w:r>
            <w:r w:rsidRPr="00170ADC">
              <w:rPr>
                <w:rStyle w:val="FootnoteReference"/>
                <w:rFonts w:eastAsiaTheme="minorHAnsi"/>
              </w:rPr>
              <w:footnoteReference w:id="624"/>
            </w:r>
          </w:p>
        </w:tc>
        <w:tc>
          <w:tcPr>
            <w:tcW w:w="4133" w:type="pct"/>
          </w:tcPr>
          <w:p w14:paraId="31C8B0B6" w14:textId="2A5C235B" w:rsidR="00B560C7" w:rsidRPr="00FA1A19" w:rsidRDefault="00B560C7"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 xml:space="preserve">To date, there is not any federal direct tax legislation in Canada specific to cryptocurrencies or transactions involving cryptocurrencies. The CRA generally treats cryptocurrency like a commodity for the purposes of their </w:t>
            </w:r>
            <w:r w:rsidRPr="00813896">
              <w:rPr>
                <w:rStyle w:val="Emphasis"/>
                <w:rFonts w:eastAsiaTheme="minorHAnsi"/>
              </w:rPr>
              <w:t>Income Tax Act</w:t>
            </w:r>
            <w:r w:rsidRPr="00FA1A19">
              <w:rPr>
                <w:rFonts w:eastAsiaTheme="minorHAnsi"/>
                <w:lang w:eastAsia="en-US"/>
              </w:rPr>
              <w:t xml:space="preserve"> (Act).</w:t>
            </w:r>
          </w:p>
          <w:p w14:paraId="7B267B19" w14:textId="6755677A" w:rsidR="00B560C7" w:rsidRPr="00FA1A19" w:rsidRDefault="00B560C7"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Any income from transactions involving cryptocurrency is generally treated as business income or as a capital gain, depending on the circumstances. Similarly, if earnings qualify as business income or as a capital gain then any losses are treated as business losses or capital losses.</w:t>
            </w:r>
            <w:r w:rsidR="00D1689D" w:rsidRPr="00FA1A19">
              <w:rPr>
                <w:rFonts w:eastAsiaTheme="minorHAnsi"/>
                <w:lang w:eastAsia="en-US"/>
              </w:rPr>
              <w:t xml:space="preserve"> </w:t>
            </w:r>
            <w:r w:rsidR="003665F5" w:rsidRPr="00FA1A19">
              <w:rPr>
                <w:rFonts w:eastAsiaTheme="minorHAnsi"/>
              </w:rPr>
              <w:t xml:space="preserve">The Board has provided further information in relation to the indicia considered by the CRA in relation to carrying on a business in </w:t>
            </w:r>
            <w:r w:rsidR="00372633">
              <w:rPr>
                <w:rFonts w:eastAsiaTheme="minorHAnsi"/>
              </w:rPr>
              <w:t>Chapter </w:t>
            </w:r>
            <w:r w:rsidR="003665F5" w:rsidRPr="00FA1A19">
              <w:rPr>
                <w:rFonts w:eastAsiaTheme="minorHAnsi"/>
              </w:rPr>
              <w:t>7.</w:t>
            </w:r>
          </w:p>
          <w:p w14:paraId="18795632" w14:textId="77777777" w:rsidR="00DA3AD3" w:rsidRPr="00FA1A19" w:rsidRDefault="00DA3AD3"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When a taxpayer uses cryptocurrency to pay for goods or services, the CRA treats it as a barter transaction for income tax purposes.</w:t>
            </w:r>
          </w:p>
          <w:p w14:paraId="7D0AFB5D" w14:textId="11B7D51B" w:rsidR="00D93558" w:rsidRPr="00FA1A19" w:rsidRDefault="00B560C7" w:rsidP="00651344">
            <w:pPr>
              <w:pStyle w:val="TableTextLeft"/>
              <w:cnfStyle w:val="000000000000" w:firstRow="0" w:lastRow="0" w:firstColumn="0" w:lastColumn="0" w:oddVBand="0" w:evenVBand="0" w:oddHBand="0" w:evenHBand="0" w:firstRowFirstColumn="0" w:firstRowLastColumn="0" w:lastRowFirstColumn="0" w:lastRowLastColumn="0"/>
            </w:pPr>
            <w:r w:rsidRPr="00FA1A19">
              <w:rPr>
                <w:rFonts w:eastAsiaTheme="minorHAnsi"/>
                <w:lang w:eastAsia="en-US"/>
              </w:rPr>
              <w:t>For the purposes of reporting business income or capital gains, a disposition refers to the way you get rid of something, such as by giving, selling</w:t>
            </w:r>
            <w:r w:rsidR="005C5A7C" w:rsidRPr="00FA1A19">
              <w:rPr>
                <w:rFonts w:eastAsiaTheme="minorHAnsi"/>
                <w:lang w:eastAsia="en-US"/>
              </w:rPr>
              <w:t xml:space="preserve">, </w:t>
            </w:r>
            <w:r w:rsidRPr="00FA1A19">
              <w:rPr>
                <w:rFonts w:eastAsiaTheme="minorHAnsi"/>
                <w:lang w:eastAsia="en-US"/>
              </w:rPr>
              <w:t>transferring it</w:t>
            </w:r>
            <w:r w:rsidR="005C5A7C" w:rsidRPr="00FA1A19">
              <w:rPr>
                <w:rFonts w:eastAsiaTheme="minorHAnsi"/>
                <w:lang w:eastAsia="en-US"/>
              </w:rPr>
              <w:t>, converti</w:t>
            </w:r>
            <w:r w:rsidR="00362F0E" w:rsidRPr="00FA1A19">
              <w:rPr>
                <w:rFonts w:eastAsiaTheme="minorHAnsi"/>
                <w:lang w:eastAsia="en-US"/>
              </w:rPr>
              <w:t>ng it to fiat or another cryptocurrency, or using it to buy goods and services.</w:t>
            </w:r>
            <w:r w:rsidRPr="00FA1A19">
              <w:rPr>
                <w:rFonts w:eastAsiaTheme="minorHAnsi"/>
                <w:lang w:eastAsia="en-US"/>
              </w:rPr>
              <w:t xml:space="preserve"> In general, possessing or holding a cryptocurrency is not taxable. </w:t>
            </w:r>
          </w:p>
        </w:tc>
      </w:tr>
      <w:tr w:rsidR="00D93558" w:rsidRPr="00FA1A19" w14:paraId="707714B6"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03496BBB" w14:textId="54771E09" w:rsidR="00D93558" w:rsidRPr="00FA1A19" w:rsidRDefault="00B560C7" w:rsidP="00651344">
            <w:pPr>
              <w:pStyle w:val="TableTextLeft"/>
              <w:rPr>
                <w:rFonts w:eastAsiaTheme="minorHAnsi" w:cstheme="minorBidi"/>
                <w:lang w:eastAsia="en-US"/>
              </w:rPr>
            </w:pPr>
            <w:r w:rsidRPr="00FA1A19">
              <w:rPr>
                <w:rFonts w:eastAsiaTheme="minorHAnsi"/>
                <w:lang w:eastAsia="en-US"/>
              </w:rPr>
              <w:t>Current Indirect Tax Treatment</w:t>
            </w:r>
            <w:r w:rsidRPr="00170ADC">
              <w:rPr>
                <w:rStyle w:val="FootnoteReference"/>
                <w:rFonts w:eastAsiaTheme="minorHAnsi"/>
              </w:rPr>
              <w:footnoteReference w:id="625"/>
            </w:r>
          </w:p>
        </w:tc>
        <w:tc>
          <w:tcPr>
            <w:tcW w:w="4133" w:type="pct"/>
          </w:tcPr>
          <w:p w14:paraId="3F14D1E2" w14:textId="02759E0B" w:rsidR="00B560C7"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Where a taxable property or service is exchanged for cryptocurrency, the GST/H</w:t>
            </w:r>
            <w:r w:rsidR="00492959">
              <w:rPr>
                <w:rFonts w:eastAsiaTheme="minorHAnsi"/>
                <w:lang w:eastAsia="en-US"/>
              </w:rPr>
              <w:t>armonized Sales Tax (H</w:t>
            </w:r>
            <w:r w:rsidRPr="00FA1A19">
              <w:rPr>
                <w:rFonts w:eastAsiaTheme="minorHAnsi"/>
                <w:lang w:eastAsia="en-US"/>
              </w:rPr>
              <w:t>ST</w:t>
            </w:r>
            <w:r w:rsidR="00492959">
              <w:rPr>
                <w:rFonts w:eastAsiaTheme="minorHAnsi"/>
                <w:lang w:eastAsia="en-US"/>
              </w:rPr>
              <w:t>)</w:t>
            </w:r>
            <w:r w:rsidRPr="00FA1A19">
              <w:rPr>
                <w:rFonts w:eastAsiaTheme="minorHAnsi"/>
                <w:lang w:eastAsia="en-US"/>
              </w:rPr>
              <w:t xml:space="preserve"> that applies to the supply of the property or service is calculated based on the fair market value of the cryptocurrency at the time of the exchange.</w:t>
            </w:r>
          </w:p>
          <w:p w14:paraId="168BE8E6" w14:textId="1FAEFBF4" w:rsidR="00B560C7"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Canada has enacted two legislative measures targeted expressly at crypto</w:t>
            </w:r>
            <w:r w:rsidR="00F75232">
              <w:rPr>
                <w:rFonts w:eastAsiaTheme="minorHAnsi"/>
                <w:lang w:eastAsia="en-US"/>
              </w:rPr>
              <w:noBreakHyphen/>
            </w:r>
            <w:r w:rsidRPr="00FA1A19">
              <w:rPr>
                <w:rFonts w:eastAsiaTheme="minorHAnsi"/>
                <w:lang w:eastAsia="en-US"/>
              </w:rPr>
              <w:t>assets:</w:t>
            </w:r>
          </w:p>
          <w:p w14:paraId="15AA7DEE" w14:textId="42485B15" w:rsidR="00B560C7" w:rsidRPr="00FA1A19" w:rsidRDefault="00B560C7" w:rsidP="00651344">
            <w:pPr>
              <w:pStyle w:val="TableTextLeftBulle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72F4777C">
              <w:rPr>
                <w:rFonts w:eastAsiaTheme="minorEastAsia"/>
                <w:color w:val="000000" w:themeColor="text1"/>
              </w:rPr>
              <w:t>the</w:t>
            </w:r>
            <w:r w:rsidRPr="72F4777C">
              <w:rPr>
                <w:rFonts w:eastAsiaTheme="minorEastAsia"/>
                <w:lang w:eastAsia="en-US"/>
              </w:rPr>
              <w:t xml:space="preserve"> </w:t>
            </w:r>
            <w:r w:rsidR="00AC4F0A" w:rsidRPr="72F4777C">
              <w:rPr>
                <w:rFonts w:eastAsiaTheme="minorEastAsia"/>
                <w:lang w:eastAsia="en-US"/>
              </w:rPr>
              <w:t>V</w:t>
            </w:r>
            <w:r w:rsidRPr="72F4777C">
              <w:rPr>
                <w:rFonts w:eastAsiaTheme="minorEastAsia"/>
                <w:lang w:eastAsia="en-US"/>
              </w:rPr>
              <w:t xml:space="preserve">irtual </w:t>
            </w:r>
            <w:r w:rsidR="00AC4F0A" w:rsidRPr="72F4777C">
              <w:rPr>
                <w:rFonts w:eastAsiaTheme="minorEastAsia"/>
                <w:lang w:eastAsia="en-US"/>
              </w:rPr>
              <w:t>P</w:t>
            </w:r>
            <w:r w:rsidRPr="72F4777C">
              <w:rPr>
                <w:rFonts w:eastAsiaTheme="minorEastAsia"/>
                <w:lang w:eastAsia="en-US"/>
              </w:rPr>
              <w:t xml:space="preserve">ayment </w:t>
            </w:r>
            <w:r w:rsidR="00AC4F0A" w:rsidRPr="72F4777C">
              <w:rPr>
                <w:rFonts w:eastAsiaTheme="minorEastAsia"/>
                <w:lang w:eastAsia="en-US"/>
              </w:rPr>
              <w:t>I</w:t>
            </w:r>
            <w:r w:rsidRPr="72F4777C">
              <w:rPr>
                <w:rFonts w:eastAsiaTheme="minorEastAsia"/>
                <w:lang w:eastAsia="en-US"/>
              </w:rPr>
              <w:t>nstrument rules</w:t>
            </w:r>
          </w:p>
          <w:p w14:paraId="48ADC98F" w14:textId="22874324" w:rsidR="00B560C7" w:rsidRPr="00FA1A19" w:rsidRDefault="00B560C7" w:rsidP="00651344">
            <w:pPr>
              <w:pStyle w:val="TableTextLeftBulle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72F4777C">
              <w:rPr>
                <w:rFonts w:eastAsiaTheme="minorEastAsia"/>
                <w:color w:val="000000" w:themeColor="text1"/>
              </w:rPr>
              <w:t>crypto</w:t>
            </w:r>
            <w:r w:rsidR="00F75232">
              <w:rPr>
                <w:rFonts w:eastAsiaTheme="minorHAnsi"/>
                <w:lang w:eastAsia="en-US"/>
              </w:rPr>
              <w:noBreakHyphen/>
            </w:r>
            <w:r w:rsidRPr="72F4777C">
              <w:rPr>
                <w:rFonts w:eastAsiaTheme="minorEastAsia"/>
                <w:lang w:eastAsia="en-US"/>
              </w:rPr>
              <w:t>asset mining rules</w:t>
            </w:r>
            <w:r w:rsidR="00AC4F0A" w:rsidRPr="72F4777C">
              <w:rPr>
                <w:rFonts w:eastAsiaTheme="minorEastAsia"/>
                <w:lang w:eastAsia="en-US"/>
              </w:rPr>
              <w:t>.</w:t>
            </w:r>
          </w:p>
          <w:p w14:paraId="62D5697C" w14:textId="77777777" w:rsidR="00B560C7" w:rsidRPr="00AD28CB" w:rsidRDefault="00B560C7" w:rsidP="00651344">
            <w:pPr>
              <w:pStyle w:val="TableTextLeft"/>
              <w:cnfStyle w:val="000000100000" w:firstRow="0" w:lastRow="0" w:firstColumn="0" w:lastColumn="0" w:oddVBand="0" w:evenVBand="0" w:oddHBand="1" w:evenHBand="0" w:firstRowFirstColumn="0" w:firstRowLastColumn="0" w:lastRowFirstColumn="0" w:lastRowLastColumn="0"/>
              <w:rPr>
                <w:rStyle w:val="Strong"/>
                <w:rFonts w:eastAsiaTheme="minorHAnsi"/>
              </w:rPr>
            </w:pPr>
            <w:r w:rsidRPr="00AD28CB">
              <w:rPr>
                <w:rStyle w:val="Strong"/>
                <w:rFonts w:eastAsiaTheme="minorHAnsi"/>
              </w:rPr>
              <w:t>Virtual Payment Instruments</w:t>
            </w:r>
          </w:p>
          <w:p w14:paraId="303C9563" w14:textId="6743035F" w:rsidR="00B560C7"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pPr>
            <w:r w:rsidRPr="00FA1A19">
              <w:rPr>
                <w:rFonts w:eastAsiaTheme="minorHAnsi"/>
                <w:lang w:eastAsia="en-US"/>
              </w:rPr>
              <w:t xml:space="preserve">As a result of amendments to the Excise Tax Act (ETA) which took effect on </w:t>
            </w:r>
            <w:r w:rsidR="00BC3F14">
              <w:rPr>
                <w:rFonts w:eastAsiaTheme="minorHAnsi"/>
                <w:lang w:eastAsia="en-US"/>
              </w:rPr>
              <w:t>18 </w:t>
            </w:r>
            <w:r w:rsidRPr="00FA1A19">
              <w:rPr>
                <w:rFonts w:eastAsiaTheme="minorHAnsi"/>
                <w:lang w:eastAsia="en-US"/>
              </w:rPr>
              <w:t>May</w:t>
            </w:r>
            <w:r w:rsidR="00BC3F14">
              <w:rPr>
                <w:rFonts w:eastAsiaTheme="minorHAnsi"/>
                <w:lang w:eastAsia="en-US"/>
              </w:rPr>
              <w:t> </w:t>
            </w:r>
            <w:r w:rsidRPr="00FA1A19">
              <w:rPr>
                <w:rFonts w:eastAsiaTheme="minorHAnsi"/>
                <w:lang w:eastAsia="en-US"/>
              </w:rPr>
              <w:t>2019, certain crypto</w:t>
            </w:r>
            <w:r w:rsidR="00F75232">
              <w:rPr>
                <w:rFonts w:eastAsiaTheme="minorHAnsi"/>
                <w:lang w:eastAsia="en-US"/>
              </w:rPr>
              <w:noBreakHyphen/>
            </w:r>
            <w:r w:rsidRPr="00FA1A19">
              <w:rPr>
                <w:rFonts w:eastAsiaTheme="minorHAnsi"/>
                <w:lang w:eastAsia="en-US"/>
              </w:rPr>
              <w:t xml:space="preserve">assets that meet the criteria of a </w:t>
            </w:r>
            <w:r w:rsidR="00F75232">
              <w:rPr>
                <w:rFonts w:eastAsiaTheme="minorHAnsi"/>
                <w:lang w:eastAsia="en-US"/>
              </w:rPr>
              <w:t>‘</w:t>
            </w:r>
            <w:r w:rsidRPr="00FA1A19">
              <w:rPr>
                <w:rFonts w:eastAsiaTheme="minorHAnsi"/>
                <w:lang w:eastAsia="en-US"/>
              </w:rPr>
              <w:t>virtual payment instrument</w:t>
            </w:r>
            <w:r w:rsidR="00F75232">
              <w:rPr>
                <w:rFonts w:eastAsiaTheme="minorHAnsi"/>
                <w:lang w:eastAsia="en-US"/>
              </w:rPr>
              <w:t>’</w:t>
            </w:r>
            <w:r w:rsidRPr="00FA1A19">
              <w:rPr>
                <w:rFonts w:eastAsiaTheme="minorHAnsi"/>
                <w:lang w:eastAsia="en-US"/>
              </w:rPr>
              <w:t xml:space="preserve"> (VPI)</w:t>
            </w:r>
            <w:r w:rsidR="008A76A4" w:rsidRPr="00FA1A19">
              <w:rPr>
                <w:rFonts w:eastAsiaTheme="minorHAnsi"/>
                <w:lang w:eastAsia="en-US"/>
              </w:rPr>
              <w:t xml:space="preserve"> are treated as financial instruments for GST/HST purposes</w:t>
            </w:r>
            <w:r w:rsidR="008A76A4">
              <w:rPr>
                <w:rFonts w:eastAsiaTheme="minorHAnsi"/>
                <w:lang w:eastAsia="en-US"/>
              </w:rPr>
              <w:t>.</w:t>
            </w:r>
            <w:r w:rsidR="008A76A4" w:rsidRPr="00FA1A19" w:rsidDel="007A0774">
              <w:rPr>
                <w:rFonts w:eastAsiaTheme="minorHAnsi"/>
                <w:lang w:eastAsia="en-US"/>
              </w:rPr>
              <w:t xml:space="preserve"> </w:t>
            </w:r>
            <w:r w:rsidR="008A76A4">
              <w:rPr>
                <w:rFonts w:eastAsiaTheme="minorHAnsi"/>
                <w:lang w:eastAsia="en-US"/>
              </w:rPr>
              <w:t>This includes</w:t>
            </w:r>
            <w:r w:rsidR="002217EF">
              <w:rPr>
                <w:rFonts w:eastAsiaTheme="minorHAnsi"/>
                <w:lang w:eastAsia="en-US"/>
              </w:rPr>
              <w:t>, for example,</w:t>
            </w:r>
            <w:r w:rsidRPr="00FA1A19">
              <w:rPr>
                <w:rFonts w:eastAsiaTheme="minorHAnsi"/>
                <w:lang w:eastAsia="en-US"/>
              </w:rPr>
              <w:t xml:space="preserve"> bitcoin and other virtual currencies that function as medium of exchange in general, but are not otherwise convertible into a specific good, service or security</w:t>
            </w:r>
            <w:r w:rsidR="002217EF">
              <w:rPr>
                <w:rFonts w:eastAsiaTheme="minorHAnsi"/>
                <w:lang w:eastAsia="en-US"/>
              </w:rPr>
              <w:t>.</w:t>
            </w:r>
            <w:r w:rsidRPr="00FA1A19">
              <w:rPr>
                <w:rFonts w:eastAsiaTheme="minorHAnsi"/>
                <w:lang w:eastAsia="en-US"/>
              </w:rPr>
              <w:t xml:space="preserve"> This means that when a VPI is sold, purchased, or traded, GST/HST will not apply on the </w:t>
            </w:r>
            <w:r w:rsidRPr="00FA1A19">
              <w:t xml:space="preserve">transaction and that certain services relating to VPIs are GST/HST exempt </w:t>
            </w:r>
            <w:r w:rsidR="00F75232">
              <w:t>‘</w:t>
            </w:r>
            <w:r w:rsidRPr="00FA1A19">
              <w:t>financial services</w:t>
            </w:r>
            <w:r w:rsidR="00F75232">
              <w:t>’</w:t>
            </w:r>
            <w:r w:rsidRPr="00FA1A19">
              <w:t xml:space="preserve"> as defined under ETA </w:t>
            </w:r>
            <w:r w:rsidR="00DB7866" w:rsidRPr="00FA1A19">
              <w:t>sub</w:t>
            </w:r>
            <w:r w:rsidR="00F75232">
              <w:noBreakHyphen/>
            </w:r>
            <w:r w:rsidR="00DB7866" w:rsidRPr="00FA1A19">
              <w:t xml:space="preserve">s </w:t>
            </w:r>
            <w:r w:rsidRPr="00FA1A19">
              <w:t xml:space="preserve">123(1). </w:t>
            </w:r>
          </w:p>
          <w:p w14:paraId="1F3BBA8D" w14:textId="10E4D4D2" w:rsidR="00B560C7"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pPr>
            <w:r w:rsidRPr="00FA1A19">
              <w:t>When a crypto</w:t>
            </w:r>
            <w:r w:rsidR="00DB7866" w:rsidRPr="00FA1A19">
              <w:t xml:space="preserve"> </w:t>
            </w:r>
            <w:r w:rsidRPr="00FA1A19">
              <w:t>asset that does not meet the definition of a VPI (e.g. an NFT</w:t>
            </w:r>
            <w:r w:rsidR="002217EF">
              <w:t>,</w:t>
            </w:r>
            <w:r w:rsidRPr="00FA1A19">
              <w:t xml:space="preserve"> a security token</w:t>
            </w:r>
            <w:r w:rsidR="002217EF">
              <w:t>, or</w:t>
            </w:r>
            <w:r w:rsidRPr="00FA1A19">
              <w:t xml:space="preserve"> a utility token) is sold, purchased, or traded, GST/HST would generally apply to the transaction.</w:t>
            </w:r>
          </w:p>
          <w:p w14:paraId="517086EB" w14:textId="77777777" w:rsidR="00B560C7" w:rsidRPr="00AD28CB" w:rsidRDefault="00B560C7" w:rsidP="00651344">
            <w:pPr>
              <w:pStyle w:val="TableTextLeft"/>
              <w:cnfStyle w:val="000000100000" w:firstRow="0" w:lastRow="0" w:firstColumn="0" w:lastColumn="0" w:oddVBand="0" w:evenVBand="0" w:oddHBand="1" w:evenHBand="0" w:firstRowFirstColumn="0" w:firstRowLastColumn="0" w:lastRowFirstColumn="0" w:lastRowLastColumn="0"/>
              <w:rPr>
                <w:rStyle w:val="Strong"/>
              </w:rPr>
            </w:pPr>
            <w:r w:rsidRPr="00AD28CB">
              <w:rPr>
                <w:rStyle w:val="Strong"/>
              </w:rPr>
              <w:t>Mining</w:t>
            </w:r>
          </w:p>
          <w:p w14:paraId="1BBA3368" w14:textId="3C0F76E3" w:rsidR="00B560C7"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pPr>
            <w:r w:rsidRPr="00FA1A19">
              <w:t>In June 2023, Canada enacted rules respecting the application of the GST/HST to mining activities in respect of crypto</w:t>
            </w:r>
            <w:r w:rsidR="00DB7866" w:rsidRPr="00FA1A19">
              <w:t xml:space="preserve"> </w:t>
            </w:r>
            <w:r w:rsidRPr="00FA1A19">
              <w:t>assets</w:t>
            </w:r>
            <w:r w:rsidR="00714E0A" w:rsidRPr="00170ADC">
              <w:rPr>
                <w:rStyle w:val="FootnoteReference"/>
              </w:rPr>
              <w:footnoteReference w:id="626"/>
            </w:r>
            <w:r w:rsidRPr="00FA1A19">
              <w:t xml:space="preserve"> and to remuneration received as a consequence of performing a mining activity. </w:t>
            </w:r>
            <w:r w:rsidR="00F464F8" w:rsidRPr="00FA1A19">
              <w:t>The gene</w:t>
            </w:r>
            <w:r w:rsidRPr="00FA1A19">
              <w:t xml:space="preserve">ral effect of these rules is that after </w:t>
            </w:r>
            <w:r w:rsidR="00BC3F14">
              <w:t>4 </w:t>
            </w:r>
            <w:r w:rsidRPr="00FA1A19">
              <w:t>February</w:t>
            </w:r>
            <w:r w:rsidR="00BC3F14">
              <w:t> </w:t>
            </w:r>
            <w:r w:rsidRPr="00FA1A19">
              <w:t>2022 (and subject to certain exceptions):</w:t>
            </w:r>
          </w:p>
          <w:p w14:paraId="5152CC49" w14:textId="7FF0A7A8" w:rsidR="00B560C7" w:rsidRPr="00FA1A19" w:rsidRDefault="00B560C7" w:rsidP="00651344">
            <w:pPr>
              <w:pStyle w:val="TableTextLeftBullet"/>
              <w:cnfStyle w:val="000000100000" w:firstRow="0" w:lastRow="0" w:firstColumn="0" w:lastColumn="0" w:oddVBand="0" w:evenVBand="0" w:oddHBand="1" w:evenHBand="0" w:firstRowFirstColumn="0" w:firstRowLastColumn="0" w:lastRowFirstColumn="0" w:lastRowLastColumn="0"/>
            </w:pPr>
            <w:r w:rsidRPr="00FA1A19">
              <w:t xml:space="preserve">the provision of a mining activity or a mining payment (i.e. a fee, reward or </w:t>
            </w:r>
            <w:r w:rsidRPr="72F4777C">
              <w:rPr>
                <w:rFonts w:eastAsiaTheme="minorEastAsia"/>
                <w:lang w:eastAsia="en-US"/>
              </w:rPr>
              <w:t>other</w:t>
            </w:r>
            <w:r w:rsidRPr="00FA1A19">
              <w:t xml:space="preserve"> form of payment that is received or generated as a consequence of the mining activity being performed) is deemed not to be a supply for GST/HST purposes</w:t>
            </w:r>
          </w:p>
          <w:p w14:paraId="1BADAA9D" w14:textId="04B7D2B4" w:rsidR="00D93558" w:rsidRPr="00FA1A19" w:rsidRDefault="002B5714" w:rsidP="00651344">
            <w:pPr>
              <w:pStyle w:val="TableTextLeftBulle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t>inputs for crypto asset mining are ineligible for input tax credits.</w:t>
            </w:r>
          </w:p>
        </w:tc>
      </w:tr>
      <w:tr w:rsidR="00D93558" w:rsidRPr="00FA1A19" w14:paraId="3A7D4A2B" w14:textId="77777777" w:rsidTr="00EB09BD">
        <w:tc>
          <w:tcPr>
            <w:cnfStyle w:val="001000000000" w:firstRow="0" w:lastRow="0" w:firstColumn="1" w:lastColumn="0" w:oddVBand="0" w:evenVBand="0" w:oddHBand="0" w:evenHBand="0" w:firstRowFirstColumn="0" w:firstRowLastColumn="0" w:lastRowFirstColumn="0" w:lastRowLastColumn="0"/>
            <w:tcW w:w="867" w:type="pct"/>
          </w:tcPr>
          <w:p w14:paraId="362750B9" w14:textId="38DE5F15" w:rsidR="00D93558" w:rsidRPr="00FA1A19" w:rsidRDefault="00B560C7" w:rsidP="00651344">
            <w:pPr>
              <w:pStyle w:val="TableTextLeft"/>
              <w:rPr>
                <w:rFonts w:eastAsiaTheme="minorHAnsi" w:cstheme="minorBidi"/>
                <w:lang w:eastAsia="en-US"/>
              </w:rPr>
            </w:pPr>
            <w:r w:rsidRPr="00FA1A19">
              <w:rPr>
                <w:rFonts w:eastAsiaTheme="minorHAnsi"/>
                <w:lang w:eastAsia="en-US"/>
              </w:rPr>
              <w:t>Guidance &amp; Education</w:t>
            </w:r>
          </w:p>
        </w:tc>
        <w:tc>
          <w:tcPr>
            <w:tcW w:w="4133" w:type="pct"/>
          </w:tcPr>
          <w:p w14:paraId="1D50A958" w14:textId="1E4F2E16" w:rsidR="00D93558" w:rsidRPr="00FA1A19" w:rsidRDefault="00D93558"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r w:rsidRPr="00FA1A19">
              <w:rPr>
                <w:rFonts w:eastAsiaTheme="minorHAnsi"/>
                <w:lang w:eastAsia="en-US"/>
              </w:rPr>
              <w:t xml:space="preserve">The CRA provides web content guidance in relation to the tax treatment of digital assets including well explained guidance. </w:t>
            </w:r>
            <w:r w:rsidR="00B560C7" w:rsidRPr="00FA1A19">
              <w:rPr>
                <w:rFonts w:eastAsiaTheme="minorHAnsi"/>
                <w:lang w:eastAsia="en-US"/>
              </w:rPr>
              <w:t xml:space="preserve">In particular, the CRA has provided website guidance and education by publishing material such as a </w:t>
            </w:r>
            <w:r w:rsidR="00F75232">
              <w:rPr>
                <w:rFonts w:eastAsiaTheme="minorHAnsi"/>
                <w:lang w:eastAsia="en-US"/>
              </w:rPr>
              <w:t>‘</w:t>
            </w:r>
            <w:r w:rsidR="005C0DB7" w:rsidRPr="00FA1A19">
              <w:rPr>
                <w:rFonts w:eastAsiaTheme="minorHAnsi"/>
                <w:lang w:eastAsia="en-US"/>
              </w:rPr>
              <w:t>Information for crypto</w:t>
            </w:r>
            <w:r w:rsidR="00F75232">
              <w:rPr>
                <w:rFonts w:eastAsiaTheme="minorHAnsi"/>
                <w:lang w:eastAsia="en-US"/>
              </w:rPr>
              <w:noBreakHyphen/>
            </w:r>
            <w:r w:rsidR="005C0DB7" w:rsidRPr="00FA1A19">
              <w:rPr>
                <w:rFonts w:eastAsiaTheme="minorHAnsi"/>
                <w:lang w:eastAsia="en-US"/>
              </w:rPr>
              <w:t>asset users and tax professionals</w:t>
            </w:r>
            <w:r w:rsidR="00F75232">
              <w:rPr>
                <w:rFonts w:eastAsiaTheme="minorHAnsi"/>
                <w:lang w:eastAsia="en-US"/>
              </w:rPr>
              <w:t>’</w:t>
            </w:r>
            <w:r w:rsidR="00282864" w:rsidRPr="00FA1A19">
              <w:rPr>
                <w:rFonts w:eastAsiaTheme="minorHAnsi"/>
                <w:lang w:eastAsia="en-US"/>
              </w:rPr>
              <w:t>.</w:t>
            </w:r>
            <w:r w:rsidR="00282864" w:rsidRPr="00170ADC">
              <w:rPr>
                <w:rStyle w:val="FootnoteReference"/>
                <w:rFonts w:eastAsiaTheme="minorHAnsi"/>
              </w:rPr>
              <w:footnoteReference w:id="627"/>
            </w:r>
          </w:p>
        </w:tc>
      </w:tr>
      <w:tr w:rsidR="00D93558" w:rsidRPr="00FA1A19" w14:paraId="4B268A3C"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14:paraId="73932C1C" w14:textId="341B6D42" w:rsidR="00D93558" w:rsidRPr="00FA1A19" w:rsidRDefault="00B560C7" w:rsidP="00651344">
            <w:pPr>
              <w:pStyle w:val="TableTextLeft"/>
              <w:rPr>
                <w:rFonts w:eastAsiaTheme="minorHAnsi" w:cstheme="minorBidi"/>
                <w:lang w:eastAsia="en-US"/>
              </w:rPr>
            </w:pPr>
            <w:r w:rsidRPr="00FA1A19">
              <w:rPr>
                <w:rFonts w:eastAsiaTheme="minorHAnsi"/>
                <w:lang w:eastAsia="en-US"/>
              </w:rPr>
              <w:t>Record Keeping &amp; Valuation</w:t>
            </w:r>
          </w:p>
        </w:tc>
        <w:tc>
          <w:tcPr>
            <w:tcW w:w="4133" w:type="pct"/>
          </w:tcPr>
          <w:p w14:paraId="05E81AE4" w14:textId="3891D24C" w:rsidR="009715A9" w:rsidRPr="00CD138E" w:rsidRDefault="009715A9"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Pr>
                <w:rFonts w:eastAsiaTheme="minorHAnsi"/>
                <w:b/>
                <w:bCs/>
                <w:lang w:eastAsia="en-US"/>
              </w:rPr>
              <w:t>Record keeping</w:t>
            </w:r>
          </w:p>
          <w:p w14:paraId="210160D2" w14:textId="44BF9C9D" w:rsidR="007D7197" w:rsidRPr="00FA1A19" w:rsidRDefault="007D7197"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If a taxpayer acquires (by mining or otherwise) or disposes of cryptocurrency, the taxpayer has to keep records of the cryptocurrency transactions. This also applies to businesses that accept cryptocurrency as payment for goods and services.</w:t>
            </w:r>
          </w:p>
          <w:p w14:paraId="507DCCD3" w14:textId="73089738" w:rsidR="007D7197" w:rsidRDefault="007D7197"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 xml:space="preserve">The CRA </w:t>
            </w:r>
            <w:r w:rsidR="00627A6B" w:rsidRPr="00FA1A19">
              <w:rPr>
                <w:rFonts w:eastAsiaTheme="minorHAnsi"/>
                <w:lang w:eastAsia="en-US"/>
              </w:rPr>
              <w:t xml:space="preserve">advises taxpayers </w:t>
            </w:r>
            <w:r w:rsidR="00AF5A4E" w:rsidRPr="00FA1A19">
              <w:rPr>
                <w:rFonts w:eastAsiaTheme="minorHAnsi"/>
                <w:lang w:eastAsia="en-US"/>
              </w:rPr>
              <w:t>that they are required to keep adequate books and records to support each crypto asset transaction</w:t>
            </w:r>
            <w:r w:rsidR="004F0A51" w:rsidRPr="00FA1A19">
              <w:rPr>
                <w:rFonts w:eastAsiaTheme="minorHAnsi"/>
                <w:lang w:eastAsia="en-US"/>
              </w:rPr>
              <w:t xml:space="preserve"> </w:t>
            </w:r>
            <w:r w:rsidR="00AF5A4E" w:rsidRPr="00FA1A19">
              <w:rPr>
                <w:rFonts w:eastAsiaTheme="minorHAnsi"/>
                <w:lang w:eastAsia="en-US"/>
              </w:rPr>
              <w:t>and provides a list of the relevant records on its website.</w:t>
            </w:r>
            <w:r w:rsidR="00AF5A4E" w:rsidRPr="00170ADC">
              <w:rPr>
                <w:rStyle w:val="FootnoteReference"/>
                <w:rFonts w:eastAsiaTheme="minorHAnsi"/>
              </w:rPr>
              <w:footnoteReference w:id="628"/>
            </w:r>
            <w:r w:rsidR="00AF5A4E" w:rsidRPr="00FA1A19">
              <w:rPr>
                <w:rFonts w:eastAsiaTheme="minorHAnsi"/>
                <w:lang w:eastAsia="en-US"/>
              </w:rPr>
              <w:t xml:space="preserve"> </w:t>
            </w:r>
          </w:p>
          <w:p w14:paraId="69BF0A6B" w14:textId="2C70828D" w:rsidR="009715A9" w:rsidRPr="00CD138E" w:rsidRDefault="009715A9"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Pr>
                <w:rFonts w:eastAsiaTheme="minorHAnsi"/>
                <w:b/>
                <w:bCs/>
                <w:lang w:eastAsia="en-US"/>
              </w:rPr>
              <w:t>Valuation</w:t>
            </w:r>
          </w:p>
          <w:p w14:paraId="5C6D22F5" w14:textId="66526328" w:rsidR="00B560C7"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A taxpayer is required to value their cryptocurrencies. This depends on whether they are considered capital property or inventory. When cryptocurrencies are held as capital property, the taxpayer must record and track the adjusted cost base </w:t>
            </w:r>
            <w:r w:rsidR="00BD425A" w:rsidRPr="00FA1A19">
              <w:t>to</w:t>
            </w:r>
            <w:r w:rsidRPr="00FA1A19">
              <w:t xml:space="preserve"> accurately report any capital gains.</w:t>
            </w:r>
          </w:p>
          <w:p w14:paraId="3599A824" w14:textId="77777777" w:rsidR="009A046F" w:rsidRPr="00FA1A19" w:rsidRDefault="009A046F"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If the taxpayer holds more than one type of cryptocurrency in a digital wallet, each type of cryptocurrency is considered to be a separate digital asset and must be valued separately.</w:t>
            </w:r>
          </w:p>
          <w:p w14:paraId="61E2FB7A" w14:textId="77777777" w:rsidR="00B560C7" w:rsidRPr="00FA1A19" w:rsidRDefault="00B560C7" w:rsidP="00651344">
            <w:pPr>
              <w:pStyle w:val="TableTextLeft"/>
              <w:cnfStyle w:val="000000100000" w:firstRow="0" w:lastRow="0" w:firstColumn="0" w:lastColumn="0" w:oddVBand="0" w:evenVBand="0" w:oddHBand="1" w:evenHBand="0" w:firstRowFirstColumn="0" w:firstRowLastColumn="0" w:lastRowFirstColumn="0" w:lastRowLastColumn="0"/>
            </w:pPr>
            <w:r w:rsidRPr="00FA1A19">
              <w:t>If the cryptocurrencies are considered to be inventory, one of the following two methods of valuing inventory consistently from year to year is used:</w:t>
            </w:r>
          </w:p>
          <w:p w14:paraId="5BD6556E" w14:textId="20772398" w:rsidR="00B560C7" w:rsidRPr="00FA1A19" w:rsidRDefault="00B560C7" w:rsidP="00651344">
            <w:pPr>
              <w:pStyle w:val="TableTextLeftBullet"/>
              <w:cnfStyle w:val="000000100000" w:firstRow="0" w:lastRow="0" w:firstColumn="0" w:lastColumn="0" w:oddVBand="0" w:evenVBand="0" w:oddHBand="1" w:evenHBand="0" w:firstRowFirstColumn="0" w:firstRowLastColumn="0" w:lastRowFirstColumn="0" w:lastRowLastColumn="0"/>
            </w:pPr>
            <w:r w:rsidRPr="00FA1A19">
              <w:t>value each item in the inventory at its cost when it was acquired or its fair market value at the end of the year, whichever is lower</w:t>
            </w:r>
          </w:p>
          <w:p w14:paraId="78531ED7" w14:textId="10A098A0" w:rsidR="00A371D3" w:rsidRPr="00FA1A19" w:rsidRDefault="003E12F0" w:rsidP="00651344">
            <w:pPr>
              <w:pStyle w:val="TableTextLeftBulle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t xml:space="preserve">value the </w:t>
            </w:r>
            <w:r w:rsidR="00B560C7" w:rsidRPr="00FA1A19">
              <w:t>entire inventory at its fair market value at the end of the year</w:t>
            </w:r>
            <w:r w:rsidR="00C50F36" w:rsidRPr="00FA1A19">
              <w:t>.</w:t>
            </w:r>
            <w:r w:rsidR="00B560C7" w:rsidRPr="00FA1A19">
              <w:t xml:space="preserve"> </w:t>
            </w:r>
          </w:p>
          <w:p w14:paraId="12546800" w14:textId="0A366FE7" w:rsidR="00D93558" w:rsidRPr="00FA1A19" w:rsidRDefault="00A371D3" w:rsidP="00651344">
            <w:pPr>
              <w:pStyle w:val="TableTextLeft"/>
              <w:cnfStyle w:val="000000100000" w:firstRow="0" w:lastRow="0" w:firstColumn="0" w:lastColumn="0" w:oddVBand="0" w:evenVBand="0" w:oddHBand="1" w:evenHBand="0" w:firstRowFirstColumn="0" w:firstRowLastColumn="0" w:lastRowFirstColumn="0" w:lastRowLastColumn="0"/>
            </w:pPr>
            <w:r w:rsidRPr="00FA1A19">
              <w:rPr>
                <w:rFonts w:eastAsiaTheme="minorHAnsi"/>
                <w:lang w:eastAsia="en-US"/>
              </w:rPr>
              <w:t xml:space="preserve">To ascertain the value of a cryptocurrency transaction where a direct value cannot be determined, the taxpayer must use a reasonable method, and keep records to show how the value was determined. </w:t>
            </w:r>
          </w:p>
        </w:tc>
      </w:tr>
      <w:tr w:rsidR="00D93558" w:rsidRPr="00FA1A19" w14:paraId="2C72EEFE" w14:textId="77777777" w:rsidTr="00EB09BD">
        <w:tc>
          <w:tcPr>
            <w:cnfStyle w:val="001000000000" w:firstRow="0" w:lastRow="0" w:firstColumn="1" w:lastColumn="0" w:oddVBand="0" w:evenVBand="0" w:oddHBand="0" w:evenHBand="0" w:firstRowFirstColumn="0" w:firstRowLastColumn="0" w:lastRowFirstColumn="0" w:lastRowLastColumn="0"/>
            <w:tcW w:w="867" w:type="pct"/>
          </w:tcPr>
          <w:p w14:paraId="20920F84" w14:textId="656FAF55" w:rsidR="00D93558" w:rsidRPr="00FA1A19" w:rsidRDefault="00B560C7" w:rsidP="00651344">
            <w:pPr>
              <w:pStyle w:val="TableTextLeft"/>
              <w:rPr>
                <w:rFonts w:eastAsiaTheme="minorHAnsi" w:cstheme="minorBidi"/>
                <w:lang w:eastAsia="en-US"/>
              </w:rPr>
            </w:pPr>
            <w:r w:rsidRPr="00FA1A19">
              <w:rPr>
                <w:rFonts w:eastAsiaTheme="minorHAnsi"/>
                <w:lang w:eastAsia="en-US"/>
              </w:rPr>
              <w:t>Reporting &amp; Tax Transparency</w:t>
            </w:r>
          </w:p>
        </w:tc>
        <w:tc>
          <w:tcPr>
            <w:tcW w:w="4133" w:type="pct"/>
          </w:tcPr>
          <w:p w14:paraId="5EAC759E" w14:textId="165CF755" w:rsidR="00DE67EB" w:rsidRPr="00FA1A19" w:rsidRDefault="00B560C7"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Information on how to report income or capital gains from crypto</w:t>
            </w:r>
            <w:r w:rsidR="00F75232">
              <w:rPr>
                <w:rFonts w:eastAsiaTheme="minorHAnsi"/>
                <w:lang w:eastAsia="en-US"/>
              </w:rPr>
              <w:noBreakHyphen/>
            </w:r>
            <w:r w:rsidRPr="00FA1A19">
              <w:rPr>
                <w:rFonts w:eastAsiaTheme="minorHAnsi"/>
                <w:lang w:eastAsia="en-US"/>
              </w:rPr>
              <w:t>asset transactions can be found in CRA guides</w:t>
            </w:r>
            <w:r w:rsidR="00DE67EB" w:rsidRPr="00FA1A19">
              <w:rPr>
                <w:rFonts w:eastAsiaTheme="minorHAnsi"/>
                <w:lang w:eastAsia="en-US"/>
              </w:rPr>
              <w:t>:</w:t>
            </w:r>
          </w:p>
          <w:p w14:paraId="76C96A8D" w14:textId="08A6357C" w:rsidR="001F5155" w:rsidRPr="00FA1A19" w:rsidRDefault="00895C63" w:rsidP="00651344">
            <w:pPr>
              <w:pStyle w:val="TableTextLeftBullet"/>
              <w:cnfStyle w:val="000000000000" w:firstRow="0" w:lastRow="0" w:firstColumn="0" w:lastColumn="0" w:oddVBand="0" w:evenVBand="0" w:oddHBand="0" w:evenHBand="0" w:firstRowFirstColumn="0" w:firstRowLastColumn="0" w:lastRowFirstColumn="0" w:lastRowLastColumn="0"/>
              <w:rPr>
                <w:rFonts w:eastAsiaTheme="minorHAnsi"/>
                <w:lang w:eastAsia="en-US"/>
              </w:rPr>
            </w:pPr>
            <w:hyperlink r:id="rId74">
              <w:r w:rsidR="40520CF7" w:rsidRPr="72F4777C">
                <w:rPr>
                  <w:rStyle w:val="Hyperlink"/>
                  <w:rFonts w:eastAsiaTheme="minorEastAsia" w:cstheme="minorBidi"/>
                </w:rPr>
                <w:t>T4037</w:t>
              </w:r>
              <w:r w:rsidR="40520CF7" w:rsidRPr="72F4777C">
                <w:rPr>
                  <w:rStyle w:val="Hyperlink"/>
                  <w:rFonts w:asciiTheme="minorHAnsi" w:eastAsiaTheme="minorEastAsia" w:hAnsiTheme="minorHAnsi" w:cstheme="minorBidi"/>
                  <w:lang w:eastAsia="en-US"/>
                </w:rPr>
                <w:t>, Capital Gains</w:t>
              </w:r>
            </w:hyperlink>
          </w:p>
          <w:p w14:paraId="65ACACED" w14:textId="36B5582F" w:rsidR="00D93558" w:rsidRPr="00FA1A19" w:rsidRDefault="00895C63" w:rsidP="00651344">
            <w:pPr>
              <w:pStyle w:val="TableTextLeftBullet"/>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hyperlink r:id="rId75" w:history="1">
              <w:r w:rsidR="00B560C7" w:rsidRPr="72F4777C">
                <w:rPr>
                  <w:rStyle w:val="Hyperlink"/>
                  <w:rFonts w:asciiTheme="minorHAnsi" w:eastAsiaTheme="minorEastAsia" w:hAnsiTheme="minorHAnsi" w:cstheme="minorBidi"/>
                  <w:lang w:eastAsia="en-US"/>
                </w:rPr>
                <w:t>T4002, Self</w:t>
              </w:r>
              <w:r w:rsidR="00F75232">
                <w:rPr>
                  <w:rStyle w:val="Hyperlink"/>
                  <w:rFonts w:asciiTheme="minorHAnsi" w:eastAsiaTheme="minorHAnsi" w:hAnsiTheme="minorHAnsi" w:cstheme="minorHAnsi"/>
                  <w:lang w:eastAsia="en-US"/>
                </w:rPr>
                <w:noBreakHyphen/>
              </w:r>
              <w:r w:rsidR="00B560C7" w:rsidRPr="72F4777C">
                <w:rPr>
                  <w:rStyle w:val="Hyperlink"/>
                  <w:rFonts w:asciiTheme="minorHAnsi" w:eastAsiaTheme="minorEastAsia" w:hAnsiTheme="minorHAnsi" w:cstheme="minorBidi"/>
                  <w:lang w:eastAsia="en-US"/>
                </w:rPr>
                <w:t>employed Business, Professional, Commission, Farming, and Fishing Income</w:t>
              </w:r>
            </w:hyperlink>
            <w:r w:rsidR="00B560C7" w:rsidRPr="72F4777C">
              <w:rPr>
                <w:rFonts w:eastAsiaTheme="minorEastAsia"/>
                <w:lang w:eastAsia="en-US"/>
              </w:rPr>
              <w:t xml:space="preserve">. </w:t>
            </w:r>
          </w:p>
        </w:tc>
      </w:tr>
    </w:tbl>
    <w:p w14:paraId="50475985" w14:textId="472B9425" w:rsidR="00D93558" w:rsidRPr="00FA1A19" w:rsidRDefault="00372633" w:rsidP="0069352C">
      <w:pPr>
        <w:pStyle w:val="Heading4"/>
        <w:rPr>
          <w:i/>
          <w:iCs/>
          <w:lang w:eastAsia="en-US"/>
        </w:rPr>
      </w:pPr>
      <w:r>
        <w:rPr>
          <w:lang w:eastAsia="en-US"/>
        </w:rPr>
        <w:t>Observation </w:t>
      </w:r>
      <w:r w:rsidR="00D93558" w:rsidRPr="00DF5DFD">
        <w:t>points</w:t>
      </w:r>
    </w:p>
    <w:p w14:paraId="690F3569" w14:textId="43DB2847" w:rsidR="001F5155" w:rsidRPr="00FA1A19" w:rsidRDefault="001F5155" w:rsidP="001F5155">
      <w:pPr>
        <w:spacing w:after="160" w:line="259" w:lineRule="auto"/>
        <w:rPr>
          <w:rFonts w:asciiTheme="minorHAnsi" w:eastAsiaTheme="minorHAnsi" w:hAnsiTheme="minorHAnsi" w:cstheme="minorHAnsi"/>
          <w:lang w:eastAsia="en-US"/>
        </w:rPr>
      </w:pPr>
      <w:r w:rsidRPr="00FA1A19">
        <w:rPr>
          <w:rFonts w:asciiTheme="minorHAnsi" w:eastAsiaTheme="minorHAnsi" w:hAnsiTheme="minorHAnsi" w:cstheme="minorHAnsi"/>
          <w:lang w:eastAsia="en-US"/>
        </w:rPr>
        <w:t>The Board notes the following f</w:t>
      </w:r>
      <w:r w:rsidR="0013276C" w:rsidRPr="00FA1A19">
        <w:rPr>
          <w:rFonts w:asciiTheme="minorHAnsi" w:eastAsiaTheme="minorHAnsi" w:hAnsiTheme="minorHAnsi" w:cstheme="minorHAnsi"/>
          <w:lang w:eastAsia="en-US"/>
        </w:rPr>
        <w:t>rom</w:t>
      </w:r>
      <w:r w:rsidRPr="00FA1A19">
        <w:rPr>
          <w:rFonts w:asciiTheme="minorHAnsi" w:eastAsiaTheme="minorHAnsi" w:hAnsiTheme="minorHAnsi" w:cstheme="minorHAnsi"/>
          <w:lang w:eastAsia="en-US"/>
        </w:rPr>
        <w:t xml:space="preserve"> its </w:t>
      </w:r>
      <w:r w:rsidR="0013276C" w:rsidRPr="00FA1A19">
        <w:rPr>
          <w:rFonts w:asciiTheme="minorHAnsi" w:eastAsiaTheme="minorHAnsi" w:hAnsiTheme="minorHAnsi" w:cstheme="minorHAnsi"/>
          <w:lang w:eastAsia="en-US"/>
        </w:rPr>
        <w:t>discussions with the CRA</w:t>
      </w:r>
      <w:r w:rsidRPr="00FA1A19">
        <w:rPr>
          <w:rFonts w:asciiTheme="minorHAnsi" w:eastAsiaTheme="minorHAnsi" w:hAnsiTheme="minorHAnsi" w:cstheme="minorHAnsi"/>
          <w:lang w:eastAsia="en-US"/>
        </w:rPr>
        <w:t xml:space="preserve"> in relation to the taxation administration and </w:t>
      </w:r>
      <w:r w:rsidR="0013276C" w:rsidRPr="00FA1A19">
        <w:rPr>
          <w:rFonts w:asciiTheme="minorHAnsi" w:eastAsiaTheme="minorHAnsi" w:hAnsiTheme="minorHAnsi" w:cstheme="minorHAnsi"/>
          <w:lang w:eastAsia="en-US"/>
        </w:rPr>
        <w:t>treatment of crypto</w:t>
      </w:r>
      <w:r w:rsidRPr="00FA1A19">
        <w:rPr>
          <w:rFonts w:asciiTheme="minorHAnsi" w:eastAsiaTheme="minorHAnsi" w:hAnsiTheme="minorHAnsi" w:cstheme="minorHAnsi"/>
          <w:lang w:eastAsia="en-US"/>
        </w:rPr>
        <w:t xml:space="preserve"> </w:t>
      </w:r>
      <w:r w:rsidR="0013276C" w:rsidRPr="00FA1A19">
        <w:rPr>
          <w:rFonts w:asciiTheme="minorHAnsi" w:eastAsiaTheme="minorHAnsi" w:hAnsiTheme="minorHAnsi" w:cstheme="minorHAnsi"/>
          <w:lang w:eastAsia="en-US"/>
        </w:rPr>
        <w:t>asset</w:t>
      </w:r>
      <w:r w:rsidRPr="00FA1A19">
        <w:rPr>
          <w:rFonts w:asciiTheme="minorHAnsi" w:eastAsiaTheme="minorHAnsi" w:hAnsiTheme="minorHAnsi" w:cstheme="minorHAnsi"/>
          <w:lang w:eastAsia="en-US"/>
        </w:rPr>
        <w:t>s</w:t>
      </w:r>
      <w:r w:rsidR="0013276C" w:rsidRPr="00FA1A19">
        <w:rPr>
          <w:rFonts w:asciiTheme="minorHAnsi" w:eastAsiaTheme="minorHAnsi" w:hAnsiTheme="minorHAnsi" w:cstheme="minorHAnsi"/>
          <w:lang w:eastAsia="en-US"/>
        </w:rPr>
        <w:t xml:space="preserve"> and transactions</w:t>
      </w:r>
      <w:r w:rsidRPr="00FA1A19">
        <w:rPr>
          <w:rFonts w:asciiTheme="minorHAnsi" w:eastAsiaTheme="minorHAnsi" w:hAnsiTheme="minorHAnsi" w:cstheme="minorHAnsi"/>
          <w:lang w:eastAsia="en-US"/>
        </w:rPr>
        <w:t xml:space="preserve"> in Can</w:t>
      </w:r>
      <w:r w:rsidR="00C70DD1">
        <w:rPr>
          <w:rFonts w:asciiTheme="minorHAnsi" w:eastAsiaTheme="minorHAnsi" w:hAnsiTheme="minorHAnsi" w:cstheme="minorHAnsi"/>
          <w:lang w:eastAsia="en-US"/>
        </w:rPr>
        <w:t>a</w:t>
      </w:r>
      <w:r w:rsidRPr="00FA1A19">
        <w:rPr>
          <w:rFonts w:asciiTheme="minorHAnsi" w:eastAsiaTheme="minorHAnsi" w:hAnsiTheme="minorHAnsi" w:cstheme="minorHAnsi"/>
          <w:lang w:eastAsia="en-US"/>
        </w:rPr>
        <w:t xml:space="preserve">da: </w:t>
      </w:r>
    </w:p>
    <w:p w14:paraId="347FE429" w14:textId="3E9271F0" w:rsidR="0013276C" w:rsidRPr="00FA1A19" w:rsidRDefault="0013276C" w:rsidP="005E488B">
      <w:pPr>
        <w:pStyle w:val="Bullet"/>
        <w:keepLines w:val="0"/>
      </w:pPr>
      <w:r w:rsidRPr="00FA1A19">
        <w:t xml:space="preserve">The CRA </w:t>
      </w:r>
      <w:r w:rsidR="001C3570" w:rsidRPr="00FA1A19">
        <w:t>may obtain information from a third</w:t>
      </w:r>
      <w:r w:rsidR="008C4D40">
        <w:t>-</w:t>
      </w:r>
      <w:r w:rsidR="001C3570" w:rsidRPr="00FA1A19">
        <w:t xml:space="preserve">party (e.g. an individual or a company) about unnamed persons through the </w:t>
      </w:r>
      <w:r w:rsidR="00F75232">
        <w:t>‘</w:t>
      </w:r>
      <w:r w:rsidRPr="00FA1A19">
        <w:t>unnamed persons requirements</w:t>
      </w:r>
      <w:r w:rsidR="00F75232">
        <w:t>’</w:t>
      </w:r>
      <w:r w:rsidRPr="00FA1A19">
        <w:t xml:space="preserve"> (UPR)</w:t>
      </w:r>
      <w:r w:rsidR="001C3570" w:rsidRPr="00FA1A19">
        <w:t xml:space="preserve"> provisions</w:t>
      </w:r>
      <w:r w:rsidR="006E4AE4" w:rsidRPr="00FA1A19">
        <w:t>.</w:t>
      </w:r>
      <w:r w:rsidR="006E4AE4" w:rsidRPr="00170ADC">
        <w:rPr>
          <w:rStyle w:val="FootnoteReference"/>
        </w:rPr>
        <w:footnoteReference w:id="629"/>
      </w:r>
      <w:r w:rsidRPr="00FA1A19">
        <w:t xml:space="preserve"> </w:t>
      </w:r>
      <w:r w:rsidR="002B475E" w:rsidRPr="00FA1A19">
        <w:t>T</w:t>
      </w:r>
      <w:r w:rsidRPr="00FA1A19">
        <w:t xml:space="preserve">he CRA </w:t>
      </w:r>
      <w:r w:rsidR="0002658D" w:rsidRPr="00FA1A19">
        <w:t xml:space="preserve">can </w:t>
      </w:r>
      <w:r w:rsidRPr="00FA1A19">
        <w:t xml:space="preserve">issue </w:t>
      </w:r>
      <w:r w:rsidR="001075C8">
        <w:t xml:space="preserve">a </w:t>
      </w:r>
      <w:r w:rsidRPr="00FA1A19">
        <w:t xml:space="preserve">UPR </w:t>
      </w:r>
      <w:r w:rsidR="0002658D" w:rsidRPr="00FA1A19">
        <w:t>by obtaining</w:t>
      </w:r>
      <w:r w:rsidRPr="00FA1A19">
        <w:t xml:space="preserve"> authori</w:t>
      </w:r>
      <w:r w:rsidR="002B475E" w:rsidRPr="00FA1A19">
        <w:t>s</w:t>
      </w:r>
      <w:r w:rsidRPr="00FA1A19">
        <w:t>ation from a judge of the Federal Court</w:t>
      </w:r>
      <w:r w:rsidR="00FC3178" w:rsidRPr="00FA1A19">
        <w:t xml:space="preserve"> and obtain relevant </w:t>
      </w:r>
      <w:r w:rsidRPr="00FA1A19">
        <w:t xml:space="preserve">information from </w:t>
      </w:r>
      <w:r w:rsidR="00FC3178" w:rsidRPr="00FA1A19">
        <w:t xml:space="preserve">a </w:t>
      </w:r>
      <w:r w:rsidRPr="00FA1A19">
        <w:t>third</w:t>
      </w:r>
      <w:r w:rsidR="00F47021">
        <w:t>-</w:t>
      </w:r>
      <w:r w:rsidRPr="00FA1A19">
        <w:t>party</w:t>
      </w:r>
      <w:r w:rsidR="00E150F5" w:rsidRPr="00FA1A19">
        <w:t xml:space="preserve">. This information is then used to </w:t>
      </w:r>
      <w:r w:rsidRPr="00FA1A19">
        <w:t xml:space="preserve">verify if the previously unnamed person(s) correctly reported </w:t>
      </w:r>
      <w:r w:rsidRPr="005E488B">
        <w:t>their</w:t>
      </w:r>
      <w:r w:rsidRPr="00FA1A19">
        <w:t xml:space="preserve"> income and, where applicable, that the appropriate GST/HST was sent to the CRA. UPRs can be issued to crypto exchanges.</w:t>
      </w:r>
    </w:p>
    <w:p w14:paraId="2960D6B5" w14:textId="011CB17F" w:rsidR="0013276C" w:rsidRPr="00FA1A19" w:rsidRDefault="0013276C" w:rsidP="00DF5DFD">
      <w:pPr>
        <w:pStyle w:val="Bullet"/>
      </w:pPr>
      <w:r w:rsidRPr="00FA1A19">
        <w:t xml:space="preserve">The CRA advised that they are </w:t>
      </w:r>
      <w:r w:rsidR="00CE7C46" w:rsidRPr="00FA1A19">
        <w:t xml:space="preserve">currently </w:t>
      </w:r>
      <w:r w:rsidRPr="00FA1A19">
        <w:t>exploring options for enhancing the current tax reporting regime vis</w:t>
      </w:r>
      <w:r w:rsidR="00F75232">
        <w:noBreakHyphen/>
      </w:r>
      <w:r w:rsidRPr="00FA1A19">
        <w:t>à</w:t>
      </w:r>
      <w:r w:rsidR="00F75232">
        <w:noBreakHyphen/>
      </w:r>
      <w:r w:rsidRPr="00FA1A19">
        <w:t>vis crypto</w:t>
      </w:r>
      <w:r w:rsidR="00F75232">
        <w:noBreakHyphen/>
      </w:r>
      <w:r w:rsidRPr="00FA1A19">
        <w:t>asset transactions and holdings, however some of the options under consideration could require new tax legislation and thus support from the Department of Finance Canada.</w:t>
      </w:r>
    </w:p>
    <w:p w14:paraId="40B0BDC2" w14:textId="0747B05B" w:rsidR="00BE38A6" w:rsidRPr="00FA1A19" w:rsidRDefault="0013276C" w:rsidP="00DF5DFD">
      <w:pPr>
        <w:pStyle w:val="Bullet"/>
      </w:pPr>
      <w:r w:rsidRPr="00FA1A19">
        <w:t xml:space="preserve">The CRA </w:t>
      </w:r>
      <w:r w:rsidR="004B3FDD" w:rsidRPr="00FA1A19">
        <w:t>detailed</w:t>
      </w:r>
      <w:r w:rsidRPr="00FA1A19">
        <w:t xml:space="preserve"> various challenges in collecting the tax in the crypto ecosystem such as</w:t>
      </w:r>
      <w:r w:rsidR="00BE38A6" w:rsidRPr="00FA1A19">
        <w:t>:</w:t>
      </w:r>
    </w:p>
    <w:p w14:paraId="4159FBC8" w14:textId="024A4F74" w:rsidR="00BE38A6" w:rsidRPr="00FA1A19" w:rsidRDefault="0013276C" w:rsidP="00DF5DFD">
      <w:pPr>
        <w:pStyle w:val="Dash"/>
        <w:rPr>
          <w:rFonts w:cstheme="minorHAnsi"/>
        </w:rPr>
      </w:pPr>
      <w:r w:rsidRPr="00FA1A19">
        <w:rPr>
          <w:rFonts w:cstheme="minorHAnsi"/>
        </w:rPr>
        <w:t xml:space="preserve">data </w:t>
      </w:r>
      <w:r w:rsidRPr="00FA1A19">
        <w:t>limitation</w:t>
      </w:r>
      <w:r w:rsidRPr="00FA1A19">
        <w:rPr>
          <w:rFonts w:cstheme="minorHAnsi"/>
        </w:rPr>
        <w:t xml:space="preserve"> </w:t>
      </w:r>
    </w:p>
    <w:p w14:paraId="2B230C69" w14:textId="77777777" w:rsidR="0094421B" w:rsidRDefault="0013276C">
      <w:pPr>
        <w:pStyle w:val="Dash"/>
        <w:rPr>
          <w:rFonts w:cstheme="minorHAnsi"/>
        </w:rPr>
      </w:pPr>
      <w:r w:rsidRPr="0094421B">
        <w:rPr>
          <w:rFonts w:cstheme="minorHAnsi"/>
        </w:rPr>
        <w:t xml:space="preserve">how </w:t>
      </w:r>
      <w:r w:rsidRPr="00FA1A19">
        <w:t>quickly</w:t>
      </w:r>
      <w:r w:rsidRPr="0094421B">
        <w:rPr>
          <w:rFonts w:cstheme="minorHAnsi"/>
        </w:rPr>
        <w:t xml:space="preserve"> crypto assets grow</w:t>
      </w:r>
    </w:p>
    <w:p w14:paraId="67D5DAB8" w14:textId="1C19F6F0" w:rsidR="00BE38A6" w:rsidRPr="0094421B" w:rsidRDefault="0013276C">
      <w:pPr>
        <w:pStyle w:val="Dash"/>
        <w:rPr>
          <w:rFonts w:cstheme="minorHAnsi"/>
        </w:rPr>
      </w:pPr>
      <w:r w:rsidRPr="0094421B">
        <w:rPr>
          <w:rFonts w:cstheme="minorHAnsi"/>
        </w:rPr>
        <w:t xml:space="preserve">the </w:t>
      </w:r>
      <w:r w:rsidRPr="00FA1A19">
        <w:t>need</w:t>
      </w:r>
      <w:r w:rsidRPr="0094421B">
        <w:rPr>
          <w:rFonts w:cstheme="minorHAnsi"/>
        </w:rPr>
        <w:t xml:space="preserve"> for crypto asset reporting obligations</w:t>
      </w:r>
      <w:r w:rsidR="00BA2FC3" w:rsidRPr="0094421B">
        <w:rPr>
          <w:rFonts w:cstheme="minorHAnsi"/>
        </w:rPr>
        <w:t>.</w:t>
      </w:r>
    </w:p>
    <w:p w14:paraId="595FBD09" w14:textId="53B856CB" w:rsidR="00A95BE7" w:rsidRPr="00FA1A19" w:rsidRDefault="005A2783" w:rsidP="00DF5DFD">
      <w:pPr>
        <w:pStyle w:val="Bullet"/>
      </w:pPr>
      <w:r w:rsidRPr="00FA1A19">
        <w:t xml:space="preserve">The CRA further noted that </w:t>
      </w:r>
      <w:r w:rsidR="0013276C" w:rsidRPr="00FA1A19">
        <w:t>during course of an audit the</w:t>
      </w:r>
      <w:r w:rsidRPr="00FA1A19">
        <w:t xml:space="preserve">y face challenges </w:t>
      </w:r>
      <w:r w:rsidR="00BA2FC3" w:rsidRPr="00FA1A19">
        <w:t>due to</w:t>
      </w:r>
      <w:r w:rsidR="00A95BE7" w:rsidRPr="00FA1A19">
        <w:t>:</w:t>
      </w:r>
    </w:p>
    <w:p w14:paraId="655ED1B6" w14:textId="194B3AEF" w:rsidR="00BA2FC3" w:rsidRPr="00FA1A19" w:rsidRDefault="0013276C" w:rsidP="00DF5DFD">
      <w:pPr>
        <w:pStyle w:val="Dash"/>
      </w:pPr>
      <w:r w:rsidRPr="00FA1A19">
        <w:t>incomplete or inaccurate books and records</w:t>
      </w:r>
    </w:p>
    <w:p w14:paraId="28775DFB" w14:textId="037CC012" w:rsidR="00BA2FC3" w:rsidRPr="00FA1A19" w:rsidRDefault="00BA2FC3" w:rsidP="00DF5DFD">
      <w:pPr>
        <w:pStyle w:val="Dash"/>
      </w:pPr>
      <w:r w:rsidRPr="00FA1A19">
        <w:t>the</w:t>
      </w:r>
      <w:r w:rsidR="0013276C" w:rsidRPr="00FA1A19">
        <w:t xml:space="preserve"> ecosystem </w:t>
      </w:r>
      <w:r w:rsidRPr="00FA1A19">
        <w:t xml:space="preserve">being </w:t>
      </w:r>
      <w:r w:rsidR="0013276C" w:rsidRPr="00FA1A19">
        <w:t xml:space="preserve">made up of multiple entrants and possibly fraudulent taxpayers </w:t>
      </w:r>
    </w:p>
    <w:p w14:paraId="0319A11E" w14:textId="1F02D8F6" w:rsidR="0013276C" w:rsidRPr="00FA1A19" w:rsidRDefault="00B876C8" w:rsidP="00DF5DFD">
      <w:pPr>
        <w:pStyle w:val="Dash"/>
      </w:pPr>
      <w:r w:rsidRPr="00FA1A19">
        <w:t>difficulties in</w:t>
      </w:r>
      <w:r w:rsidR="0013276C" w:rsidRPr="00FA1A19">
        <w:t xml:space="preserve"> legislative interpretation</w:t>
      </w:r>
      <w:r w:rsidRPr="00FA1A19">
        <w:t>, due to</w:t>
      </w:r>
      <w:r w:rsidR="0013276C" w:rsidRPr="00FA1A19">
        <w:t xml:space="preserve"> crypto asset innovation moving so quickly.</w:t>
      </w:r>
    </w:p>
    <w:p w14:paraId="75D01B42" w14:textId="77777777" w:rsidR="00EB09BD" w:rsidRDefault="00EB09BD" w:rsidP="00EB09BD">
      <w:r>
        <w:br w:type="page"/>
      </w:r>
    </w:p>
    <w:p w14:paraId="12E811BA" w14:textId="1EA3325F" w:rsidR="00D93558" w:rsidRPr="0069352C" w:rsidRDefault="00D93558" w:rsidP="0069352C">
      <w:pPr>
        <w:pStyle w:val="Heading3"/>
      </w:pPr>
      <w:r w:rsidRPr="00FA1A19">
        <w:t>New Zealand</w:t>
      </w:r>
    </w:p>
    <w:tbl>
      <w:tblPr>
        <w:tblStyle w:val="ListTable3-Accent1"/>
        <w:tblW w:w="5000" w:type="pct"/>
        <w:tblLook w:val="04A0" w:firstRow="1" w:lastRow="0" w:firstColumn="1" w:lastColumn="0" w:noHBand="0" w:noVBand="1"/>
      </w:tblPr>
      <w:tblGrid>
        <w:gridCol w:w="1830"/>
        <w:gridCol w:w="7801"/>
      </w:tblGrid>
      <w:tr w:rsidR="00D93558" w:rsidRPr="00FA1A19" w14:paraId="14028E37" w14:textId="77777777" w:rsidTr="00EB09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0" w:type="pct"/>
          </w:tcPr>
          <w:p w14:paraId="6BFCDA32" w14:textId="77777777" w:rsidR="00D93558" w:rsidRPr="00FA1A19" w:rsidRDefault="00D93558" w:rsidP="00DF5DFD">
            <w:pPr>
              <w:pStyle w:val="TableColumnHeadingLeft"/>
              <w:rPr>
                <w:rFonts w:eastAsiaTheme="minorHAnsi"/>
                <w:lang w:eastAsia="en-US"/>
              </w:rPr>
            </w:pPr>
            <w:r w:rsidRPr="00FA1A19">
              <w:rPr>
                <w:rFonts w:eastAsiaTheme="minorHAnsi"/>
                <w:lang w:eastAsia="en-US"/>
              </w:rPr>
              <w:t xml:space="preserve">Topic </w:t>
            </w:r>
          </w:p>
        </w:tc>
        <w:tc>
          <w:tcPr>
            <w:tcW w:w="4050" w:type="pct"/>
          </w:tcPr>
          <w:p w14:paraId="5E4B90E5" w14:textId="77777777" w:rsidR="00D93558" w:rsidRPr="00FA1A19" w:rsidRDefault="00D93558" w:rsidP="00DF5DFD">
            <w:pPr>
              <w:pStyle w:val="TableColumnHeadingLeft"/>
              <w:cnfStyle w:val="100000000000" w:firstRow="1"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Explanation</w:t>
            </w:r>
          </w:p>
        </w:tc>
      </w:tr>
      <w:tr w:rsidR="00D93558" w:rsidRPr="00FA1A19" w14:paraId="3616B0B3"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43B4A376" w14:textId="77777777" w:rsidR="00D93558" w:rsidRPr="00FA1A19" w:rsidRDefault="00D93558" w:rsidP="00651344">
            <w:pPr>
              <w:pStyle w:val="TableTextLeft"/>
              <w:rPr>
                <w:rFonts w:eastAsiaTheme="minorHAnsi"/>
                <w:lang w:eastAsia="en-US"/>
              </w:rPr>
            </w:pPr>
            <w:r w:rsidRPr="00FA1A19">
              <w:rPr>
                <w:rFonts w:eastAsiaTheme="minorHAnsi"/>
                <w:lang w:eastAsia="en-US"/>
              </w:rPr>
              <w:t xml:space="preserve">Revenue Authority </w:t>
            </w:r>
          </w:p>
        </w:tc>
        <w:tc>
          <w:tcPr>
            <w:tcW w:w="4050" w:type="pct"/>
          </w:tcPr>
          <w:p w14:paraId="03EFB392" w14:textId="5A16860A" w:rsidR="00D93558" w:rsidRPr="00FA1A19" w:rsidRDefault="00D93558" w:rsidP="00651344">
            <w:pPr>
              <w:pStyle w:val="TableTextLeft"/>
              <w:cnfStyle w:val="000000100000" w:firstRow="0" w:lastRow="0" w:firstColumn="0" w:lastColumn="0" w:oddVBand="0" w:evenVBand="0" w:oddHBand="1" w:evenHBand="0" w:firstRowFirstColumn="0" w:firstRowLastColumn="0" w:lastRowFirstColumn="0" w:lastRowLastColumn="0"/>
            </w:pPr>
            <w:r w:rsidRPr="00FA1A19">
              <w:t>Inland Revenue (NZ IR)</w:t>
            </w:r>
            <w:r w:rsidR="00886F4B">
              <w:t xml:space="preserve"> </w:t>
            </w:r>
            <w:r w:rsidR="00886F4B">
              <w:rPr>
                <w:rFonts w:eastAsiaTheme="minorEastAsia" w:cstheme="minorBidi"/>
                <w:lang w:eastAsia="en-US"/>
              </w:rPr>
              <w:t>is the</w:t>
            </w:r>
            <w:r w:rsidR="00886F4B" w:rsidRPr="00FA1A19">
              <w:rPr>
                <w:rFonts w:eastAsiaTheme="minorEastAsia" w:cstheme="minorBidi"/>
                <w:lang w:eastAsia="en-US"/>
              </w:rPr>
              <w:t xml:space="preserve"> federal government body responsible for administering taxes in </w:t>
            </w:r>
            <w:r w:rsidR="00886F4B">
              <w:rPr>
                <w:rFonts w:eastAsiaTheme="minorEastAsia" w:cstheme="minorBidi"/>
                <w:lang w:eastAsia="en-US"/>
              </w:rPr>
              <w:t>NZ</w:t>
            </w:r>
            <w:r w:rsidR="00886F4B" w:rsidRPr="00FA1A19">
              <w:t>.</w:t>
            </w:r>
          </w:p>
          <w:p w14:paraId="1DC8A961" w14:textId="5FCE4085" w:rsidR="00D93558" w:rsidRPr="00FA1A19" w:rsidRDefault="00D93558"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The NZ Financial Markets Authority (FMA) regulates </w:t>
            </w:r>
            <w:r w:rsidR="00D44290">
              <w:t>NZ</w:t>
            </w:r>
            <w:r w:rsidR="00F75232">
              <w:t>’</w:t>
            </w:r>
            <w:r w:rsidRPr="00FA1A19">
              <w:t>s financial markets with one of its statutory duties is to promote and facilitate the development of fair, efficient, and transparent financial markets. It regularly provides public advice and guidance to consumers about investing in crypto assets.</w:t>
            </w:r>
            <w:r w:rsidRPr="00170ADC">
              <w:rPr>
                <w:rStyle w:val="FootnoteReference"/>
              </w:rPr>
              <w:footnoteReference w:id="630"/>
            </w:r>
          </w:p>
        </w:tc>
      </w:tr>
      <w:tr w:rsidR="00D93558" w:rsidRPr="00FA1A19" w14:paraId="0BE44F1D" w14:textId="77777777" w:rsidTr="00EB09BD">
        <w:tc>
          <w:tcPr>
            <w:cnfStyle w:val="001000000000" w:firstRow="0" w:lastRow="0" w:firstColumn="1" w:lastColumn="0" w:oddVBand="0" w:evenVBand="0" w:oddHBand="0" w:evenHBand="0" w:firstRowFirstColumn="0" w:firstRowLastColumn="0" w:lastRowFirstColumn="0" w:lastRowLastColumn="0"/>
            <w:tcW w:w="950" w:type="pct"/>
          </w:tcPr>
          <w:p w14:paraId="1F85A14A" w14:textId="77777777" w:rsidR="00D93558" w:rsidRPr="00FA1A19" w:rsidRDefault="00D93558" w:rsidP="00651344">
            <w:pPr>
              <w:pStyle w:val="TableTextLeft"/>
              <w:rPr>
                <w:rFonts w:eastAsiaTheme="minorHAnsi"/>
                <w:lang w:eastAsia="en-US"/>
              </w:rPr>
            </w:pPr>
            <w:r w:rsidRPr="00FA1A19">
              <w:rPr>
                <w:rFonts w:eastAsiaTheme="minorHAnsi"/>
                <w:lang w:eastAsia="en-US"/>
              </w:rPr>
              <w:t>Current Direct Tax Treatment</w:t>
            </w:r>
          </w:p>
        </w:tc>
        <w:tc>
          <w:tcPr>
            <w:tcW w:w="4050" w:type="pct"/>
          </w:tcPr>
          <w:p w14:paraId="64895AB0" w14:textId="12A7CF06" w:rsidR="00D93558" w:rsidRPr="00FA1A19" w:rsidRDefault="00D93558" w:rsidP="00651344">
            <w:pPr>
              <w:pStyle w:val="TableTextLeft"/>
              <w:cnfStyle w:val="000000000000" w:firstRow="0" w:lastRow="0" w:firstColumn="0" w:lastColumn="0" w:oddVBand="0" w:evenVBand="0" w:oddHBand="0" w:evenHBand="0" w:firstRowFirstColumn="0" w:firstRowLastColumn="0" w:lastRowFirstColumn="0" w:lastRowLastColumn="0"/>
            </w:pPr>
            <w:r w:rsidRPr="00FA1A19">
              <w:t>NZ IR states that it is necessary to work out the taxpayer</w:t>
            </w:r>
            <w:r w:rsidR="00F75232">
              <w:t>’</w:t>
            </w:r>
            <w:r w:rsidRPr="00FA1A19">
              <w:t>s crypto asset income and expenses before the taxpayer can work out their net income (for loss) for their income tax return.</w:t>
            </w:r>
            <w:r w:rsidRPr="00170ADC">
              <w:rPr>
                <w:rStyle w:val="FootnoteReference"/>
              </w:rPr>
              <w:footnoteReference w:id="631"/>
            </w:r>
          </w:p>
          <w:p w14:paraId="48CB7769" w14:textId="1EA39741" w:rsidR="00D75548" w:rsidRPr="00FA1A19" w:rsidRDefault="00D75548" w:rsidP="00651344">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NZ does not have a general CGT. However, income tax legislation specifically includes various forms of gains that would otherwise be considered a capital gain within the definition of </w:t>
            </w:r>
            <w:r w:rsidR="00F75232">
              <w:t>‘</w:t>
            </w:r>
            <w:r w:rsidRPr="00FA1A19">
              <w:t>income</w:t>
            </w:r>
            <w:r w:rsidR="00F75232">
              <w:t>’</w:t>
            </w:r>
            <w:r w:rsidRPr="00FA1A19">
              <w:t xml:space="preserve">. Further information is provided in </w:t>
            </w:r>
            <w:r w:rsidR="00372633">
              <w:t>Chapter </w:t>
            </w:r>
            <w:r w:rsidRPr="00FA1A19">
              <w:t xml:space="preserve">7 of the Report. </w:t>
            </w:r>
          </w:p>
          <w:p w14:paraId="050EDD9C" w14:textId="206120C8" w:rsidR="00D75548" w:rsidRPr="00FA1A19" w:rsidRDefault="00D75548" w:rsidP="00651344">
            <w:pPr>
              <w:pStyle w:val="TableTextLeft"/>
              <w:cnfStyle w:val="000000000000" w:firstRow="0" w:lastRow="0" w:firstColumn="0" w:lastColumn="0" w:oddVBand="0" w:evenVBand="0" w:oddHBand="0" w:evenHBand="0" w:firstRowFirstColumn="0" w:firstRowLastColumn="0" w:lastRowFirstColumn="0" w:lastRowLastColumn="0"/>
            </w:pPr>
            <w:r w:rsidRPr="00FA1A19">
              <w:t>The NZ IR website provides a list of activities which may be crypto asset income, including mining, staking, lending, selling or exchanging, or getting paid in crypto assets and notes that these amounts are income in the income year they are received.</w:t>
            </w:r>
            <w:r w:rsidRPr="00170ADC">
              <w:rPr>
                <w:rStyle w:val="FootnoteReference"/>
              </w:rPr>
              <w:footnoteReference w:id="632"/>
            </w:r>
          </w:p>
          <w:p w14:paraId="046904BB" w14:textId="706C29E8" w:rsidR="00D93558" w:rsidRPr="00FA1A19" w:rsidRDefault="00D93558" w:rsidP="00651344">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There are further rules the taxpayer needs to be aware of if </w:t>
            </w:r>
            <w:r w:rsidR="00FA7399" w:rsidRPr="00FA1A19">
              <w:t>their</w:t>
            </w:r>
            <w:r w:rsidRPr="00FA1A19">
              <w:t xml:space="preserve"> crypto assets are trading stock</w:t>
            </w:r>
            <w:r w:rsidR="00AC705D" w:rsidRPr="00FA1A19">
              <w:t>.</w:t>
            </w:r>
          </w:p>
          <w:p w14:paraId="023F2F03" w14:textId="42630D46" w:rsidR="00D93558" w:rsidRPr="00FA1A19" w:rsidRDefault="00D93558" w:rsidP="00651344">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In </w:t>
            </w:r>
            <w:r w:rsidR="00D75548" w:rsidRPr="00FA1A19">
              <w:t xml:space="preserve">relation to specific transactions, in </w:t>
            </w:r>
            <w:r w:rsidRPr="00FA1A19">
              <w:t xml:space="preserve">most cases, crypto assets </w:t>
            </w:r>
            <w:r w:rsidR="00B32FEB" w:rsidRPr="00FA1A19">
              <w:t>received</w:t>
            </w:r>
            <w:r w:rsidRPr="00FA1A19">
              <w:t xml:space="preserve"> from mining (such as transaction fees and block rewards) are taxable.</w:t>
            </w:r>
            <w:r w:rsidR="00AC705D" w:rsidRPr="00170ADC">
              <w:rPr>
                <w:rStyle w:val="FootnoteReference"/>
              </w:rPr>
              <w:footnoteReference w:id="633"/>
            </w:r>
            <w:r w:rsidRPr="00FA1A19">
              <w:t xml:space="preserve"> </w:t>
            </w:r>
          </w:p>
          <w:p w14:paraId="17C21675" w14:textId="6200FA02" w:rsidR="00D93558" w:rsidRPr="00FA1A19" w:rsidRDefault="00D93558" w:rsidP="00F300FA">
            <w:pPr>
              <w:pStyle w:val="TableTextLeft"/>
              <w:cnfStyle w:val="000000000000" w:firstRow="0" w:lastRow="0" w:firstColumn="0" w:lastColumn="0" w:oddVBand="0" w:evenVBand="0" w:oddHBand="0" w:evenHBand="0" w:firstRowFirstColumn="0" w:firstRowLastColumn="0" w:lastRowFirstColumn="0" w:lastRowLastColumn="0"/>
            </w:pPr>
            <w:r w:rsidRPr="00FA1A19">
              <w:t>If a taxpayer receives new crypto assets from an airdrop, this may be taxable either on receipt, disposal or both</w:t>
            </w:r>
            <w:r w:rsidR="00AC75AD">
              <w:t xml:space="preserve"> subject to the </w:t>
            </w:r>
            <w:r w:rsidR="00104F9F">
              <w:t xml:space="preserve">nature of the </w:t>
            </w:r>
            <w:r w:rsidR="00275F0F">
              <w:t>taxpayer</w:t>
            </w:r>
            <w:r w:rsidR="00F75232">
              <w:t>’</w:t>
            </w:r>
            <w:r w:rsidR="00275F0F">
              <w:t xml:space="preserve">s activities and </w:t>
            </w:r>
            <w:r w:rsidR="00B91B62">
              <w:t xml:space="preserve">the </w:t>
            </w:r>
            <w:r w:rsidR="00873639">
              <w:t>circumstances under which the airdropped token is provided.</w:t>
            </w:r>
            <w:r w:rsidR="007072F3" w:rsidRPr="00170ADC">
              <w:rPr>
                <w:rStyle w:val="FootnoteReference"/>
              </w:rPr>
              <w:footnoteReference w:id="634"/>
            </w:r>
          </w:p>
        </w:tc>
      </w:tr>
      <w:tr w:rsidR="00D93558" w:rsidRPr="00FA1A19" w14:paraId="7C7B4D50"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50BBBF63" w14:textId="77777777" w:rsidR="00D93558" w:rsidRPr="00FA1A19" w:rsidRDefault="00D93558" w:rsidP="00651344">
            <w:pPr>
              <w:pStyle w:val="TableTextLeft"/>
              <w:rPr>
                <w:rFonts w:eastAsiaTheme="minorHAnsi"/>
                <w:lang w:eastAsia="en-US"/>
              </w:rPr>
            </w:pPr>
            <w:r w:rsidRPr="00FA1A19">
              <w:rPr>
                <w:rFonts w:eastAsiaTheme="minorHAnsi"/>
                <w:lang w:eastAsia="en-US"/>
              </w:rPr>
              <w:t>Current Indirect Tax Treatment</w:t>
            </w:r>
          </w:p>
        </w:tc>
        <w:tc>
          <w:tcPr>
            <w:tcW w:w="4050" w:type="pct"/>
          </w:tcPr>
          <w:p w14:paraId="32012E9F" w14:textId="77777777" w:rsidR="00AB48A5" w:rsidRDefault="009B087E" w:rsidP="00AB48A5">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Crypto assets </w:t>
            </w:r>
            <w:r w:rsidR="00AB48A5">
              <w:t>(other than NFTs)</w:t>
            </w:r>
            <w:r w:rsidRPr="00FA1A19">
              <w:t xml:space="preserve"> are excluded from GST. This means buying and selling crypto assets is not subject to GST and </w:t>
            </w:r>
            <w:r w:rsidR="005E4680" w:rsidRPr="00FA1A19">
              <w:t xml:space="preserve">there is no requirement </w:t>
            </w:r>
            <w:r w:rsidRPr="00FA1A19">
              <w:t>to register for GST.</w:t>
            </w:r>
            <w:r w:rsidR="00AB48A5" w:rsidRPr="00FA1A19">
              <w:t xml:space="preserve"> </w:t>
            </w:r>
          </w:p>
          <w:p w14:paraId="2B68225C" w14:textId="44F62549" w:rsidR="00AB48A5" w:rsidRPr="00FA1A19" w:rsidRDefault="00AB48A5" w:rsidP="00AB48A5">
            <w:pPr>
              <w:pStyle w:val="TableTextLeft"/>
              <w:cnfStyle w:val="000000100000" w:firstRow="0" w:lastRow="0" w:firstColumn="0" w:lastColumn="0" w:oddVBand="0" w:evenVBand="0" w:oddHBand="1" w:evenHBand="0" w:firstRowFirstColumn="0" w:firstRowLastColumn="0" w:lastRowFirstColumn="0" w:lastRowLastColumn="0"/>
            </w:pPr>
            <w:r w:rsidRPr="00FA1A19">
              <w:t>If NFTs are created and disposed of, GST is payable where they are sold to someone in NZ. The sale is zero rated if it is sold to someone outside of NZ.</w:t>
            </w:r>
          </w:p>
          <w:p w14:paraId="2CB88CCD" w14:textId="5F27DD4B" w:rsidR="009B087E" w:rsidRPr="00FA1A19" w:rsidRDefault="009B087E" w:rsidP="00651344">
            <w:pPr>
              <w:pStyle w:val="TableTextLeft"/>
              <w:cnfStyle w:val="000000100000" w:firstRow="0" w:lastRow="0" w:firstColumn="0" w:lastColumn="0" w:oddVBand="0" w:evenVBand="0" w:oddHBand="1" w:evenHBand="0" w:firstRowFirstColumn="0" w:firstRowLastColumn="0" w:lastRowFirstColumn="0" w:lastRowLastColumn="0"/>
            </w:pPr>
            <w:r w:rsidRPr="00FA1A19">
              <w:t>GST</w:t>
            </w:r>
            <w:r w:rsidR="00F75232">
              <w:noBreakHyphen/>
            </w:r>
            <w:r w:rsidRPr="00FA1A19">
              <w:t>registered businesses that raise funds through issuing security token crypto assets (which have features similar to debt or equity securities) can claim input tax credits on their capital</w:t>
            </w:r>
            <w:r w:rsidR="00F75232">
              <w:noBreakHyphen/>
            </w:r>
            <w:r w:rsidRPr="00FA1A19">
              <w:t>raising costs</w:t>
            </w:r>
            <w:r w:rsidR="00A04938" w:rsidRPr="00FA1A19">
              <w:t xml:space="preserve"> (e.g. </w:t>
            </w:r>
            <w:r w:rsidRPr="00FA1A19">
              <w:t>legal fees, exchange listing fees, and costs associated with preparing a whitepaper</w:t>
            </w:r>
            <w:r w:rsidR="00724844" w:rsidRPr="00FA1A19">
              <w:t>)</w:t>
            </w:r>
            <w:r w:rsidRPr="00FA1A19">
              <w:t>.</w:t>
            </w:r>
          </w:p>
          <w:p w14:paraId="1F40C9DE" w14:textId="77777777" w:rsidR="00894367" w:rsidRPr="00FA1A19" w:rsidRDefault="00B32FEB"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The </w:t>
            </w:r>
            <w:r w:rsidR="003C6837" w:rsidRPr="00FA1A19">
              <w:t xml:space="preserve">provision of a </w:t>
            </w:r>
            <w:r w:rsidRPr="00FA1A19">
              <w:t xml:space="preserve">mining service </w:t>
            </w:r>
            <w:r w:rsidR="003C6837" w:rsidRPr="00FA1A19">
              <w:t>is a supply for</w:t>
            </w:r>
            <w:r w:rsidRPr="00FA1A19">
              <w:t xml:space="preserve"> GST</w:t>
            </w:r>
            <w:r w:rsidR="003C6837" w:rsidRPr="00FA1A19">
              <w:t xml:space="preserve"> purposes</w:t>
            </w:r>
            <w:r w:rsidR="003916BF" w:rsidRPr="00FA1A19">
              <w:t>, however the supply will be zero rated if the service is provided to a blockchain outside of NZ.</w:t>
            </w:r>
            <w:r w:rsidR="00371DB2" w:rsidRPr="00170ADC">
              <w:rPr>
                <w:rStyle w:val="FootnoteReference"/>
              </w:rPr>
              <w:footnoteReference w:id="635"/>
            </w:r>
            <w:r w:rsidR="003916BF" w:rsidRPr="00FA1A19">
              <w:t xml:space="preserve"> </w:t>
            </w:r>
          </w:p>
          <w:p w14:paraId="251F53D4" w14:textId="0932D9F4" w:rsidR="00B32FEB" w:rsidRPr="00FA1A19" w:rsidRDefault="002E4EC5"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Where </w:t>
            </w:r>
            <w:r w:rsidR="00894367" w:rsidRPr="00FA1A19">
              <w:t>an</w:t>
            </w:r>
            <w:r w:rsidRPr="00FA1A19">
              <w:t xml:space="preserve"> airdrop as a payment for services, GST may be payable.</w:t>
            </w:r>
            <w:r w:rsidR="00894367" w:rsidRPr="00170ADC">
              <w:rPr>
                <w:rStyle w:val="FootnoteReference"/>
              </w:rPr>
              <w:footnoteReference w:id="636"/>
            </w:r>
          </w:p>
          <w:p w14:paraId="5E79A9FE" w14:textId="2906AFE5" w:rsidR="00D93558" w:rsidRPr="00FA1A19" w:rsidRDefault="009B087E"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The </w:t>
            </w:r>
            <w:r w:rsidRPr="00813896">
              <w:rPr>
                <w:rStyle w:val="Emphasis"/>
              </w:rPr>
              <w:t>Taxation</w:t>
            </w:r>
            <w:r w:rsidRPr="00FA1A19">
              <w:t xml:space="preserve"> (</w:t>
            </w:r>
            <w:r w:rsidRPr="00813896">
              <w:rPr>
                <w:rStyle w:val="Emphasis"/>
              </w:rPr>
              <w:t>Annual Rates for 2021</w:t>
            </w:r>
            <w:r w:rsidR="00BC3F14">
              <w:rPr>
                <w:rStyle w:val="Emphasis"/>
              </w:rPr>
              <w:t>–</w:t>
            </w:r>
            <w:r w:rsidRPr="00813896">
              <w:rPr>
                <w:rStyle w:val="Emphasis"/>
              </w:rPr>
              <w:t>22, GST and Remedial Matters</w:t>
            </w:r>
            <w:r w:rsidRPr="00FA1A19">
              <w:t>) </w:t>
            </w:r>
            <w:r w:rsidRPr="00813896">
              <w:rPr>
                <w:rStyle w:val="Emphasis"/>
              </w:rPr>
              <w:t>Act 2022</w:t>
            </w:r>
            <w:r w:rsidR="00385CAD">
              <w:t xml:space="preserve"> </w:t>
            </w:r>
            <w:r w:rsidR="00A16CF4" w:rsidRPr="00FA1A19">
              <w:t xml:space="preserve">(enacted March 2022) </w:t>
            </w:r>
            <w:r w:rsidRPr="00FA1A19">
              <w:t xml:space="preserve">treats the trading of crypto assets as a </w:t>
            </w:r>
            <w:r w:rsidR="00F75232">
              <w:t>‘</w:t>
            </w:r>
            <w:r w:rsidRPr="00FA1A19">
              <w:t>financial service</w:t>
            </w:r>
            <w:r w:rsidR="00F75232">
              <w:t>’</w:t>
            </w:r>
            <w:r w:rsidRPr="00FA1A19">
              <w:t xml:space="preserve"> and therefore an exempt supply for the purposes of the </w:t>
            </w:r>
            <w:r w:rsidRPr="00813896">
              <w:rPr>
                <w:rStyle w:val="Emphasis"/>
              </w:rPr>
              <w:t>Goods and Services Act 1985</w:t>
            </w:r>
            <w:r w:rsidRPr="00FA1A19">
              <w:t>.</w:t>
            </w:r>
          </w:p>
        </w:tc>
      </w:tr>
      <w:tr w:rsidR="00D93558" w:rsidRPr="00FA1A19" w14:paraId="125692E2" w14:textId="77777777" w:rsidTr="00EB09BD">
        <w:tc>
          <w:tcPr>
            <w:cnfStyle w:val="001000000000" w:firstRow="0" w:lastRow="0" w:firstColumn="1" w:lastColumn="0" w:oddVBand="0" w:evenVBand="0" w:oddHBand="0" w:evenHBand="0" w:firstRowFirstColumn="0" w:firstRowLastColumn="0" w:lastRowFirstColumn="0" w:lastRowLastColumn="0"/>
            <w:tcW w:w="950" w:type="pct"/>
          </w:tcPr>
          <w:p w14:paraId="456D334D" w14:textId="77777777" w:rsidR="00D93558" w:rsidRPr="00FA1A19" w:rsidRDefault="00D93558" w:rsidP="00651344">
            <w:pPr>
              <w:pStyle w:val="TableTextLeft"/>
              <w:rPr>
                <w:rFonts w:eastAsiaTheme="minorHAnsi"/>
                <w:lang w:eastAsia="en-US"/>
              </w:rPr>
            </w:pPr>
            <w:r w:rsidRPr="00FA1A19">
              <w:rPr>
                <w:rFonts w:eastAsiaTheme="minorHAnsi"/>
                <w:lang w:eastAsia="en-US"/>
              </w:rPr>
              <w:t>Guidance &amp; Education</w:t>
            </w:r>
          </w:p>
        </w:tc>
        <w:tc>
          <w:tcPr>
            <w:tcW w:w="4050" w:type="pct"/>
          </w:tcPr>
          <w:p w14:paraId="0955D982" w14:textId="77777777" w:rsidR="00D93558" w:rsidRPr="00FA1A19" w:rsidRDefault="00D93558" w:rsidP="00651344">
            <w:pPr>
              <w:pStyle w:val="TableTextLeft"/>
              <w:cnfStyle w:val="000000000000" w:firstRow="0" w:lastRow="0" w:firstColumn="0" w:lastColumn="0" w:oddVBand="0" w:evenVBand="0" w:oddHBand="0" w:evenHBand="0" w:firstRowFirstColumn="0" w:firstRowLastColumn="0" w:lastRowFirstColumn="0" w:lastRowLastColumn="0"/>
            </w:pPr>
            <w:r w:rsidRPr="00FA1A19">
              <w:t>The NZ IR provides comprehensive web content guidance in relation to the tax treatment of digital assets including well explained guidance, public rulings and tax return instructions. Its website guidance covers many topics such as:</w:t>
            </w:r>
          </w:p>
          <w:p w14:paraId="3D85FD1C" w14:textId="42310E32" w:rsidR="00D93558" w:rsidRPr="00FA1A19" w:rsidRDefault="003A57D8" w:rsidP="00651344">
            <w:pPr>
              <w:pStyle w:val="TableTextLeftBullet"/>
              <w:cnfStyle w:val="000000000000" w:firstRow="0" w:lastRow="0" w:firstColumn="0" w:lastColumn="0" w:oddVBand="0" w:evenVBand="0" w:oddHBand="0" w:evenHBand="0" w:firstRowFirstColumn="0" w:firstRowLastColumn="0" w:lastRowFirstColumn="0" w:lastRowLastColumn="0"/>
            </w:pPr>
            <w:r>
              <w:t>t</w:t>
            </w:r>
            <w:r w:rsidR="00D93558" w:rsidRPr="00FA1A19">
              <w:t>axing crypto asset income</w:t>
            </w:r>
            <w:r w:rsidR="00D93558" w:rsidRPr="00170ADC">
              <w:rPr>
                <w:rStyle w:val="FootnoteReference"/>
              </w:rPr>
              <w:footnoteReference w:id="637"/>
            </w:r>
          </w:p>
          <w:p w14:paraId="584BED71" w14:textId="5187FDD4" w:rsidR="00D93558" w:rsidRPr="00FA1A19" w:rsidRDefault="003A57D8" w:rsidP="00651344">
            <w:pPr>
              <w:pStyle w:val="TableTextLeftBullet"/>
              <w:cnfStyle w:val="000000000000" w:firstRow="0" w:lastRow="0" w:firstColumn="0" w:lastColumn="0" w:oddVBand="0" w:evenVBand="0" w:oddHBand="0" w:evenHBand="0" w:firstRowFirstColumn="0" w:firstRowLastColumn="0" w:lastRowFirstColumn="0" w:lastRowLastColumn="0"/>
            </w:pPr>
            <w:r>
              <w:t>b</w:t>
            </w:r>
            <w:r w:rsidR="00D93558" w:rsidRPr="00FA1A19">
              <w:t>uying and selling crypto assets</w:t>
            </w:r>
            <w:r w:rsidR="00D93558" w:rsidRPr="00170ADC">
              <w:rPr>
                <w:rStyle w:val="FootnoteReference"/>
              </w:rPr>
              <w:footnoteReference w:id="638"/>
            </w:r>
            <w:r w:rsidR="00D93558" w:rsidRPr="00FA1A19">
              <w:t xml:space="preserve"> </w:t>
            </w:r>
          </w:p>
          <w:p w14:paraId="73E0F2D2" w14:textId="050F8C32" w:rsidR="00D93558" w:rsidRPr="00FA1A19" w:rsidRDefault="003A57D8" w:rsidP="00651344">
            <w:pPr>
              <w:pStyle w:val="TableTextLeftBullet"/>
              <w:cnfStyle w:val="000000000000" w:firstRow="0" w:lastRow="0" w:firstColumn="0" w:lastColumn="0" w:oddVBand="0" w:evenVBand="0" w:oddHBand="0" w:evenHBand="0" w:firstRowFirstColumn="0" w:firstRowLastColumn="0" w:lastRowFirstColumn="0" w:lastRowLastColumn="0"/>
            </w:pPr>
            <w:r>
              <w:t>c</w:t>
            </w:r>
            <w:r w:rsidR="00D93558" w:rsidRPr="00FA1A19">
              <w:t>rypto assets and tax residence</w:t>
            </w:r>
            <w:r w:rsidR="00943E04" w:rsidRPr="00FA1A19">
              <w:t>.</w:t>
            </w:r>
            <w:r w:rsidR="00D93558" w:rsidRPr="00170ADC">
              <w:rPr>
                <w:rStyle w:val="FootnoteReference"/>
              </w:rPr>
              <w:footnoteReference w:id="639"/>
            </w:r>
          </w:p>
          <w:p w14:paraId="17D05C46" w14:textId="6357101F" w:rsidR="00D93558" w:rsidRPr="00FA1A19" w:rsidRDefault="00D93558" w:rsidP="00651344">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Binding formal guidance has been issued </w:t>
            </w:r>
            <w:r w:rsidR="003A61D5" w:rsidRPr="00FA1A19">
              <w:t xml:space="preserve">on topics including the </w:t>
            </w:r>
            <w:r w:rsidRPr="00FA1A19">
              <w:t>application of the employee share scheme rules to employer issued crypto</w:t>
            </w:r>
            <w:r w:rsidR="00F75232">
              <w:noBreakHyphen/>
            </w:r>
            <w:r w:rsidRPr="00FA1A19">
              <w:t>assets provided to an employee.</w:t>
            </w:r>
            <w:r w:rsidRPr="00170ADC">
              <w:rPr>
                <w:rStyle w:val="FootnoteReference"/>
              </w:rPr>
              <w:footnoteReference w:id="640"/>
            </w:r>
          </w:p>
          <w:p w14:paraId="2F70B82E" w14:textId="1ABEBBDC" w:rsidR="00D93558" w:rsidRPr="00FA1A19" w:rsidRDefault="00E640AC" w:rsidP="00651344">
            <w:pPr>
              <w:pStyle w:val="TableTextLeft"/>
              <w:cnfStyle w:val="000000000000" w:firstRow="0" w:lastRow="0" w:firstColumn="0" w:lastColumn="0" w:oddVBand="0" w:evenVBand="0" w:oddHBand="0" w:evenHBand="0" w:firstRowFirstColumn="0" w:firstRowLastColumn="0" w:lastRowFirstColumn="0" w:lastRowLastColumn="0"/>
            </w:pPr>
            <w:r w:rsidRPr="00FA1A19">
              <w:rPr>
                <w:lang w:val="en-NZ"/>
              </w:rPr>
              <w:t>NZ IR</w:t>
            </w:r>
            <w:r w:rsidR="00D93558" w:rsidRPr="00FA1A19">
              <w:rPr>
                <w:lang w:val="en-NZ"/>
              </w:rPr>
              <w:t xml:space="preserve"> has specific guidance on its website dedicated to crypto assets for businesses. This ensures that these taxpayers have an overall level of awareness regarding their crypto asset tax obligations in NZ.</w:t>
            </w:r>
          </w:p>
        </w:tc>
      </w:tr>
      <w:tr w:rsidR="00D93558" w:rsidRPr="00FA1A19" w14:paraId="6817FA6B"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1E4D973C" w14:textId="77777777" w:rsidR="00D93558" w:rsidRPr="00FA1A19" w:rsidRDefault="00D93558" w:rsidP="00651344">
            <w:pPr>
              <w:pStyle w:val="TableTextLeft"/>
              <w:rPr>
                <w:rFonts w:eastAsiaTheme="minorHAnsi"/>
                <w:lang w:eastAsia="en-US"/>
              </w:rPr>
            </w:pPr>
            <w:r w:rsidRPr="00FA1A19">
              <w:rPr>
                <w:rFonts w:eastAsiaTheme="minorHAnsi"/>
                <w:lang w:eastAsia="en-US"/>
              </w:rPr>
              <w:t>Record Keeping &amp; Valuation</w:t>
            </w:r>
          </w:p>
        </w:tc>
        <w:tc>
          <w:tcPr>
            <w:tcW w:w="4050" w:type="pct"/>
          </w:tcPr>
          <w:p w14:paraId="4B71C33B" w14:textId="339DFEA0" w:rsidR="007B64CE" w:rsidRPr="00CD138E" w:rsidRDefault="007B64CE"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b/>
                <w:bCs/>
                <w:lang w:eastAsia="en-US"/>
              </w:rPr>
            </w:pPr>
            <w:r>
              <w:rPr>
                <w:rFonts w:eastAsiaTheme="minorHAnsi"/>
                <w:b/>
                <w:bCs/>
                <w:lang w:eastAsia="en-US"/>
              </w:rPr>
              <w:t>Record keeping</w:t>
            </w:r>
          </w:p>
          <w:p w14:paraId="2B18BC82" w14:textId="156E81AF" w:rsidR="00D93558" w:rsidRPr="00FA1A19" w:rsidRDefault="00D47074"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NZ IR provide a list</w:t>
            </w:r>
            <w:r w:rsidR="003B5BCA" w:rsidRPr="00FA1A19">
              <w:rPr>
                <w:rFonts w:eastAsiaTheme="minorHAnsi"/>
                <w:lang w:eastAsia="en-US"/>
              </w:rPr>
              <w:t xml:space="preserve"> on their website</w:t>
            </w:r>
            <w:r w:rsidRPr="00FA1A19">
              <w:rPr>
                <w:rFonts w:eastAsiaTheme="minorHAnsi"/>
                <w:lang w:eastAsia="en-US"/>
              </w:rPr>
              <w:t xml:space="preserve"> of the crypto asset records that are required to be kept</w:t>
            </w:r>
            <w:r w:rsidR="003B5BCA" w:rsidRPr="00FA1A19">
              <w:rPr>
                <w:rFonts w:eastAsiaTheme="minorHAnsi"/>
                <w:lang w:eastAsia="en-US"/>
              </w:rPr>
              <w:t xml:space="preserve"> in addition to standard record keeping requirements. This includes </w:t>
            </w:r>
            <w:r w:rsidR="00617F19" w:rsidRPr="00FA1A19">
              <w:rPr>
                <w:rFonts w:eastAsiaTheme="minorHAnsi"/>
                <w:lang w:eastAsia="en-US"/>
              </w:rPr>
              <w:t>records to support the positions taken in a tax return.</w:t>
            </w:r>
          </w:p>
          <w:p w14:paraId="54715D3E" w14:textId="5668DC7E" w:rsidR="00617F19" w:rsidRDefault="00617F19"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The guidance notes that taxpayers might use an online crypto</w:t>
            </w:r>
            <w:r w:rsidR="00BE5B85">
              <w:rPr>
                <w:rFonts w:eastAsiaTheme="minorHAnsi"/>
                <w:lang w:eastAsia="en-US"/>
              </w:rPr>
              <w:t xml:space="preserve"> </w:t>
            </w:r>
            <w:r w:rsidRPr="00FA1A19">
              <w:rPr>
                <w:rFonts w:eastAsiaTheme="minorHAnsi"/>
                <w:lang w:eastAsia="en-US"/>
              </w:rPr>
              <w:t>assets income tax calculator</w:t>
            </w:r>
            <w:r w:rsidR="00942736" w:rsidRPr="00FA1A19">
              <w:rPr>
                <w:rFonts w:eastAsiaTheme="minorHAnsi"/>
                <w:lang w:eastAsia="en-US"/>
              </w:rPr>
              <w:t>, and that taxpayers are still required to make sure that transactions are accounted for in accordance with NZ tax law.</w:t>
            </w:r>
            <w:r w:rsidR="00942736" w:rsidRPr="00170ADC">
              <w:rPr>
                <w:rStyle w:val="FootnoteReference"/>
                <w:rFonts w:eastAsiaTheme="minorHAnsi"/>
              </w:rPr>
              <w:footnoteReference w:id="641"/>
            </w:r>
            <w:r w:rsidR="00942736" w:rsidRPr="00FA1A19">
              <w:rPr>
                <w:rFonts w:eastAsiaTheme="minorHAnsi"/>
                <w:lang w:eastAsia="en-US"/>
              </w:rPr>
              <w:t xml:space="preserve"> </w:t>
            </w:r>
          </w:p>
          <w:p w14:paraId="7B1A2F72" w14:textId="17C2B300" w:rsidR="00B86AE3" w:rsidRPr="00CD138E" w:rsidRDefault="00B86AE3"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b/>
                <w:bCs/>
              </w:rPr>
            </w:pPr>
            <w:r>
              <w:rPr>
                <w:rFonts w:eastAsiaTheme="minorHAnsi"/>
                <w:b/>
                <w:bCs/>
              </w:rPr>
              <w:t>Valuation</w:t>
            </w:r>
          </w:p>
          <w:p w14:paraId="21AF95F1" w14:textId="22964D24" w:rsidR="00B86AE3" w:rsidRPr="00FA1A19" w:rsidRDefault="00B86AE3"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Pr>
                <w:rFonts w:eastAsiaTheme="minorHAnsi"/>
              </w:rPr>
              <w:t>NZ IR advises that a consistent method must be used for valuing crypto asset transactions and records must be kept of the valuation method used. It further provides links on its website to two centralised data repository sites and advises that valuations may also be obtained from a reputable public exchange.</w:t>
            </w:r>
            <w:r>
              <w:rPr>
                <w:rStyle w:val="FootnoteReference"/>
                <w:rFonts w:eastAsiaTheme="minorHAnsi"/>
              </w:rPr>
              <w:footnoteReference w:id="642"/>
            </w:r>
          </w:p>
        </w:tc>
      </w:tr>
      <w:tr w:rsidR="00D93558" w:rsidRPr="00FA1A19" w14:paraId="1102D09D" w14:textId="77777777" w:rsidTr="00EB09BD">
        <w:tc>
          <w:tcPr>
            <w:cnfStyle w:val="001000000000" w:firstRow="0" w:lastRow="0" w:firstColumn="1" w:lastColumn="0" w:oddVBand="0" w:evenVBand="0" w:oddHBand="0" w:evenHBand="0" w:firstRowFirstColumn="0" w:firstRowLastColumn="0" w:lastRowFirstColumn="0" w:lastRowLastColumn="0"/>
            <w:tcW w:w="950" w:type="pct"/>
          </w:tcPr>
          <w:p w14:paraId="7AEEB9BA" w14:textId="77777777" w:rsidR="00D93558" w:rsidRPr="00FA1A19" w:rsidRDefault="00D93558" w:rsidP="00651344">
            <w:pPr>
              <w:pStyle w:val="TableTextLeft"/>
              <w:rPr>
                <w:rFonts w:eastAsiaTheme="minorHAnsi"/>
                <w:lang w:eastAsia="en-US"/>
              </w:rPr>
            </w:pPr>
            <w:r w:rsidRPr="00FA1A19">
              <w:rPr>
                <w:rFonts w:eastAsiaTheme="minorHAnsi"/>
                <w:lang w:eastAsia="en-US"/>
              </w:rPr>
              <w:t>Reporting &amp; Tax Transparency</w:t>
            </w:r>
          </w:p>
        </w:tc>
        <w:tc>
          <w:tcPr>
            <w:tcW w:w="4050" w:type="pct"/>
          </w:tcPr>
          <w:p w14:paraId="08966CE1" w14:textId="77777777" w:rsidR="007329B0" w:rsidRDefault="00E640AC" w:rsidP="00651344">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NZ </w:t>
            </w:r>
            <w:r w:rsidR="00D93558" w:rsidRPr="00FA1A19">
              <w:t xml:space="preserve">IR has used information provided by financial institutions currently subject to reporting requirements to ensure that </w:t>
            </w:r>
            <w:r w:rsidR="00514429" w:rsidRPr="00FA1A19">
              <w:t>NZ</w:t>
            </w:r>
            <w:r w:rsidR="00D93558" w:rsidRPr="00FA1A19">
              <w:t xml:space="preserve"> tax residents are complying with their tax obligations on their foreign investments. It also uses information provided by </w:t>
            </w:r>
            <w:r w:rsidR="00514429" w:rsidRPr="00FA1A19">
              <w:t>NZ</w:t>
            </w:r>
            <w:r w:rsidR="00D93558" w:rsidRPr="00FA1A19">
              <w:t xml:space="preserve"> based exchanges</w:t>
            </w:r>
            <w:r w:rsidR="001308E5">
              <w:t xml:space="preserve"> to support its compliance activities.</w:t>
            </w:r>
            <w:r w:rsidR="00D93558" w:rsidRPr="00FA1A19">
              <w:t xml:space="preserve"> </w:t>
            </w:r>
          </w:p>
          <w:p w14:paraId="54E28485" w14:textId="0F80DFDF" w:rsidR="00D93558" w:rsidRPr="00FA1A19" w:rsidRDefault="007329B0"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t>NZ IR noted that the implementation of the CARF</w:t>
            </w:r>
            <w:r w:rsidRPr="00FA1A19">
              <w:t xml:space="preserve"> will </w:t>
            </w:r>
            <w:r w:rsidR="00D93558" w:rsidRPr="00FA1A19">
              <w:t xml:space="preserve">allow increased scrutiny by </w:t>
            </w:r>
            <w:r w:rsidR="00514429" w:rsidRPr="00FA1A19">
              <w:t>NZ IR of</w:t>
            </w:r>
            <w:r w:rsidR="00D93558" w:rsidRPr="00FA1A19">
              <w:t xml:space="preserve"> tax residents</w:t>
            </w:r>
            <w:r w:rsidR="00F75232">
              <w:t>’</w:t>
            </w:r>
            <w:r w:rsidR="00D93558" w:rsidRPr="00FA1A19">
              <w:t xml:space="preserve"> worldwide crypto asset portfolios and compliance with </w:t>
            </w:r>
            <w:r w:rsidR="00514429" w:rsidRPr="00FA1A19">
              <w:t>NZ</w:t>
            </w:r>
            <w:r w:rsidR="00D93558" w:rsidRPr="00FA1A19">
              <w:t xml:space="preserve"> tax obligations.</w:t>
            </w:r>
          </w:p>
        </w:tc>
      </w:tr>
    </w:tbl>
    <w:p w14:paraId="3409D8E6" w14:textId="26DA8E56" w:rsidR="00D93558" w:rsidRPr="001E3898" w:rsidRDefault="00372633" w:rsidP="0069352C">
      <w:pPr>
        <w:pStyle w:val="Heading4"/>
      </w:pPr>
      <w:r>
        <w:rPr>
          <w:lang w:eastAsia="en-US"/>
        </w:rPr>
        <w:t>Observation </w:t>
      </w:r>
      <w:r w:rsidR="00D93558" w:rsidRPr="00FA1A19">
        <w:rPr>
          <w:lang w:eastAsia="en-US"/>
        </w:rPr>
        <w:t>points</w:t>
      </w:r>
    </w:p>
    <w:p w14:paraId="78D2BC6E" w14:textId="17E71D7A" w:rsidR="00D93558" w:rsidRPr="00FA1A19" w:rsidRDefault="00D93558" w:rsidP="001E3898">
      <w:pPr>
        <w:pStyle w:val="Bullet"/>
      </w:pPr>
      <w:r w:rsidRPr="00FA1A19">
        <w:t>NZ IR informed the Board that the NZ tax return does not contain a specific question about the holding of crypto assets</w:t>
      </w:r>
      <w:r w:rsidR="00136169">
        <w:t>, and noted</w:t>
      </w:r>
      <w:r w:rsidRPr="00FA1A19">
        <w:t xml:space="preserve"> that the disclosures are quite generic and that they require the taxpayer to work out their own assessments. They emphasised that NZ IR is cogni</w:t>
      </w:r>
      <w:r w:rsidR="00FC32BC" w:rsidRPr="00FA1A19">
        <w:t>s</w:t>
      </w:r>
      <w:r w:rsidRPr="00FA1A19">
        <w:t>ant of the OECD Crypto Asset Reporting Framework (CARF) and that the need for a specific question would be considered in the future.</w:t>
      </w:r>
    </w:p>
    <w:p w14:paraId="4793AFBD" w14:textId="61790E2E" w:rsidR="00D93558" w:rsidRPr="00FA1A19" w:rsidRDefault="00D93558" w:rsidP="001E3898">
      <w:pPr>
        <w:pStyle w:val="Bullet"/>
      </w:pPr>
      <w:r w:rsidRPr="00FA1A19">
        <w:t xml:space="preserve">NZ IR advised that while they do not have </w:t>
      </w:r>
      <w:r w:rsidR="00FC32BC" w:rsidRPr="00FA1A19">
        <w:t>a specific CGT</w:t>
      </w:r>
      <w:r w:rsidRPr="00FA1A19">
        <w:t xml:space="preserve">, they do have a legislative provision </w:t>
      </w:r>
      <w:r w:rsidR="008B53B6" w:rsidRPr="00FA1A19">
        <w:t>where if</w:t>
      </w:r>
      <w:r w:rsidRPr="00FA1A19">
        <w:t xml:space="preserve"> a taxpayer purchases a personal property asset for purpose of disposal then </w:t>
      </w:r>
      <w:r w:rsidR="008B53B6" w:rsidRPr="00FA1A19">
        <w:t>the gain is</w:t>
      </w:r>
      <w:r w:rsidRPr="00FA1A19">
        <w:t xml:space="preserve"> subject to income tax. NZ IR see that crypto assets are a type of personal property that is predominately acquired for purpose of disposal.</w:t>
      </w:r>
    </w:p>
    <w:p w14:paraId="07C9AF2B" w14:textId="0A4B16E6" w:rsidR="00D93558" w:rsidRPr="00FA1A19" w:rsidRDefault="00D93558" w:rsidP="001E3898">
      <w:pPr>
        <w:pStyle w:val="Bullet"/>
      </w:pPr>
      <w:r w:rsidRPr="00FA1A19">
        <w:t>NZ IR mentioned that they have received requests about crypto losses and what that mean</w:t>
      </w:r>
      <w:r w:rsidR="001917F9">
        <w:t>s</w:t>
      </w:r>
      <w:r w:rsidRPr="00FA1A19">
        <w:t xml:space="preserve"> for tax obligations. </w:t>
      </w:r>
    </w:p>
    <w:p w14:paraId="5F51BF5D" w14:textId="75D6BA44" w:rsidR="00D93558" w:rsidRPr="00FA1A19" w:rsidRDefault="00D93558" w:rsidP="001E3898">
      <w:pPr>
        <w:pStyle w:val="Bullet"/>
      </w:pPr>
      <w:r w:rsidRPr="00FA1A19">
        <w:t>In relation to data, NZ IR advised that the data they have obtained through data collection does not show as many taxpayers are involved in crypto transactions as compared to what is stated publicly. Some say 15</w:t>
      </w:r>
      <w:r w:rsidR="0057150C">
        <w:t>–</w:t>
      </w:r>
      <w:r w:rsidRPr="00FA1A19">
        <w:t xml:space="preserve">18% (crypto exchanges), but they do not see that for data they have obtained and in NZ they are aware that a lot of crypto activity outside of NZ, and they are trying to close that gap. </w:t>
      </w:r>
    </w:p>
    <w:p w14:paraId="3DBC2235" w14:textId="77777777" w:rsidR="009B4E83" w:rsidRPr="00FA1A19" w:rsidRDefault="009B4E83" w:rsidP="009B4E83">
      <w:pPr>
        <w:pStyle w:val="Heading3"/>
      </w:pPr>
      <w:r w:rsidRPr="001E3898">
        <w:t>Singapore</w:t>
      </w:r>
    </w:p>
    <w:tbl>
      <w:tblPr>
        <w:tblStyle w:val="ListTable3-Accent1"/>
        <w:tblW w:w="5000" w:type="pct"/>
        <w:tblLook w:val="04A0" w:firstRow="1" w:lastRow="0" w:firstColumn="1" w:lastColumn="0" w:noHBand="0" w:noVBand="1"/>
      </w:tblPr>
      <w:tblGrid>
        <w:gridCol w:w="1811"/>
        <w:gridCol w:w="7820"/>
      </w:tblGrid>
      <w:tr w:rsidR="009B4E83" w:rsidRPr="00FA1A19" w14:paraId="524C213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40" w:type="pct"/>
          </w:tcPr>
          <w:p w14:paraId="75792FBB" w14:textId="77777777" w:rsidR="009B4E83" w:rsidRPr="00FA1A19" w:rsidRDefault="009B4E83">
            <w:pPr>
              <w:pStyle w:val="TableColumnHeadingLeft"/>
              <w:rPr>
                <w:rFonts w:eastAsiaTheme="minorHAnsi"/>
                <w:lang w:eastAsia="en-US"/>
              </w:rPr>
            </w:pPr>
            <w:r w:rsidRPr="00FA1A19">
              <w:rPr>
                <w:rFonts w:eastAsiaTheme="minorHAnsi"/>
                <w:lang w:eastAsia="en-US"/>
              </w:rPr>
              <w:t xml:space="preserve">Topic </w:t>
            </w:r>
          </w:p>
        </w:tc>
        <w:tc>
          <w:tcPr>
            <w:tcW w:w="4060" w:type="pct"/>
          </w:tcPr>
          <w:p w14:paraId="45290907" w14:textId="77777777" w:rsidR="009B4E83" w:rsidRPr="00FA1A19" w:rsidRDefault="009B4E83">
            <w:pPr>
              <w:pStyle w:val="TableColumnHeadingLeft"/>
              <w:cnfStyle w:val="100000000000" w:firstRow="1"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Explanation</w:t>
            </w:r>
          </w:p>
        </w:tc>
      </w:tr>
      <w:tr w:rsidR="009B4E83" w:rsidRPr="00FA1A19" w14:paraId="0CCA0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4DA231DC" w14:textId="77777777" w:rsidR="009B4E83" w:rsidRPr="00FA1A19" w:rsidRDefault="009B4E83">
            <w:pPr>
              <w:pStyle w:val="TableTextLeft"/>
              <w:rPr>
                <w:rFonts w:eastAsiaTheme="minorHAnsi"/>
                <w:lang w:eastAsia="en-US"/>
              </w:rPr>
            </w:pPr>
            <w:r w:rsidRPr="00FA1A19">
              <w:rPr>
                <w:rFonts w:eastAsiaTheme="minorHAnsi"/>
                <w:lang w:eastAsia="en-US"/>
              </w:rPr>
              <w:t xml:space="preserve">Revenue Authority </w:t>
            </w:r>
          </w:p>
        </w:tc>
        <w:tc>
          <w:tcPr>
            <w:tcW w:w="4060" w:type="pct"/>
          </w:tcPr>
          <w:p w14:paraId="625FB5B0"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The Inland Revenue Authority of Singapore (IRAS)</w:t>
            </w:r>
            <w:r>
              <w:rPr>
                <w:rFonts w:eastAsiaTheme="minorHAnsi"/>
                <w:lang w:eastAsia="en-US"/>
              </w:rPr>
              <w:t xml:space="preserve"> </w:t>
            </w:r>
            <w:r>
              <w:rPr>
                <w:rFonts w:eastAsiaTheme="minorEastAsia" w:cstheme="minorBidi"/>
                <w:lang w:eastAsia="en-US"/>
              </w:rPr>
              <w:t>is the</w:t>
            </w:r>
            <w:r w:rsidRPr="00FA1A19">
              <w:rPr>
                <w:rFonts w:eastAsiaTheme="minorEastAsia" w:cstheme="minorBidi"/>
                <w:lang w:eastAsia="en-US"/>
              </w:rPr>
              <w:t xml:space="preserve"> federal government body responsible for administering taxes in </w:t>
            </w:r>
            <w:r>
              <w:rPr>
                <w:rFonts w:eastAsiaTheme="minorEastAsia" w:cstheme="minorBidi"/>
                <w:lang w:eastAsia="en-US"/>
              </w:rPr>
              <w:t>Singapore.</w:t>
            </w:r>
          </w:p>
        </w:tc>
      </w:tr>
      <w:tr w:rsidR="009B4E83" w:rsidRPr="00FA1A19" w14:paraId="5A43B97A" w14:textId="77777777">
        <w:tc>
          <w:tcPr>
            <w:cnfStyle w:val="001000000000" w:firstRow="0" w:lastRow="0" w:firstColumn="1" w:lastColumn="0" w:oddVBand="0" w:evenVBand="0" w:oddHBand="0" w:evenHBand="0" w:firstRowFirstColumn="0" w:firstRowLastColumn="0" w:lastRowFirstColumn="0" w:lastRowLastColumn="0"/>
            <w:tcW w:w="940" w:type="pct"/>
          </w:tcPr>
          <w:p w14:paraId="3DC5BD86" w14:textId="77777777" w:rsidR="009B4E83" w:rsidRPr="00FA1A19" w:rsidRDefault="009B4E83">
            <w:pPr>
              <w:pStyle w:val="TableTextLeft"/>
              <w:rPr>
                <w:rFonts w:eastAsiaTheme="minorHAnsi"/>
                <w:lang w:eastAsia="en-US"/>
              </w:rPr>
            </w:pPr>
            <w:r w:rsidRPr="00FA1A19">
              <w:rPr>
                <w:rFonts w:eastAsiaTheme="minorHAnsi"/>
                <w:lang w:eastAsia="en-US"/>
              </w:rPr>
              <w:t>Current Direct Tax Treatment</w:t>
            </w:r>
          </w:p>
        </w:tc>
        <w:tc>
          <w:tcPr>
            <w:tcW w:w="4060" w:type="pct"/>
          </w:tcPr>
          <w:p w14:paraId="66048B74"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rPr>
                <w:rFonts w:eastAsiaTheme="minorHAnsi"/>
              </w:rPr>
              <w:t xml:space="preserve">In Singapore, taxation of crypto assets </w:t>
            </w:r>
            <w:r w:rsidRPr="00FA1A19">
              <w:t>follows general income tax rules and there is no targeted income tax legislation. Singapore</w:t>
            </w:r>
            <w:r>
              <w:t>’</w:t>
            </w:r>
            <w:r w:rsidRPr="00FA1A19">
              <w:t>s guidance is mainly focused on the income tax treatment of digital tokens, i.e. any cryptographically</w:t>
            </w:r>
            <w:r>
              <w:noBreakHyphen/>
            </w:r>
            <w:r w:rsidRPr="00FA1A19">
              <w:t xml:space="preserve">secured digital representation of value that can be transferred, stored or traded electronically. </w:t>
            </w:r>
          </w:p>
          <w:p w14:paraId="5766CFCF"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t>There are generally three types of digital tokens – payment</w:t>
            </w:r>
            <w:r w:rsidRPr="00170ADC">
              <w:rPr>
                <w:rStyle w:val="FootnoteReference"/>
              </w:rPr>
              <w:footnoteReference w:id="643"/>
            </w:r>
            <w:r w:rsidRPr="00FA1A19">
              <w:t>, utility</w:t>
            </w:r>
            <w:r w:rsidRPr="00170ADC">
              <w:rPr>
                <w:rStyle w:val="FootnoteReference"/>
              </w:rPr>
              <w:footnoteReference w:id="644"/>
            </w:r>
            <w:r w:rsidRPr="00FA1A19">
              <w:t xml:space="preserve"> and security</w:t>
            </w:r>
            <w:r w:rsidRPr="00170ADC">
              <w:rPr>
                <w:rStyle w:val="FootnoteReference"/>
                <w:rFonts w:eastAsiaTheme="minorHAnsi"/>
              </w:rPr>
              <w:footnoteReference w:id="645"/>
            </w:r>
            <w:r w:rsidRPr="00FA1A19">
              <w:t xml:space="preserve"> tokens, and the general tax treatment for transactions involving the use of such tokens are as follows:</w:t>
            </w:r>
          </w:p>
          <w:p w14:paraId="1E3F1CE8"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AD28CB">
              <w:rPr>
                <w:rStyle w:val="Strong"/>
              </w:rPr>
              <w:t xml:space="preserve">Payment token: </w:t>
            </w:r>
            <w:r w:rsidRPr="00FA1A19">
              <w:rPr>
                <w:rFonts w:eastAsiaTheme="minorHAnsi"/>
              </w:rPr>
              <w:t>Payment tokens are regarded as intangible property. Consequently, transactions involving the use of payment tokens as payment for goods or services are viewed as barter trade and the value of goods or services transferred should be determined at the point of transaction.</w:t>
            </w:r>
          </w:p>
          <w:p w14:paraId="7644A88D"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rPr>
                <w:rFonts w:eastAsiaTheme="minorHAnsi"/>
              </w:rPr>
            </w:pPr>
            <w:r w:rsidRPr="00AD28CB">
              <w:rPr>
                <w:rStyle w:val="Strong"/>
              </w:rPr>
              <w:t xml:space="preserve">Utility token: </w:t>
            </w:r>
            <w:r w:rsidRPr="00FA1A19">
              <w:rPr>
                <w:rFonts w:eastAsiaTheme="minorHAnsi"/>
              </w:rPr>
              <w:t>The use of a utility token to exchange for goods or services is unlikely to create an income subject to tax on the user at the point of exchange. It may, on the other hand, give rise to a deductible expense subject to usual deduction rules.</w:t>
            </w:r>
          </w:p>
          <w:p w14:paraId="430312DF"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rPr>
                <w:rFonts w:eastAsiaTheme="minorHAnsi"/>
              </w:rPr>
            </w:pPr>
            <w:r w:rsidRPr="00AD28CB">
              <w:rPr>
                <w:rStyle w:val="Strong"/>
                <w:rFonts w:eastAsiaTheme="minorHAnsi"/>
              </w:rPr>
              <w:t>Security token:</w:t>
            </w:r>
            <w:r w:rsidRPr="00AD28CB">
              <w:rPr>
                <w:rFonts w:eastAsiaTheme="minorHAnsi"/>
              </w:rPr>
              <w:t xml:space="preserve"> T</w:t>
            </w:r>
            <w:r w:rsidRPr="00FA1A19">
              <w:rPr>
                <w:rFonts w:eastAsiaTheme="minorHAnsi"/>
              </w:rPr>
              <w:t>he taxability of the return derived from a security token depends on the nature of the return, for example, whether it is in the form of interest, dividend or other distributions.</w:t>
            </w:r>
          </w:p>
          <w:p w14:paraId="67F7D358"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t>Payment tokens may appreciate or depreciate. If a change in fair value of the payment tokens is recognised in the financial statements for accounting purposes, such fair value gain/ loss will not be taxable/ deductible under current tax rules as the gain/ loss is not realised.</w:t>
            </w:r>
          </w:p>
          <w:p w14:paraId="2973CB1C" w14:textId="77777777" w:rsidR="009B4E83" w:rsidRPr="001E3898" w:rsidRDefault="009B4E83">
            <w:pPr>
              <w:pStyle w:val="TableTextLeft"/>
              <w:cnfStyle w:val="000000000000" w:firstRow="0" w:lastRow="0" w:firstColumn="0" w:lastColumn="0" w:oddVBand="0" w:evenVBand="0" w:oddHBand="0" w:evenHBand="0" w:firstRowFirstColumn="0" w:firstRowLastColumn="0" w:lastRowFirstColumn="0" w:lastRowLastColumn="0"/>
              <w:rPr>
                <w:rFonts w:ascii="Calibri" w:hAnsi="Calibri"/>
              </w:rPr>
            </w:pPr>
            <w:r w:rsidRPr="00FA1A19">
              <w:t xml:space="preserve">In addition, there may be situations where the gain/ loss on disposal of payment tokens is taxable, which are acquired over a period at different values/prices, e.g. when the taxpayer is a trader in payment tokens. For the purposes of computing the gain/ loss on disposal, IRAS will accept the First in first out (FIFO) or weighted average cost methods of valuing the payment token disposed. </w:t>
            </w:r>
          </w:p>
        </w:tc>
      </w:tr>
      <w:tr w:rsidR="009B4E83" w:rsidRPr="00FA1A19" w14:paraId="5C2279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32F6205" w14:textId="77777777" w:rsidR="009B4E83" w:rsidRPr="00FA1A19" w:rsidRDefault="009B4E83">
            <w:pPr>
              <w:pStyle w:val="TableTextLeft"/>
              <w:rPr>
                <w:rFonts w:eastAsiaTheme="minorHAnsi"/>
                <w:b w:val="0"/>
                <w:bCs w:val="0"/>
                <w:lang w:eastAsia="en-US"/>
              </w:rPr>
            </w:pPr>
            <w:r w:rsidRPr="00FA1A19">
              <w:rPr>
                <w:rFonts w:eastAsiaTheme="minorHAnsi"/>
                <w:lang w:eastAsia="en-US"/>
              </w:rPr>
              <w:t>Current Indirect Tax Treatment</w:t>
            </w:r>
          </w:p>
        </w:tc>
        <w:tc>
          <w:tcPr>
            <w:tcW w:w="4060" w:type="pct"/>
          </w:tcPr>
          <w:p w14:paraId="7BD05ED0"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rPr>
                <w:lang w:val="en-SG"/>
              </w:rPr>
            </w:pPr>
            <w:r w:rsidRPr="00FA1A19">
              <w:rPr>
                <w:lang w:val="en-SG"/>
              </w:rPr>
              <w:t>Digital payment tokens are tokens that are intended to function as a medium of exchange.</w:t>
            </w:r>
            <w:r w:rsidRPr="00170ADC">
              <w:rPr>
                <w:rStyle w:val="FootnoteReference"/>
              </w:rPr>
              <w:footnoteReference w:id="646"/>
            </w:r>
            <w:r w:rsidRPr="00FA1A19">
              <w:rPr>
                <w:lang w:val="en-SG"/>
              </w:rPr>
              <w:t xml:space="preserve"> </w:t>
            </w:r>
          </w:p>
          <w:p w14:paraId="03D23B4A"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pPr>
            <w:r w:rsidRPr="00FA1A19">
              <w:rPr>
                <w:rFonts w:eastAsiaTheme="minorHAnsi"/>
              </w:rPr>
              <w:t xml:space="preserve">With effect from 1 Jan 2020, supplies of digital payment tokens </w:t>
            </w:r>
            <w:r w:rsidRPr="00FA1A19">
              <w:t>are not</w:t>
            </w:r>
            <w:r w:rsidRPr="00FA1A19">
              <w:rPr>
                <w:rFonts w:eastAsiaTheme="minorHAnsi"/>
              </w:rPr>
              <w:t xml:space="preserve"> subject to GST. </w:t>
            </w:r>
            <w:r w:rsidRPr="00FA1A19">
              <w:t>Specifically:</w:t>
            </w:r>
          </w:p>
          <w:p w14:paraId="333944C0" w14:textId="77777777" w:rsidR="009B4E83" w:rsidRPr="00FA1A19" w:rsidRDefault="009B4E83">
            <w:pPr>
              <w:pStyle w:val="TableTextLeftBullet"/>
              <w:cnfStyle w:val="000000100000" w:firstRow="0" w:lastRow="0" w:firstColumn="0" w:lastColumn="0" w:oddVBand="0" w:evenVBand="0" w:oddHBand="1" w:evenHBand="0" w:firstRowFirstColumn="0" w:firstRowLastColumn="0" w:lastRowFirstColumn="0" w:lastRowLastColumn="0"/>
            </w:pPr>
            <w:r w:rsidRPr="00FA1A19">
              <w:t xml:space="preserve">The use of digital payment tokens as payment for goods or services will no longer give rise to a supply of those tokens. </w:t>
            </w:r>
          </w:p>
          <w:p w14:paraId="370F3C70" w14:textId="77777777" w:rsidR="009B4E83" w:rsidRPr="00FA1A19" w:rsidRDefault="009B4E83">
            <w:pPr>
              <w:pStyle w:val="TableTextLeftBullet"/>
              <w:cnfStyle w:val="000000100000" w:firstRow="0" w:lastRow="0" w:firstColumn="0" w:lastColumn="0" w:oddVBand="0" w:evenVBand="0" w:oddHBand="1" w:evenHBand="0" w:firstRowFirstColumn="0" w:firstRowLastColumn="0" w:lastRowFirstColumn="0" w:lastRowLastColumn="0"/>
            </w:pPr>
            <w:r w:rsidRPr="00FA1A19">
              <w:t>A supply of digital payment tokens in exchange for fiat currency or other digital payment tokens, and the provision of any loan, advance or credit of digital payment tokens will be exempt from GST. Therefore, the supply of such tokens, being an exempt supply, will not contribute to annual taxable turnover for the determination of the liability for GST registration.</w:t>
            </w:r>
          </w:p>
          <w:p w14:paraId="5E8E617D"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pPr>
            <w:r w:rsidRPr="00FA1A19">
              <w:t>The GST treatment for digital tokens / virtual currencies / cryptocurrencies that do not qualify as digital payment tokens are regarded as taxable supplies of services, unless they fall under the prescribed list of exempt financial services. For example, a security token that represents a share in a company or a debt instrument is currently exempt</w:t>
            </w:r>
            <w:r w:rsidRPr="00170ADC">
              <w:rPr>
                <w:rStyle w:val="FootnoteReference"/>
              </w:rPr>
              <w:footnoteReference w:id="647"/>
            </w:r>
            <w:r w:rsidRPr="00FA1A19">
              <w:t xml:space="preserve"> and thus, is excluded from the definition of digital payment token. Additionally, tokens which are regarded as utility tokens (refer above) will be subject to the same GST treatment as vouchers.</w:t>
            </w:r>
            <w:r w:rsidRPr="00170ADC">
              <w:rPr>
                <w:rStyle w:val="FootnoteReference"/>
              </w:rPr>
              <w:footnoteReference w:id="648"/>
            </w:r>
          </w:p>
          <w:p w14:paraId="173ED938"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pPr>
            <w:r w:rsidRPr="00FA1A19">
              <w:t>In the mining process, there is generally no close nexus between the service provided by the miner to the persons whose transactions are verified, and the mined tokens that the miner received from the blockchain ecosystem (e.g. the block reward). The parties paying the mined tokens are generally also not identifiable. Therefore, the mining of digital payment tokens does not constitute a supply for GST purposes.</w:t>
            </w:r>
          </w:p>
          <w:p w14:paraId="612006E5"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pPr>
            <w:r w:rsidRPr="00FA1A19">
              <w:t>However, if a miner provides services to an identifiable party or parties, in return for a consideration (e.g. a commission or transaction fee), this constitutes a taxable supply of services.</w:t>
            </w:r>
          </w:p>
          <w:p w14:paraId="24B558F5"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rPr>
                <w:rFonts w:eastAsiaTheme="minorHAnsi"/>
                <w:sz w:val="20"/>
                <w:szCs w:val="20"/>
                <w:lang w:eastAsia="en-US"/>
              </w:rPr>
            </w:pPr>
            <w:r w:rsidRPr="00FA1A19">
              <w:rPr>
                <w:rFonts w:eastAsiaTheme="majorEastAsia"/>
              </w:rPr>
              <w:t>Similarly, services provided by intermediaries remain taxable even if these are in relation to digital payment token transactions.</w:t>
            </w:r>
          </w:p>
        </w:tc>
      </w:tr>
      <w:tr w:rsidR="009B4E83" w:rsidRPr="00FA1A19" w14:paraId="49AAFEA7" w14:textId="77777777">
        <w:tc>
          <w:tcPr>
            <w:cnfStyle w:val="001000000000" w:firstRow="0" w:lastRow="0" w:firstColumn="1" w:lastColumn="0" w:oddVBand="0" w:evenVBand="0" w:oddHBand="0" w:evenHBand="0" w:firstRowFirstColumn="0" w:firstRowLastColumn="0" w:lastRowFirstColumn="0" w:lastRowLastColumn="0"/>
            <w:tcW w:w="940" w:type="pct"/>
          </w:tcPr>
          <w:p w14:paraId="31A3F244" w14:textId="77777777" w:rsidR="009B4E83" w:rsidRPr="00FA1A19" w:rsidRDefault="009B4E83">
            <w:pPr>
              <w:pStyle w:val="TableTextLeft"/>
              <w:rPr>
                <w:rFonts w:eastAsiaTheme="minorHAnsi"/>
                <w:lang w:eastAsia="en-US"/>
              </w:rPr>
            </w:pPr>
            <w:r w:rsidRPr="00FA1A19">
              <w:rPr>
                <w:rFonts w:eastAsiaTheme="minorHAnsi"/>
                <w:lang w:eastAsia="en-US"/>
              </w:rPr>
              <w:t>Certain Transactions</w:t>
            </w:r>
          </w:p>
        </w:tc>
        <w:tc>
          <w:tcPr>
            <w:tcW w:w="4060" w:type="pct"/>
          </w:tcPr>
          <w:p w14:paraId="7991E88D" w14:textId="4978EB85"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For income tax purposes, the taxability of the proceeds of an Initial Coin Offering (ICO, see </w:t>
            </w:r>
            <w:r w:rsidR="00372633">
              <w:t>Chapter </w:t>
            </w:r>
            <w:r w:rsidRPr="00FA1A19">
              <w:t>3), in the hands of the token issuer depends on the rights and functions of the tokens issued to the investors. The proceeds from the issuance of payment tokens may be taxable depending on its specific facts and circumstances; while the proceeds from the issuance of utility tokens will generally be regarded as deferred revenue. Proceeds from the issuance of security tokens are akin to proceeds from the issuance of securities or other investment assets/instruments and are thus capital in nature and not taxable.</w:t>
            </w:r>
          </w:p>
          <w:p w14:paraId="6D935EDC"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rPr>
                <w:rFonts w:eastAsiaTheme="minorHAnsi" w:cstheme="minorHAnsi"/>
                <w:lang w:eastAsia="en-US"/>
              </w:rPr>
            </w:pPr>
            <w:r w:rsidRPr="00FA1A19">
              <w:t>For GST purposes, the issue of tokens in an ICO in return for a consideration (e.g. fiat currency or other digital payment tokens) may be treated as a taxable or exempt supply depending on the characteristics of the tokens issued. For example, if the tokens issued via the ICO qualify as digital payment tokens, the issuance of the tokens via the ICO will be an exempt supply unless it qualifies for zero</w:t>
            </w:r>
            <w:r>
              <w:noBreakHyphen/>
            </w:r>
            <w:r w:rsidRPr="00FA1A19">
              <w:t>rating.</w:t>
            </w:r>
          </w:p>
        </w:tc>
      </w:tr>
      <w:tr w:rsidR="009B4E83" w:rsidRPr="00FA1A19" w14:paraId="4F80A6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3FF839B0" w14:textId="77777777" w:rsidR="009B4E83" w:rsidRPr="00FA1A19" w:rsidRDefault="009B4E83">
            <w:pPr>
              <w:pStyle w:val="TableTextLeft"/>
              <w:rPr>
                <w:rFonts w:eastAsiaTheme="minorHAnsi"/>
                <w:lang w:eastAsia="en-US"/>
              </w:rPr>
            </w:pPr>
            <w:r w:rsidRPr="00FA1A19">
              <w:rPr>
                <w:rFonts w:eastAsiaTheme="minorHAnsi"/>
                <w:lang w:eastAsia="en-US"/>
              </w:rPr>
              <w:t>Guidance &amp; Education</w:t>
            </w:r>
          </w:p>
        </w:tc>
        <w:tc>
          <w:tcPr>
            <w:tcW w:w="4060" w:type="pct"/>
          </w:tcPr>
          <w:p w14:paraId="30C9F9CB"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The IRAS has structured and succinct e</w:t>
            </w:r>
            <w:r>
              <w:rPr>
                <w:rFonts w:eastAsiaTheme="minorHAnsi"/>
                <w:lang w:eastAsia="en-US"/>
              </w:rPr>
              <w:noBreakHyphen/>
            </w:r>
            <w:r w:rsidRPr="00FA1A19">
              <w:rPr>
                <w:rFonts w:eastAsiaTheme="minorHAnsi"/>
                <w:lang w:eastAsia="en-US"/>
              </w:rPr>
              <w:t xml:space="preserve">Tax Guides on: </w:t>
            </w:r>
            <w:r>
              <w:rPr>
                <w:rFonts w:eastAsiaTheme="minorHAnsi"/>
                <w:lang w:eastAsia="en-US"/>
              </w:rPr>
              <w:t>‘</w:t>
            </w:r>
            <w:r w:rsidRPr="00FA1A19">
              <w:rPr>
                <w:rFonts w:eastAsiaTheme="minorHAnsi"/>
                <w:lang w:eastAsia="en-US"/>
              </w:rPr>
              <w:t>Income Tax Treatment of Digital Tokens</w:t>
            </w:r>
            <w:r>
              <w:rPr>
                <w:rFonts w:eastAsiaTheme="minorHAnsi"/>
                <w:lang w:eastAsia="en-US"/>
              </w:rPr>
              <w:t>’</w:t>
            </w:r>
            <w:r w:rsidRPr="00170ADC">
              <w:rPr>
                <w:rStyle w:val="FootnoteReference"/>
                <w:rFonts w:eastAsiaTheme="minorHAnsi"/>
              </w:rPr>
              <w:footnoteReference w:id="649"/>
            </w:r>
            <w:r w:rsidRPr="00FA1A19">
              <w:rPr>
                <w:rFonts w:eastAsiaTheme="minorHAnsi"/>
                <w:lang w:eastAsia="en-US"/>
              </w:rPr>
              <w:t xml:space="preserve"> and </w:t>
            </w:r>
            <w:r>
              <w:rPr>
                <w:rFonts w:eastAsiaTheme="minorHAnsi"/>
                <w:lang w:eastAsia="en-US"/>
              </w:rPr>
              <w:t>‘</w:t>
            </w:r>
            <w:r w:rsidRPr="00FA1A19">
              <w:rPr>
                <w:rFonts w:eastAsiaTheme="minorHAnsi"/>
                <w:lang w:eastAsia="en-US"/>
              </w:rPr>
              <w:t>GST: Digital Payment Tokens</w:t>
            </w:r>
            <w:r>
              <w:rPr>
                <w:rFonts w:eastAsiaTheme="minorHAnsi"/>
                <w:lang w:eastAsia="en-US"/>
              </w:rPr>
              <w:t>’</w:t>
            </w:r>
            <w:r w:rsidRPr="00170ADC">
              <w:rPr>
                <w:rStyle w:val="FootnoteReference"/>
                <w:rFonts w:eastAsiaTheme="minorHAnsi"/>
              </w:rPr>
              <w:footnoteReference w:id="650"/>
            </w:r>
            <w:r w:rsidRPr="00FA1A19">
              <w:rPr>
                <w:rFonts w:eastAsiaTheme="minorHAnsi"/>
                <w:lang w:eastAsia="en-US"/>
              </w:rPr>
              <w:t>.</w:t>
            </w:r>
          </w:p>
        </w:tc>
      </w:tr>
      <w:tr w:rsidR="009B4E83" w:rsidRPr="00FA1A19" w14:paraId="61B1CB5F" w14:textId="77777777">
        <w:tc>
          <w:tcPr>
            <w:cnfStyle w:val="001000000000" w:firstRow="0" w:lastRow="0" w:firstColumn="1" w:lastColumn="0" w:oddVBand="0" w:evenVBand="0" w:oddHBand="0" w:evenHBand="0" w:firstRowFirstColumn="0" w:firstRowLastColumn="0" w:lastRowFirstColumn="0" w:lastRowLastColumn="0"/>
            <w:tcW w:w="940" w:type="pct"/>
          </w:tcPr>
          <w:p w14:paraId="1591C00D" w14:textId="77777777" w:rsidR="009B4E83" w:rsidRPr="00FA1A19" w:rsidRDefault="009B4E83">
            <w:pPr>
              <w:pStyle w:val="TableTextLeft"/>
              <w:rPr>
                <w:rFonts w:eastAsiaTheme="minorHAnsi"/>
                <w:lang w:eastAsia="en-US"/>
              </w:rPr>
            </w:pPr>
            <w:r w:rsidRPr="00FA1A19">
              <w:rPr>
                <w:rFonts w:eastAsiaTheme="minorHAnsi"/>
                <w:lang w:eastAsia="en-US"/>
              </w:rPr>
              <w:t>Record Keeping &amp; Valuation</w:t>
            </w:r>
          </w:p>
        </w:tc>
        <w:tc>
          <w:tcPr>
            <w:tcW w:w="4060" w:type="pct"/>
          </w:tcPr>
          <w:p w14:paraId="13816B4C" w14:textId="77777777" w:rsidR="009B4E83" w:rsidRPr="00CD138E" w:rsidRDefault="009B4E83">
            <w:pPr>
              <w:pStyle w:val="TableTextLeft"/>
              <w:cnfStyle w:val="000000000000" w:firstRow="0" w:lastRow="0" w:firstColumn="0" w:lastColumn="0" w:oddVBand="0" w:evenVBand="0" w:oddHBand="0" w:evenHBand="0" w:firstRowFirstColumn="0" w:firstRowLastColumn="0" w:lastRowFirstColumn="0" w:lastRowLastColumn="0"/>
              <w:rPr>
                <w:b/>
                <w:bCs/>
              </w:rPr>
            </w:pPr>
            <w:r>
              <w:rPr>
                <w:b/>
                <w:bCs/>
              </w:rPr>
              <w:t>Record keeping</w:t>
            </w:r>
          </w:p>
          <w:p w14:paraId="66FDFB67" w14:textId="03F7E55B" w:rsidR="009B4E83"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t>Taxpayers are required to keep proper records of transactions involving crypto assets, according to published guidelines and must furnish additional information and supporting documents to IRAS upon request, for income tax and/or GST purposes. The</w:t>
            </w:r>
            <w:r w:rsidR="005E488B">
              <w:t> </w:t>
            </w:r>
            <w:r w:rsidRPr="00FA1A19">
              <w:t>IRAS provide details of these records in its public guides.</w:t>
            </w:r>
            <w:r w:rsidRPr="00170ADC">
              <w:rPr>
                <w:rStyle w:val="FootnoteReference"/>
              </w:rPr>
              <w:footnoteReference w:id="651"/>
            </w:r>
          </w:p>
          <w:p w14:paraId="38A2927C" w14:textId="77777777" w:rsidR="009B4E83" w:rsidRPr="00CD138E" w:rsidRDefault="009B4E83">
            <w:pPr>
              <w:pStyle w:val="TableTextLeft"/>
              <w:cnfStyle w:val="000000000000" w:firstRow="0" w:lastRow="0" w:firstColumn="0" w:lastColumn="0" w:oddVBand="0" w:evenVBand="0" w:oddHBand="0" w:evenHBand="0" w:firstRowFirstColumn="0" w:firstRowLastColumn="0" w:lastRowFirstColumn="0" w:lastRowLastColumn="0"/>
              <w:rPr>
                <w:b/>
                <w:bCs/>
              </w:rPr>
            </w:pPr>
            <w:r>
              <w:rPr>
                <w:b/>
                <w:bCs/>
              </w:rPr>
              <w:t>Valuation</w:t>
            </w:r>
          </w:p>
          <w:p w14:paraId="4FDA6062"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t>In relation to valuations, the IRAS retains the right to enquire into the valuation method used by taxpayers and taxpayers should be able to substantiate their valuation method with the relevant supporting documentation, however for income tax purposes, IRAS does not prescribe any methodology to value payment tokens. Taxpayers can use an exchange rate that best reflects the value of the tokens received, provided that the following two conditions are satisfied:</w:t>
            </w:r>
          </w:p>
          <w:p w14:paraId="07B0786E" w14:textId="77777777" w:rsidR="009B4E83" w:rsidRPr="00FA1A19" w:rsidRDefault="009B4E83">
            <w:pPr>
              <w:pStyle w:val="TableTextLeftBullet"/>
              <w:cnfStyle w:val="000000000000" w:firstRow="0" w:lastRow="0" w:firstColumn="0" w:lastColumn="0" w:oddVBand="0" w:evenVBand="0" w:oddHBand="0" w:evenHBand="0" w:firstRowFirstColumn="0" w:firstRowLastColumn="0" w:lastRowFirstColumn="0" w:lastRowLastColumn="0"/>
            </w:pPr>
            <w:r>
              <w:t>t</w:t>
            </w:r>
            <w:r w:rsidRPr="00FA1A19">
              <w:t>he exchange rate must be reasonable and verifiable</w:t>
            </w:r>
            <w:r w:rsidRPr="00170ADC">
              <w:rPr>
                <w:rStyle w:val="FootnoteReference"/>
              </w:rPr>
              <w:footnoteReference w:id="652"/>
            </w:r>
            <w:r w:rsidRPr="00FA1A19">
              <w:t xml:space="preserve"> </w:t>
            </w:r>
          </w:p>
          <w:p w14:paraId="1808CBDC" w14:textId="77777777" w:rsidR="009B4E83" w:rsidRPr="00FA1A19" w:rsidRDefault="009B4E83">
            <w:pPr>
              <w:pStyle w:val="TableTextLeftBullet"/>
              <w:cnfStyle w:val="000000000000" w:firstRow="0" w:lastRow="0" w:firstColumn="0" w:lastColumn="0" w:oddVBand="0" w:evenVBand="0" w:oddHBand="0" w:evenHBand="0" w:firstRowFirstColumn="0" w:firstRowLastColumn="0" w:lastRowFirstColumn="0" w:lastRowLastColumn="0"/>
            </w:pPr>
            <w:r>
              <w:t>t</w:t>
            </w:r>
            <w:r w:rsidRPr="00FA1A19">
              <w:t>he methodology used to determine the exchange rate should be consistently applied year on year.</w:t>
            </w:r>
          </w:p>
          <w:p w14:paraId="16C13B5D"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When a supplier receives digital payment tokens as consideration for its supply of goods or services, the supplier should report the open market value of the goods or services as the value of its supply in its GST return. </w:t>
            </w:r>
          </w:p>
          <w:p w14:paraId="0E0F1CC1" w14:textId="77777777" w:rsidR="009B4E83" w:rsidRPr="00FA1A19" w:rsidRDefault="009B4E83">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On the other hand, in an exchange of digital payment tokens for fiat currency or other digital payment tokens, the supplier may report as the value of supply, either: </w:t>
            </w:r>
          </w:p>
          <w:p w14:paraId="74CED3E7" w14:textId="77777777" w:rsidR="009B4E83" w:rsidRPr="00FA1A19" w:rsidRDefault="009B4E83">
            <w:pPr>
              <w:pStyle w:val="TableTextLeftBullet"/>
              <w:cnfStyle w:val="000000000000" w:firstRow="0" w:lastRow="0" w:firstColumn="0" w:lastColumn="0" w:oddVBand="0" w:evenVBand="0" w:oddHBand="0" w:evenHBand="0" w:firstRowFirstColumn="0" w:firstRowLastColumn="0" w:lastRowFirstColumn="0" w:lastRowLastColumn="0"/>
              <w:rPr>
                <w:rFonts w:eastAsiaTheme="majorEastAsia"/>
              </w:rPr>
            </w:pPr>
            <w:r w:rsidRPr="00FA1A19">
              <w:rPr>
                <w:rFonts w:eastAsiaTheme="majorEastAsia"/>
              </w:rPr>
              <w:t xml:space="preserve">the </w:t>
            </w:r>
            <w:r w:rsidRPr="00FA1A19">
              <w:t>realised</w:t>
            </w:r>
            <w:r w:rsidRPr="00FA1A19">
              <w:rPr>
                <w:rFonts w:eastAsiaTheme="majorEastAsia"/>
              </w:rPr>
              <w:t xml:space="preserve"> gain/loss from the exchange. This is similar to the current reporting for exchange of fiat currencies</w:t>
            </w:r>
          </w:p>
          <w:p w14:paraId="3DA4432C" w14:textId="77777777" w:rsidR="009B4E83" w:rsidRPr="00FA1A19" w:rsidRDefault="009B4E83">
            <w:pPr>
              <w:pStyle w:val="TableTextLeftBulle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ajorEastAsia"/>
              </w:rPr>
              <w:t xml:space="preserve">the </w:t>
            </w:r>
            <w:r w:rsidRPr="00FA1A19">
              <w:t>proceeds</w:t>
            </w:r>
            <w:r w:rsidRPr="00FA1A19">
              <w:rPr>
                <w:rFonts w:eastAsiaTheme="majorEastAsia"/>
              </w:rPr>
              <w:t xml:space="preserve"> received.</w:t>
            </w:r>
          </w:p>
        </w:tc>
      </w:tr>
      <w:tr w:rsidR="009B4E83" w:rsidRPr="00FA1A19" w14:paraId="4A0241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Pr>
          <w:p w14:paraId="7CD3D3EC" w14:textId="77777777" w:rsidR="009B4E83" w:rsidRPr="00FA1A19" w:rsidRDefault="009B4E83">
            <w:pPr>
              <w:pStyle w:val="TableTextLeft"/>
              <w:rPr>
                <w:rFonts w:eastAsiaTheme="minorHAnsi"/>
                <w:lang w:eastAsia="en-US"/>
              </w:rPr>
            </w:pPr>
            <w:r w:rsidRPr="00FA1A19">
              <w:rPr>
                <w:rFonts w:eastAsiaTheme="minorHAnsi"/>
                <w:lang w:eastAsia="en-US"/>
              </w:rPr>
              <w:t>Reporting &amp; Tax Transparency</w:t>
            </w:r>
          </w:p>
        </w:tc>
        <w:tc>
          <w:tcPr>
            <w:tcW w:w="4060" w:type="pct"/>
          </w:tcPr>
          <w:p w14:paraId="657611D3"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pPr>
            <w:r w:rsidRPr="00FA1A19">
              <w:t>For Income tax purposes, taxpayers must report crypto transactions as required in their income tax returns.</w:t>
            </w:r>
          </w:p>
          <w:p w14:paraId="7D96A6B0" w14:textId="77777777" w:rsidR="009B4E83" w:rsidRPr="00FA1A19" w:rsidRDefault="009B4E83">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For GST purposes, from 1 January 2020: </w:t>
            </w:r>
          </w:p>
          <w:p w14:paraId="1785A261" w14:textId="77777777" w:rsidR="009B4E83" w:rsidRPr="00FA1A19" w:rsidRDefault="009B4E83">
            <w:pPr>
              <w:pStyle w:val="TableTextLeftBullet"/>
              <w:cnfStyle w:val="000000100000" w:firstRow="0" w:lastRow="0" w:firstColumn="0" w:lastColumn="0" w:oddVBand="0" w:evenVBand="0" w:oddHBand="1" w:evenHBand="0" w:firstRowFirstColumn="0" w:firstRowLastColumn="0" w:lastRowFirstColumn="0" w:lastRowLastColumn="0"/>
            </w:pPr>
            <w:r w:rsidRPr="00FA1A19">
              <w:t>A GST</w:t>
            </w:r>
            <w:r>
              <w:noBreakHyphen/>
            </w:r>
            <w:r w:rsidRPr="00FA1A19">
              <w:t xml:space="preserve">registered customer using digital payment tokens as a means of payment for goods and services will not need to account for GST on its use. This is because the use of digital payment tokens as payments for goods or services will no longer give rise to a supply. </w:t>
            </w:r>
          </w:p>
          <w:p w14:paraId="7CB32133" w14:textId="77777777" w:rsidR="009B4E83" w:rsidRPr="00FA1A19" w:rsidRDefault="009B4E83">
            <w:pPr>
              <w:pStyle w:val="TableTextLeftBullet"/>
              <w:cnfStyle w:val="000000100000" w:firstRow="0" w:lastRow="0" w:firstColumn="0" w:lastColumn="0" w:oddVBand="0" w:evenVBand="0" w:oddHBand="1" w:evenHBand="0" w:firstRowFirstColumn="0" w:firstRowLastColumn="0" w:lastRowFirstColumn="0" w:lastRowLastColumn="0"/>
            </w:pPr>
            <w:r w:rsidRPr="00FA1A19">
              <w:t>A GST</w:t>
            </w:r>
            <w:r>
              <w:noBreakHyphen/>
            </w:r>
            <w:r w:rsidRPr="00FA1A19">
              <w:t>registered business exchanging digital payment tokens for fiat currency or other digital payment tokens will have to report an exempt supply in their GST return (unless the supply qualifies for zero</w:t>
            </w:r>
            <w:r>
              <w:noBreakHyphen/>
            </w:r>
            <w:r w:rsidRPr="00FA1A19">
              <w:t>rating).</w:t>
            </w:r>
          </w:p>
          <w:p w14:paraId="7F0DAA0B" w14:textId="77777777" w:rsidR="009B4E83" w:rsidRPr="00FA1A19" w:rsidRDefault="009B4E83">
            <w:pPr>
              <w:pStyle w:val="TableTextLeftBullet"/>
              <w:cnfStyle w:val="000000100000" w:firstRow="0" w:lastRow="0" w:firstColumn="0" w:lastColumn="0" w:oddVBand="0" w:evenVBand="0" w:oddHBand="1" w:evenHBand="0" w:firstRowFirstColumn="0" w:firstRowLastColumn="0" w:lastRowFirstColumn="0" w:lastRowLastColumn="0"/>
            </w:pPr>
            <w:r w:rsidRPr="00FA1A19">
              <w:t>A GST</w:t>
            </w:r>
            <w:r>
              <w:noBreakHyphen/>
            </w:r>
            <w:r w:rsidRPr="00FA1A19">
              <w:t>registered business providing a loan, advance or credit of digital payment tokens will have to report an exempt supply in their GST return (unless the supply qualifies for zero</w:t>
            </w:r>
            <w:r>
              <w:noBreakHyphen/>
            </w:r>
            <w:r w:rsidRPr="00FA1A19">
              <w:t xml:space="preserve">rating). </w:t>
            </w:r>
          </w:p>
          <w:p w14:paraId="4A416666" w14:textId="77777777" w:rsidR="009B4E83" w:rsidRPr="00FA1A19" w:rsidRDefault="009B4E83">
            <w:pPr>
              <w:pStyle w:val="TableTextLeftBullet"/>
              <w:cnfStyle w:val="000000100000" w:firstRow="0" w:lastRow="0" w:firstColumn="0" w:lastColumn="0" w:oddVBand="0" w:evenVBand="0" w:oddHBand="1" w:evenHBand="0" w:firstRowFirstColumn="0" w:firstRowLastColumn="0" w:lastRowFirstColumn="0" w:lastRowLastColumn="0"/>
              <w:rPr>
                <w:rFonts w:eastAsiaTheme="minorHAnsi"/>
              </w:rPr>
            </w:pPr>
            <w:r w:rsidRPr="00FA1A19">
              <w:t>A GST</w:t>
            </w:r>
            <w:r>
              <w:noBreakHyphen/>
            </w:r>
            <w:r w:rsidRPr="00FA1A19">
              <w:t>registered intermediary facilitating transactions of digital payment tokens on behalf of customers in return for a fee will be considered as providing a taxable supply of services (i.e. standard</w:t>
            </w:r>
            <w:r>
              <w:noBreakHyphen/>
            </w:r>
            <w:r w:rsidRPr="00FA1A19">
              <w:t>rated unless the supply qualifies for zero</w:t>
            </w:r>
            <w:r>
              <w:noBreakHyphen/>
            </w:r>
            <w:r w:rsidRPr="00FA1A19">
              <w:t>rating.</w:t>
            </w:r>
          </w:p>
        </w:tc>
      </w:tr>
    </w:tbl>
    <w:p w14:paraId="62387A87" w14:textId="77777777" w:rsidR="005E488B" w:rsidRDefault="005E488B" w:rsidP="005E488B"/>
    <w:p w14:paraId="36C57011" w14:textId="77777777" w:rsidR="005E488B" w:rsidRDefault="005E488B" w:rsidP="005E488B">
      <w:r>
        <w:br w:type="page"/>
      </w:r>
    </w:p>
    <w:p w14:paraId="6EB69BF7" w14:textId="2BC16ED3" w:rsidR="00641869" w:rsidRPr="001E3898" w:rsidRDefault="00641869" w:rsidP="001E3898">
      <w:pPr>
        <w:pStyle w:val="Heading3"/>
      </w:pPr>
      <w:r w:rsidRPr="00FA1A19">
        <w:t>United Kingdom</w:t>
      </w:r>
    </w:p>
    <w:tbl>
      <w:tblPr>
        <w:tblStyle w:val="ListTable3-Accent1"/>
        <w:tblW w:w="5000" w:type="pct"/>
        <w:tblLook w:val="04A0" w:firstRow="1" w:lastRow="0" w:firstColumn="1" w:lastColumn="0" w:noHBand="0" w:noVBand="1"/>
      </w:tblPr>
      <w:tblGrid>
        <w:gridCol w:w="1830"/>
        <w:gridCol w:w="7801"/>
      </w:tblGrid>
      <w:tr w:rsidR="00641869" w:rsidRPr="00FA1A19" w14:paraId="70580DC0" w14:textId="77777777" w:rsidTr="009855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0" w:type="pct"/>
          </w:tcPr>
          <w:p w14:paraId="6E8A557A" w14:textId="77777777" w:rsidR="00641869" w:rsidRPr="00FA1A19" w:rsidRDefault="00641869" w:rsidP="001E3898">
            <w:pPr>
              <w:pStyle w:val="TableColumnHeadingLeft"/>
              <w:rPr>
                <w:rFonts w:eastAsiaTheme="minorHAnsi"/>
                <w:lang w:eastAsia="en-US"/>
              </w:rPr>
            </w:pPr>
            <w:r w:rsidRPr="00FA1A19">
              <w:rPr>
                <w:rFonts w:eastAsiaTheme="minorHAnsi"/>
                <w:lang w:eastAsia="en-US"/>
              </w:rPr>
              <w:t xml:space="preserve">Topic </w:t>
            </w:r>
          </w:p>
        </w:tc>
        <w:tc>
          <w:tcPr>
            <w:tcW w:w="4050" w:type="pct"/>
          </w:tcPr>
          <w:p w14:paraId="4BFE282C" w14:textId="77777777" w:rsidR="00641869" w:rsidRPr="00FA1A19" w:rsidRDefault="00641869" w:rsidP="001E3898">
            <w:pPr>
              <w:pStyle w:val="TableColumnHeadingLeft"/>
              <w:cnfStyle w:val="100000000000" w:firstRow="1"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Explanation</w:t>
            </w:r>
          </w:p>
        </w:tc>
      </w:tr>
      <w:tr w:rsidR="00641869" w:rsidRPr="00FA1A19" w14:paraId="74E696E1"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0CADD0FD" w14:textId="77777777" w:rsidR="00641869" w:rsidRPr="00FA1A19" w:rsidRDefault="00641869" w:rsidP="00651344">
            <w:pPr>
              <w:pStyle w:val="TableTextLeft"/>
              <w:rPr>
                <w:rFonts w:eastAsiaTheme="minorHAnsi"/>
                <w:lang w:eastAsia="en-US"/>
              </w:rPr>
            </w:pPr>
            <w:r w:rsidRPr="00FA1A19">
              <w:rPr>
                <w:rFonts w:eastAsiaTheme="minorHAnsi"/>
                <w:lang w:eastAsia="en-US"/>
              </w:rPr>
              <w:t xml:space="preserve">Revenue Authority </w:t>
            </w:r>
          </w:p>
        </w:tc>
        <w:tc>
          <w:tcPr>
            <w:tcW w:w="4050" w:type="pct"/>
          </w:tcPr>
          <w:p w14:paraId="03372081" w14:textId="11737A55" w:rsidR="00641869" w:rsidRPr="00FA1A19" w:rsidRDefault="002171CD"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rPr>
                <w:rFonts w:eastAsiaTheme="minorHAnsi"/>
                <w:lang w:eastAsia="en-US"/>
              </w:rPr>
              <w:t>HM</w:t>
            </w:r>
            <w:r w:rsidR="0066719A" w:rsidRPr="00FA1A19">
              <w:rPr>
                <w:rFonts w:eastAsiaTheme="minorHAnsi"/>
                <w:lang w:eastAsia="en-US"/>
              </w:rPr>
              <w:t xml:space="preserve"> </w:t>
            </w:r>
            <w:r w:rsidR="00641869" w:rsidRPr="00FA1A19">
              <w:rPr>
                <w:rFonts w:eastAsiaTheme="minorHAnsi"/>
                <w:lang w:eastAsia="en-US"/>
              </w:rPr>
              <w:t>Revenue &amp; Customs</w:t>
            </w:r>
            <w:r w:rsidR="0066719A" w:rsidRPr="00FA1A19">
              <w:rPr>
                <w:rFonts w:eastAsiaTheme="minorHAnsi"/>
                <w:lang w:eastAsia="en-US"/>
              </w:rPr>
              <w:t xml:space="preserve"> (HMRC)</w:t>
            </w:r>
            <w:r w:rsidR="00366DA1">
              <w:rPr>
                <w:rFonts w:eastAsiaTheme="minorHAnsi"/>
                <w:lang w:eastAsia="en-US"/>
              </w:rPr>
              <w:t xml:space="preserve"> </w:t>
            </w:r>
            <w:r w:rsidR="00366DA1">
              <w:rPr>
                <w:rFonts w:eastAsiaTheme="minorEastAsia" w:cstheme="minorBidi"/>
                <w:lang w:eastAsia="en-US"/>
              </w:rPr>
              <w:t>is the</w:t>
            </w:r>
            <w:r w:rsidR="00366DA1" w:rsidRPr="00FA1A19">
              <w:rPr>
                <w:rFonts w:eastAsiaTheme="minorEastAsia" w:cstheme="minorBidi"/>
                <w:lang w:eastAsia="en-US"/>
              </w:rPr>
              <w:t xml:space="preserve"> federal government body responsible for administering taxes in </w:t>
            </w:r>
            <w:r w:rsidR="00366DA1">
              <w:rPr>
                <w:rFonts w:eastAsiaTheme="minorEastAsia" w:cstheme="minorBidi"/>
                <w:lang w:eastAsia="en-US"/>
              </w:rPr>
              <w:t>the UK</w:t>
            </w:r>
            <w:r w:rsidR="0020152A" w:rsidRPr="00FA1A19">
              <w:rPr>
                <w:rFonts w:eastAsiaTheme="minorHAnsi"/>
                <w:lang w:eastAsia="en-US"/>
              </w:rPr>
              <w:t>.</w:t>
            </w:r>
          </w:p>
        </w:tc>
      </w:tr>
      <w:tr w:rsidR="00641869" w:rsidRPr="00FA1A19" w14:paraId="35528B09" w14:textId="77777777" w:rsidTr="0098550D">
        <w:tc>
          <w:tcPr>
            <w:cnfStyle w:val="001000000000" w:firstRow="0" w:lastRow="0" w:firstColumn="1" w:lastColumn="0" w:oddVBand="0" w:evenVBand="0" w:oddHBand="0" w:evenHBand="0" w:firstRowFirstColumn="0" w:firstRowLastColumn="0" w:lastRowFirstColumn="0" w:lastRowLastColumn="0"/>
            <w:tcW w:w="950" w:type="pct"/>
          </w:tcPr>
          <w:p w14:paraId="4D372169" w14:textId="77777777" w:rsidR="00641869" w:rsidRPr="00FA1A19" w:rsidRDefault="00641869" w:rsidP="00651344">
            <w:pPr>
              <w:pStyle w:val="TableTextLeft"/>
              <w:rPr>
                <w:rFonts w:eastAsiaTheme="minorHAnsi"/>
                <w:lang w:eastAsia="en-US"/>
              </w:rPr>
            </w:pPr>
            <w:r w:rsidRPr="00FA1A19">
              <w:rPr>
                <w:rFonts w:eastAsiaTheme="minorHAnsi"/>
                <w:lang w:eastAsia="en-US"/>
              </w:rPr>
              <w:t>Current Direct Tax Treatment</w:t>
            </w:r>
          </w:p>
        </w:tc>
        <w:tc>
          <w:tcPr>
            <w:tcW w:w="4050" w:type="pct"/>
          </w:tcPr>
          <w:p w14:paraId="0936EAB8" w14:textId="74FF5389" w:rsidR="006D125C" w:rsidRPr="00FA1A19" w:rsidRDefault="006D125C" w:rsidP="00651344">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Generally, </w:t>
            </w:r>
            <w:r w:rsidR="00F40CEF">
              <w:t xml:space="preserve">UK </w:t>
            </w:r>
            <w:r w:rsidR="00255DD0" w:rsidRPr="00FA1A19">
              <w:t>HMRC considers that i</w:t>
            </w:r>
            <w:r w:rsidRPr="00FA1A19">
              <w:t>ndividuals hold crypto assets as a personal investment, usually for capital appreciation or to make particular purchases</w:t>
            </w:r>
            <w:r w:rsidR="00A73918" w:rsidRPr="00FA1A19">
              <w:t>,</w:t>
            </w:r>
            <w:r w:rsidRPr="00FA1A19">
              <w:t xml:space="preserve"> and so will be liable to pay </w:t>
            </w:r>
            <w:r w:rsidR="00A73918" w:rsidRPr="00FA1A19">
              <w:t>CGT</w:t>
            </w:r>
            <w:r w:rsidRPr="00FA1A19">
              <w:t xml:space="preserve"> on any gains when they dispose of their crypto assets. However, if the individual is acquiring and disposing crypto assets as part of a trade (such as where they are trading in crypto assets), their trading profits will be taxable, and </w:t>
            </w:r>
            <w:r w:rsidR="007618F0">
              <w:t>i</w:t>
            </w:r>
            <w:r w:rsidRPr="00FA1A19">
              <w:t xml:space="preserve">ncome </w:t>
            </w:r>
            <w:r w:rsidR="007618F0">
              <w:t>t</w:t>
            </w:r>
            <w:r w:rsidRPr="00FA1A19">
              <w:t xml:space="preserve">ax rules would take priority over the </w:t>
            </w:r>
            <w:r w:rsidR="007618F0">
              <w:t>CGT</w:t>
            </w:r>
            <w:r w:rsidRPr="00FA1A19">
              <w:t xml:space="preserve"> rules.</w:t>
            </w:r>
          </w:p>
          <w:p w14:paraId="6A4461A4" w14:textId="71186413" w:rsidR="000E66DA" w:rsidRPr="00FA1A19" w:rsidRDefault="000E66DA" w:rsidP="00651344">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If a company or business is carrying out activities which involves crypto, they may be liable to pay tax. </w:t>
            </w:r>
          </w:p>
          <w:p w14:paraId="1ACA7AC4" w14:textId="3D8014D9" w:rsidR="00F46C91" w:rsidRPr="00FA1A19" w:rsidRDefault="006D125C"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t xml:space="preserve">If </w:t>
            </w:r>
            <w:r w:rsidR="00152FD0" w:rsidRPr="00FA1A19">
              <w:t>a taxpayer</w:t>
            </w:r>
            <w:r w:rsidR="00F75232">
              <w:t>’</w:t>
            </w:r>
            <w:r w:rsidR="00152FD0" w:rsidRPr="00FA1A19">
              <w:t>s</w:t>
            </w:r>
            <w:r w:rsidRPr="00FA1A19">
              <w:t xml:space="preserve"> activities amount to a trade, the receipts and expenses will form part of the calculation of the individual or company</w:t>
            </w:r>
            <w:r w:rsidR="00F75232">
              <w:t>’</w:t>
            </w:r>
            <w:r w:rsidRPr="00FA1A19">
              <w:t>s trading profit.</w:t>
            </w:r>
          </w:p>
          <w:p w14:paraId="2E6DE44C" w14:textId="412096B8" w:rsidR="000D40FB" w:rsidRPr="00FA1A19" w:rsidRDefault="000D40FB" w:rsidP="00651344">
            <w:pPr>
              <w:pStyle w:val="TableTextLeft"/>
              <w:cnfStyle w:val="000000000000" w:firstRow="0" w:lastRow="0" w:firstColumn="0" w:lastColumn="0" w:oddVBand="0" w:evenVBand="0" w:oddHBand="0" w:evenHBand="0" w:firstRowFirstColumn="0" w:firstRowLastColumn="0" w:lastRowFirstColumn="0" w:lastRowLastColumn="0"/>
            </w:pPr>
            <w:r w:rsidRPr="00FA1A19">
              <w:t>Individuals will be liable to pay Income Tax and National Insurance Contributions on crypto assets which they receive from their employer as a form of non</w:t>
            </w:r>
            <w:r w:rsidR="00F75232">
              <w:noBreakHyphen/>
            </w:r>
            <w:r w:rsidRPr="00FA1A19">
              <w:t>cash payment or from mining, transaction confirmation or airdrops.</w:t>
            </w:r>
          </w:p>
          <w:p w14:paraId="0C18FA9A" w14:textId="57891EA4" w:rsidR="00641869" w:rsidRPr="00FA1A19" w:rsidRDefault="00F46C91"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HMRC does not consider the buying and selling of crypto assets to be the same as gambling.</w:t>
            </w:r>
            <w:r w:rsidR="000D40FB" w:rsidRPr="00170ADC">
              <w:rPr>
                <w:rStyle w:val="FootnoteReference"/>
                <w:rFonts w:eastAsiaTheme="minorHAnsi"/>
              </w:rPr>
              <w:footnoteReference w:id="653"/>
            </w:r>
            <w:r w:rsidRPr="00FA1A19">
              <w:rPr>
                <w:rFonts w:eastAsiaTheme="minorHAnsi"/>
                <w:lang w:eastAsia="en-US"/>
              </w:rPr>
              <w:t xml:space="preserve"> </w:t>
            </w:r>
          </w:p>
        </w:tc>
      </w:tr>
      <w:tr w:rsidR="00641869" w:rsidRPr="00FA1A19" w14:paraId="3456E903"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3AACAEBD" w14:textId="77777777" w:rsidR="00641869" w:rsidRPr="00FA1A19" w:rsidRDefault="00641869" w:rsidP="00651344">
            <w:pPr>
              <w:pStyle w:val="TableTextLeft"/>
              <w:rPr>
                <w:rFonts w:eastAsiaTheme="minorHAnsi"/>
                <w:lang w:eastAsia="en-US"/>
              </w:rPr>
            </w:pPr>
            <w:r w:rsidRPr="00FA1A19">
              <w:rPr>
                <w:rFonts w:eastAsiaTheme="minorHAnsi"/>
                <w:lang w:eastAsia="en-US"/>
              </w:rPr>
              <w:t>Current Indirect Tax Treatment &amp; Other Taxes</w:t>
            </w:r>
          </w:p>
        </w:tc>
        <w:tc>
          <w:tcPr>
            <w:tcW w:w="4050" w:type="pct"/>
          </w:tcPr>
          <w:p w14:paraId="0B9460BE" w14:textId="118D1E38" w:rsidR="006A62AE" w:rsidRPr="00FA1A19" w:rsidRDefault="006A62AE" w:rsidP="00651344">
            <w:pPr>
              <w:pStyle w:val="TableTextLeft"/>
              <w:cnfStyle w:val="000000100000" w:firstRow="0" w:lastRow="0" w:firstColumn="0" w:lastColumn="0" w:oddVBand="0" w:evenVBand="0" w:oddHBand="1" w:evenHBand="0" w:firstRowFirstColumn="0" w:firstRowLastColumn="0" w:lastRowFirstColumn="0" w:lastRowLastColumn="0"/>
            </w:pPr>
            <w:r w:rsidRPr="00FA1A19">
              <w:t>For V</w:t>
            </w:r>
            <w:r w:rsidR="009268EB">
              <w:t>alue Added Tax (V</w:t>
            </w:r>
            <w:r w:rsidRPr="00FA1A19">
              <w:t>AT</w:t>
            </w:r>
            <w:r w:rsidR="009268EB">
              <w:t>)</w:t>
            </w:r>
            <w:r w:rsidRPr="00FA1A19">
              <w:t xml:space="preserve"> purposes, exchange tokens</w:t>
            </w:r>
            <w:r w:rsidR="00F876D7" w:rsidRPr="00170ADC">
              <w:rPr>
                <w:rStyle w:val="FootnoteReference"/>
              </w:rPr>
              <w:footnoteReference w:id="654"/>
            </w:r>
            <w:r w:rsidRPr="00FA1A19">
              <w:t xml:space="preserve"> received by miners for their exchange token mining activities will generally be outside the scope of VAT on the basis that the activity does not constitute an economic activity for VAT purposes. This is because there is an insufficient link between any services provided and any consideration; and there is no customer for the mining service.</w:t>
            </w:r>
          </w:p>
          <w:p w14:paraId="56501258" w14:textId="09BEE5BA" w:rsidR="006A62AE" w:rsidRPr="00FA1A19" w:rsidRDefault="006A62AE" w:rsidP="00651344">
            <w:pPr>
              <w:pStyle w:val="TableTextLeft"/>
              <w:cnfStyle w:val="000000100000" w:firstRow="0" w:lastRow="0" w:firstColumn="0" w:lastColumn="0" w:oddVBand="0" w:evenVBand="0" w:oddHBand="1" w:evenHBand="0" w:firstRowFirstColumn="0" w:firstRowLastColumn="0" w:lastRowFirstColumn="0" w:lastRowLastColumn="0"/>
            </w:pPr>
            <w:r w:rsidRPr="00FA1A19">
              <w:t>When exchange tokens are exchanged for goods and services, no VAT will be due on the supply of the token itself.</w:t>
            </w:r>
            <w:r w:rsidR="001C7FB5" w:rsidRPr="00170ADC">
              <w:rPr>
                <w:rStyle w:val="FootnoteReference"/>
              </w:rPr>
              <w:footnoteReference w:id="655"/>
            </w:r>
          </w:p>
          <w:p w14:paraId="58DCA914" w14:textId="27E04765" w:rsidR="006A62AE" w:rsidRPr="00FA1A19" w:rsidRDefault="006A62AE"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In 2014, HMRC decided that under Item 1, Group 5, Schedule 9 of the </w:t>
            </w:r>
            <w:r w:rsidRPr="00813896">
              <w:rPr>
                <w:rStyle w:val="Emphasis"/>
              </w:rPr>
              <w:t>Value Added Tax Act 1994</w:t>
            </w:r>
            <w:r w:rsidRPr="00FA1A19">
              <w:t>, the financial services supplied by bitcoin exchanges</w:t>
            </w:r>
            <w:r w:rsidR="00DD7E85">
              <w:t xml:space="preserve"> – </w:t>
            </w:r>
            <w:r w:rsidRPr="00FA1A19">
              <w:t>exchanging bitcoin for legal tender and vice versa</w:t>
            </w:r>
            <w:r w:rsidR="00DD7E85">
              <w:t xml:space="preserve"> – </w:t>
            </w:r>
            <w:r w:rsidRPr="00FA1A19">
              <w:t>are exempt from VAT.</w:t>
            </w:r>
            <w:r w:rsidR="00ED2F90" w:rsidRPr="00170ADC">
              <w:rPr>
                <w:rStyle w:val="FootnoteReference"/>
              </w:rPr>
              <w:footnoteReference w:id="656"/>
            </w:r>
          </w:p>
          <w:p w14:paraId="0EE9052A" w14:textId="5B390D03" w:rsidR="006A62AE" w:rsidRPr="00FA1A19" w:rsidRDefault="006A62AE"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For the transfers of exchange tokens to fall within the scope of Stamp Duty or Stamp Duty Reserve Tax, they would need to meet the definition of </w:t>
            </w:r>
            <w:r w:rsidR="00F75232">
              <w:t>‘</w:t>
            </w:r>
            <w:r w:rsidRPr="00FA1A19">
              <w:t>stock or marketable securities</w:t>
            </w:r>
            <w:r w:rsidR="00F75232">
              <w:t>’</w:t>
            </w:r>
            <w:r w:rsidRPr="00FA1A19">
              <w:t xml:space="preserve"> or </w:t>
            </w:r>
            <w:r w:rsidR="00F75232">
              <w:t>‘</w:t>
            </w:r>
            <w:r w:rsidRPr="00FA1A19">
              <w:t>chargeable securities</w:t>
            </w:r>
            <w:r w:rsidR="00F75232">
              <w:t>’</w:t>
            </w:r>
            <w:r w:rsidRPr="00FA1A19">
              <w:t xml:space="preserve"> respectively.</w:t>
            </w:r>
          </w:p>
          <w:p w14:paraId="1C77DE7F" w14:textId="6A7D6650" w:rsidR="006A62AE" w:rsidRPr="00FA1A19" w:rsidRDefault="006A62AE"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Crypto assets </w:t>
            </w:r>
            <w:r w:rsidR="00304542" w:rsidRPr="00FA1A19">
              <w:t>are considered to be</w:t>
            </w:r>
            <w:r w:rsidRPr="00FA1A19">
              <w:t xml:space="preserve"> property for the purposes of Inheritance Tax. </w:t>
            </w:r>
          </w:p>
          <w:p w14:paraId="1C48EA72" w14:textId="7F86C20A" w:rsidR="00641869" w:rsidRPr="00FA1A19" w:rsidRDefault="006A62AE"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t xml:space="preserve">A Digital Services Tax (DST) is a 2% tax paid by groups on the revenues that are generated from UK users of certain digital activities. </w:t>
            </w:r>
            <w:r w:rsidR="00F75232">
              <w:t>‘</w:t>
            </w:r>
            <w:r w:rsidRPr="00FA1A19">
              <w:t>Online marketplace</w:t>
            </w:r>
            <w:r w:rsidR="00F75232">
              <w:t>’</w:t>
            </w:r>
            <w:r w:rsidRPr="00FA1A19">
              <w:t xml:space="preserve"> service is one of the three digital services activities defined for the purposes of DST. HMRC considers that an exchange which has a purpose of facilitating the sale of tokens and, in fulfilling that purpose, enables users to sell tokens to other users, will be an online marketplace. It should be noted that the sale need not be concluded on or through the exchange, merely that the exchange enables the sale to take place, or the exchange advertises or otherwise offers the tokens for sale.</w:t>
            </w:r>
            <w:r w:rsidR="004F0A51" w:rsidRPr="00FA1A19">
              <w:t xml:space="preserve"> </w:t>
            </w:r>
            <w:r w:rsidRPr="00FA1A19">
              <w:t>There is an exemption from DST for online financial marketplace. However, it is unlikely that crypto asset exchanges can benefit from the exemption.</w:t>
            </w:r>
          </w:p>
        </w:tc>
      </w:tr>
      <w:tr w:rsidR="00641869" w:rsidRPr="00FA1A19" w14:paraId="2DE7A2D1" w14:textId="77777777" w:rsidTr="0098550D">
        <w:tc>
          <w:tcPr>
            <w:cnfStyle w:val="001000000000" w:firstRow="0" w:lastRow="0" w:firstColumn="1" w:lastColumn="0" w:oddVBand="0" w:evenVBand="0" w:oddHBand="0" w:evenHBand="0" w:firstRowFirstColumn="0" w:firstRowLastColumn="0" w:lastRowFirstColumn="0" w:lastRowLastColumn="0"/>
            <w:tcW w:w="950" w:type="pct"/>
          </w:tcPr>
          <w:p w14:paraId="5DE3E12D" w14:textId="77777777" w:rsidR="00641869" w:rsidRPr="00FA1A19" w:rsidRDefault="00641869" w:rsidP="00651344">
            <w:pPr>
              <w:pStyle w:val="TableTextLeft"/>
              <w:rPr>
                <w:rFonts w:eastAsiaTheme="minorHAnsi"/>
                <w:lang w:eastAsia="en-US"/>
              </w:rPr>
            </w:pPr>
            <w:r w:rsidRPr="00FA1A19">
              <w:rPr>
                <w:rFonts w:eastAsiaTheme="minorHAnsi"/>
                <w:lang w:eastAsia="en-US"/>
              </w:rPr>
              <w:t>Guidance &amp; Education</w:t>
            </w:r>
          </w:p>
        </w:tc>
        <w:tc>
          <w:tcPr>
            <w:tcW w:w="4050" w:type="pct"/>
          </w:tcPr>
          <w:p w14:paraId="0A4255F1" w14:textId="526A35E3" w:rsidR="00641869" w:rsidRPr="00FA1A19" w:rsidRDefault="00224F47"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rPr>
            </w:pPr>
            <w:r w:rsidRPr="00FA1A19">
              <w:t>HMRC has issued comprehensive guidance on its website detailing the tax treatment for individuals and businesses in relation crypto assets. The guidance has received a significant number of views.</w:t>
            </w:r>
          </w:p>
        </w:tc>
      </w:tr>
      <w:tr w:rsidR="00641869" w:rsidRPr="00FA1A19" w14:paraId="134914E2"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2A5E0278" w14:textId="77777777" w:rsidR="00641869" w:rsidRPr="00FA1A19" w:rsidRDefault="00641869" w:rsidP="00651344">
            <w:pPr>
              <w:pStyle w:val="TableTextLeft"/>
              <w:rPr>
                <w:rFonts w:eastAsiaTheme="minorHAnsi"/>
                <w:lang w:eastAsia="en-US"/>
              </w:rPr>
            </w:pPr>
            <w:r w:rsidRPr="00FA1A19">
              <w:rPr>
                <w:rFonts w:eastAsiaTheme="minorHAnsi"/>
                <w:lang w:eastAsia="en-US"/>
              </w:rPr>
              <w:t>Record Keeping &amp; Valuation</w:t>
            </w:r>
          </w:p>
        </w:tc>
        <w:tc>
          <w:tcPr>
            <w:tcW w:w="4050" w:type="pct"/>
          </w:tcPr>
          <w:p w14:paraId="0E355B49" w14:textId="6A1D3E1A" w:rsidR="00B34205" w:rsidRPr="00CD138E" w:rsidRDefault="00B34205" w:rsidP="00651344">
            <w:pPr>
              <w:pStyle w:val="TableTextLeft"/>
              <w:cnfStyle w:val="000000100000" w:firstRow="0" w:lastRow="0" w:firstColumn="0" w:lastColumn="0" w:oddVBand="0" w:evenVBand="0" w:oddHBand="1" w:evenHBand="0" w:firstRowFirstColumn="0" w:firstRowLastColumn="0" w:lastRowFirstColumn="0" w:lastRowLastColumn="0"/>
              <w:rPr>
                <w:b/>
                <w:bCs/>
              </w:rPr>
            </w:pPr>
            <w:r>
              <w:rPr>
                <w:b/>
                <w:bCs/>
              </w:rPr>
              <w:t>Record keeping</w:t>
            </w:r>
          </w:p>
          <w:p w14:paraId="34FA0DA1" w14:textId="4D248CAB" w:rsidR="00663842" w:rsidRPr="00FA1A19" w:rsidRDefault="00663842" w:rsidP="00651344">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HMRC sets out the different records required to kept in relation to each crypto asset transaction and note that the onus is on the individual or business to keep their own records for each crypto asset transaction. </w:t>
            </w:r>
          </w:p>
          <w:p w14:paraId="77E9B9B1" w14:textId="3CE70717" w:rsidR="00663842" w:rsidRDefault="00663842" w:rsidP="00651344">
            <w:pPr>
              <w:pStyle w:val="TableTextLeft"/>
              <w:cnfStyle w:val="000000100000" w:firstRow="0" w:lastRow="0" w:firstColumn="0" w:lastColumn="0" w:oddVBand="0" w:evenVBand="0" w:oddHBand="1" w:evenHBand="0" w:firstRowFirstColumn="0" w:firstRowLastColumn="0" w:lastRowFirstColumn="0" w:lastRowLastColumn="0"/>
            </w:pPr>
            <w:r w:rsidRPr="00FA1A19">
              <w:t>Records should include: the type of crypto asset, date of the transaction, if they were bought or sold, number of units involved, value of the transaction in pound sterling (as at the date of the transaction), cumulative total of the investment units held, and bank statements and wallet addresses</w:t>
            </w:r>
            <w:r w:rsidR="00A83428" w:rsidRPr="00FA1A19">
              <w:t>.</w:t>
            </w:r>
            <w:r w:rsidRPr="00170ADC">
              <w:rPr>
                <w:rStyle w:val="FootnoteReference"/>
              </w:rPr>
              <w:footnoteReference w:id="657"/>
            </w:r>
            <w:r w:rsidR="00A83428" w:rsidRPr="00FA1A19">
              <w:t xml:space="preserve"> HMRC notes that records may </w:t>
            </w:r>
            <w:r w:rsidR="00D736A1" w:rsidRPr="00FA1A19">
              <w:t>include cold wallets (paper or USB), hot wallets, downloads from crypto asset exchanges.</w:t>
            </w:r>
          </w:p>
          <w:p w14:paraId="37B60595" w14:textId="008B1415" w:rsidR="00B34205" w:rsidRPr="00CD138E" w:rsidRDefault="00B34205" w:rsidP="00651344">
            <w:pPr>
              <w:pStyle w:val="TableTextLeft"/>
              <w:cnfStyle w:val="000000100000" w:firstRow="0" w:lastRow="0" w:firstColumn="0" w:lastColumn="0" w:oddVBand="0" w:evenVBand="0" w:oddHBand="1" w:evenHBand="0" w:firstRowFirstColumn="0" w:firstRowLastColumn="0" w:lastRowFirstColumn="0" w:lastRowLastColumn="0"/>
              <w:rPr>
                <w:b/>
                <w:bCs/>
              </w:rPr>
            </w:pPr>
            <w:r>
              <w:rPr>
                <w:b/>
                <w:bCs/>
              </w:rPr>
              <w:t>Valuation</w:t>
            </w:r>
          </w:p>
          <w:p w14:paraId="392D209E" w14:textId="4E1B13D0" w:rsidR="00641869" w:rsidRPr="00FA1A19" w:rsidRDefault="0017378F" w:rsidP="006513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FA1A19">
              <w:t>HMRC notes that many crypto assets (such as bitcoin) are traded on exchanges which do not use pound sterling, so the value of any gain or loss must typically be converted into pound sterling on their tax return</w:t>
            </w:r>
            <w:r w:rsidR="00EE70E8" w:rsidRPr="00FA1A19">
              <w:t>. Reasonable care should be taken to arrive at an appropriate valuation for the transaction using a consistent methodology. Details of the valuation methodology should be kept.</w:t>
            </w:r>
            <w:r w:rsidR="00B071BE" w:rsidRPr="00170ADC">
              <w:rPr>
                <w:rStyle w:val="FootnoteReference"/>
              </w:rPr>
              <w:footnoteReference w:id="658"/>
            </w:r>
            <w:r w:rsidRPr="00FA1A19">
              <w:t xml:space="preserve"> </w:t>
            </w:r>
          </w:p>
        </w:tc>
      </w:tr>
      <w:tr w:rsidR="00641869" w:rsidRPr="00FA1A19" w14:paraId="6880E61D" w14:textId="77777777" w:rsidTr="0098550D">
        <w:tc>
          <w:tcPr>
            <w:cnfStyle w:val="001000000000" w:firstRow="0" w:lastRow="0" w:firstColumn="1" w:lastColumn="0" w:oddVBand="0" w:evenVBand="0" w:oddHBand="0" w:evenHBand="0" w:firstRowFirstColumn="0" w:firstRowLastColumn="0" w:lastRowFirstColumn="0" w:lastRowLastColumn="0"/>
            <w:tcW w:w="950" w:type="pct"/>
          </w:tcPr>
          <w:p w14:paraId="75B2E084" w14:textId="77777777" w:rsidR="00641869" w:rsidRPr="00FA1A19" w:rsidRDefault="00641869" w:rsidP="00651344">
            <w:pPr>
              <w:pStyle w:val="TableTextLeft"/>
              <w:rPr>
                <w:rFonts w:eastAsiaTheme="minorHAnsi"/>
                <w:lang w:eastAsia="en-US"/>
              </w:rPr>
            </w:pPr>
            <w:r w:rsidRPr="00FA1A19">
              <w:rPr>
                <w:rFonts w:eastAsiaTheme="minorHAnsi"/>
                <w:lang w:eastAsia="en-US"/>
              </w:rPr>
              <w:t>Reporting &amp; Tax Transparency</w:t>
            </w:r>
          </w:p>
        </w:tc>
        <w:tc>
          <w:tcPr>
            <w:tcW w:w="4050" w:type="pct"/>
          </w:tcPr>
          <w:p w14:paraId="6A5C0D8E" w14:textId="137A1587" w:rsidR="00641869" w:rsidRPr="00FA1A19" w:rsidRDefault="00641869" w:rsidP="006513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FA1A19">
              <w:rPr>
                <w:rFonts w:eastAsiaTheme="minorHAnsi"/>
                <w:lang w:eastAsia="en-US"/>
              </w:rPr>
              <w:t xml:space="preserve">The amount of tax </w:t>
            </w:r>
            <w:r w:rsidR="00643A3E" w:rsidRPr="00FA1A19">
              <w:rPr>
                <w:rFonts w:eastAsiaTheme="minorHAnsi"/>
                <w:lang w:eastAsia="en-US"/>
              </w:rPr>
              <w:t xml:space="preserve">for which </w:t>
            </w:r>
            <w:r w:rsidRPr="00FA1A19">
              <w:rPr>
                <w:rFonts w:eastAsiaTheme="minorHAnsi"/>
                <w:lang w:eastAsia="en-US"/>
              </w:rPr>
              <w:t xml:space="preserve">an individual or a business </w:t>
            </w:r>
            <w:r w:rsidR="00643A3E" w:rsidRPr="00FA1A19">
              <w:rPr>
                <w:rFonts w:eastAsiaTheme="minorHAnsi"/>
                <w:lang w:eastAsia="en-US"/>
              </w:rPr>
              <w:t xml:space="preserve">is liable </w:t>
            </w:r>
            <w:r w:rsidRPr="00FA1A19">
              <w:rPr>
                <w:rFonts w:eastAsiaTheme="minorHAnsi"/>
                <w:lang w:eastAsia="en-US"/>
              </w:rPr>
              <w:t>must be reported annually to HMRC on either a self</w:t>
            </w:r>
            <w:r w:rsidR="00F75232">
              <w:rPr>
                <w:rFonts w:eastAsiaTheme="minorHAnsi"/>
                <w:lang w:eastAsia="en-US"/>
              </w:rPr>
              <w:noBreakHyphen/>
            </w:r>
            <w:r w:rsidRPr="00FA1A19">
              <w:rPr>
                <w:rFonts w:eastAsiaTheme="minorHAnsi"/>
                <w:lang w:eastAsia="en-US"/>
              </w:rPr>
              <w:t>assessment tax return (for individuals)</w:t>
            </w:r>
            <w:r w:rsidR="009E75BF" w:rsidRPr="00FA1A19">
              <w:rPr>
                <w:rFonts w:eastAsiaTheme="minorHAnsi"/>
                <w:lang w:eastAsia="en-US"/>
              </w:rPr>
              <w:t>,</w:t>
            </w:r>
            <w:r w:rsidRPr="00FA1A19">
              <w:rPr>
                <w:rFonts w:eastAsiaTheme="minorHAnsi"/>
                <w:lang w:eastAsia="en-US"/>
              </w:rPr>
              <w:t xml:space="preserve"> or a company tax return (for companies).</w:t>
            </w:r>
          </w:p>
        </w:tc>
      </w:tr>
    </w:tbl>
    <w:p w14:paraId="3408C519" w14:textId="11C4F6E0" w:rsidR="00641869" w:rsidRPr="001E3898" w:rsidRDefault="00372633" w:rsidP="0069352C">
      <w:pPr>
        <w:pStyle w:val="Heading4"/>
      </w:pPr>
      <w:r>
        <w:rPr>
          <w:lang w:eastAsia="en-US"/>
        </w:rPr>
        <w:t>Observation </w:t>
      </w:r>
      <w:r w:rsidR="00641869" w:rsidRPr="00FA1A19">
        <w:rPr>
          <w:lang w:eastAsia="en-US"/>
        </w:rPr>
        <w:t>points</w:t>
      </w:r>
    </w:p>
    <w:p w14:paraId="4B418909" w14:textId="68D69F3D" w:rsidR="0061771D" w:rsidRPr="00FA1A19" w:rsidRDefault="00FE0AD0" w:rsidP="001E3898">
      <w:pPr>
        <w:pStyle w:val="Bullet"/>
      </w:pPr>
      <w:r w:rsidRPr="00FA1A19">
        <w:t>HMRC advised that following an independent survey, commissioned by HMRC and conducted by an external commercial company, about dealing in crypto assets, the survey results revealed</w:t>
      </w:r>
      <w:r w:rsidR="006012CC">
        <w:t>:</w:t>
      </w:r>
    </w:p>
    <w:p w14:paraId="391B7945" w14:textId="5000959F" w:rsidR="0061771D" w:rsidRPr="00FA1A19" w:rsidRDefault="00FE0AD0" w:rsidP="001E3898">
      <w:pPr>
        <w:pStyle w:val="Dash"/>
      </w:pPr>
      <w:r w:rsidRPr="00FA1A19">
        <w:t xml:space="preserve">around 10% of UK adult population have held or do hold crypto assets </w:t>
      </w:r>
    </w:p>
    <w:p w14:paraId="7EF434EB" w14:textId="40D01607" w:rsidR="00FE0AD0" w:rsidRPr="00FA1A19" w:rsidRDefault="00FE0AD0" w:rsidP="001E3898">
      <w:pPr>
        <w:pStyle w:val="Dash"/>
      </w:pPr>
      <w:r w:rsidRPr="00FA1A19">
        <w:t>noting that the HMRC had published detailed guidance on crypto assets, only 28% of respondents had seen the guidance; and only about half of the respondents said they understand CGT</w:t>
      </w:r>
      <w:r w:rsidR="00067581" w:rsidRPr="00FA1A19">
        <w:t xml:space="preserve">, </w:t>
      </w:r>
      <w:r w:rsidRPr="00FA1A19">
        <w:t>the main applicable tax.</w:t>
      </w:r>
    </w:p>
    <w:p w14:paraId="799F23D0" w14:textId="12F9E445" w:rsidR="00FE0AD0" w:rsidRPr="00FA1A19" w:rsidRDefault="00FE0AD0" w:rsidP="001E3898">
      <w:pPr>
        <w:pStyle w:val="Bullet"/>
      </w:pPr>
      <w:r w:rsidRPr="00FA1A19">
        <w:t>HMRC mentioned that they had sent out educational letters and have done some general communications to raise awareness about the taxation of crypto assets. Additionally, there are some pending changes to the self</w:t>
      </w:r>
      <w:r w:rsidR="00F75232">
        <w:noBreakHyphen/>
      </w:r>
      <w:r w:rsidRPr="00FA1A19">
        <w:t>assessment tax return form to include a specific section on crypto assets. The intended timeline for changes is the Self</w:t>
      </w:r>
      <w:r w:rsidR="00F75232">
        <w:noBreakHyphen/>
      </w:r>
      <w:r w:rsidRPr="00FA1A19">
        <w:t>Assessment return for 2024</w:t>
      </w:r>
      <w:r w:rsidR="00BC3F14">
        <w:t>–</w:t>
      </w:r>
      <w:r w:rsidRPr="00FA1A19">
        <w:t>25 tax year. The two forms that will change are the SA108 and SA905.</w:t>
      </w:r>
    </w:p>
    <w:p w14:paraId="692DD9EC" w14:textId="3FF5E686" w:rsidR="00FE0AD0" w:rsidRPr="00FA1A19" w:rsidRDefault="00FE0AD0" w:rsidP="001E3898">
      <w:pPr>
        <w:pStyle w:val="Bullet"/>
      </w:pPr>
      <w:r w:rsidRPr="00FA1A19">
        <w:t>HMRC noted that for tax purposes, it is not only the nature of the asset that matters, but also the facts and circumstances around transactions that has an important role; and that for individuals, HMRC see</w:t>
      </w:r>
      <w:r w:rsidR="00460C36">
        <w:t>s</w:t>
      </w:r>
      <w:r w:rsidRPr="00FA1A19">
        <w:t xml:space="preserve"> most </w:t>
      </w:r>
      <w:r w:rsidR="00460C36">
        <w:t>activities are for</w:t>
      </w:r>
      <w:r w:rsidRPr="00FA1A19">
        <w:t xml:space="preserve"> investment purposes, which means they will be holding the crypto assets and that a disposal will </w:t>
      </w:r>
      <w:r w:rsidR="00E95681">
        <w:t xml:space="preserve">be </w:t>
      </w:r>
      <w:r w:rsidRPr="00FA1A19">
        <w:t>potential</w:t>
      </w:r>
      <w:r w:rsidR="00E95681">
        <w:t>ly subject</w:t>
      </w:r>
      <w:r w:rsidRPr="00FA1A19">
        <w:t xml:space="preserve"> to CGT.</w:t>
      </w:r>
    </w:p>
    <w:p w14:paraId="0819111F" w14:textId="742D4914" w:rsidR="00641869" w:rsidRPr="001E3898" w:rsidRDefault="00641869" w:rsidP="001E3898">
      <w:pPr>
        <w:pStyle w:val="Heading3"/>
      </w:pPr>
      <w:r w:rsidRPr="00FA1A19">
        <w:t>United States</w:t>
      </w:r>
    </w:p>
    <w:tbl>
      <w:tblPr>
        <w:tblStyle w:val="ListTable3-Accent1"/>
        <w:tblW w:w="5000" w:type="pct"/>
        <w:tblLook w:val="04A0" w:firstRow="1" w:lastRow="0" w:firstColumn="1" w:lastColumn="0" w:noHBand="0" w:noVBand="1"/>
      </w:tblPr>
      <w:tblGrid>
        <w:gridCol w:w="1811"/>
        <w:gridCol w:w="7820"/>
      </w:tblGrid>
      <w:tr w:rsidR="3C1B2E72" w:rsidRPr="00FA1A19" w14:paraId="6B556D15" w14:textId="77777777" w:rsidTr="00EB09B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40" w:type="pct"/>
          </w:tcPr>
          <w:p w14:paraId="3AE3E5E7" w14:textId="55029FA7" w:rsidR="3C1B2E72" w:rsidRPr="00FA1A19" w:rsidRDefault="3C1B2E72" w:rsidP="001E3898">
            <w:pPr>
              <w:pStyle w:val="TableColumnHeadingLeft"/>
              <w:rPr>
                <w:rFonts w:eastAsia="Calibri"/>
              </w:rPr>
            </w:pPr>
            <w:r w:rsidRPr="00FA1A19">
              <w:rPr>
                <w:rFonts w:eastAsia="Calibri"/>
              </w:rPr>
              <w:t xml:space="preserve">Topic </w:t>
            </w:r>
          </w:p>
        </w:tc>
        <w:tc>
          <w:tcPr>
            <w:tcW w:w="4060" w:type="pct"/>
          </w:tcPr>
          <w:p w14:paraId="553389D0" w14:textId="657C5385" w:rsidR="3C1B2E72" w:rsidRPr="00FA1A19" w:rsidRDefault="3C1B2E72" w:rsidP="001E3898">
            <w:pPr>
              <w:pStyle w:val="TableColumnHeadingLeft"/>
              <w:cnfStyle w:val="100000000000" w:firstRow="1" w:lastRow="0" w:firstColumn="0" w:lastColumn="0" w:oddVBand="0" w:evenVBand="0" w:oddHBand="0" w:evenHBand="0" w:firstRowFirstColumn="0" w:firstRowLastColumn="0" w:lastRowFirstColumn="0" w:lastRowLastColumn="0"/>
              <w:rPr>
                <w:rFonts w:eastAsia="Calibri"/>
              </w:rPr>
            </w:pPr>
            <w:r w:rsidRPr="00FA1A19">
              <w:rPr>
                <w:rFonts w:eastAsia="Calibri"/>
              </w:rPr>
              <w:t>Explanation</w:t>
            </w:r>
          </w:p>
        </w:tc>
      </w:tr>
      <w:tr w:rsidR="3C1B2E72" w:rsidRPr="00FA1A19" w14:paraId="22AD4C42" w14:textId="77777777" w:rsidTr="00EB0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 w:type="pct"/>
          </w:tcPr>
          <w:p w14:paraId="5954939B" w14:textId="2284F88A" w:rsidR="3C1B2E72" w:rsidRPr="00FA1A19" w:rsidRDefault="3C1B2E72" w:rsidP="00651344">
            <w:pPr>
              <w:pStyle w:val="TableTextLeft"/>
              <w:rPr>
                <w:rFonts w:eastAsia="Calibri"/>
                <w:b w:val="0"/>
              </w:rPr>
            </w:pPr>
            <w:r w:rsidRPr="00FA1A19">
              <w:rPr>
                <w:rFonts w:eastAsia="Calibri"/>
              </w:rPr>
              <w:t xml:space="preserve">Revenue Authority </w:t>
            </w:r>
          </w:p>
        </w:tc>
        <w:tc>
          <w:tcPr>
            <w:tcW w:w="4060" w:type="pct"/>
          </w:tcPr>
          <w:p w14:paraId="35D92441" w14:textId="2118F424" w:rsidR="00E640AC" w:rsidRPr="00FA1A19" w:rsidRDefault="00DA596A"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rPr>
            </w:pPr>
            <w:r w:rsidRPr="00FA1A19">
              <w:rPr>
                <w:rFonts w:eastAsia="Calibri"/>
                <w:color w:val="000000" w:themeColor="text1"/>
              </w:rPr>
              <w:t>In the US, taxation is imposed at each level of government: federal, state and local.</w:t>
            </w:r>
            <w:r w:rsidR="005E7B25" w:rsidRPr="00FA1A19">
              <w:rPr>
                <w:rFonts w:eastAsia="Calibri"/>
                <w:color w:val="000000" w:themeColor="text1"/>
              </w:rPr>
              <w:t xml:space="preserve"> </w:t>
            </w:r>
            <w:r w:rsidR="3C1B2E72" w:rsidRPr="00FA1A19">
              <w:rPr>
                <w:rFonts w:eastAsia="Calibri"/>
              </w:rPr>
              <w:t>The</w:t>
            </w:r>
            <w:r w:rsidR="0066719A" w:rsidRPr="00FA1A19">
              <w:rPr>
                <w:rFonts w:eastAsia="Calibri"/>
              </w:rPr>
              <w:t xml:space="preserve"> </w:t>
            </w:r>
            <w:r w:rsidR="002D63A9" w:rsidRPr="00FA1A19">
              <w:rPr>
                <w:rFonts w:eastAsia="Calibri"/>
              </w:rPr>
              <w:t>I</w:t>
            </w:r>
            <w:r w:rsidRPr="00FA1A19">
              <w:rPr>
                <w:rFonts w:eastAsia="Calibri"/>
              </w:rPr>
              <w:t>nternal Revenue Service (I</w:t>
            </w:r>
            <w:r w:rsidR="002D63A9" w:rsidRPr="00FA1A19">
              <w:rPr>
                <w:rFonts w:eastAsia="Calibri"/>
              </w:rPr>
              <w:t>RS</w:t>
            </w:r>
            <w:r w:rsidRPr="00FA1A19">
              <w:rPr>
                <w:rFonts w:eastAsia="Calibri"/>
              </w:rPr>
              <w:t>)</w:t>
            </w:r>
            <w:r w:rsidR="3C1B2E72" w:rsidRPr="00FA1A19">
              <w:rPr>
                <w:rFonts w:eastAsia="Calibri"/>
              </w:rPr>
              <w:t xml:space="preserve"> is the federal enforcement authority in the US with the authority to enforce the tax laws applicable to crypto activity. </w:t>
            </w:r>
          </w:p>
        </w:tc>
      </w:tr>
      <w:tr w:rsidR="3C1B2E72" w:rsidRPr="00FA1A19" w14:paraId="71021275" w14:textId="77777777" w:rsidTr="00EB09BD">
        <w:trPr>
          <w:trHeight w:val="300"/>
        </w:trPr>
        <w:tc>
          <w:tcPr>
            <w:cnfStyle w:val="001000000000" w:firstRow="0" w:lastRow="0" w:firstColumn="1" w:lastColumn="0" w:oddVBand="0" w:evenVBand="0" w:oddHBand="0" w:evenHBand="0" w:firstRowFirstColumn="0" w:firstRowLastColumn="0" w:lastRowFirstColumn="0" w:lastRowLastColumn="0"/>
            <w:tcW w:w="940" w:type="pct"/>
          </w:tcPr>
          <w:p w14:paraId="2256A3FF" w14:textId="24553FC5" w:rsidR="3C1B2E72" w:rsidRPr="00FA1A19" w:rsidRDefault="3C1B2E72" w:rsidP="00651344">
            <w:pPr>
              <w:pStyle w:val="TableTextLeft"/>
              <w:rPr>
                <w:rFonts w:eastAsia="Calibri"/>
                <w:b w:val="0"/>
              </w:rPr>
            </w:pPr>
            <w:r w:rsidRPr="00FA1A19">
              <w:rPr>
                <w:rFonts w:eastAsia="Calibri"/>
              </w:rPr>
              <w:t>Current Direct Tax Treatment</w:t>
            </w:r>
          </w:p>
        </w:tc>
        <w:tc>
          <w:tcPr>
            <w:tcW w:w="4060" w:type="pct"/>
          </w:tcPr>
          <w:p w14:paraId="0EB9F398" w14:textId="197B51A9" w:rsidR="3C1B2E72" w:rsidRPr="00FA1A19" w:rsidRDefault="3C1B2E72"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FA1A19">
              <w:rPr>
                <w:rFonts w:eastAsia="Calibri"/>
              </w:rPr>
              <w:t xml:space="preserve">The sale or disposition of crypto assets is subject to direct taxation (income tax or </w:t>
            </w:r>
            <w:r w:rsidR="0082208C" w:rsidRPr="00FA1A19">
              <w:rPr>
                <w:rFonts w:eastAsia="Calibri"/>
              </w:rPr>
              <w:t>CGT</w:t>
            </w:r>
            <w:r w:rsidRPr="00FA1A19">
              <w:rPr>
                <w:rFonts w:eastAsia="Calibri"/>
              </w:rPr>
              <w:t xml:space="preserve">). </w:t>
            </w:r>
          </w:p>
          <w:p w14:paraId="22116E0E" w14:textId="3785196F" w:rsidR="3C1B2E72" w:rsidRPr="00FA1A19" w:rsidRDefault="3C1B2E72"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FA1A19">
              <w:rPr>
                <w:rFonts w:eastAsia="Calibri"/>
              </w:rPr>
              <w:t>The IRS website provides a broad list of transactions which may result in a tax liability</w:t>
            </w:r>
            <w:r w:rsidR="00FE534D" w:rsidRPr="00FA1A19">
              <w:rPr>
                <w:rFonts w:eastAsia="Calibri"/>
              </w:rPr>
              <w:t xml:space="preserve"> including</w:t>
            </w:r>
            <w:r w:rsidRPr="00FA1A19">
              <w:rPr>
                <w:rFonts w:eastAsia="Calibri"/>
              </w:rPr>
              <w:t>:</w:t>
            </w:r>
          </w:p>
          <w:p w14:paraId="015F32A7" w14:textId="18221657"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sale of a digital asset</w:t>
            </w:r>
          </w:p>
          <w:p w14:paraId="4A333E63" w14:textId="118E4D2C"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exchange of digital assets for property, goods or services</w:t>
            </w:r>
          </w:p>
          <w:p w14:paraId="72D50821" w14:textId="749F7CE0"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exchange or trade of one digital asset for another</w:t>
            </w:r>
          </w:p>
          <w:p w14:paraId="474A01EE" w14:textId="5FB76BC4"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receipt of a digital asset as payment for goods or services</w:t>
            </w:r>
          </w:p>
          <w:p w14:paraId="5736E0CA" w14:textId="4C2BF8EF"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receipt of a new digital asset as a result of mining and staking activities</w:t>
            </w:r>
          </w:p>
          <w:p w14:paraId="598E9A0F" w14:textId="133C8275"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receipt of a digital asset as a result of an air drop use of digital assets to pay for goods or services</w:t>
            </w:r>
          </w:p>
          <w:p w14:paraId="1C5F303E" w14:textId="29CF096C"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any other disposition of a financial interest in a digital asset</w:t>
            </w:r>
          </w:p>
          <w:p w14:paraId="60C57C24" w14:textId="2CD90B54"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receipt or transfer of a digital asset for free (without providing any consideration) that does not qualify as bona fide gift.</w:t>
            </w:r>
            <w:r w:rsidR="00002DD6" w:rsidRPr="00170ADC">
              <w:rPr>
                <w:rStyle w:val="FootnoteReference"/>
              </w:rPr>
              <w:footnoteReference w:id="659"/>
            </w:r>
            <w:r w:rsidR="00905112" w:rsidRPr="00FA1A19" w:rsidDel="00905112">
              <w:t xml:space="preserve"> </w:t>
            </w:r>
          </w:p>
        </w:tc>
      </w:tr>
      <w:tr w:rsidR="3C1B2E72" w:rsidRPr="00FA1A19" w14:paraId="26B2B1EA" w14:textId="77777777" w:rsidTr="00EB0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 w:type="pct"/>
          </w:tcPr>
          <w:p w14:paraId="1ADCC491" w14:textId="471DD8AB" w:rsidR="3C1B2E72" w:rsidRPr="00FA1A19" w:rsidRDefault="3C1B2E72" w:rsidP="00651344">
            <w:pPr>
              <w:pStyle w:val="TableTextLeft"/>
              <w:rPr>
                <w:rFonts w:eastAsia="Calibri"/>
                <w:b w:val="0"/>
              </w:rPr>
            </w:pPr>
            <w:r w:rsidRPr="00FA1A19">
              <w:rPr>
                <w:rFonts w:eastAsia="Calibri"/>
              </w:rPr>
              <w:t>Current Indirect Tax Treatment</w:t>
            </w:r>
          </w:p>
        </w:tc>
        <w:tc>
          <w:tcPr>
            <w:tcW w:w="4060" w:type="pct"/>
          </w:tcPr>
          <w:p w14:paraId="01ADAC41" w14:textId="7A5C0E7E" w:rsidR="3C1B2E72" w:rsidRPr="00FA1A19" w:rsidRDefault="00D12FD9"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rPr>
            </w:pPr>
            <w:r w:rsidRPr="00FA1A19">
              <w:rPr>
                <w:rFonts w:eastAsia="Calibri"/>
              </w:rPr>
              <w:t>I</w:t>
            </w:r>
            <w:r w:rsidR="3C1B2E72" w:rsidRPr="00FA1A19">
              <w:rPr>
                <w:rFonts w:eastAsia="Calibri"/>
              </w:rPr>
              <w:t xml:space="preserve">ndirect tax (sales tax) is imposed by most </w:t>
            </w:r>
            <w:r w:rsidR="00607F3C" w:rsidRPr="00FA1A19">
              <w:rPr>
                <w:rFonts w:eastAsia="Calibri"/>
              </w:rPr>
              <w:t>s</w:t>
            </w:r>
            <w:r w:rsidR="3C1B2E72" w:rsidRPr="00FA1A19">
              <w:rPr>
                <w:rFonts w:eastAsia="Calibri"/>
              </w:rPr>
              <w:t xml:space="preserve">tates since there is no general sales tax. </w:t>
            </w:r>
          </w:p>
          <w:p w14:paraId="7861B868" w14:textId="0F61EE56" w:rsidR="3C1B2E72" w:rsidRPr="00170ADC" w:rsidRDefault="3C1B2E72" w:rsidP="00651344">
            <w:pPr>
              <w:pStyle w:val="TableTextLeft"/>
              <w:cnfStyle w:val="000000100000" w:firstRow="0" w:lastRow="0" w:firstColumn="0" w:lastColumn="0" w:oddVBand="0" w:evenVBand="0" w:oddHBand="1" w:evenHBand="0" w:firstRowFirstColumn="0" w:firstRowLastColumn="0" w:lastRowFirstColumn="0" w:lastRowLastColumn="0"/>
              <w:rPr>
                <w:rStyle w:val="FootnoteReference"/>
                <w:rFonts w:eastAsia="Calibri"/>
              </w:rPr>
            </w:pPr>
            <w:r w:rsidRPr="00FA1A19">
              <w:rPr>
                <w:rFonts w:eastAsia="Calibri"/>
              </w:rPr>
              <w:t>Approximately 30 states tax digital goods and services. Clarification notices have been issued by some states (e.g. Pennsylvania, Minnesota</w:t>
            </w:r>
            <w:r w:rsidR="00851F2E" w:rsidRPr="00FA1A19">
              <w:rPr>
                <w:rFonts w:eastAsia="Calibri"/>
              </w:rPr>
              <w:t xml:space="preserve"> and</w:t>
            </w:r>
            <w:r w:rsidRPr="00FA1A19">
              <w:rPr>
                <w:rFonts w:eastAsia="Calibri"/>
              </w:rPr>
              <w:t xml:space="preserve"> Washington) that sales of certain digital assets are subject to sales tax, bringing with it marketplace and out of state seller rules.</w:t>
            </w:r>
            <w:r w:rsidR="00851F2E" w:rsidRPr="00170ADC">
              <w:rPr>
                <w:rStyle w:val="FootnoteReference"/>
                <w:rFonts w:eastAsia="Calibri"/>
              </w:rPr>
              <w:footnoteReference w:id="660"/>
            </w:r>
          </w:p>
        </w:tc>
      </w:tr>
      <w:tr w:rsidR="3C1B2E72" w:rsidRPr="00FA1A19" w14:paraId="040FDFA8" w14:textId="77777777" w:rsidTr="00EB09BD">
        <w:trPr>
          <w:trHeight w:val="300"/>
        </w:trPr>
        <w:tc>
          <w:tcPr>
            <w:cnfStyle w:val="001000000000" w:firstRow="0" w:lastRow="0" w:firstColumn="1" w:lastColumn="0" w:oddVBand="0" w:evenVBand="0" w:oddHBand="0" w:evenHBand="0" w:firstRowFirstColumn="0" w:firstRowLastColumn="0" w:lastRowFirstColumn="0" w:lastRowLastColumn="0"/>
            <w:tcW w:w="940" w:type="pct"/>
          </w:tcPr>
          <w:p w14:paraId="03C2AAFF" w14:textId="1949CAE7" w:rsidR="3C1B2E72" w:rsidRPr="00FA1A19" w:rsidRDefault="3C1B2E72" w:rsidP="00651344">
            <w:pPr>
              <w:pStyle w:val="TableTextLeft"/>
              <w:rPr>
                <w:rFonts w:eastAsia="Calibri"/>
                <w:b w:val="0"/>
              </w:rPr>
            </w:pPr>
            <w:r w:rsidRPr="00FA1A19">
              <w:rPr>
                <w:rFonts w:eastAsia="Calibri"/>
              </w:rPr>
              <w:t>The Responsible Financial Innovation Act</w:t>
            </w:r>
          </w:p>
        </w:tc>
        <w:tc>
          <w:tcPr>
            <w:tcW w:w="4060" w:type="pct"/>
          </w:tcPr>
          <w:p w14:paraId="3C9C02BB" w14:textId="7A47DF3B" w:rsidR="3C1B2E72" w:rsidRPr="00FA1A19" w:rsidRDefault="3C1B2E72"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FA1A19">
              <w:rPr>
                <w:rFonts w:eastAsia="Calibri"/>
              </w:rPr>
              <w:t xml:space="preserve">The </w:t>
            </w:r>
            <w:r w:rsidRPr="00813896">
              <w:rPr>
                <w:rStyle w:val="Emphasis"/>
                <w:rFonts w:eastAsia="Calibri"/>
              </w:rPr>
              <w:t>Responsible Financial Innovation Act</w:t>
            </w:r>
            <w:r w:rsidRPr="00FA1A19">
              <w:rPr>
                <w:rFonts w:eastAsia="Calibri"/>
              </w:rPr>
              <w:t xml:space="preserve"> (RFIA) was introduced into the US Senate on 7 June 2022, proposing amendments to the </w:t>
            </w:r>
            <w:r w:rsidRPr="00813896">
              <w:rPr>
                <w:rStyle w:val="Emphasis"/>
                <w:rFonts w:eastAsia="Calibri"/>
              </w:rPr>
              <w:t xml:space="preserve">Internal Revenue Code of 1986 </w:t>
            </w:r>
            <w:r w:rsidRPr="00FA1A19">
              <w:rPr>
                <w:rFonts w:eastAsia="Calibri"/>
              </w:rPr>
              <w:t xml:space="preserve">(IRC) in relation to the responsible taxation of digital assets. </w:t>
            </w:r>
            <w:r w:rsidR="000A2C1D">
              <w:rPr>
                <w:rFonts w:eastAsia="Calibri"/>
              </w:rPr>
              <w:t>Und</w:t>
            </w:r>
            <w:r w:rsidRPr="00FA1A19">
              <w:rPr>
                <w:rFonts w:eastAsia="Calibri"/>
              </w:rPr>
              <w:t>er the RFIA, the following proposed amendments to the IRC include:</w:t>
            </w:r>
          </w:p>
          <w:p w14:paraId="5DD5CD0E" w14:textId="781B56BF"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The amount of gain or loss that is</w:t>
            </w:r>
            <w:r w:rsidR="001E3898">
              <w:t xml:space="preserve"> </w:t>
            </w:r>
            <w:r w:rsidRPr="00FA1A19">
              <w:t>excluded from gross income with respect to a sale or exchange shall not exceed $200.</w:t>
            </w:r>
          </w:p>
          <w:p w14:paraId="36BB40E4" w14:textId="1FE4A748" w:rsidR="3C1B2E72" w:rsidRPr="00FA1A19" w:rsidRDefault="3C1B2E72"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Classify a decentralised autonomous organisation (DAO), such that by default it is a business entity.</w:t>
            </w:r>
          </w:p>
          <w:p w14:paraId="32E01E3F" w14:textId="409CD525" w:rsidR="003D3D64" w:rsidRPr="00FA1A19" w:rsidRDefault="003D3D64"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T</w:t>
            </w:r>
            <w:r w:rsidR="3C1B2E72" w:rsidRPr="00FA1A19">
              <w:t xml:space="preserve">he adoption of guidance </w:t>
            </w:r>
            <w:r w:rsidR="00077FF2" w:rsidRPr="00FA1A19">
              <w:t xml:space="preserve">in relation to various digital asset transactions including in </w:t>
            </w:r>
            <w:r w:rsidR="3C1B2E72" w:rsidRPr="00FA1A19">
              <w:t>relati</w:t>
            </w:r>
            <w:r w:rsidR="00077FF2" w:rsidRPr="00FA1A19">
              <w:t>on</w:t>
            </w:r>
            <w:r w:rsidR="3C1B2E72" w:rsidRPr="00FA1A19">
              <w:t xml:space="preserve"> to </w:t>
            </w:r>
            <w:r w:rsidR="00DE42A8" w:rsidRPr="00FA1A19">
              <w:t xml:space="preserve">mining, staking, </w:t>
            </w:r>
            <w:r w:rsidR="00C16E36" w:rsidRPr="00FA1A19">
              <w:t xml:space="preserve">forks, airdrops, </w:t>
            </w:r>
            <w:r w:rsidR="00C710B6" w:rsidRPr="00FA1A19">
              <w:t xml:space="preserve">and </w:t>
            </w:r>
            <w:r w:rsidR="00DE42A8" w:rsidRPr="00FA1A19">
              <w:t xml:space="preserve">payments and receipts </w:t>
            </w:r>
            <w:r w:rsidR="00077FF2" w:rsidRPr="00FA1A19">
              <w:t xml:space="preserve">of digital assets </w:t>
            </w:r>
            <w:r w:rsidR="00DE42A8" w:rsidRPr="00FA1A19">
              <w:t>by merchants</w:t>
            </w:r>
            <w:r w:rsidR="00077FF2" w:rsidRPr="00FA1A19">
              <w:t xml:space="preserve">, charitable contributions and </w:t>
            </w:r>
            <w:r w:rsidRPr="00FA1A19">
              <w:t>characterisation of payment stablecoins as indebtedness.</w:t>
            </w:r>
            <w:r w:rsidR="004F0A51" w:rsidRPr="00FA1A19">
              <w:t xml:space="preserve"> </w:t>
            </w:r>
          </w:p>
          <w:p w14:paraId="6F0B3160" w14:textId="262C2C9F" w:rsidR="3C1B2E72" w:rsidRPr="00FA1A19" w:rsidRDefault="00213B89" w:rsidP="00651344">
            <w:pPr>
              <w:pStyle w:val="TableTextLeftBullet"/>
              <w:cnfStyle w:val="000000000000" w:firstRow="0" w:lastRow="0" w:firstColumn="0" w:lastColumn="0" w:oddVBand="0" w:evenVBand="0" w:oddHBand="0" w:evenHBand="0" w:firstRowFirstColumn="0" w:firstRowLastColumn="0" w:lastRowFirstColumn="0" w:lastRowLastColumn="0"/>
            </w:pPr>
            <w:r w:rsidRPr="00FA1A19">
              <w:t>T</w:t>
            </w:r>
            <w:r w:rsidR="3C1B2E72" w:rsidRPr="00FA1A19">
              <w:t>he Comptroller General of the US to conduct a study and provide a report in relation to various issues relating to retirement investing in digital assets.</w:t>
            </w:r>
          </w:p>
        </w:tc>
      </w:tr>
      <w:tr w:rsidR="3C1B2E72" w:rsidRPr="00FA1A19" w14:paraId="70D3F1A4" w14:textId="77777777" w:rsidTr="00EB0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 w:type="pct"/>
            <w:tcBorders>
              <w:bottom w:val="single" w:sz="4" w:space="0" w:color="auto"/>
            </w:tcBorders>
          </w:tcPr>
          <w:p w14:paraId="26C6F515" w14:textId="62B69F3B" w:rsidR="3C1B2E72" w:rsidRPr="00FA1A19" w:rsidRDefault="3C1B2E72" w:rsidP="00651344">
            <w:pPr>
              <w:pStyle w:val="TableTextLeft"/>
              <w:rPr>
                <w:rFonts w:eastAsia="Calibri"/>
                <w:b w:val="0"/>
              </w:rPr>
            </w:pPr>
            <w:r w:rsidRPr="00FA1A19">
              <w:rPr>
                <w:rFonts w:eastAsia="Calibri"/>
              </w:rPr>
              <w:t>Certain Transactions</w:t>
            </w:r>
          </w:p>
        </w:tc>
        <w:tc>
          <w:tcPr>
            <w:tcW w:w="4060" w:type="pct"/>
            <w:tcBorders>
              <w:bottom w:val="single" w:sz="4" w:space="0" w:color="auto"/>
            </w:tcBorders>
          </w:tcPr>
          <w:p w14:paraId="315090FD" w14:textId="63B5D524" w:rsidR="3C1B2E72" w:rsidRPr="00FA1A19" w:rsidRDefault="3C1B2E72"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rPr>
            </w:pPr>
            <w:r w:rsidRPr="00FA1A19">
              <w:rPr>
                <w:rFonts w:eastAsia="Calibri"/>
              </w:rPr>
              <w:t>Virtual currency received as a bona fide gift, is not recognised as income until it is sold, exchanged, or otherwise disposed of.</w:t>
            </w:r>
            <w:r w:rsidR="00213B89" w:rsidRPr="00FA1A19">
              <w:rPr>
                <w:rFonts w:eastAsia="Calibri"/>
              </w:rPr>
              <w:t xml:space="preserve"> Charitable </w:t>
            </w:r>
            <w:r w:rsidR="00C91B60" w:rsidRPr="00FA1A19">
              <w:rPr>
                <w:rFonts w:eastAsia="Calibri"/>
              </w:rPr>
              <w:t>organi</w:t>
            </w:r>
            <w:r w:rsidR="00C91B60">
              <w:rPr>
                <w:rFonts w:eastAsia="Calibri"/>
              </w:rPr>
              <w:t>s</w:t>
            </w:r>
            <w:r w:rsidR="00C91B60" w:rsidRPr="00FA1A19">
              <w:rPr>
                <w:rFonts w:eastAsia="Calibri"/>
              </w:rPr>
              <w:t xml:space="preserve">ations </w:t>
            </w:r>
            <w:r w:rsidR="00213B89" w:rsidRPr="00FA1A19">
              <w:rPr>
                <w:rFonts w:eastAsia="Calibri"/>
              </w:rPr>
              <w:t>that receive virtual currency treat the donation as a non</w:t>
            </w:r>
            <w:r w:rsidR="00F75232">
              <w:rPr>
                <w:rFonts w:eastAsia="Calibri"/>
              </w:rPr>
              <w:noBreakHyphen/>
            </w:r>
            <w:r w:rsidR="00213B89" w:rsidRPr="00FA1A19">
              <w:rPr>
                <w:rFonts w:eastAsia="Calibri"/>
              </w:rPr>
              <w:t>cash contribution.</w:t>
            </w:r>
          </w:p>
          <w:p w14:paraId="450F0C61" w14:textId="31FF4C76" w:rsidR="3C1B2E72" w:rsidRPr="00FA1A19" w:rsidRDefault="3C1B2E72"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rPr>
            </w:pPr>
            <w:r w:rsidRPr="00FA1A19">
              <w:rPr>
                <w:rFonts w:eastAsia="Calibri"/>
              </w:rPr>
              <w:t xml:space="preserve">Virtual currency donated to a charitable </w:t>
            </w:r>
            <w:r w:rsidR="00C91B60" w:rsidRPr="00FA1A19">
              <w:rPr>
                <w:rFonts w:eastAsia="Calibri"/>
              </w:rPr>
              <w:t>organi</w:t>
            </w:r>
            <w:r w:rsidR="00C91B60">
              <w:rPr>
                <w:rFonts w:eastAsia="Calibri"/>
              </w:rPr>
              <w:t>s</w:t>
            </w:r>
            <w:r w:rsidR="00C91B60" w:rsidRPr="00FA1A19">
              <w:rPr>
                <w:rFonts w:eastAsia="Calibri"/>
              </w:rPr>
              <w:t xml:space="preserve">ation </w:t>
            </w:r>
            <w:r w:rsidRPr="00FA1A19">
              <w:rPr>
                <w:rFonts w:eastAsia="Calibri"/>
              </w:rPr>
              <w:t>will not result in income, gain, or loss to the donor.</w:t>
            </w:r>
            <w:r w:rsidR="004F0A51" w:rsidRPr="00FA1A19">
              <w:rPr>
                <w:rFonts w:eastAsia="Calibri"/>
              </w:rPr>
              <w:t xml:space="preserve"> </w:t>
            </w:r>
            <w:r w:rsidRPr="00FA1A19">
              <w:rPr>
                <w:rFonts w:eastAsia="Calibri"/>
              </w:rPr>
              <w:t>However, the donor can receive a charitable contribution deduction for the fair market value of the virtual currency at the date and time of the donation, provided the donor complies with the other requirements for non</w:t>
            </w:r>
            <w:r w:rsidR="00F75232">
              <w:rPr>
                <w:rFonts w:eastAsia="Calibri"/>
              </w:rPr>
              <w:noBreakHyphen/>
            </w:r>
            <w:r w:rsidRPr="00FA1A19">
              <w:rPr>
                <w:rFonts w:eastAsia="Calibri"/>
              </w:rPr>
              <w:t>cash contributions under 26 U.S.C. § 170.</w:t>
            </w:r>
          </w:p>
        </w:tc>
      </w:tr>
      <w:tr w:rsidR="00DA596A" w:rsidRPr="00FA1A19" w14:paraId="598D744C" w14:textId="77777777" w:rsidTr="00EB09BD">
        <w:trPr>
          <w:trHeight w:val="30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auto"/>
            </w:tcBorders>
          </w:tcPr>
          <w:p w14:paraId="0989C0CD" w14:textId="3B841AD4" w:rsidR="00DA596A" w:rsidRPr="00FA1A19" w:rsidRDefault="00DA596A" w:rsidP="00651344">
            <w:pPr>
              <w:pStyle w:val="TableTextLeft"/>
              <w:rPr>
                <w:rFonts w:eastAsia="Calibri"/>
                <w:color w:val="000000" w:themeColor="text1"/>
              </w:rPr>
            </w:pPr>
            <w:r w:rsidRPr="00FA1A19">
              <w:rPr>
                <w:rFonts w:eastAsia="Calibri"/>
                <w:color w:val="000000" w:themeColor="text1"/>
              </w:rPr>
              <w:t>Guidance &amp; Education</w:t>
            </w:r>
          </w:p>
        </w:tc>
        <w:tc>
          <w:tcPr>
            <w:tcW w:w="4060" w:type="pct"/>
            <w:tcBorders>
              <w:top w:val="single" w:sz="4" w:space="0" w:color="auto"/>
            </w:tcBorders>
          </w:tcPr>
          <w:p w14:paraId="08CF8B44" w14:textId="43CCE4D3" w:rsidR="00DA596A" w:rsidRPr="00FA1A19" w:rsidRDefault="00DA596A"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FA1A19">
              <w:rPr>
                <w:rFonts w:eastAsia="Calibri"/>
                <w:color w:val="000000" w:themeColor="text1"/>
              </w:rPr>
              <w:t xml:space="preserve">At the </w:t>
            </w:r>
            <w:r w:rsidR="00E56FC8">
              <w:rPr>
                <w:rFonts w:eastAsia="Calibri"/>
                <w:color w:val="000000" w:themeColor="text1"/>
              </w:rPr>
              <w:t>f</w:t>
            </w:r>
            <w:r w:rsidR="00E56FC8" w:rsidRPr="00FA1A19">
              <w:rPr>
                <w:rFonts w:eastAsia="Calibri"/>
                <w:color w:val="000000" w:themeColor="text1"/>
              </w:rPr>
              <w:t xml:space="preserve">ederal </w:t>
            </w:r>
            <w:r w:rsidRPr="00FA1A19">
              <w:rPr>
                <w:rFonts w:eastAsia="Calibri"/>
                <w:color w:val="000000" w:themeColor="text1"/>
              </w:rPr>
              <w:t>level, a number of agencies have been proactive in regulating and educating the public about the nature and effect of transactions involving crypto assets.</w:t>
            </w:r>
            <w:r w:rsidR="004F0A51" w:rsidRPr="00FA1A19">
              <w:rPr>
                <w:rFonts w:eastAsia="Calibri"/>
                <w:color w:val="000000" w:themeColor="text1"/>
              </w:rPr>
              <w:t xml:space="preserve"> </w:t>
            </w:r>
            <w:r w:rsidRPr="00FA1A19">
              <w:rPr>
                <w:rFonts w:eastAsia="Calibri"/>
                <w:color w:val="000000" w:themeColor="text1"/>
              </w:rPr>
              <w:t xml:space="preserve">The </w:t>
            </w:r>
            <w:r w:rsidR="00D9095B" w:rsidRPr="00FA1A19">
              <w:rPr>
                <w:rFonts w:eastAsia="Calibri"/>
                <w:color w:val="000000" w:themeColor="text1"/>
              </w:rPr>
              <w:t>IRS</w:t>
            </w:r>
            <w:r w:rsidRPr="00FA1A19">
              <w:rPr>
                <w:rFonts w:eastAsia="Calibri"/>
                <w:color w:val="000000" w:themeColor="text1"/>
              </w:rPr>
              <w:t xml:space="preserve"> has issued guidance regarding the taxation of crypto assets.</w:t>
            </w:r>
            <w:r w:rsidR="004F0A51" w:rsidRPr="00FA1A19">
              <w:rPr>
                <w:rFonts w:eastAsia="Calibri"/>
                <w:color w:val="000000" w:themeColor="text1"/>
              </w:rPr>
              <w:t xml:space="preserve"> </w:t>
            </w:r>
            <w:r w:rsidRPr="00FA1A19">
              <w:rPr>
                <w:rFonts w:eastAsia="Calibri"/>
                <w:color w:val="000000" w:themeColor="text1"/>
              </w:rPr>
              <w:t>There are other agencies that are involved with issuing guidance/rules regarding crypto assets and crypto asset transactions, such as the Securities and Exchange Commission (SEC), Treasury</w:t>
            </w:r>
            <w:r w:rsidR="00F75232">
              <w:rPr>
                <w:rFonts w:eastAsia="Calibri"/>
                <w:color w:val="000000" w:themeColor="text1"/>
              </w:rPr>
              <w:t>’</w:t>
            </w:r>
            <w:r w:rsidRPr="00FA1A19">
              <w:rPr>
                <w:rFonts w:eastAsia="Calibri"/>
                <w:color w:val="000000" w:themeColor="text1"/>
              </w:rPr>
              <w:t>s Financial Crimes Enforcement Network (FinCEN), and the Commodity Futures Trading Commission (CFTC).</w:t>
            </w:r>
          </w:p>
          <w:p w14:paraId="2C72A93E" w14:textId="77777777" w:rsidR="004B45B4" w:rsidRDefault="00FE534D"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FA1A19">
              <w:rPr>
                <w:rFonts w:eastAsia="Calibri"/>
                <w:color w:val="000000" w:themeColor="text1"/>
              </w:rPr>
              <w:t>The IRS provides web content guidance in relation to the tax treatment of digital assets including general guidance, public notices, frequently asked questions and tax return instructions. Formal guidance has been issued in the form of IRS Notice 2014</w:t>
            </w:r>
            <w:r w:rsidR="0057150C">
              <w:rPr>
                <w:rFonts w:eastAsia="Calibri"/>
                <w:color w:val="000000" w:themeColor="text1"/>
              </w:rPr>
              <w:t>–‍</w:t>
            </w:r>
            <w:r w:rsidRPr="00FA1A19">
              <w:rPr>
                <w:rFonts w:eastAsia="Calibri"/>
                <w:color w:val="000000" w:themeColor="text1"/>
              </w:rPr>
              <w:t>21</w:t>
            </w:r>
            <w:r w:rsidRPr="00170ADC">
              <w:rPr>
                <w:rStyle w:val="FootnoteReference"/>
                <w:rFonts w:eastAsia="Calibri"/>
              </w:rPr>
              <w:footnoteReference w:id="661"/>
            </w:r>
            <w:r w:rsidRPr="00FA1A19">
              <w:rPr>
                <w:rFonts w:eastAsia="Calibri"/>
                <w:color w:val="000000" w:themeColor="text1"/>
              </w:rPr>
              <w:t xml:space="preserve"> providing general crypto guidance</w:t>
            </w:r>
            <w:r w:rsidR="00A3488B" w:rsidRPr="00FA1A19">
              <w:rPr>
                <w:rFonts w:eastAsia="Calibri"/>
                <w:color w:val="000000" w:themeColor="text1"/>
              </w:rPr>
              <w:t xml:space="preserve">. </w:t>
            </w:r>
          </w:p>
          <w:p w14:paraId="04B61D44" w14:textId="02A5D1BD" w:rsidR="00FE534D" w:rsidRPr="00FA1A19" w:rsidRDefault="00A3488B"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FA1A19">
              <w:rPr>
                <w:rFonts w:eastAsia="Calibri"/>
                <w:color w:val="000000" w:themeColor="text1"/>
              </w:rPr>
              <w:t>Additionally, Revenue Rulings have been issued in relation to</w:t>
            </w:r>
            <w:r w:rsidR="00FE534D" w:rsidRPr="00FA1A19">
              <w:rPr>
                <w:rFonts w:eastAsia="Calibri"/>
                <w:color w:val="000000" w:themeColor="text1"/>
              </w:rPr>
              <w:t xml:space="preserve"> hard forks and airdrops</w:t>
            </w:r>
            <w:r w:rsidRPr="00170ADC">
              <w:rPr>
                <w:rStyle w:val="FootnoteReference"/>
                <w:rFonts w:eastAsia="Calibri"/>
              </w:rPr>
              <w:footnoteReference w:id="662"/>
            </w:r>
            <w:r w:rsidR="00FE534D" w:rsidRPr="00FA1A19">
              <w:rPr>
                <w:rFonts w:eastAsia="Calibri"/>
                <w:color w:val="000000" w:themeColor="text1"/>
              </w:rPr>
              <w:t>, regarding additional units of cryptocurrency received from staking</w:t>
            </w:r>
            <w:r w:rsidR="00BF6CB0" w:rsidRPr="00170ADC">
              <w:rPr>
                <w:rStyle w:val="FootnoteReference"/>
                <w:rFonts w:eastAsia="Calibri"/>
              </w:rPr>
              <w:footnoteReference w:id="663"/>
            </w:r>
            <w:r w:rsidR="00BF6CB0" w:rsidRPr="00FA1A19">
              <w:rPr>
                <w:rFonts w:eastAsia="Calibri"/>
                <w:color w:val="000000" w:themeColor="text1"/>
              </w:rPr>
              <w:t xml:space="preserve"> and IRS Notices on the </w:t>
            </w:r>
            <w:r w:rsidR="00FE534D" w:rsidRPr="00FA1A19">
              <w:rPr>
                <w:rFonts w:eastAsia="Calibri"/>
                <w:color w:val="000000" w:themeColor="text1"/>
              </w:rPr>
              <w:t xml:space="preserve">treatment of certain </w:t>
            </w:r>
            <w:r w:rsidR="00170B6E">
              <w:rPr>
                <w:rFonts w:eastAsia="Calibri"/>
                <w:color w:val="000000" w:themeColor="text1"/>
              </w:rPr>
              <w:t>NFTs</w:t>
            </w:r>
            <w:r w:rsidR="00FE534D" w:rsidRPr="00FA1A19">
              <w:rPr>
                <w:rFonts w:eastAsia="Calibri"/>
                <w:color w:val="000000" w:themeColor="text1"/>
              </w:rPr>
              <w:t xml:space="preserve"> as collectibles</w:t>
            </w:r>
            <w:r w:rsidR="00BF6CB0" w:rsidRPr="00170ADC">
              <w:rPr>
                <w:rStyle w:val="FootnoteReference"/>
                <w:rFonts w:eastAsia="Calibri"/>
              </w:rPr>
              <w:footnoteReference w:id="664"/>
            </w:r>
            <w:r w:rsidR="00FE534D" w:rsidRPr="00FA1A19">
              <w:rPr>
                <w:rFonts w:eastAsia="Calibri"/>
                <w:color w:val="000000" w:themeColor="text1"/>
              </w:rPr>
              <w:t xml:space="preserve">, and </w:t>
            </w:r>
            <w:r w:rsidR="00BF6CB0" w:rsidRPr="00FA1A19">
              <w:rPr>
                <w:rFonts w:eastAsia="Calibri"/>
                <w:color w:val="000000" w:themeColor="text1"/>
              </w:rPr>
              <w:t>advising</w:t>
            </w:r>
            <w:r w:rsidR="00FE534D" w:rsidRPr="00FA1A19">
              <w:rPr>
                <w:rFonts w:eastAsia="Calibri"/>
                <w:color w:val="000000" w:themeColor="text1"/>
              </w:rPr>
              <w:t xml:space="preserve"> that other countries</w:t>
            </w:r>
            <w:r w:rsidR="00F75232">
              <w:rPr>
                <w:rFonts w:eastAsia="Calibri"/>
                <w:color w:val="000000" w:themeColor="text1"/>
              </w:rPr>
              <w:t>’</w:t>
            </w:r>
            <w:r w:rsidR="00FE534D" w:rsidRPr="00FA1A19">
              <w:rPr>
                <w:rFonts w:eastAsia="Calibri"/>
                <w:color w:val="000000" w:themeColor="text1"/>
              </w:rPr>
              <w:t xml:space="preserve"> recognition of cryptocurrency as legal tender does not change the treatment of that currency for US tax purposes</w:t>
            </w:r>
            <w:r w:rsidR="00BF6CB0" w:rsidRPr="00170ADC">
              <w:rPr>
                <w:rStyle w:val="FootnoteReference"/>
                <w:rFonts w:eastAsia="Calibri"/>
              </w:rPr>
              <w:footnoteReference w:id="665"/>
            </w:r>
            <w:r w:rsidR="00FD1465" w:rsidRPr="00FA1A19">
              <w:rPr>
                <w:rFonts w:eastAsia="Calibri"/>
                <w:color w:val="000000" w:themeColor="text1"/>
              </w:rPr>
              <w:t>.</w:t>
            </w:r>
            <w:r w:rsidR="00FE534D" w:rsidRPr="00FA1A19">
              <w:rPr>
                <w:rFonts w:eastAsia="Calibri"/>
                <w:color w:val="000000" w:themeColor="text1"/>
              </w:rPr>
              <w:t xml:space="preserve"> </w:t>
            </w:r>
          </w:p>
        </w:tc>
      </w:tr>
      <w:tr w:rsidR="3C1B2E72" w:rsidRPr="00FA1A19" w14:paraId="4A1ACF7D" w14:textId="77777777" w:rsidTr="00EB0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 w:type="pct"/>
          </w:tcPr>
          <w:p w14:paraId="7BC060C0" w14:textId="79970CC1" w:rsidR="3C1B2E72" w:rsidRPr="00FA1A19" w:rsidRDefault="3C1B2E72" w:rsidP="00651344">
            <w:pPr>
              <w:pStyle w:val="TableTextLeft"/>
              <w:rPr>
                <w:rFonts w:eastAsia="Calibri"/>
                <w:b w:val="0"/>
                <w:color w:val="000000" w:themeColor="text1"/>
              </w:rPr>
            </w:pPr>
            <w:r w:rsidRPr="00FA1A19">
              <w:rPr>
                <w:rFonts w:eastAsia="Calibri"/>
                <w:color w:val="000000" w:themeColor="text1"/>
              </w:rPr>
              <w:t>Record Keeping &amp; Valuation</w:t>
            </w:r>
          </w:p>
        </w:tc>
        <w:tc>
          <w:tcPr>
            <w:tcW w:w="4060" w:type="pct"/>
          </w:tcPr>
          <w:p w14:paraId="03391A7B" w14:textId="4C730F3D" w:rsidR="00BC1DF9" w:rsidRPr="004E0924" w:rsidRDefault="00BC1DF9"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Pr>
                <w:rFonts w:eastAsia="Calibri"/>
                <w:b/>
                <w:bCs/>
                <w:color w:val="000000" w:themeColor="text1"/>
              </w:rPr>
              <w:t>Record keeping</w:t>
            </w:r>
          </w:p>
          <w:p w14:paraId="767DAF95" w14:textId="77777777" w:rsidR="3C1B2E72" w:rsidRDefault="3C1B2E72"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FA1A19">
              <w:rPr>
                <w:rFonts w:eastAsia="Calibri"/>
                <w:color w:val="000000" w:themeColor="text1"/>
              </w:rPr>
              <w:t>The IRS and regulations require taxpayers to maintain records that are sufficient to establish the positions taken on tax returns.</w:t>
            </w:r>
            <w:r w:rsidR="004F0A51" w:rsidRPr="00FA1A19">
              <w:rPr>
                <w:rFonts w:eastAsia="Calibri"/>
                <w:color w:val="000000" w:themeColor="text1"/>
              </w:rPr>
              <w:t xml:space="preserve"> </w:t>
            </w:r>
            <w:r w:rsidRPr="00FA1A19">
              <w:rPr>
                <w:rFonts w:eastAsia="Calibri"/>
                <w:color w:val="000000" w:themeColor="text1"/>
              </w:rPr>
              <w:t>IRS guidance advises that crypto asset users should maintain, for example, records documenting receipts, sales, exchanges, or other dispositions of virtual currency and the fair market value of the virtual currency.</w:t>
            </w:r>
          </w:p>
          <w:p w14:paraId="77A1047F" w14:textId="77777777" w:rsidR="00EA4D99" w:rsidRDefault="00EA4D99"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Pr>
                <w:rFonts w:eastAsia="Calibri"/>
                <w:b/>
                <w:bCs/>
                <w:color w:val="000000" w:themeColor="text1"/>
              </w:rPr>
              <w:t>Valuation</w:t>
            </w:r>
          </w:p>
          <w:p w14:paraId="1F6C4090" w14:textId="47F46403" w:rsidR="00EA4D99" w:rsidRPr="004E0924" w:rsidRDefault="00A05191" w:rsidP="00651344">
            <w:pPr>
              <w:pStyle w:val="TableTextLeft"/>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Pr>
                <w:rFonts w:eastAsia="Calibri"/>
                <w:color w:val="000000" w:themeColor="text1"/>
              </w:rPr>
              <w:t>The fair market value of the virtual currency must used in determining gains or losses from virtual currency. Where the cryptocurrency is not traded on any cryptocurrency exchange and does not have a published value, the fair market value is equal to the fair market value of any property or services exchanged for the cryptocurrency when the transaction occurs.</w:t>
            </w:r>
          </w:p>
        </w:tc>
      </w:tr>
      <w:tr w:rsidR="3C1B2E72" w:rsidRPr="00FA1A19" w14:paraId="2F51A42B" w14:textId="77777777" w:rsidTr="00EB09BD">
        <w:trPr>
          <w:trHeight w:val="300"/>
        </w:trPr>
        <w:tc>
          <w:tcPr>
            <w:cnfStyle w:val="001000000000" w:firstRow="0" w:lastRow="0" w:firstColumn="1" w:lastColumn="0" w:oddVBand="0" w:evenVBand="0" w:oddHBand="0" w:evenHBand="0" w:firstRowFirstColumn="0" w:firstRowLastColumn="0" w:lastRowFirstColumn="0" w:lastRowLastColumn="0"/>
            <w:tcW w:w="940" w:type="pct"/>
          </w:tcPr>
          <w:p w14:paraId="2379B92F" w14:textId="088E0807" w:rsidR="3C1B2E72" w:rsidRPr="00FA1A19" w:rsidRDefault="3C1B2E72" w:rsidP="00651344">
            <w:pPr>
              <w:pStyle w:val="TableTextLeft"/>
              <w:rPr>
                <w:rFonts w:eastAsia="Calibri"/>
                <w:b w:val="0"/>
              </w:rPr>
            </w:pPr>
            <w:r w:rsidRPr="00FA1A19">
              <w:rPr>
                <w:rFonts w:eastAsia="Calibri"/>
              </w:rPr>
              <w:t>Reporting &amp; Tax Transparency</w:t>
            </w:r>
          </w:p>
        </w:tc>
        <w:tc>
          <w:tcPr>
            <w:tcW w:w="4060" w:type="pct"/>
          </w:tcPr>
          <w:p w14:paraId="72E4E75D" w14:textId="59D49143" w:rsidR="3C1B2E72" w:rsidRPr="00170ADC" w:rsidRDefault="3C1B2E72" w:rsidP="00651344">
            <w:pPr>
              <w:pStyle w:val="TableTextLeft"/>
              <w:cnfStyle w:val="000000000000" w:firstRow="0" w:lastRow="0" w:firstColumn="0" w:lastColumn="0" w:oddVBand="0" w:evenVBand="0" w:oddHBand="0" w:evenHBand="0" w:firstRowFirstColumn="0" w:firstRowLastColumn="0" w:lastRowFirstColumn="0" w:lastRowLastColumn="0"/>
              <w:rPr>
                <w:rStyle w:val="FootnoteReference"/>
                <w:rFonts w:eastAsia="Calibri"/>
              </w:rPr>
            </w:pPr>
            <w:r w:rsidRPr="00FA1A19">
              <w:rPr>
                <w:rFonts w:eastAsia="Calibri"/>
              </w:rPr>
              <w:t xml:space="preserve">Congress passed the </w:t>
            </w:r>
            <w:r w:rsidRPr="00813896">
              <w:rPr>
                <w:rStyle w:val="Emphasis"/>
                <w:rFonts w:eastAsia="Calibri"/>
              </w:rPr>
              <w:t>Infrastructure Investment and Jobs Act</w:t>
            </w:r>
            <w:r w:rsidRPr="00FA1A19">
              <w:rPr>
                <w:rFonts w:eastAsia="Calibri"/>
              </w:rPr>
              <w:t xml:space="preserve"> in November 2021, which</w:t>
            </w:r>
            <w:r w:rsidR="0029214B" w:rsidRPr="00FA1A19">
              <w:rPr>
                <w:rFonts w:eastAsia="Calibri"/>
              </w:rPr>
              <w:t>,</w:t>
            </w:r>
            <w:r w:rsidRPr="00FA1A19">
              <w:rPr>
                <w:rFonts w:eastAsia="Calibri"/>
              </w:rPr>
              <w:t xml:space="preserve"> once implementing regulations are </w:t>
            </w:r>
            <w:r w:rsidR="0029214B" w:rsidRPr="00FA1A19">
              <w:rPr>
                <w:rFonts w:eastAsia="Calibri"/>
              </w:rPr>
              <w:t>finalised,</w:t>
            </w:r>
            <w:r w:rsidR="004F0A51" w:rsidRPr="00FA1A19">
              <w:rPr>
                <w:rFonts w:eastAsia="Calibri"/>
              </w:rPr>
              <w:t xml:space="preserve"> </w:t>
            </w:r>
            <w:r w:rsidRPr="00FA1A19">
              <w:rPr>
                <w:rFonts w:eastAsia="Calibri"/>
              </w:rPr>
              <w:t>will require brokers to report certain information regarding their customers</w:t>
            </w:r>
            <w:r w:rsidR="00F75232">
              <w:rPr>
                <w:rFonts w:eastAsia="Calibri"/>
              </w:rPr>
              <w:t>’</w:t>
            </w:r>
            <w:r w:rsidRPr="00FA1A19">
              <w:rPr>
                <w:rFonts w:eastAsia="Calibri"/>
              </w:rPr>
              <w:t xml:space="preserve"> crypto transactions.</w:t>
            </w:r>
            <w:r w:rsidR="004F0A51" w:rsidRPr="00FA1A19">
              <w:rPr>
                <w:rFonts w:eastAsia="Calibri"/>
              </w:rPr>
              <w:t xml:space="preserve"> </w:t>
            </w:r>
            <w:r w:rsidRPr="00FA1A19">
              <w:rPr>
                <w:rFonts w:eastAsia="Calibri"/>
              </w:rPr>
              <w:t>As part of these reforms, it has been reported that the</w:t>
            </w:r>
            <w:r w:rsidR="00414634">
              <w:rPr>
                <w:rFonts w:eastAsia="Calibri"/>
              </w:rPr>
              <w:t xml:space="preserve"> </w:t>
            </w:r>
            <w:r w:rsidRPr="00FA1A19">
              <w:rPr>
                <w:rFonts w:eastAsia="Calibri"/>
              </w:rPr>
              <w:t>IRS is developing a new tax form for brokers to capture individual annual crypto activity subject to taxation.</w:t>
            </w:r>
            <w:r w:rsidR="00DA3198" w:rsidRPr="00FA1A19" w:rsidDel="00DA3198">
              <w:t xml:space="preserve"> </w:t>
            </w:r>
          </w:p>
          <w:p w14:paraId="5F4B16AF" w14:textId="23854B96" w:rsidR="3C1B2E72" w:rsidRPr="00FA1A19" w:rsidRDefault="3C1B2E72"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FA1A19">
              <w:rPr>
                <w:rFonts w:eastAsia="Calibri"/>
              </w:rPr>
              <w:t>It is also anticipated that the</w:t>
            </w:r>
            <w:r w:rsidR="00414634">
              <w:rPr>
                <w:rFonts w:eastAsia="Calibri"/>
              </w:rPr>
              <w:t xml:space="preserve"> </w:t>
            </w:r>
            <w:r w:rsidRPr="00FA1A19">
              <w:rPr>
                <w:rFonts w:eastAsia="Calibri"/>
              </w:rPr>
              <w:t xml:space="preserve">IRS will publish rules which would bring holders of crypto assets into the scope of </w:t>
            </w:r>
            <w:r w:rsidRPr="00813896">
              <w:rPr>
                <w:rStyle w:val="Emphasis"/>
                <w:rFonts w:eastAsia="Calibri"/>
              </w:rPr>
              <w:t xml:space="preserve">Foreign Account Tax Compliance Act 2010 </w:t>
            </w:r>
            <w:r w:rsidRPr="00FA1A19">
              <w:rPr>
                <w:rFonts w:eastAsia="Calibri"/>
              </w:rPr>
              <w:t>(US)</w:t>
            </w:r>
            <w:r w:rsidR="00C80C26" w:rsidRPr="00FA1A19">
              <w:rPr>
                <w:rFonts w:eastAsia="Calibri"/>
              </w:rPr>
              <w:t xml:space="preserve"> (FATCA)</w:t>
            </w:r>
            <w:r w:rsidRPr="00FA1A19">
              <w:rPr>
                <w:rFonts w:eastAsia="Calibri"/>
              </w:rPr>
              <w:t xml:space="preserve"> tax reporting in line with US Treasury proposals.</w:t>
            </w:r>
            <w:r w:rsidR="007F2179" w:rsidRPr="00170ADC">
              <w:rPr>
                <w:rStyle w:val="FootnoteReference"/>
                <w:rFonts w:eastAsia="Calibri"/>
              </w:rPr>
              <w:footnoteReference w:id="666"/>
            </w:r>
          </w:p>
          <w:p w14:paraId="74722481" w14:textId="77777777" w:rsidR="00843A9D" w:rsidRPr="00FA1A19" w:rsidRDefault="3C1B2E72"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FA1A19">
              <w:rPr>
                <w:rFonts w:eastAsia="Calibri"/>
              </w:rPr>
              <w:t xml:space="preserve">FATCA applies to foreign financial institutions while crypto information reporting will apply to US brokers. </w:t>
            </w:r>
          </w:p>
          <w:p w14:paraId="354D6EC6" w14:textId="2042E260" w:rsidR="3C1B2E72" w:rsidRPr="00FA1A19" w:rsidRDefault="3C1B2E72" w:rsidP="00651344">
            <w:pPr>
              <w:pStyle w:val="TableTextLeft"/>
              <w:cnfStyle w:val="000000000000" w:firstRow="0" w:lastRow="0" w:firstColumn="0" w:lastColumn="0" w:oddVBand="0" w:evenVBand="0" w:oddHBand="0" w:evenHBand="0" w:firstRowFirstColumn="0" w:firstRowLastColumn="0" w:lastRowFirstColumn="0" w:lastRowLastColumn="0"/>
              <w:rPr>
                <w:rFonts w:eastAsia="Calibri"/>
              </w:rPr>
            </w:pPr>
            <w:r w:rsidRPr="00FA1A19">
              <w:rPr>
                <w:rFonts w:eastAsia="Calibri"/>
              </w:rPr>
              <w:t>The US Individual Income Tax Return Form 1040 contains a box for the individual to indicate whether they engaged in certain digital asset transactions</w:t>
            </w:r>
            <w:r w:rsidR="00843A9D" w:rsidRPr="00FA1A19">
              <w:rPr>
                <w:rFonts w:eastAsia="Calibri"/>
              </w:rPr>
              <w:t xml:space="preserve"> This has been discussed further in </w:t>
            </w:r>
            <w:r w:rsidR="00372633">
              <w:rPr>
                <w:rFonts w:eastAsia="Calibri"/>
              </w:rPr>
              <w:t>Chapter </w:t>
            </w:r>
            <w:r w:rsidR="002C78F7" w:rsidRPr="00FA1A19">
              <w:rPr>
                <w:rFonts w:eastAsia="Calibri"/>
              </w:rPr>
              <w:t>11</w:t>
            </w:r>
            <w:r w:rsidR="00843A9D" w:rsidRPr="00FA1A19">
              <w:rPr>
                <w:rFonts w:eastAsia="Calibri"/>
              </w:rPr>
              <w:t xml:space="preserve">. </w:t>
            </w:r>
          </w:p>
        </w:tc>
      </w:tr>
    </w:tbl>
    <w:p w14:paraId="0C821D93" w14:textId="42A1BC7C" w:rsidR="00641869" w:rsidRPr="00077135" w:rsidRDefault="00372633" w:rsidP="0069352C">
      <w:pPr>
        <w:pStyle w:val="Heading4"/>
      </w:pPr>
      <w:bookmarkStart w:id="157" w:name="_Hlk140264082"/>
      <w:r>
        <w:t>Observation </w:t>
      </w:r>
      <w:r w:rsidR="00641869" w:rsidRPr="0069352C">
        <w:t>points</w:t>
      </w:r>
    </w:p>
    <w:p w14:paraId="1BD24561" w14:textId="535CD121" w:rsidR="002E411E" w:rsidRPr="00FA1A19" w:rsidRDefault="3C68CD21" w:rsidP="002E411E">
      <w:pPr>
        <w:pStyle w:val="Bullet"/>
      </w:pPr>
      <w:r w:rsidRPr="00FA1A19">
        <w:t>The IRS advised that there is a question on the individual tax return (IRS Form 1040) which asks if they have received or engaged in any transactions involving digital assets during the year, and that question has been on the return since 2019. They have noted an increase in the number of people who are responding to that question, however the number of responses that indicate yes, is much lower than what is expected based on the number of people who have crypto transactions</w:t>
      </w:r>
      <w:r w:rsidR="002E411E">
        <w:t>.</w:t>
      </w:r>
      <w:r w:rsidR="00346EAE">
        <w:t xml:space="preserve"> </w:t>
      </w:r>
      <w:r w:rsidR="002E411E">
        <w:t xml:space="preserve">The question only appears on the </w:t>
      </w:r>
      <w:r w:rsidR="002E411E" w:rsidRPr="00FA1A19">
        <w:t>individual tax return</w:t>
      </w:r>
      <w:r w:rsidR="002E411E">
        <w:t xml:space="preserve"> form</w:t>
      </w:r>
      <w:r w:rsidR="002E411E" w:rsidRPr="00FA1A19">
        <w:t xml:space="preserve">, so </w:t>
      </w:r>
      <w:r w:rsidR="002E411E">
        <w:t>they are unable to</w:t>
      </w:r>
      <w:r w:rsidR="002E411E" w:rsidRPr="00FA1A19">
        <w:t xml:space="preserve"> gauge</w:t>
      </w:r>
      <w:r w:rsidR="002E411E">
        <w:t xml:space="preserve"> the response</w:t>
      </w:r>
      <w:r w:rsidR="002E411E" w:rsidRPr="00FA1A19">
        <w:t xml:space="preserve"> for</w:t>
      </w:r>
      <w:r w:rsidR="002E411E">
        <w:t xml:space="preserve"> non-</w:t>
      </w:r>
      <w:r w:rsidR="002E411E" w:rsidRPr="00FA1A19">
        <w:t xml:space="preserve">individual taxpayers. </w:t>
      </w:r>
    </w:p>
    <w:p w14:paraId="518F8FA9" w14:textId="0DA546D8" w:rsidR="00641869" w:rsidRPr="00FA1A19" w:rsidRDefault="3C68CD21">
      <w:pPr>
        <w:pStyle w:val="Bullet"/>
      </w:pPr>
      <w:r w:rsidRPr="00FA1A19">
        <w:t xml:space="preserve">As is the case </w:t>
      </w:r>
      <w:r w:rsidR="002E411E">
        <w:t>wi</w:t>
      </w:r>
      <w:r w:rsidR="00671F3A">
        <w:t>th the</w:t>
      </w:r>
      <w:r w:rsidR="002E411E" w:rsidRPr="00FA1A19">
        <w:t xml:space="preserve"> </w:t>
      </w:r>
      <w:r w:rsidRPr="00FA1A19">
        <w:t>ATO, the</w:t>
      </w:r>
      <w:r w:rsidR="00414634">
        <w:t xml:space="preserve"> </w:t>
      </w:r>
      <w:r w:rsidRPr="00FA1A19">
        <w:t xml:space="preserve">IRS </w:t>
      </w:r>
      <w:r w:rsidR="00414634" w:rsidRPr="00FA1A19">
        <w:t>ha</w:t>
      </w:r>
      <w:r w:rsidR="00414634">
        <w:t>s</w:t>
      </w:r>
      <w:r w:rsidR="00414634" w:rsidRPr="00FA1A19">
        <w:t xml:space="preserve"> </w:t>
      </w:r>
      <w:r w:rsidRPr="00FA1A19">
        <w:t>received feedback asking for more guidance in multiple areas.</w:t>
      </w:r>
      <w:r w:rsidR="004F0A51" w:rsidRPr="00FA1A19">
        <w:t xml:space="preserve"> </w:t>
      </w:r>
      <w:r w:rsidRPr="00FA1A19">
        <w:t xml:space="preserve">The </w:t>
      </w:r>
      <w:r w:rsidR="00414634">
        <w:t xml:space="preserve">US </w:t>
      </w:r>
      <w:r w:rsidRPr="00FA1A19">
        <w:t>IRS has issued both formal and informal guidance in an effort to provide the public as quickly as possible with helpful information.</w:t>
      </w:r>
      <w:r w:rsidR="004F0A51" w:rsidRPr="00FA1A19">
        <w:t xml:space="preserve"> </w:t>
      </w:r>
      <w:r w:rsidRPr="00FA1A19">
        <w:t>Informal guidance procedures allow for the issuance of more rapid guidance where appropriate (</w:t>
      </w:r>
      <w:r w:rsidR="00B37AC1" w:rsidRPr="00FA1A19">
        <w:t>e.g.</w:t>
      </w:r>
      <w:r w:rsidRPr="00FA1A19">
        <w:t xml:space="preserve"> where rules are needed in an emerging area or issue). </w:t>
      </w:r>
    </w:p>
    <w:p w14:paraId="76863EF5" w14:textId="329D923F" w:rsidR="00641869" w:rsidRPr="00FA1A19" w:rsidRDefault="3C68CD21" w:rsidP="001E3898">
      <w:pPr>
        <w:pStyle w:val="Bullet"/>
      </w:pPr>
      <w:r w:rsidRPr="00FA1A19">
        <w:t xml:space="preserve">The IRS said that what determines the need for guidance include issues that arise during the audit processes, discussions with industry groups, and feedback from the public generally. </w:t>
      </w:r>
    </w:p>
    <w:p w14:paraId="28C45358" w14:textId="2DC0BB2C" w:rsidR="00641869" w:rsidRPr="00FA1A19" w:rsidRDefault="3C68CD21" w:rsidP="001E3898">
      <w:pPr>
        <w:pStyle w:val="Bullet"/>
      </w:pPr>
      <w:r w:rsidRPr="00FA1A19">
        <w:t>The IRS advised that in relation to obtaining information/data, they can get information from exchange platforms, but it is often not given voluntarily. The IRS may obtain the information through issuance of summonses on exchanges and other relevant entities and persons.</w:t>
      </w:r>
      <w:r w:rsidR="004F0A51" w:rsidRPr="00FA1A19">
        <w:t xml:space="preserve"> </w:t>
      </w:r>
      <w:r w:rsidRPr="00FA1A19">
        <w:t xml:space="preserve">After that information is secured, the IRS can use the information for appropriate enforcement activities, including sending out </w:t>
      </w:r>
      <w:r w:rsidR="00F75232">
        <w:t>‘</w:t>
      </w:r>
      <w:r w:rsidRPr="00FA1A19">
        <w:t>education</w:t>
      </w:r>
      <w:r w:rsidR="00F75232">
        <w:t>’</w:t>
      </w:r>
      <w:r w:rsidRPr="00FA1A19">
        <w:t xml:space="preserve"> letters to notify taxpayers of how certain crypto transactions should be reported as well as any reporting obligations.</w:t>
      </w:r>
      <w:r w:rsidR="004F0A51" w:rsidRPr="00FA1A19">
        <w:t xml:space="preserve"> </w:t>
      </w:r>
      <w:r w:rsidRPr="00FA1A19">
        <w:t xml:space="preserve">In addition to securing relevant data through administrative actions, most data will come from a mandatory reporting regime, which will not be effective until sometime after implementing regulations have been </w:t>
      </w:r>
      <w:r w:rsidR="00277BB5" w:rsidRPr="00FA1A19">
        <w:t>finali</w:t>
      </w:r>
      <w:r w:rsidR="00277BB5">
        <w:t>s</w:t>
      </w:r>
      <w:r w:rsidR="00277BB5" w:rsidRPr="00FA1A19">
        <w:t>ed</w:t>
      </w:r>
      <w:r w:rsidRPr="00FA1A19">
        <w:t>.</w:t>
      </w:r>
    </w:p>
    <w:p w14:paraId="7E91666A" w14:textId="77777777" w:rsidR="005E488B" w:rsidRDefault="3C68CD21" w:rsidP="00EB09BD">
      <w:pPr>
        <w:pStyle w:val="Bullet"/>
        <w:spacing w:after="0"/>
      </w:pPr>
      <w:r w:rsidRPr="00FA1A19">
        <w:t xml:space="preserve">The IRS stated they are using both tracing and computational tools to </w:t>
      </w:r>
      <w:r w:rsidRPr="00EB09BD">
        <w:t>gather</w:t>
      </w:r>
      <w:r w:rsidRPr="00FA1A19">
        <w:t xml:space="preserve"> and analyse data.</w:t>
      </w:r>
      <w:bookmarkEnd w:id="157"/>
    </w:p>
    <w:p w14:paraId="40DE9131" w14:textId="492DD6AC" w:rsidR="00EB09BD" w:rsidRPr="00EB09BD" w:rsidRDefault="00EB09BD" w:rsidP="005E488B">
      <w:r>
        <w:br w:type="page"/>
      </w:r>
    </w:p>
    <w:p w14:paraId="30D2DA3E" w14:textId="1BCBD2F6" w:rsidR="00641869" w:rsidRPr="00FA1A19" w:rsidRDefault="00641869" w:rsidP="0069352C">
      <w:pPr>
        <w:pStyle w:val="Heading2"/>
      </w:pPr>
      <w:bookmarkStart w:id="158" w:name="_Toc159513639"/>
      <w:r w:rsidRPr="00FA1A19">
        <w:t>Board</w:t>
      </w:r>
      <w:r w:rsidR="00F75232">
        <w:t>’</w:t>
      </w:r>
      <w:r w:rsidRPr="00FA1A19">
        <w:t>s analysis of responses</w:t>
      </w:r>
      <w:r w:rsidR="00643A3E" w:rsidRPr="00FA1A19">
        <w:t xml:space="preserve"> to questions</w:t>
      </w:r>
      <w:bookmarkEnd w:id="158"/>
    </w:p>
    <w:p w14:paraId="240B50F8" w14:textId="6C1B7E90" w:rsidR="00641869" w:rsidRPr="00FA1A19" w:rsidRDefault="00E52037" w:rsidP="001E3898">
      <w:pPr>
        <w:rPr>
          <w:b/>
          <w:bCs/>
          <w:iCs/>
        </w:rPr>
      </w:pPr>
      <w:r w:rsidRPr="00FA1A19">
        <w:t>T</w:t>
      </w:r>
      <w:r w:rsidR="00641869" w:rsidRPr="00FA1A19">
        <w:t xml:space="preserve">he Board </w:t>
      </w:r>
      <w:r w:rsidRPr="00FA1A19">
        <w:t xml:space="preserve">has </w:t>
      </w:r>
      <w:r w:rsidR="00643A3E" w:rsidRPr="00FA1A19">
        <w:t>set out</w:t>
      </w:r>
      <w:r w:rsidR="00331E6D" w:rsidRPr="00FA1A19">
        <w:t xml:space="preserve"> below</w:t>
      </w:r>
      <w:r w:rsidR="00643A3E" w:rsidRPr="00FA1A19">
        <w:t xml:space="preserve"> its</w:t>
      </w:r>
      <w:r w:rsidR="00641869" w:rsidRPr="00FA1A19">
        <w:t xml:space="preserve"> analysis of the responses </w:t>
      </w:r>
      <w:r w:rsidR="00643A3E" w:rsidRPr="00FA1A19">
        <w:t xml:space="preserve">by the five comparable jurisdictions </w:t>
      </w:r>
      <w:r w:rsidR="00641869" w:rsidRPr="00FA1A19">
        <w:t>to</w:t>
      </w:r>
      <w:r w:rsidR="00643A3E" w:rsidRPr="00FA1A19">
        <w:t xml:space="preserve"> the set of ten </w:t>
      </w:r>
      <w:r w:rsidR="00641869" w:rsidRPr="001E3898">
        <w:t>questions</w:t>
      </w:r>
      <w:r w:rsidR="00641869" w:rsidRPr="00FA1A19">
        <w:t xml:space="preserve"> </w:t>
      </w:r>
      <w:r w:rsidR="00643A3E" w:rsidRPr="00FA1A19">
        <w:t xml:space="preserve">that the Board sent to each of them on </w:t>
      </w:r>
      <w:r w:rsidR="00641869" w:rsidRPr="00FA1A19">
        <w:t xml:space="preserve">4 November 2022. </w:t>
      </w:r>
      <w:r w:rsidR="00643A3E" w:rsidRPr="00FA1A19">
        <w:t xml:space="preserve">The details of the responses of each jurisdiction are contained in Appendix </w:t>
      </w:r>
      <w:r w:rsidR="0000690B" w:rsidRPr="00FA1A19">
        <w:t>D</w:t>
      </w:r>
      <w:r w:rsidR="00643A3E" w:rsidRPr="00FA1A19">
        <w:t>.</w:t>
      </w:r>
    </w:p>
    <w:p w14:paraId="3E133CC4" w14:textId="357B12C3" w:rsidR="00641869" w:rsidRPr="00AD28CB" w:rsidRDefault="003B3C26" w:rsidP="0069352C">
      <w:pPr>
        <w:pStyle w:val="OutlineNumbered1"/>
        <w:numPr>
          <w:ilvl w:val="0"/>
          <w:numId w:val="25"/>
        </w:numPr>
        <w:rPr>
          <w:rStyle w:val="Strong"/>
        </w:rPr>
      </w:pPr>
      <w:r w:rsidRPr="00AD28CB">
        <w:rPr>
          <w:rStyle w:val="Strong"/>
        </w:rPr>
        <w:t>Do entitie</w:t>
      </w:r>
      <w:r w:rsidR="00534027" w:rsidRPr="00AD28CB">
        <w:rPr>
          <w:rStyle w:val="Strong"/>
        </w:rPr>
        <w:t>s which carry on a business in relation to crypto assets or accept crypto assets as a form of payment, have a comprehensive awareness of the current (jurisdiction</w:t>
      </w:r>
      <w:r w:rsidR="00F75232">
        <w:rPr>
          <w:rStyle w:val="Strong"/>
        </w:rPr>
        <w:t>’</w:t>
      </w:r>
      <w:r w:rsidR="00534027" w:rsidRPr="00AD28CB">
        <w:rPr>
          <w:rStyle w:val="Strong"/>
        </w:rPr>
        <w:t>s) tax treatment of crypto assets and their tax obligations?</w:t>
      </w:r>
    </w:p>
    <w:p w14:paraId="659F0DF0" w14:textId="6CED7446" w:rsidR="001552A5" w:rsidRPr="00FA1A19" w:rsidRDefault="002777B4" w:rsidP="0069352C">
      <w:pPr>
        <w:pStyle w:val="NormalIndent"/>
      </w:pPr>
      <w:r w:rsidRPr="00FA1A19">
        <w:t>Most jurisdictions cannot gauge what the level of understanding of the taxation of crypto assets</w:t>
      </w:r>
      <w:r w:rsidR="00F971CE" w:rsidRPr="00FA1A19">
        <w:t xml:space="preserve"> by business entities</w:t>
      </w:r>
      <w:r w:rsidRPr="00FA1A19">
        <w:t>.</w:t>
      </w:r>
    </w:p>
    <w:p w14:paraId="010D5C10" w14:textId="7DED0910" w:rsidR="00534027" w:rsidRPr="00AD28CB" w:rsidRDefault="001552A5" w:rsidP="008942EB">
      <w:pPr>
        <w:pStyle w:val="OutlineNumbered1"/>
        <w:numPr>
          <w:ilvl w:val="0"/>
          <w:numId w:val="25"/>
        </w:numPr>
        <w:rPr>
          <w:rStyle w:val="Strong"/>
        </w:rPr>
      </w:pPr>
      <w:r w:rsidRPr="00AD28CB">
        <w:rPr>
          <w:rStyle w:val="Strong"/>
        </w:rPr>
        <w:t>Are investors aware of the current (jurisdiction</w:t>
      </w:r>
      <w:r w:rsidR="00F75232">
        <w:rPr>
          <w:rStyle w:val="Strong"/>
        </w:rPr>
        <w:t>’</w:t>
      </w:r>
      <w:r w:rsidRPr="00AD28CB">
        <w:rPr>
          <w:rStyle w:val="Strong"/>
        </w:rPr>
        <w:t>s) tax treatment of crypto assets? To what extent are they receiving professional tax advice?</w:t>
      </w:r>
    </w:p>
    <w:p w14:paraId="6A1839A5" w14:textId="33F1B763" w:rsidR="00245ADE" w:rsidRPr="00FA1A19" w:rsidRDefault="00245ADE" w:rsidP="0069352C">
      <w:pPr>
        <w:pStyle w:val="NormalIndent"/>
      </w:pPr>
      <w:r w:rsidRPr="00FA1A19">
        <w:t xml:space="preserve">All jurisdictions have </w:t>
      </w:r>
      <w:r w:rsidR="00F971CE" w:rsidRPr="00FA1A19">
        <w:t>published</w:t>
      </w:r>
      <w:r w:rsidRPr="00FA1A19">
        <w:t xml:space="preserve"> clear guidance and communications on the tax consequences of crypto transactions.</w:t>
      </w:r>
    </w:p>
    <w:p w14:paraId="59338053" w14:textId="2C391263" w:rsidR="001552A5" w:rsidRPr="00FA1A19" w:rsidRDefault="009C0DB9" w:rsidP="0069352C">
      <w:pPr>
        <w:pStyle w:val="NormalIndent"/>
      </w:pPr>
      <w:r>
        <w:t xml:space="preserve">UK </w:t>
      </w:r>
      <w:r w:rsidR="00245ADE" w:rsidRPr="00FA1A19">
        <w:t xml:space="preserve">HMRC have conducted research on individuals holding crypto assets </w:t>
      </w:r>
      <w:r w:rsidR="00F971CE" w:rsidRPr="00FA1A19">
        <w:t xml:space="preserve">indicating that </w:t>
      </w:r>
      <w:r w:rsidR="00245ADE" w:rsidRPr="00FA1A19">
        <w:t>42% of crypto owners are aware that tax liabilities can arise when purchasing goods/services using crypto.</w:t>
      </w:r>
    </w:p>
    <w:p w14:paraId="3F549A20" w14:textId="0D154006" w:rsidR="001552A5" w:rsidRPr="00AD28CB" w:rsidRDefault="001552A5" w:rsidP="008942EB">
      <w:pPr>
        <w:pStyle w:val="OutlineNumbered1"/>
        <w:numPr>
          <w:ilvl w:val="0"/>
          <w:numId w:val="25"/>
        </w:numPr>
        <w:rPr>
          <w:rStyle w:val="Strong"/>
        </w:rPr>
      </w:pPr>
      <w:r w:rsidRPr="00AD28CB">
        <w:rPr>
          <w:rStyle w:val="Strong"/>
        </w:rPr>
        <w:t>How should the tax transparency of crypto assets be improved, including what information tax administrators need to know about transactions for purposes of compliance and enforcement?</w:t>
      </w:r>
    </w:p>
    <w:p w14:paraId="51D42031" w14:textId="199535D0" w:rsidR="009B0CF8" w:rsidRPr="00FA1A19" w:rsidRDefault="002900CA" w:rsidP="0069352C">
      <w:pPr>
        <w:pStyle w:val="NormalIndent"/>
      </w:pPr>
      <w:r w:rsidRPr="00FA1A19">
        <w:t xml:space="preserve">The </w:t>
      </w:r>
      <w:r w:rsidR="00412269">
        <w:t xml:space="preserve">US </w:t>
      </w:r>
      <w:r w:rsidRPr="00FA1A19">
        <w:t>IRS noted that t</w:t>
      </w:r>
      <w:r w:rsidR="009B0CF8" w:rsidRPr="00FA1A19">
        <w:t>he use of third</w:t>
      </w:r>
      <w:r w:rsidR="00F75232">
        <w:noBreakHyphen/>
      </w:r>
      <w:r w:rsidR="009B0CF8" w:rsidRPr="00FA1A19">
        <w:t xml:space="preserve">party information reporting generally leads to higher levels of taxpayer compliance as it is transparent to both the </w:t>
      </w:r>
      <w:r w:rsidRPr="00FA1A19">
        <w:t xml:space="preserve">administrator </w:t>
      </w:r>
      <w:r w:rsidR="009B0CF8" w:rsidRPr="00FA1A19">
        <w:t>and taxpayers.</w:t>
      </w:r>
    </w:p>
    <w:p w14:paraId="51E3C68D" w14:textId="49DB0937" w:rsidR="009B0CF8" w:rsidRPr="00FA1A19" w:rsidRDefault="002900CA" w:rsidP="0069352C">
      <w:pPr>
        <w:pStyle w:val="NormalIndent"/>
      </w:pPr>
      <w:r w:rsidRPr="00FA1A19">
        <w:t xml:space="preserve">Most jurisdictions provide guidance in relation to </w:t>
      </w:r>
      <w:r w:rsidR="009B0CF8" w:rsidRPr="00FA1A19">
        <w:t>record keeping requirements for taxpayers</w:t>
      </w:r>
      <w:r w:rsidRPr="00FA1A19">
        <w:t xml:space="preserve"> (such as the IRAS e</w:t>
      </w:r>
      <w:r w:rsidR="00F75232">
        <w:noBreakHyphen/>
      </w:r>
      <w:r w:rsidRPr="00FA1A19">
        <w:t>Tax guide)</w:t>
      </w:r>
      <w:r w:rsidR="009B0CF8" w:rsidRPr="00FA1A19">
        <w:t>.</w:t>
      </w:r>
    </w:p>
    <w:p w14:paraId="2A44E564" w14:textId="08E7DCD3" w:rsidR="009B0CF8" w:rsidRPr="00FA1A19" w:rsidRDefault="00D3293E" w:rsidP="0069352C">
      <w:pPr>
        <w:pStyle w:val="NormalIndent"/>
      </w:pPr>
      <w:r w:rsidRPr="00FA1A19">
        <w:t>Several jurisdictions noted t</w:t>
      </w:r>
      <w:r w:rsidR="009B0CF8" w:rsidRPr="00FA1A19">
        <w:t>hey are exploring options to improve reporting obligations of taxpayers and registrants.</w:t>
      </w:r>
    </w:p>
    <w:p w14:paraId="302102D3" w14:textId="4EFAA53B" w:rsidR="009B0CF8" w:rsidRPr="00FA1A19" w:rsidRDefault="00D3293E" w:rsidP="0069352C">
      <w:pPr>
        <w:pStyle w:val="NormalIndent"/>
      </w:pPr>
      <w:r w:rsidRPr="00FA1A19">
        <w:t xml:space="preserve">Once implemented, the </w:t>
      </w:r>
      <w:r w:rsidR="009B0CF8" w:rsidRPr="00FA1A19">
        <w:t>information that will be gathered under the OECD</w:t>
      </w:r>
      <w:r w:rsidR="00F75232">
        <w:t>’</w:t>
      </w:r>
      <w:r w:rsidR="009B0CF8" w:rsidRPr="00FA1A19">
        <w:t>s Crypto Asset Reporting Framework (CARF) requirements</w:t>
      </w:r>
      <w:r w:rsidRPr="00FA1A19">
        <w:t xml:space="preserve"> will support transparency</w:t>
      </w:r>
      <w:r w:rsidR="009B0CF8" w:rsidRPr="00FA1A19">
        <w:t>.</w:t>
      </w:r>
      <w:r w:rsidR="004F0A51" w:rsidRPr="00FA1A19">
        <w:t xml:space="preserve"> </w:t>
      </w:r>
    </w:p>
    <w:p w14:paraId="7E3E46EE" w14:textId="4EA96650" w:rsidR="001552A5" w:rsidRPr="00FA1A19" w:rsidRDefault="00D3293E" w:rsidP="0069352C">
      <w:pPr>
        <w:pStyle w:val="NormalIndent"/>
      </w:pPr>
      <w:r w:rsidRPr="00FA1A19">
        <w:t>The US currently requires a specific crypto asset disc</w:t>
      </w:r>
      <w:r w:rsidR="00F75A09">
        <w:t>l</w:t>
      </w:r>
      <w:r w:rsidRPr="00FA1A19">
        <w:t>osure on an indi</w:t>
      </w:r>
      <w:r w:rsidR="008963DA" w:rsidRPr="00FA1A19">
        <w:t xml:space="preserve">vidual tax return. </w:t>
      </w:r>
      <w:r w:rsidR="009B0CF8" w:rsidRPr="00FA1A19">
        <w:t>The UK Government announced in the Spring Budget on 15 March 2023 that a new section will be introduced to the self</w:t>
      </w:r>
      <w:r w:rsidR="00F75232">
        <w:noBreakHyphen/>
      </w:r>
      <w:r w:rsidR="009B0CF8" w:rsidRPr="00FA1A19">
        <w:t>assessment forms from 2024/2025 tax year so that gains from crypto assets will be identified separately on the forms.</w:t>
      </w:r>
      <w:r w:rsidR="008963DA" w:rsidRPr="00FA1A19">
        <w:t xml:space="preserve"> These disclosures act as </w:t>
      </w:r>
      <w:r w:rsidR="00B84676" w:rsidRPr="00FA1A19">
        <w:t>a prompt for taxpayers and support compliance</w:t>
      </w:r>
      <w:r w:rsidR="00902475">
        <w:t xml:space="preserve"> and are discussed further in </w:t>
      </w:r>
      <w:r w:rsidR="00372633">
        <w:t>Chapter </w:t>
      </w:r>
      <w:r w:rsidR="00902475">
        <w:t>11</w:t>
      </w:r>
      <w:r w:rsidR="00B84676" w:rsidRPr="00FA1A19">
        <w:t>.</w:t>
      </w:r>
    </w:p>
    <w:p w14:paraId="14356D3F" w14:textId="54C9BE5E" w:rsidR="001552A5" w:rsidRPr="00AD28CB" w:rsidRDefault="001552A5" w:rsidP="008942EB">
      <w:pPr>
        <w:pStyle w:val="OutlineNumbered1"/>
        <w:numPr>
          <w:ilvl w:val="0"/>
          <w:numId w:val="25"/>
        </w:numPr>
        <w:rPr>
          <w:rStyle w:val="Strong"/>
        </w:rPr>
      </w:pPr>
      <w:r w:rsidRPr="00AD28CB">
        <w:rPr>
          <w:rStyle w:val="Strong"/>
        </w:rPr>
        <w:t>What data sources does the jurisdiction</w:t>
      </w:r>
      <w:r w:rsidR="00F75232">
        <w:rPr>
          <w:rStyle w:val="Strong"/>
        </w:rPr>
        <w:t>’</w:t>
      </w:r>
      <w:r w:rsidRPr="00AD28CB">
        <w:rPr>
          <w:rStyle w:val="Strong"/>
        </w:rPr>
        <w:t>s revenue agency currently utilise to assist in compliance activities in relation to crypto transactions?</w:t>
      </w:r>
    </w:p>
    <w:p w14:paraId="08F04869" w14:textId="398C2343" w:rsidR="00B84676" w:rsidRPr="00FA1A19" w:rsidRDefault="00B84676" w:rsidP="0069352C">
      <w:pPr>
        <w:pStyle w:val="NormalIndent"/>
        <w:rPr>
          <w:b/>
          <w:bCs/>
        </w:rPr>
      </w:pPr>
      <w:r w:rsidRPr="00FA1A19">
        <w:t>The CRA relies on a number of tools and numerous internal and external data sources to detect crypto asset activity and is used with other submitted data to determine a taxpayer</w:t>
      </w:r>
      <w:r w:rsidR="00F75232">
        <w:t>’</w:t>
      </w:r>
      <w:r w:rsidRPr="00FA1A19">
        <w:t>s overall compliance profile.</w:t>
      </w:r>
    </w:p>
    <w:p w14:paraId="5BDA08E5" w14:textId="4F0DBB13" w:rsidR="00B84676" w:rsidRPr="00FA1A19" w:rsidRDefault="00B84676" w:rsidP="0069352C">
      <w:pPr>
        <w:pStyle w:val="NormalIndent"/>
        <w:rPr>
          <w:b/>
          <w:bCs/>
        </w:rPr>
      </w:pPr>
      <w:r w:rsidRPr="00FA1A19">
        <w:t>The NZ IR requests crypto asset data from the NZ</w:t>
      </w:r>
      <w:r w:rsidR="00F75232">
        <w:noBreakHyphen/>
      </w:r>
      <w:r w:rsidRPr="00FA1A19">
        <w:t>based exchanges/brokers and is in the process of refreshing these information requests. This data is used to identify customers that are not compliant with their taxation obligations.</w:t>
      </w:r>
    </w:p>
    <w:p w14:paraId="292FF6B0" w14:textId="77777777" w:rsidR="000C6ED8" w:rsidRPr="00FA1A19" w:rsidRDefault="000C6ED8" w:rsidP="000C6ED8">
      <w:pPr>
        <w:pStyle w:val="NormalIndent"/>
        <w:rPr>
          <w:b/>
          <w:bCs/>
        </w:rPr>
      </w:pPr>
      <w:r w:rsidRPr="00FA1A19">
        <w:t>IRAS currently relies mainly on publicly available information and information available to the</w:t>
      </w:r>
      <w:r>
        <w:t xml:space="preserve"> US</w:t>
      </w:r>
      <w:r w:rsidRPr="00FA1A19">
        <w:t xml:space="preserve"> </w:t>
      </w:r>
      <w:r>
        <w:t>G</w:t>
      </w:r>
      <w:r w:rsidRPr="00FA1A19">
        <w:t>overnment to identify taxpayers that may have derived taxable crypto transaction gains/profits.</w:t>
      </w:r>
    </w:p>
    <w:p w14:paraId="779DF353" w14:textId="65637F7E" w:rsidR="00B84676" w:rsidRPr="00FA1A19" w:rsidRDefault="009C0DB9" w:rsidP="0069352C">
      <w:pPr>
        <w:pStyle w:val="NormalIndent"/>
        <w:rPr>
          <w:b/>
          <w:bCs/>
        </w:rPr>
      </w:pPr>
      <w:r>
        <w:t>UK</w:t>
      </w:r>
      <w:r w:rsidRPr="00FA1A19">
        <w:t xml:space="preserve"> </w:t>
      </w:r>
      <w:r w:rsidR="00B84676" w:rsidRPr="00FA1A19">
        <w:t xml:space="preserve">HMRC advise that Schedule 23 of the </w:t>
      </w:r>
      <w:r w:rsidR="00B84676" w:rsidRPr="00813896">
        <w:rPr>
          <w:rStyle w:val="Emphasis"/>
        </w:rPr>
        <w:t>UK Finance Act 2011</w:t>
      </w:r>
      <w:r w:rsidR="00B84676" w:rsidRPr="00FA1A19">
        <w:t xml:space="preserve"> can be utilised to gather bulk information from crypto asset service providers.</w:t>
      </w:r>
    </w:p>
    <w:p w14:paraId="3CCC6FCA" w14:textId="30FEE21E" w:rsidR="00914BB5" w:rsidRPr="00FA1A19" w:rsidRDefault="00914BB5" w:rsidP="0069352C">
      <w:pPr>
        <w:pStyle w:val="NormalIndent"/>
      </w:pPr>
      <w:r w:rsidRPr="00FA1A19">
        <w:t xml:space="preserve">The </w:t>
      </w:r>
      <w:r w:rsidR="00412269">
        <w:t xml:space="preserve">US </w:t>
      </w:r>
      <w:r w:rsidRPr="00FA1A19">
        <w:t>IRS widely uses various data sources in general compliance activities which are applied to crypto asset compliance, including: federal, state and local interagency intelligence; information sharing with tax treaty partners; whistle</w:t>
      </w:r>
      <w:r w:rsidR="00F75232">
        <w:noBreakHyphen/>
      </w:r>
      <w:r w:rsidRPr="00FA1A19">
        <w:t>blowers and informants; Suspicious Activity Reports; and voluntary third</w:t>
      </w:r>
      <w:r w:rsidR="00F75232">
        <w:noBreakHyphen/>
      </w:r>
      <w:r w:rsidRPr="00FA1A19">
        <w:t>party reporting information.</w:t>
      </w:r>
    </w:p>
    <w:p w14:paraId="761C2001" w14:textId="6D7BDF38" w:rsidR="001552A5" w:rsidRPr="00AD28CB" w:rsidRDefault="001552A5" w:rsidP="008942EB">
      <w:pPr>
        <w:pStyle w:val="OutlineNumbered1"/>
        <w:numPr>
          <w:ilvl w:val="0"/>
          <w:numId w:val="25"/>
        </w:numPr>
        <w:rPr>
          <w:rStyle w:val="Strong"/>
        </w:rPr>
      </w:pPr>
      <w:r w:rsidRPr="00AD28CB">
        <w:rPr>
          <w:rStyle w:val="Strong"/>
        </w:rPr>
        <w:t>Are there intermediaries (such as exchanges) or data sources that play a role in the revenue agency</w:t>
      </w:r>
      <w:r w:rsidR="00F75232">
        <w:rPr>
          <w:rStyle w:val="Strong"/>
        </w:rPr>
        <w:t>’</w:t>
      </w:r>
      <w:r w:rsidRPr="00AD28CB">
        <w:rPr>
          <w:rStyle w:val="Strong"/>
        </w:rPr>
        <w:t>s administration of the jurisdiction</w:t>
      </w:r>
      <w:r w:rsidR="00F75232">
        <w:rPr>
          <w:rStyle w:val="Strong"/>
        </w:rPr>
        <w:t>’</w:t>
      </w:r>
      <w:r w:rsidRPr="00AD28CB">
        <w:rPr>
          <w:rStyle w:val="Strong"/>
        </w:rPr>
        <w:t>s taxation laws?</w:t>
      </w:r>
    </w:p>
    <w:p w14:paraId="2E414D8D" w14:textId="5EB06022" w:rsidR="00093143" w:rsidRPr="00FA1A19" w:rsidRDefault="00606C0A" w:rsidP="0069352C">
      <w:pPr>
        <w:pStyle w:val="NormalIndent"/>
      </w:pPr>
      <w:r w:rsidRPr="00FA1A19">
        <w:t xml:space="preserve">Most jurisdictions </w:t>
      </w:r>
      <w:r w:rsidR="00BF7BD0" w:rsidRPr="00FA1A19">
        <w:t xml:space="preserve">(including </w:t>
      </w:r>
      <w:r w:rsidR="00991EE6" w:rsidRPr="00FA1A19">
        <w:t>CRA,</w:t>
      </w:r>
      <w:r w:rsidR="00EF343E" w:rsidRPr="00FA1A19">
        <w:t xml:space="preserve"> </w:t>
      </w:r>
      <w:r w:rsidR="00A76244" w:rsidRPr="00FA1A19">
        <w:t xml:space="preserve">NZ IR </w:t>
      </w:r>
      <w:r w:rsidR="00EF343E" w:rsidRPr="00FA1A19">
        <w:t xml:space="preserve">and the </w:t>
      </w:r>
      <w:r w:rsidR="00A76244">
        <w:t xml:space="preserve">US </w:t>
      </w:r>
      <w:r w:rsidR="00EF343E" w:rsidRPr="00FA1A19">
        <w:t>IRS)</w:t>
      </w:r>
      <w:r w:rsidR="00991EE6" w:rsidRPr="00FA1A19">
        <w:t xml:space="preserve"> </w:t>
      </w:r>
      <w:r w:rsidRPr="00FA1A19">
        <w:t xml:space="preserve">detailed </w:t>
      </w:r>
      <w:r w:rsidR="00BF7BD0" w:rsidRPr="00FA1A19">
        <w:t xml:space="preserve">processes </w:t>
      </w:r>
      <w:r w:rsidR="00EF343E" w:rsidRPr="00FA1A19">
        <w:t xml:space="preserve">and plans </w:t>
      </w:r>
      <w:r w:rsidR="00BF7BD0" w:rsidRPr="00FA1A19">
        <w:t xml:space="preserve">to obtain information from </w:t>
      </w:r>
      <w:r w:rsidR="00093143" w:rsidRPr="00FA1A19">
        <w:t>intermediaries, such as crypto asset exchanges</w:t>
      </w:r>
      <w:r w:rsidR="00EF343E" w:rsidRPr="00FA1A19">
        <w:t xml:space="preserve"> within their own jurisdictions</w:t>
      </w:r>
      <w:r w:rsidR="00093143" w:rsidRPr="00FA1A19">
        <w:t>.</w:t>
      </w:r>
    </w:p>
    <w:p w14:paraId="42643FCA" w14:textId="68904405" w:rsidR="00BF1DF4" w:rsidRPr="00FA1A19" w:rsidRDefault="00322142" w:rsidP="0069352C">
      <w:pPr>
        <w:pStyle w:val="NormalIndent"/>
      </w:pPr>
      <w:r w:rsidRPr="00FA1A19">
        <w:t>The IRAS detailed the requirements upon l</w:t>
      </w:r>
      <w:r w:rsidR="00BF1DF4" w:rsidRPr="00FA1A19">
        <w:t>icensed digital payment token service providers to collect and keep their users</w:t>
      </w:r>
      <w:r w:rsidR="00F75232">
        <w:t>’</w:t>
      </w:r>
      <w:r w:rsidR="00BF1DF4" w:rsidRPr="00FA1A19">
        <w:t xml:space="preserve"> identification and transaction records and submit them to authorities when requested (regulated by the Monetary Authority of Singapore).</w:t>
      </w:r>
    </w:p>
    <w:p w14:paraId="6F9C40B6" w14:textId="7C03D3C5" w:rsidR="001552A5" w:rsidRPr="00AD28CB" w:rsidRDefault="001552A5" w:rsidP="008942EB">
      <w:pPr>
        <w:pStyle w:val="OutlineNumbered1"/>
        <w:numPr>
          <w:ilvl w:val="0"/>
          <w:numId w:val="25"/>
        </w:numPr>
        <w:rPr>
          <w:rStyle w:val="Strong"/>
        </w:rPr>
      </w:pPr>
      <w:r w:rsidRPr="00AD28CB">
        <w:rPr>
          <w:rStyle w:val="Strong"/>
        </w:rPr>
        <w:t>What channels and tools does the revenue agency use to engage with the crypto community and their advisers to build awareness in relation to taxation obligations?</w:t>
      </w:r>
    </w:p>
    <w:p w14:paraId="62D78731" w14:textId="12A63C89" w:rsidR="00890A88" w:rsidRPr="00FA1A19" w:rsidRDefault="00890A88" w:rsidP="0069352C">
      <w:pPr>
        <w:pStyle w:val="NormalIndent"/>
      </w:pPr>
      <w:r w:rsidRPr="00FA1A19">
        <w:t>The CRA uses public opinion research, conferences, other direct engagements with the tax community and industry groups, web guidance and social media accounts.</w:t>
      </w:r>
      <w:r w:rsidR="004F0A51" w:rsidRPr="00FA1A19">
        <w:t xml:space="preserve"> </w:t>
      </w:r>
    </w:p>
    <w:p w14:paraId="24AF424C" w14:textId="77777777" w:rsidR="00890A88" w:rsidRPr="00FA1A19" w:rsidRDefault="00890A88" w:rsidP="0069352C">
      <w:pPr>
        <w:pStyle w:val="NormalIndent"/>
      </w:pPr>
      <w:r w:rsidRPr="00FA1A19">
        <w:t>NZ IR has regular conversations with the crypto asset exchanges which supports development of website guidance and helps the NZ IR in understanding innovation.</w:t>
      </w:r>
    </w:p>
    <w:p w14:paraId="0969DA9D" w14:textId="77777777" w:rsidR="000C6ED8" w:rsidRPr="00FA1A19" w:rsidRDefault="000C6ED8" w:rsidP="000C6ED8">
      <w:pPr>
        <w:pStyle w:val="NormalIndent"/>
      </w:pPr>
      <w:r w:rsidRPr="00FA1A19">
        <w:t>IRAS carries out broad</w:t>
      </w:r>
      <w:r>
        <w:noBreakHyphen/>
      </w:r>
      <w:r w:rsidRPr="00FA1A19">
        <w:t>based educational efforts by providing an e</w:t>
      </w:r>
      <w:r>
        <w:noBreakHyphen/>
      </w:r>
      <w:r w:rsidRPr="00FA1A19">
        <w:t>tax guide and write</w:t>
      </w:r>
      <w:r>
        <w:noBreakHyphen/>
      </w:r>
      <w:r w:rsidRPr="00FA1A19">
        <w:t>up on IRAS</w:t>
      </w:r>
      <w:r>
        <w:t>’</w:t>
      </w:r>
      <w:r w:rsidRPr="00FA1A19">
        <w:t xml:space="preserve"> website.</w:t>
      </w:r>
    </w:p>
    <w:p w14:paraId="01823C84" w14:textId="6DEFFED4" w:rsidR="00890A88" w:rsidRPr="00FA1A19" w:rsidRDefault="009C0DB9" w:rsidP="0069352C">
      <w:pPr>
        <w:pStyle w:val="NormalIndent"/>
      </w:pPr>
      <w:r>
        <w:t xml:space="preserve">UK </w:t>
      </w:r>
      <w:r w:rsidR="00890A88" w:rsidRPr="00FA1A19">
        <w:t>HMRC has a range of mechanisms such as: messages to tax agents/advisors and other comm</w:t>
      </w:r>
      <w:r w:rsidR="007F1D49">
        <w:t>unication</w:t>
      </w:r>
      <w:r w:rsidR="00890A88" w:rsidRPr="00FA1A19">
        <w:t>s campaign</w:t>
      </w:r>
      <w:r w:rsidR="007F1D49">
        <w:t>s</w:t>
      </w:r>
      <w:r w:rsidR="00890A88" w:rsidRPr="00FA1A19">
        <w:t>; educational nudge letters; and working group and industry roundtables.</w:t>
      </w:r>
    </w:p>
    <w:p w14:paraId="4A037EAF" w14:textId="3C5B5608" w:rsidR="005F6F76" w:rsidRPr="00FA1A19" w:rsidRDefault="005F6F76" w:rsidP="0069352C">
      <w:pPr>
        <w:pStyle w:val="NormalIndent"/>
      </w:pPr>
      <w:r w:rsidRPr="00FA1A19">
        <w:t xml:space="preserve">The </w:t>
      </w:r>
      <w:r w:rsidR="00412269">
        <w:t xml:space="preserve">US </w:t>
      </w:r>
      <w:r w:rsidRPr="00FA1A19">
        <w:t>IRS uses the website, press releases/communication notices, attends speaking engagements, and presents at national tax conferences on digital asset issues.</w:t>
      </w:r>
    </w:p>
    <w:p w14:paraId="21A7D52F" w14:textId="6240C231" w:rsidR="001552A5" w:rsidRPr="00AD28CB" w:rsidRDefault="001552A5" w:rsidP="008942EB">
      <w:pPr>
        <w:pStyle w:val="OutlineNumbered1"/>
        <w:numPr>
          <w:ilvl w:val="0"/>
          <w:numId w:val="25"/>
        </w:numPr>
        <w:rPr>
          <w:rStyle w:val="Strong"/>
        </w:rPr>
      </w:pPr>
      <w:r w:rsidRPr="00AD28CB">
        <w:rPr>
          <w:rStyle w:val="Strong"/>
        </w:rPr>
        <w:t>What additional support can be provided to the tax adviser community to assist them in advising their clients in relation to the tax treatment of crypto assets?</w:t>
      </w:r>
    </w:p>
    <w:p w14:paraId="136DC219" w14:textId="013DA094" w:rsidR="000359B7" w:rsidRPr="00FA1A19" w:rsidRDefault="00CB2A76" w:rsidP="0069352C">
      <w:pPr>
        <w:pStyle w:val="NormalIndent"/>
      </w:pPr>
      <w:r w:rsidRPr="00FA1A19">
        <w:t>It was widely agreed that t</w:t>
      </w:r>
      <w:r w:rsidR="000359B7" w:rsidRPr="00FA1A19">
        <w:t>he expansion of information reporting for digital assets also benefits taxpayers and tax advisers.</w:t>
      </w:r>
    </w:p>
    <w:p w14:paraId="3CC54DB6" w14:textId="3C5D1BEC" w:rsidR="00417D1A" w:rsidRPr="00FA1A19" w:rsidRDefault="00417D1A" w:rsidP="0069352C">
      <w:pPr>
        <w:pStyle w:val="NormalIndent"/>
      </w:pPr>
      <w:r w:rsidRPr="00FA1A19">
        <w:t>The CRA noted that taxpayers and tax professionals can seek clarity on the application of the Income Tax Act and its Regulations to transactions involving crypto assets through the Income Tax Rulings Directorate (GST/HST Rulings Directorate for GST</w:t>
      </w:r>
      <w:r w:rsidR="009E5687">
        <w:t>/HST</w:t>
      </w:r>
      <w:r w:rsidRPr="00FA1A19">
        <w:t xml:space="preserve"> issues) or obtain a binding ruling for a fee.</w:t>
      </w:r>
      <w:r w:rsidR="004F0A51" w:rsidRPr="00FA1A19">
        <w:t xml:space="preserve"> </w:t>
      </w:r>
    </w:p>
    <w:p w14:paraId="44BB8ABF" w14:textId="7F87F996" w:rsidR="00CB2A76" w:rsidRPr="00FA1A19" w:rsidRDefault="00CB2A76" w:rsidP="0069352C">
      <w:pPr>
        <w:pStyle w:val="NormalIndent"/>
      </w:pPr>
      <w:r w:rsidRPr="00FA1A19">
        <w:t xml:space="preserve">NZ IR has been involved in joint training sessions with </w:t>
      </w:r>
      <w:r w:rsidR="00E3703B" w:rsidRPr="00B81A3D">
        <w:t xml:space="preserve">Chartered Accountants Australia and New Zealand </w:t>
      </w:r>
      <w:r w:rsidRPr="00FA1A19">
        <w:t>in respect of the taxation of crypto assets.</w:t>
      </w:r>
      <w:r w:rsidR="004F0A51" w:rsidRPr="00FA1A19">
        <w:t xml:space="preserve"> </w:t>
      </w:r>
    </w:p>
    <w:p w14:paraId="5C64225A" w14:textId="77777777" w:rsidR="000C6ED8" w:rsidRPr="00FA1A19" w:rsidRDefault="000C6ED8" w:rsidP="000C6ED8">
      <w:pPr>
        <w:pStyle w:val="NormalIndent"/>
      </w:pPr>
      <w:r w:rsidRPr="00FA1A19">
        <w:t>IRAS</w:t>
      </w:r>
      <w:r>
        <w:noBreakHyphen/>
      </w:r>
      <w:r w:rsidRPr="00FA1A19">
        <w:t>Tax Agent Relationship Framework to support closer partnership and collaboration between tax agents and IRAS and partners with the Singapore Chartered Tax Professionals to improve industry standards, such as through regular dialogue sessions with tax advisers to discuss tax policies and issues.</w:t>
      </w:r>
    </w:p>
    <w:p w14:paraId="4B50800A" w14:textId="27BD7E75" w:rsidR="00417D1A" w:rsidRPr="00FA1A19" w:rsidRDefault="009C0DB9" w:rsidP="0069352C">
      <w:pPr>
        <w:pStyle w:val="NormalIndent"/>
      </w:pPr>
      <w:r>
        <w:t xml:space="preserve">UK </w:t>
      </w:r>
      <w:r w:rsidR="00417D1A" w:rsidRPr="00FA1A19">
        <w:t>HMRC undertake the following: engage with working groups through roundtables regularly; publish detailed guidance on the GOV.UK website and operate a non</w:t>
      </w:r>
      <w:r w:rsidR="00F75232">
        <w:noBreakHyphen/>
      </w:r>
      <w:r w:rsidR="00417D1A" w:rsidRPr="00FA1A19">
        <w:t>statutory clearance service where taxpayers and their advisors could seek formal written advice.</w:t>
      </w:r>
    </w:p>
    <w:p w14:paraId="4C92E1E5" w14:textId="6ED8D1D9" w:rsidR="001552A5" w:rsidRPr="00AD28CB" w:rsidRDefault="001552A5" w:rsidP="008942EB">
      <w:pPr>
        <w:pStyle w:val="OutlineNumbered1"/>
        <w:numPr>
          <w:ilvl w:val="0"/>
          <w:numId w:val="25"/>
        </w:numPr>
        <w:rPr>
          <w:rStyle w:val="Strong"/>
        </w:rPr>
      </w:pPr>
      <w:r w:rsidRPr="00AD28CB">
        <w:rPr>
          <w:rStyle w:val="Strong"/>
        </w:rPr>
        <w:t>What have been the greatest challenges for the revenue agency in relation to the taxation of crypto assets and their associated transactions?</w:t>
      </w:r>
    </w:p>
    <w:p w14:paraId="7754725F" w14:textId="436C5532" w:rsidR="00417D1A" w:rsidRPr="00FA1A19" w:rsidRDefault="00417D1A" w:rsidP="0069352C">
      <w:pPr>
        <w:pStyle w:val="NormalIndent"/>
      </w:pPr>
      <w:r w:rsidRPr="00FA1A19">
        <w:t xml:space="preserve">The CRA </w:t>
      </w:r>
      <w:r w:rsidR="00680000" w:rsidRPr="00FA1A19">
        <w:t>advised that</w:t>
      </w:r>
      <w:r w:rsidRPr="00FA1A19">
        <w:t xml:space="preserve"> the factors that create tax compliance risks include pseudonymity of transactions, decentralised and borderless nature of crypto assets, </w:t>
      </w:r>
      <w:r w:rsidR="00680000" w:rsidRPr="00FA1A19">
        <w:t>b</w:t>
      </w:r>
      <w:r w:rsidRPr="00FA1A19">
        <w:t xml:space="preserve">orderless nature of crypto assets, and pace of innovation. </w:t>
      </w:r>
    </w:p>
    <w:p w14:paraId="27871EAB" w14:textId="4DAEF40B" w:rsidR="00680000" w:rsidRPr="00FA1A19" w:rsidRDefault="00680000" w:rsidP="0069352C">
      <w:pPr>
        <w:pStyle w:val="NormalIndent"/>
      </w:pPr>
      <w:r w:rsidRPr="00FA1A19">
        <w:t>The NZ IR noted that from a policy perspective the greatest challenges have been uncertainty as to how existing categories of law apply to crypto assets, the lack of visibility over incomes derived through crypto assets, and compliance costs faced by taxpayers.</w:t>
      </w:r>
    </w:p>
    <w:p w14:paraId="468EC45E" w14:textId="77777777" w:rsidR="000C6ED8" w:rsidRPr="00FA1A19" w:rsidRDefault="000C6ED8" w:rsidP="000C6ED8">
      <w:pPr>
        <w:pStyle w:val="NormalIndent"/>
      </w:pPr>
      <w:r w:rsidRPr="00FA1A19">
        <w:t>IRAS advised that one of the biggest challenges is understanding the developments in the industry in a timely matter and ensuring that tax treatments are regularly reviewed and updated.</w:t>
      </w:r>
    </w:p>
    <w:p w14:paraId="7611E0F6" w14:textId="021110B4" w:rsidR="00680000" w:rsidRPr="00FA1A19" w:rsidRDefault="009C0DB9" w:rsidP="0069352C">
      <w:pPr>
        <w:pStyle w:val="NormalIndent"/>
        <w:rPr>
          <w:b/>
          <w:bCs/>
        </w:rPr>
      </w:pPr>
      <w:r>
        <w:t xml:space="preserve">UK </w:t>
      </w:r>
      <w:r w:rsidR="00680000" w:rsidRPr="00FA1A19">
        <w:t>HMRC</w:t>
      </w:r>
      <w:r w:rsidR="00F75232">
        <w:t>’</w:t>
      </w:r>
      <w:r w:rsidR="00680000" w:rsidRPr="00FA1A19">
        <w:t>s main concerns and drivers at this time centred around knowledge and data.</w:t>
      </w:r>
    </w:p>
    <w:p w14:paraId="710ABBDD" w14:textId="715D0992" w:rsidR="008D4114" w:rsidRPr="00FA1A19" w:rsidRDefault="00F54144" w:rsidP="0069352C">
      <w:pPr>
        <w:pStyle w:val="NormalIndent"/>
      </w:pPr>
      <w:r w:rsidRPr="00FA1A19">
        <w:t>The</w:t>
      </w:r>
      <w:r w:rsidR="008D4114" w:rsidRPr="00FA1A19">
        <w:t xml:space="preserve"> </w:t>
      </w:r>
      <w:r w:rsidR="00412269">
        <w:t xml:space="preserve">US </w:t>
      </w:r>
      <w:r w:rsidR="008D4114" w:rsidRPr="00FA1A19">
        <w:t>IRS</w:t>
      </w:r>
      <w:r w:rsidRPr="00FA1A19">
        <w:t xml:space="preserve"> noted a significant challenge as being that the </w:t>
      </w:r>
      <w:r w:rsidR="008D4114" w:rsidRPr="00FA1A19">
        <w:t>distributed ledger record of transactions does not include the identity of the parties involved in the transactions.</w:t>
      </w:r>
    </w:p>
    <w:p w14:paraId="01751D56" w14:textId="23AAAB76" w:rsidR="001552A5" w:rsidRPr="00AD28CB" w:rsidRDefault="001552A5" w:rsidP="008942EB">
      <w:pPr>
        <w:pStyle w:val="OutlineNumbered1"/>
        <w:numPr>
          <w:ilvl w:val="0"/>
          <w:numId w:val="25"/>
        </w:numPr>
        <w:rPr>
          <w:rStyle w:val="Strong"/>
        </w:rPr>
      </w:pPr>
      <w:r w:rsidRPr="00AD28CB">
        <w:rPr>
          <w:rStyle w:val="Strong"/>
        </w:rPr>
        <w:t>What steps have been or can be taken to address these challenges?</w:t>
      </w:r>
    </w:p>
    <w:p w14:paraId="1FD1CC5E" w14:textId="00788BAA" w:rsidR="00CC608E" w:rsidRPr="00FA1A19" w:rsidRDefault="00BB7882" w:rsidP="0069352C">
      <w:pPr>
        <w:pStyle w:val="NormalIndent"/>
      </w:pPr>
      <w:r w:rsidRPr="00FA1A19">
        <w:t>Information repor</w:t>
      </w:r>
      <w:r w:rsidR="00CC608E" w:rsidRPr="00FA1A19">
        <w:t>ting regime</w:t>
      </w:r>
      <w:r w:rsidRPr="00FA1A19">
        <w:t xml:space="preserve">s and data acquisition from third parties were noted as being critical in supporting </w:t>
      </w:r>
      <w:r w:rsidR="00CC608E" w:rsidRPr="00FA1A19">
        <w:t>tax compliance by helping to close the information gap with respect to digital assets.</w:t>
      </w:r>
    </w:p>
    <w:p w14:paraId="4E99FCA0" w14:textId="02EA51CB" w:rsidR="00CC608E" w:rsidRPr="00FA1A19" w:rsidRDefault="00CC608E" w:rsidP="0069352C">
      <w:pPr>
        <w:pStyle w:val="NormalIndent"/>
      </w:pPr>
      <w:r w:rsidRPr="00FA1A19">
        <w:t>At the international level,</w:t>
      </w:r>
      <w:r w:rsidR="00BB7882" w:rsidRPr="00FA1A19">
        <w:t xml:space="preserve"> the Board heard that</w:t>
      </w:r>
      <w:r w:rsidRPr="00FA1A19">
        <w:t xml:space="preserve"> guidance on proposed definitions, recommended </w:t>
      </w:r>
      <w:r w:rsidR="00BB7882" w:rsidRPr="00FA1A19">
        <w:t>tax</w:t>
      </w:r>
      <w:r w:rsidRPr="00FA1A19">
        <w:t xml:space="preserve"> treatment of the different classes of crypto assets and how the belonging status of customers</w:t>
      </w:r>
      <w:r w:rsidR="008E31E4">
        <w:rPr>
          <w:rStyle w:val="FootnoteReference"/>
        </w:rPr>
        <w:footnoteReference w:id="667"/>
      </w:r>
      <w:r w:rsidRPr="00FA1A19">
        <w:t xml:space="preserve"> can be accurately determined for crypto transactions, these would be helpful references.</w:t>
      </w:r>
    </w:p>
    <w:p w14:paraId="5C01F3EE" w14:textId="6F0CCE81" w:rsidR="00CC608E" w:rsidRPr="00FA1A19" w:rsidRDefault="00C57A83" w:rsidP="0069352C">
      <w:pPr>
        <w:pStyle w:val="NormalIndent"/>
      </w:pPr>
      <w:r w:rsidRPr="00FA1A19">
        <w:t xml:space="preserve">NZ </w:t>
      </w:r>
      <w:r w:rsidR="00CC608E" w:rsidRPr="00FA1A19">
        <w:t xml:space="preserve">IR </w:t>
      </w:r>
      <w:r w:rsidRPr="00FA1A19">
        <w:t>noted that c</w:t>
      </w:r>
      <w:r w:rsidR="00CC608E" w:rsidRPr="00FA1A19">
        <w:t>ompliance costs c</w:t>
      </w:r>
      <w:r w:rsidRPr="00FA1A19">
        <w:t>ould</w:t>
      </w:r>
      <w:r w:rsidR="00CC608E" w:rsidRPr="00FA1A19">
        <w:t xml:space="preserve"> be reduced </w:t>
      </w:r>
      <w:r w:rsidRPr="00FA1A19">
        <w:t>through the introduction of simpler</w:t>
      </w:r>
      <w:r w:rsidR="00CC608E" w:rsidRPr="00FA1A19">
        <w:t xml:space="preserve"> calculation method</w:t>
      </w:r>
      <w:r w:rsidRPr="00FA1A19">
        <w:t>s</w:t>
      </w:r>
      <w:r w:rsidR="00CC608E" w:rsidRPr="00FA1A19">
        <w:t xml:space="preserve"> or supporting greater use of software tools (subject to resourcing and </w:t>
      </w:r>
      <w:r w:rsidR="00F94A72">
        <w:t>g</w:t>
      </w:r>
      <w:r w:rsidR="00F94A72" w:rsidRPr="00FA1A19">
        <w:t xml:space="preserve">overnment </w:t>
      </w:r>
      <w:r w:rsidR="00CC608E" w:rsidRPr="00FA1A19">
        <w:t>priorities).</w:t>
      </w:r>
    </w:p>
    <w:p w14:paraId="51F7E5F9" w14:textId="6359D7BF" w:rsidR="00CC608E" w:rsidRPr="00FA1A19" w:rsidRDefault="00C57A83" w:rsidP="0069352C">
      <w:pPr>
        <w:pStyle w:val="NormalIndent"/>
        <w:rPr>
          <w:b/>
          <w:bCs/>
          <w:lang w:val="en-CA"/>
        </w:rPr>
      </w:pPr>
      <w:r w:rsidRPr="00FA1A19">
        <w:t>Some jurisdictions highlighted the goal of m</w:t>
      </w:r>
      <w:r w:rsidR="00CC608E" w:rsidRPr="00FA1A19">
        <w:t>aking it easier for taxpayer</w:t>
      </w:r>
      <w:r w:rsidR="00CC608E" w:rsidRPr="00FA1A19">
        <w:rPr>
          <w:lang w:val="en-CA"/>
        </w:rPr>
        <w:t xml:space="preserve"> to comply with their obligation and harder to evade tax through improved compliance related data and upskilling staff to be more confident in recogni</w:t>
      </w:r>
      <w:r w:rsidRPr="00FA1A19">
        <w:rPr>
          <w:lang w:val="en-CA"/>
        </w:rPr>
        <w:t>s</w:t>
      </w:r>
      <w:r w:rsidR="00CC608E" w:rsidRPr="00FA1A19">
        <w:rPr>
          <w:lang w:val="en-CA"/>
        </w:rPr>
        <w:t>ing and dealing with crypt</w:t>
      </w:r>
      <w:r w:rsidRPr="00FA1A19">
        <w:rPr>
          <w:lang w:val="en-CA"/>
        </w:rPr>
        <w:t>o</w:t>
      </w:r>
      <w:r w:rsidR="00CC608E" w:rsidRPr="00FA1A19">
        <w:rPr>
          <w:lang w:val="en-CA"/>
        </w:rPr>
        <w:t xml:space="preserve"> asset related </w:t>
      </w:r>
      <w:r w:rsidRPr="00FA1A19">
        <w:rPr>
          <w:lang w:val="en-CA"/>
        </w:rPr>
        <w:t xml:space="preserve">tax </w:t>
      </w:r>
      <w:r w:rsidR="00CC608E" w:rsidRPr="00FA1A19">
        <w:rPr>
          <w:lang w:val="en-CA"/>
        </w:rPr>
        <w:t>challenges.</w:t>
      </w:r>
    </w:p>
    <w:p w14:paraId="2A81D289" w14:textId="16D99911" w:rsidR="001552A5" w:rsidRPr="00AD28CB" w:rsidRDefault="001552A5" w:rsidP="008942EB">
      <w:pPr>
        <w:pStyle w:val="OutlineNumbered1"/>
        <w:numPr>
          <w:ilvl w:val="0"/>
          <w:numId w:val="25"/>
        </w:numPr>
        <w:rPr>
          <w:rStyle w:val="Strong"/>
        </w:rPr>
      </w:pPr>
      <w:r w:rsidRPr="00AD28CB">
        <w:rPr>
          <w:rStyle w:val="Strong"/>
        </w:rPr>
        <w:t>What aspects of taxing crypto assets have been managed successfully by the Revenue agency and the jurisdiction</w:t>
      </w:r>
      <w:r w:rsidR="00F75232">
        <w:rPr>
          <w:rStyle w:val="Strong"/>
        </w:rPr>
        <w:t>’</w:t>
      </w:r>
      <w:r w:rsidRPr="00AD28CB">
        <w:rPr>
          <w:rStyle w:val="Strong"/>
        </w:rPr>
        <w:t>s Federal Government, and are there any particular features of the jurisdiction</w:t>
      </w:r>
      <w:r w:rsidR="00F75232">
        <w:rPr>
          <w:rStyle w:val="Strong"/>
        </w:rPr>
        <w:t>’</w:t>
      </w:r>
      <w:r w:rsidRPr="00AD28CB">
        <w:rPr>
          <w:rStyle w:val="Strong"/>
        </w:rPr>
        <w:t>s tax system or its administration which have been particularly beneficial in relation to the taxation of crypto assets and their associated transactions?</w:t>
      </w:r>
    </w:p>
    <w:p w14:paraId="4C7B08ED" w14:textId="42AECAA3" w:rsidR="0010581A" w:rsidRPr="00FA1A19" w:rsidRDefault="0010581A" w:rsidP="0069352C">
      <w:pPr>
        <w:pStyle w:val="NormalIndent"/>
        <w:rPr>
          <w:b/>
          <w:bCs/>
        </w:rPr>
      </w:pPr>
      <w:r w:rsidRPr="00FA1A19">
        <w:t>The CRA advised that the use of third</w:t>
      </w:r>
      <w:r w:rsidR="00F75232">
        <w:noBreakHyphen/>
      </w:r>
      <w:r w:rsidRPr="00FA1A19">
        <w:t>party requirements and exchange of information has been beneficial to the CRA in identifying potential non</w:t>
      </w:r>
      <w:r w:rsidR="00F75232">
        <w:noBreakHyphen/>
      </w:r>
      <w:r w:rsidRPr="00FA1A19">
        <w:t>compliant taxpayers and in understanding of the tax gap in the crypto asset space.</w:t>
      </w:r>
    </w:p>
    <w:p w14:paraId="1C8187BE" w14:textId="1E9EB772" w:rsidR="0010581A" w:rsidRPr="00FA1A19" w:rsidRDefault="0010581A" w:rsidP="0069352C">
      <w:pPr>
        <w:pStyle w:val="NormalIndent"/>
        <w:rPr>
          <w:b/>
          <w:bCs/>
        </w:rPr>
      </w:pPr>
      <w:r w:rsidRPr="00FA1A19">
        <w:t>The NZ IR described its targeted approach, including identifying a group of top crypto assets users/investors to use as a control group to understand crypto asset compliance and the flow</w:t>
      </w:r>
      <w:r w:rsidR="00F75232">
        <w:noBreakHyphen/>
      </w:r>
      <w:r w:rsidRPr="00FA1A19">
        <w:t>on effects of intervention on the wider crypto asset ecosystem.</w:t>
      </w:r>
    </w:p>
    <w:p w14:paraId="02D47672" w14:textId="77777777" w:rsidR="000C6ED8" w:rsidRPr="00FA1A19" w:rsidRDefault="000C6ED8" w:rsidP="000C6ED8">
      <w:pPr>
        <w:pStyle w:val="NormalIndent"/>
        <w:rPr>
          <w:b/>
          <w:bCs/>
        </w:rPr>
      </w:pPr>
      <w:r w:rsidRPr="00FA1A19">
        <w:t>The IRAS advised that changes made from January 2020 simplified the tax treatment and reduced the compliance burden for digital payment tokens with no GST to be collected on their sale/use as payment.</w:t>
      </w:r>
    </w:p>
    <w:p w14:paraId="64152BDC" w14:textId="1ED60714" w:rsidR="0010581A" w:rsidRPr="00FA1A19" w:rsidRDefault="009C0DB9" w:rsidP="0069352C">
      <w:pPr>
        <w:pStyle w:val="NormalIndent"/>
        <w:rPr>
          <w:b/>
          <w:bCs/>
        </w:rPr>
      </w:pPr>
      <w:r>
        <w:t xml:space="preserve">UK </w:t>
      </w:r>
      <w:r w:rsidR="0010581A" w:rsidRPr="00FA1A19">
        <w:t xml:space="preserve">HMRC noted that there is still work to be done in administrating the taxation of crypto assets, </w:t>
      </w:r>
      <w:r w:rsidR="00FF20FA" w:rsidRPr="00FA1A19">
        <w:t xml:space="preserve">however they highlighted </w:t>
      </w:r>
      <w:r w:rsidR="0010581A" w:rsidRPr="00FA1A19">
        <w:t>successes and active pieces of work such as that publication of market research into the crypto asset industry.</w:t>
      </w:r>
    </w:p>
    <w:p w14:paraId="21EC72DA" w14:textId="18978EBD" w:rsidR="00C129CC" w:rsidRPr="00FA1A19" w:rsidRDefault="00C129CC" w:rsidP="0069352C">
      <w:pPr>
        <w:pStyle w:val="NormalIndent"/>
      </w:pPr>
      <w:r w:rsidRPr="00FA1A19">
        <w:rPr>
          <w:lang w:val="en-CA"/>
        </w:rPr>
        <w:t xml:space="preserve">The </w:t>
      </w:r>
      <w:r w:rsidR="00412269">
        <w:rPr>
          <w:lang w:val="en-CA"/>
        </w:rPr>
        <w:t xml:space="preserve">US </w:t>
      </w:r>
      <w:r w:rsidRPr="00FA1A19">
        <w:rPr>
          <w:lang w:val="en-CA"/>
        </w:rPr>
        <w:t>IRS</w:t>
      </w:r>
      <w:r w:rsidR="00FF20FA" w:rsidRPr="00FA1A19">
        <w:rPr>
          <w:lang w:val="en-CA"/>
        </w:rPr>
        <w:t xml:space="preserve"> advised that they have seen</w:t>
      </w:r>
      <w:r w:rsidRPr="00FA1A19">
        <w:rPr>
          <w:lang w:val="en-CA"/>
        </w:rPr>
        <w:t xml:space="preserve"> an increase in the numbers of individuals who are checking the box on the front of the Form 1040</w:t>
      </w:r>
      <w:r w:rsidR="00FF20FA" w:rsidRPr="00FA1A19">
        <w:rPr>
          <w:lang w:val="en-CA"/>
        </w:rPr>
        <w:t xml:space="preserve">, indicating their crypto asset activities, but noted that </w:t>
      </w:r>
      <w:r w:rsidRPr="00FA1A19">
        <w:rPr>
          <w:lang w:val="en-CA"/>
        </w:rPr>
        <w:t xml:space="preserve">the level of compliance of those who are not checking the box, and whether they have digital asset reportable transactions, is not </w:t>
      </w:r>
      <w:r w:rsidR="00FF20FA" w:rsidRPr="00FA1A19">
        <w:rPr>
          <w:lang w:val="en-CA"/>
        </w:rPr>
        <w:t xml:space="preserve">currently </w:t>
      </w:r>
      <w:r w:rsidRPr="00FA1A19">
        <w:rPr>
          <w:lang w:val="en-CA"/>
        </w:rPr>
        <w:t>known.</w:t>
      </w:r>
    </w:p>
    <w:p w14:paraId="0CFFEE67" w14:textId="283246BB" w:rsidR="00641869" w:rsidRPr="00FA1A19" w:rsidRDefault="00C129CC" w:rsidP="00641869">
      <w:r w:rsidRPr="00FA1A19">
        <w:t>S</w:t>
      </w:r>
      <w:r w:rsidR="00641869" w:rsidRPr="00FA1A19">
        <w:t>ome of the key themes from the above comparative analysis include:</w:t>
      </w:r>
    </w:p>
    <w:p w14:paraId="633E5754" w14:textId="77777777" w:rsidR="00F5669C" w:rsidRPr="00FA1A19" w:rsidRDefault="00F5669C" w:rsidP="001E3898">
      <w:pPr>
        <w:pStyle w:val="Bullet"/>
      </w:pPr>
      <w:r w:rsidRPr="00FA1A19">
        <w:t xml:space="preserve">All jurisdictions are facing similar challenges in relation to tax compliance for crypto asset transactions. </w:t>
      </w:r>
    </w:p>
    <w:p w14:paraId="51699C57" w14:textId="77777777" w:rsidR="00641869" w:rsidRPr="00FA1A19" w:rsidRDefault="00641869" w:rsidP="001E3898">
      <w:pPr>
        <w:pStyle w:val="Bullet"/>
      </w:pPr>
      <w:r w:rsidRPr="00FA1A19">
        <w:t>All jurisdictions have provided clear guidance and communications on the tax consequences of crypto transactions and are developing new valuation methods for crypto assets and software tools to assist taxpayers.</w:t>
      </w:r>
    </w:p>
    <w:p w14:paraId="5B9F94EA" w14:textId="1053C313" w:rsidR="00641869" w:rsidRPr="00FA1A19" w:rsidRDefault="00641869" w:rsidP="001E3898">
      <w:pPr>
        <w:pStyle w:val="Bullet"/>
      </w:pPr>
      <w:r w:rsidRPr="00FA1A19">
        <w:t>Most jurisdictions are using third</w:t>
      </w:r>
      <w:r w:rsidR="00F75232">
        <w:noBreakHyphen/>
      </w:r>
      <w:r w:rsidRPr="00FA1A19">
        <w:t>party information reporting which generally leads to higher levels of taxpayer compliance as well as exploring other options to improve reporting obligations of taxpayers and registrants</w:t>
      </w:r>
      <w:r w:rsidR="009A1699" w:rsidRPr="00FA1A19">
        <w:t>.</w:t>
      </w:r>
      <w:r w:rsidRPr="00FA1A19">
        <w:t xml:space="preserve"> </w:t>
      </w:r>
      <w:r w:rsidR="007D5886" w:rsidRPr="00FA1A19">
        <w:t>The</w:t>
      </w:r>
      <w:r w:rsidRPr="00FA1A19">
        <w:t xml:space="preserve"> Board </w:t>
      </w:r>
      <w:r w:rsidR="007D5886" w:rsidRPr="00FA1A19">
        <w:t>has provided further information in relation to the ATO</w:t>
      </w:r>
      <w:r w:rsidR="00F75232">
        <w:t>’</w:t>
      </w:r>
      <w:r w:rsidR="007D5886" w:rsidRPr="00FA1A19">
        <w:t xml:space="preserve">s work in this area in </w:t>
      </w:r>
      <w:r w:rsidR="00372633">
        <w:t>Chapter </w:t>
      </w:r>
      <w:r w:rsidR="007D5886" w:rsidRPr="00FA1A19">
        <w:t>11.</w:t>
      </w:r>
    </w:p>
    <w:p w14:paraId="45258966" w14:textId="0EB6D487" w:rsidR="00641869" w:rsidRPr="00FA1A19" w:rsidRDefault="00641869" w:rsidP="0069352C">
      <w:pPr>
        <w:pStyle w:val="Heading2"/>
      </w:pPr>
      <w:bookmarkStart w:id="159" w:name="_Toc159513640"/>
      <w:r w:rsidRPr="00FA1A19">
        <w:t>Other Jurisdictions</w:t>
      </w:r>
      <w:r w:rsidR="00F75232">
        <w:t>’</w:t>
      </w:r>
      <w:r w:rsidRPr="00FA1A19">
        <w:t xml:space="preserve"> Tax </w:t>
      </w:r>
      <w:r w:rsidR="00A250C9" w:rsidRPr="00FA1A19">
        <w:t>Regim</w:t>
      </w:r>
      <w:r w:rsidRPr="00FA1A19">
        <w:t>es</w:t>
      </w:r>
      <w:bookmarkEnd w:id="159"/>
    </w:p>
    <w:p w14:paraId="34919E4F" w14:textId="4AC45361" w:rsidR="00F5669C" w:rsidRPr="00FA1A19" w:rsidRDefault="00F5669C" w:rsidP="00641869">
      <w:r w:rsidRPr="00FA1A19">
        <w:t xml:space="preserve">While the Board directly engaged with the </w:t>
      </w:r>
      <w:r w:rsidR="00344486" w:rsidRPr="00FA1A19">
        <w:t>jurisdictions</w:t>
      </w:r>
      <w:r w:rsidRPr="00FA1A19">
        <w:t xml:space="preserve"> detailed above, it notes that the taxation of crypto assets is </w:t>
      </w:r>
      <w:r w:rsidR="00772E48" w:rsidRPr="00FA1A19">
        <w:t xml:space="preserve">a matter that is addressed throughout taxing regimes across the world. Throughout the course of the Review the Board has identified various crypto asset specific tax measures in other </w:t>
      </w:r>
      <w:r w:rsidR="00344486" w:rsidRPr="00FA1A19">
        <w:t>jurisdictions</w:t>
      </w:r>
      <w:r w:rsidR="00772E48" w:rsidRPr="00FA1A19">
        <w:t xml:space="preserve">. </w:t>
      </w:r>
    </w:p>
    <w:p w14:paraId="4C14F7A1" w14:textId="229B7CD8" w:rsidR="00641869" w:rsidRPr="00FA1A19" w:rsidRDefault="00643A3E" w:rsidP="00772E48">
      <w:r w:rsidRPr="00FA1A19">
        <w:t xml:space="preserve">Some </w:t>
      </w:r>
      <w:r w:rsidR="00641869" w:rsidRPr="00FA1A19">
        <w:t xml:space="preserve">jurisdictions </w:t>
      </w:r>
      <w:r w:rsidRPr="00FA1A19">
        <w:t xml:space="preserve">have contemplated or have introduced </w:t>
      </w:r>
      <w:r w:rsidR="00BC3E87" w:rsidRPr="00FA1A19">
        <w:t>specif</w:t>
      </w:r>
      <w:r w:rsidR="00F52396" w:rsidRPr="00FA1A19">
        <w:t xml:space="preserve">ic tax regimes and </w:t>
      </w:r>
      <w:r w:rsidRPr="00FA1A19">
        <w:t>tax concessions (</w:t>
      </w:r>
      <w:r w:rsidR="00F75232">
        <w:t>‘</w:t>
      </w:r>
      <w:r w:rsidR="00641869" w:rsidRPr="00FA1A19">
        <w:t>tax</w:t>
      </w:r>
      <w:r w:rsidRPr="00FA1A19">
        <w:t xml:space="preserve"> </w:t>
      </w:r>
      <w:r w:rsidR="00641869" w:rsidRPr="00FA1A19">
        <w:t>expenditures</w:t>
      </w:r>
      <w:r w:rsidR="00F75232">
        <w:t>’</w:t>
      </w:r>
      <w:r w:rsidRPr="00FA1A19">
        <w:t>)</w:t>
      </w:r>
      <w:r w:rsidR="00641869" w:rsidRPr="00170ADC">
        <w:rPr>
          <w:rStyle w:val="FootnoteReference"/>
        </w:rPr>
        <w:footnoteReference w:id="668"/>
      </w:r>
      <w:r w:rsidR="00641869" w:rsidRPr="00FA1A19">
        <w:t xml:space="preserve"> </w:t>
      </w:r>
      <w:r w:rsidRPr="00FA1A19">
        <w:t>for crypto assets and transactions.</w:t>
      </w:r>
      <w:r w:rsidR="004F0A51" w:rsidRPr="00FA1A19">
        <w:t xml:space="preserve"> </w:t>
      </w:r>
      <w:r w:rsidRPr="00FA1A19">
        <w:t xml:space="preserve">These can have various purposes, including simplicity and ease of administration for low value amounts, or to </w:t>
      </w:r>
      <w:r w:rsidR="00641869" w:rsidRPr="00FA1A19">
        <w:t>attract</w:t>
      </w:r>
      <w:r w:rsidR="00157C18">
        <w:t xml:space="preserve"> or discourage</w:t>
      </w:r>
      <w:r w:rsidR="00641869" w:rsidRPr="00FA1A19">
        <w:t xml:space="preserve"> </w:t>
      </w:r>
      <w:r w:rsidRPr="00FA1A19">
        <w:t>crypto assets and transactions to the jurisdiction</w:t>
      </w:r>
      <w:r w:rsidR="00641869" w:rsidRPr="00FA1A19">
        <w:t>.</w:t>
      </w:r>
      <w:r w:rsidR="004F0A51" w:rsidRPr="00FA1A19">
        <w:t xml:space="preserve"> </w:t>
      </w:r>
      <w:r w:rsidRPr="00FA1A19">
        <w:t>Some of these measures are outlined in the following table</w:t>
      </w:r>
      <w:r w:rsidR="00772E48" w:rsidRPr="00FA1A19">
        <w:t>:</w:t>
      </w:r>
    </w:p>
    <w:tbl>
      <w:tblPr>
        <w:tblStyle w:val="ListTable3-Accent1"/>
        <w:tblW w:w="5000" w:type="pct"/>
        <w:tblLook w:val="04A0" w:firstRow="1" w:lastRow="0" w:firstColumn="1" w:lastColumn="0" w:noHBand="0" w:noVBand="1"/>
      </w:tblPr>
      <w:tblGrid>
        <w:gridCol w:w="2369"/>
        <w:gridCol w:w="7262"/>
      </w:tblGrid>
      <w:tr w:rsidR="00641869" w:rsidRPr="00FA1A19" w14:paraId="3A1975A8" w14:textId="77777777" w:rsidTr="00EB09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30" w:type="pct"/>
          </w:tcPr>
          <w:p w14:paraId="5B6CB2B4" w14:textId="77777777" w:rsidR="00641869" w:rsidRPr="00FA1A19" w:rsidRDefault="00641869" w:rsidP="001E3898">
            <w:pPr>
              <w:pStyle w:val="TableColumnHeadingLeft"/>
            </w:pPr>
            <w:r w:rsidRPr="00FA1A19">
              <w:t>Jurisdiction</w:t>
            </w:r>
          </w:p>
        </w:tc>
        <w:tc>
          <w:tcPr>
            <w:tcW w:w="3770" w:type="pct"/>
          </w:tcPr>
          <w:p w14:paraId="74108DB6" w14:textId="11C4187C" w:rsidR="00641869" w:rsidRPr="00FA1A19" w:rsidRDefault="00641869" w:rsidP="001E3898">
            <w:pPr>
              <w:pStyle w:val="TableColumnHeadingLeft"/>
              <w:cnfStyle w:val="100000000000" w:firstRow="1" w:lastRow="0" w:firstColumn="0" w:lastColumn="0" w:oddVBand="0" w:evenVBand="0" w:oddHBand="0" w:evenHBand="0" w:firstRowFirstColumn="0" w:firstRowLastColumn="0" w:lastRowFirstColumn="0" w:lastRowLastColumn="0"/>
            </w:pPr>
            <w:r w:rsidRPr="00FA1A19">
              <w:t>Tax</w:t>
            </w:r>
            <w:r w:rsidR="00F52396" w:rsidRPr="00FA1A19">
              <w:t xml:space="preserve"> Regime/</w:t>
            </w:r>
            <w:r w:rsidRPr="00FA1A19">
              <w:t>Expenditure</w:t>
            </w:r>
          </w:p>
        </w:tc>
      </w:tr>
      <w:tr w:rsidR="00641869" w:rsidRPr="00FA1A19" w14:paraId="5FD331F9"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7DC36F4A" w14:textId="77777777" w:rsidR="00641869" w:rsidRPr="00FA1A19" w:rsidRDefault="00641869" w:rsidP="005E488B">
            <w:pPr>
              <w:pStyle w:val="TableTextLeft"/>
              <w:keepNext/>
            </w:pPr>
            <w:r w:rsidRPr="00FA1A19">
              <w:t>Belarus</w:t>
            </w:r>
          </w:p>
        </w:tc>
        <w:tc>
          <w:tcPr>
            <w:tcW w:w="3770" w:type="pct"/>
          </w:tcPr>
          <w:p w14:paraId="4D91721A" w14:textId="2AEC05C5" w:rsidR="00641869" w:rsidRPr="00FA1A19" w:rsidRDefault="00641869" w:rsidP="005E488B">
            <w:pPr>
              <w:pStyle w:val="TableTextLeft"/>
              <w:keepNext/>
              <w:cnfStyle w:val="000000100000" w:firstRow="0" w:lastRow="0" w:firstColumn="0" w:lastColumn="0" w:oddVBand="0" w:evenVBand="0" w:oddHBand="1" w:evenHBand="0" w:firstRowFirstColumn="0" w:firstRowLastColumn="0" w:lastRowFirstColumn="0" w:lastRowLastColumn="0"/>
            </w:pPr>
            <w:r w:rsidRPr="00FA1A19">
              <w:t>Tax free exemption</w:t>
            </w:r>
            <w:r w:rsidR="00EB10D3" w:rsidRPr="00FA1A19">
              <w:t>s</w:t>
            </w:r>
            <w:r w:rsidRPr="00FA1A19">
              <w:t xml:space="preserve"> for </w:t>
            </w:r>
            <w:r w:rsidR="00EB10D3" w:rsidRPr="00FA1A19">
              <w:t>companies and individuals legally working with</w:t>
            </w:r>
            <w:r w:rsidRPr="00FA1A19">
              <w:t xml:space="preserve"> crypto</w:t>
            </w:r>
            <w:r w:rsidR="00643A3E" w:rsidRPr="00FA1A19">
              <w:t>.</w:t>
            </w:r>
            <w:r w:rsidR="00AC4199" w:rsidRPr="00170ADC">
              <w:rPr>
                <w:rStyle w:val="FootnoteReference"/>
              </w:rPr>
              <w:footnoteReference w:id="669"/>
            </w:r>
          </w:p>
        </w:tc>
      </w:tr>
      <w:tr w:rsidR="00641869" w:rsidRPr="00FA1A19" w14:paraId="1F4D698D" w14:textId="77777777" w:rsidTr="00EB09BD">
        <w:tc>
          <w:tcPr>
            <w:cnfStyle w:val="001000000000" w:firstRow="0" w:lastRow="0" w:firstColumn="1" w:lastColumn="0" w:oddVBand="0" w:evenVBand="0" w:oddHBand="0" w:evenHBand="0" w:firstRowFirstColumn="0" w:firstRowLastColumn="0" w:lastRowFirstColumn="0" w:lastRowLastColumn="0"/>
            <w:tcW w:w="1230" w:type="pct"/>
          </w:tcPr>
          <w:p w14:paraId="44311831" w14:textId="77777777" w:rsidR="00641869" w:rsidRPr="00FA1A19" w:rsidRDefault="00641869" w:rsidP="001E3898">
            <w:pPr>
              <w:pStyle w:val="TableTextLeft"/>
            </w:pPr>
            <w:r w:rsidRPr="00FA1A19">
              <w:t>Germany</w:t>
            </w:r>
          </w:p>
        </w:tc>
        <w:tc>
          <w:tcPr>
            <w:tcW w:w="3770" w:type="pct"/>
          </w:tcPr>
          <w:p w14:paraId="2A79D782" w14:textId="1E5BC752" w:rsidR="00641869" w:rsidRPr="00FA1A19" w:rsidRDefault="00641869" w:rsidP="001E3898">
            <w:pPr>
              <w:pStyle w:val="TableTextLeft"/>
              <w:cnfStyle w:val="000000000000" w:firstRow="0" w:lastRow="0" w:firstColumn="0" w:lastColumn="0" w:oddVBand="0" w:evenVBand="0" w:oddHBand="0" w:evenHBand="0" w:firstRowFirstColumn="0" w:firstRowLastColumn="0" w:lastRowFirstColumn="0" w:lastRowLastColumn="0"/>
            </w:pPr>
            <w:r w:rsidRPr="00FA1A19">
              <w:t>Crypto assets sold by investors are tax exempt if held more</w:t>
            </w:r>
            <w:r w:rsidR="00643A3E" w:rsidRPr="00FA1A19">
              <w:t xml:space="preserve"> for</w:t>
            </w:r>
            <w:r w:rsidRPr="00FA1A19">
              <w:t xml:space="preserve"> than one year or if under EUR 600 pa</w:t>
            </w:r>
            <w:r w:rsidR="00643A3E" w:rsidRPr="00FA1A19">
              <w:t>.</w:t>
            </w:r>
            <w:r w:rsidR="0022687B" w:rsidRPr="00170ADC">
              <w:rPr>
                <w:rStyle w:val="FootnoteReference"/>
              </w:rPr>
              <w:footnoteReference w:id="670"/>
            </w:r>
          </w:p>
        </w:tc>
      </w:tr>
      <w:tr w:rsidR="00641869" w:rsidRPr="00FA1A19" w14:paraId="7D517270"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77D6F919" w14:textId="77777777" w:rsidR="00641869" w:rsidRPr="00FA1A19" w:rsidRDefault="00641869" w:rsidP="001E3898">
            <w:pPr>
              <w:pStyle w:val="TableTextLeft"/>
            </w:pPr>
            <w:r w:rsidRPr="00FA1A19">
              <w:t>India</w:t>
            </w:r>
          </w:p>
        </w:tc>
        <w:tc>
          <w:tcPr>
            <w:tcW w:w="3770" w:type="pct"/>
          </w:tcPr>
          <w:p w14:paraId="0D1F1ABD" w14:textId="54720FCE" w:rsidR="00641869" w:rsidRPr="00FA1A19" w:rsidRDefault="00641869" w:rsidP="001E3898">
            <w:pPr>
              <w:pStyle w:val="TableTextLeft"/>
              <w:cnfStyle w:val="000000100000" w:firstRow="0" w:lastRow="0" w:firstColumn="0" w:lastColumn="0" w:oddVBand="0" w:evenVBand="0" w:oddHBand="1" w:evenHBand="0" w:firstRowFirstColumn="0" w:firstRowLastColumn="0" w:lastRowFirstColumn="0" w:lastRowLastColumn="0"/>
            </w:pPr>
            <w:r w:rsidRPr="00FA1A19">
              <w:t>A new taxation regime for income relating to Virtual Digital Assets – 30% with no deduction or loss offset.</w:t>
            </w:r>
            <w:r w:rsidR="003D438F" w:rsidRPr="00170ADC">
              <w:rPr>
                <w:rStyle w:val="FootnoteReference"/>
              </w:rPr>
              <w:footnoteReference w:id="671"/>
            </w:r>
          </w:p>
        </w:tc>
      </w:tr>
      <w:tr w:rsidR="00D436A2" w:rsidRPr="00FA1A19" w14:paraId="06098AB4" w14:textId="77777777" w:rsidTr="00EB09BD">
        <w:tc>
          <w:tcPr>
            <w:cnfStyle w:val="001000000000" w:firstRow="0" w:lastRow="0" w:firstColumn="1" w:lastColumn="0" w:oddVBand="0" w:evenVBand="0" w:oddHBand="0" w:evenHBand="0" w:firstRowFirstColumn="0" w:firstRowLastColumn="0" w:lastRowFirstColumn="0" w:lastRowLastColumn="0"/>
            <w:tcW w:w="1230" w:type="pct"/>
          </w:tcPr>
          <w:p w14:paraId="70781CEC" w14:textId="0A294C38" w:rsidR="00D436A2" w:rsidRPr="00FA1A19" w:rsidRDefault="00D436A2" w:rsidP="001E3898">
            <w:pPr>
              <w:pStyle w:val="TableTextLeft"/>
            </w:pPr>
            <w:r w:rsidRPr="00FA1A19">
              <w:t xml:space="preserve">Italy </w:t>
            </w:r>
          </w:p>
        </w:tc>
        <w:tc>
          <w:tcPr>
            <w:tcW w:w="3770" w:type="pct"/>
          </w:tcPr>
          <w:p w14:paraId="4AFA793A" w14:textId="5887485A" w:rsidR="00D436A2" w:rsidRPr="00FA1A19" w:rsidRDefault="00D436A2" w:rsidP="001E3898">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t xml:space="preserve">Previously only levied tax on cryptocurrency where the portfolio value was over approximately </w:t>
            </w:r>
            <w:r w:rsidRPr="00FA1A19">
              <w:rPr>
                <w:rFonts w:cs="Calibri"/>
              </w:rPr>
              <w:t>€51,000, however following the 2023 budget capital gains tax is now payable on any crypto asset gains over €2,000.</w:t>
            </w:r>
            <w:r w:rsidRPr="00170ADC">
              <w:rPr>
                <w:rStyle w:val="FootnoteReference"/>
              </w:rPr>
              <w:footnoteReference w:id="672"/>
            </w:r>
          </w:p>
        </w:tc>
      </w:tr>
      <w:tr w:rsidR="00641869" w:rsidRPr="00FA1A19" w14:paraId="1CD6DC9E"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38A03237" w14:textId="77777777" w:rsidR="00641869" w:rsidRPr="00FA1A19" w:rsidRDefault="00641869" w:rsidP="001E3898">
            <w:pPr>
              <w:pStyle w:val="TableTextLeft"/>
            </w:pPr>
            <w:r w:rsidRPr="00FA1A19">
              <w:t xml:space="preserve">Portugal </w:t>
            </w:r>
          </w:p>
        </w:tc>
        <w:tc>
          <w:tcPr>
            <w:tcW w:w="3770" w:type="pct"/>
          </w:tcPr>
          <w:p w14:paraId="74B347D0" w14:textId="78EDA7BB" w:rsidR="00641869" w:rsidRPr="00FA1A19" w:rsidRDefault="00641869" w:rsidP="001E3898">
            <w:pPr>
              <w:pStyle w:val="TableTextLeft"/>
              <w:cnfStyle w:val="000000100000" w:firstRow="0" w:lastRow="0" w:firstColumn="0" w:lastColumn="0" w:oddVBand="0" w:evenVBand="0" w:oddHBand="1" w:evenHBand="0" w:firstRowFirstColumn="0" w:firstRowLastColumn="0" w:lastRowFirstColumn="0" w:lastRowLastColumn="0"/>
            </w:pPr>
            <w:r w:rsidRPr="00FA1A19">
              <w:t>Capital gains on crypto are effectively exempt from tax</w:t>
            </w:r>
            <w:r w:rsidR="00643A3E" w:rsidRPr="00FA1A19">
              <w:t>.</w:t>
            </w:r>
            <w:r w:rsidR="007B6AC2" w:rsidRPr="00170ADC">
              <w:rPr>
                <w:rStyle w:val="FootnoteReference"/>
              </w:rPr>
              <w:footnoteReference w:id="673"/>
            </w:r>
          </w:p>
        </w:tc>
      </w:tr>
      <w:tr w:rsidR="00641869" w:rsidRPr="00FA1A19" w14:paraId="02C5585F" w14:textId="77777777" w:rsidTr="00EB09BD">
        <w:tc>
          <w:tcPr>
            <w:cnfStyle w:val="001000000000" w:firstRow="0" w:lastRow="0" w:firstColumn="1" w:lastColumn="0" w:oddVBand="0" w:evenVBand="0" w:oddHBand="0" w:evenHBand="0" w:firstRowFirstColumn="0" w:firstRowLastColumn="0" w:lastRowFirstColumn="0" w:lastRowLastColumn="0"/>
            <w:tcW w:w="1230" w:type="pct"/>
          </w:tcPr>
          <w:p w14:paraId="2133A4A2" w14:textId="77777777" w:rsidR="00641869" w:rsidRPr="00FA1A19" w:rsidRDefault="00641869" w:rsidP="001E3898">
            <w:pPr>
              <w:pStyle w:val="TableTextLeft"/>
            </w:pPr>
            <w:r w:rsidRPr="00FA1A19">
              <w:t>United Kingdom</w:t>
            </w:r>
          </w:p>
        </w:tc>
        <w:tc>
          <w:tcPr>
            <w:tcW w:w="3770" w:type="pct"/>
          </w:tcPr>
          <w:p w14:paraId="553F91B3" w14:textId="36F7E77B" w:rsidR="00641869" w:rsidRPr="00FA1A19" w:rsidRDefault="00641869" w:rsidP="001E3898">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The UK Law Commission had proposed a category of property </w:t>
            </w:r>
            <w:r w:rsidR="00F75232">
              <w:t>‘</w:t>
            </w:r>
            <w:r w:rsidRPr="00FA1A19">
              <w:t>data objects</w:t>
            </w:r>
            <w:r w:rsidR="00F75232">
              <w:t>’</w:t>
            </w:r>
            <w:r w:rsidRPr="00FA1A19">
              <w:t xml:space="preserve"> that meet certain criteria. This approach may enable a new CGT event or CGT asset category if applied in Australia along with realisation events outside of debt / equity rules, foreign currency &amp; CGT regimes.</w:t>
            </w:r>
          </w:p>
        </w:tc>
      </w:tr>
      <w:tr w:rsidR="00641869" w:rsidRPr="00FA1A19" w14:paraId="4A413FE2" w14:textId="77777777" w:rsidTr="00EB0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pct"/>
          </w:tcPr>
          <w:p w14:paraId="67DBEDE8" w14:textId="77777777" w:rsidR="00641869" w:rsidRPr="00FA1A19" w:rsidRDefault="00641869" w:rsidP="001E3898">
            <w:pPr>
              <w:pStyle w:val="TableTextLeft"/>
            </w:pPr>
            <w:r w:rsidRPr="00FA1A19">
              <w:t>United States</w:t>
            </w:r>
          </w:p>
        </w:tc>
        <w:tc>
          <w:tcPr>
            <w:tcW w:w="3770" w:type="pct"/>
          </w:tcPr>
          <w:p w14:paraId="7B42BC5D" w14:textId="62D29545" w:rsidR="00641869" w:rsidRPr="00FA1A19" w:rsidRDefault="006D648A" w:rsidP="001E3898">
            <w:pPr>
              <w:pStyle w:val="TableTextLeft"/>
              <w:cnfStyle w:val="000000100000" w:firstRow="0" w:lastRow="0" w:firstColumn="0" w:lastColumn="0" w:oddVBand="0" w:evenVBand="0" w:oddHBand="1" w:evenHBand="0" w:firstRowFirstColumn="0" w:firstRowLastColumn="0" w:lastRowFirstColumn="0" w:lastRowLastColumn="0"/>
            </w:pPr>
            <w:r w:rsidRPr="00813896">
              <w:rPr>
                <w:rStyle w:val="Emphasis"/>
                <w:rFonts w:eastAsia="Calibri"/>
              </w:rPr>
              <w:t>Responsible Financial Innovation Act</w:t>
            </w:r>
            <w:r w:rsidRPr="00FA1A19">
              <w:rPr>
                <w:rFonts w:eastAsia="Calibri" w:cs="Calibri"/>
                <w:color w:val="000000" w:themeColor="text1"/>
              </w:rPr>
              <w:t xml:space="preserve"> </w:t>
            </w:r>
            <w:r w:rsidR="00641869" w:rsidRPr="00FA1A19">
              <w:t>aims to establish tax free concept below certain threshold</w:t>
            </w:r>
            <w:r w:rsidRPr="00FA1A19">
              <w:t xml:space="preserve"> (refer </w:t>
            </w:r>
            <w:r w:rsidR="00390EB3" w:rsidRPr="00FA1A19">
              <w:t>analysis in previous section)</w:t>
            </w:r>
            <w:r w:rsidR="00641869" w:rsidRPr="00FA1A19">
              <w:t>.</w:t>
            </w:r>
          </w:p>
        </w:tc>
      </w:tr>
    </w:tbl>
    <w:p w14:paraId="6569D1B4" w14:textId="4362AD0B" w:rsidR="00641869" w:rsidRPr="00FA1A19" w:rsidRDefault="00643A3E" w:rsidP="00641869">
      <w:r w:rsidRPr="00FA1A19">
        <w:t>In addition, it is noted that low or no tax jurisdictions have been popular for early decentralised projects.</w:t>
      </w:r>
    </w:p>
    <w:p w14:paraId="279EC3FA" w14:textId="77777777" w:rsidR="00641869" w:rsidRPr="00FA1A19" w:rsidRDefault="00641869" w:rsidP="001E3898">
      <w:pPr>
        <w:pStyle w:val="SingleParagraph"/>
      </w:pPr>
    </w:p>
    <w:tbl>
      <w:tblPr>
        <w:tblStyle w:val="BoTObservation"/>
        <w:tblW w:w="5000" w:type="pct"/>
        <w:tblLook w:val="01E0" w:firstRow="1" w:lastRow="1" w:firstColumn="1" w:lastColumn="1" w:noHBand="0" w:noVBand="0"/>
      </w:tblPr>
      <w:tblGrid>
        <w:gridCol w:w="9641"/>
      </w:tblGrid>
      <w:tr w:rsidR="00641869" w:rsidRPr="00FA1A19" w14:paraId="422AB8BB"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10D122A4" w14:textId="74944284" w:rsidR="00641869" w:rsidRPr="00FA1A19" w:rsidRDefault="00372633" w:rsidP="003316D7">
            <w:pPr>
              <w:pStyle w:val="BoxHeading1"/>
            </w:pPr>
            <w:r>
              <w:t>Observation </w:t>
            </w:r>
            <w:r w:rsidR="00641869" w:rsidRPr="00FA1A19">
              <w:t>12.1</w:t>
            </w:r>
          </w:p>
        </w:tc>
      </w:tr>
      <w:tr w:rsidR="00641869" w:rsidRPr="00FA1A19" w14:paraId="50910C51"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4F4A06DC" w14:textId="43B56A68" w:rsidR="003E0C81" w:rsidRPr="00FA1A19" w:rsidRDefault="00643A3E" w:rsidP="00EE60B2">
            <w:pPr>
              <w:pStyle w:val="BoxText"/>
            </w:pPr>
            <w:r w:rsidRPr="00FA1A19">
              <w:t>The</w:t>
            </w:r>
            <w:r w:rsidR="00641869" w:rsidRPr="00FA1A19">
              <w:t xml:space="preserve"> Board observes that the various themes from the above comparative analysis is directed at educating, assisting and providing simpler and easier compliance for the user of crypto assets and transactions.</w:t>
            </w:r>
          </w:p>
          <w:p w14:paraId="7BFDBEE3" w14:textId="09C2B8BA" w:rsidR="00641869" w:rsidRPr="00FA1A19" w:rsidRDefault="003E0C81" w:rsidP="00EE60B2">
            <w:pPr>
              <w:pStyle w:val="BoxText"/>
            </w:pPr>
            <w:r w:rsidRPr="00FA1A19">
              <w:t>Th</w:t>
            </w:r>
            <w:r w:rsidR="00641869" w:rsidRPr="00FA1A19">
              <w:t xml:space="preserve">e Board notes that some countries </w:t>
            </w:r>
            <w:r w:rsidR="00844C43" w:rsidRPr="00FA1A19">
              <w:t>have</w:t>
            </w:r>
            <w:r w:rsidR="004F0A51" w:rsidRPr="00FA1A19">
              <w:t xml:space="preserve"> </w:t>
            </w:r>
            <w:r w:rsidR="00844C43" w:rsidRPr="00FA1A19">
              <w:t xml:space="preserve">introduced tax </w:t>
            </w:r>
            <w:r w:rsidR="00390EB3" w:rsidRPr="00FA1A19">
              <w:t xml:space="preserve">regimes and </w:t>
            </w:r>
            <w:r w:rsidR="00844C43" w:rsidRPr="00FA1A19">
              <w:t>concessions for crypto assets and transactions.</w:t>
            </w:r>
          </w:p>
        </w:tc>
      </w:tr>
    </w:tbl>
    <w:p w14:paraId="67925105" w14:textId="77777777" w:rsidR="00641869" w:rsidRPr="00FA1A19" w:rsidRDefault="00641869" w:rsidP="001E3898">
      <w:pPr>
        <w:pStyle w:val="SingleParagraph"/>
      </w:pPr>
    </w:p>
    <w:p w14:paraId="63CAE513" w14:textId="77777777" w:rsidR="001E3898" w:rsidRPr="001E3898" w:rsidRDefault="001E3898" w:rsidP="001E3898">
      <w:pPr>
        <w:sectPr w:rsidR="001E3898" w:rsidRPr="001E3898" w:rsidSect="00320772">
          <w:pgSz w:w="11909" w:h="16834" w:code="9"/>
          <w:pgMar w:top="1985" w:right="1134" w:bottom="1985" w:left="1134" w:header="1134" w:footer="1134" w:gutter="0"/>
          <w:cols w:space="708"/>
          <w:docGrid w:linePitch="360"/>
        </w:sectPr>
      </w:pPr>
    </w:p>
    <w:p w14:paraId="42917334" w14:textId="677A6CEC" w:rsidR="00F24D1D" w:rsidRPr="00FA1A19" w:rsidRDefault="00372633" w:rsidP="0069352C">
      <w:pPr>
        <w:pStyle w:val="Heading1"/>
      </w:pPr>
      <w:bookmarkStart w:id="160" w:name="_Toc159513641"/>
      <w:r>
        <w:t>Chapter </w:t>
      </w:r>
      <w:r w:rsidR="00F24D1D" w:rsidRPr="00FA1A19">
        <w:t xml:space="preserve">13: </w:t>
      </w:r>
      <w:r w:rsidR="00F52A52" w:rsidRPr="00FA1A19">
        <w:t>Looking to the Future</w:t>
      </w:r>
      <w:bookmarkEnd w:id="160"/>
    </w:p>
    <w:p w14:paraId="60FD73AC" w14:textId="66CC900B" w:rsidR="00F24D1D" w:rsidRPr="00FA1A19" w:rsidRDefault="00F24D1D" w:rsidP="0069352C">
      <w:pPr>
        <w:pStyle w:val="Heading2"/>
        <w:rPr>
          <w:rStyle w:val="Emphasis"/>
        </w:rPr>
      </w:pPr>
      <w:bookmarkStart w:id="161" w:name="_Toc159513642"/>
      <w:r w:rsidRPr="00FA1A19">
        <w:rPr>
          <w:rStyle w:val="Emphasis"/>
        </w:rPr>
        <w:t>Key Points</w:t>
      </w:r>
      <w:bookmarkEnd w:id="161"/>
      <w:r w:rsidRPr="00FA1A19">
        <w:rPr>
          <w:rStyle w:val="Emphasi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42147" w:themeFill="accent1"/>
        <w:tblCellMar>
          <w:top w:w="397" w:type="dxa"/>
          <w:left w:w="454" w:type="dxa"/>
          <w:bottom w:w="397" w:type="dxa"/>
          <w:right w:w="454" w:type="dxa"/>
        </w:tblCellMar>
        <w:tblLook w:val="04A0" w:firstRow="1" w:lastRow="0" w:firstColumn="1" w:lastColumn="0" w:noHBand="0" w:noVBand="1"/>
      </w:tblPr>
      <w:tblGrid>
        <w:gridCol w:w="9641"/>
      </w:tblGrid>
      <w:tr w:rsidR="00F24D1D" w:rsidRPr="00797B8A" w14:paraId="46040A1C" w14:textId="77777777" w:rsidTr="005E488B">
        <w:tc>
          <w:tcPr>
            <w:tcW w:w="5000" w:type="pct"/>
            <w:shd w:val="clear" w:color="auto" w:fill="701F4D" w:themeFill="accent2"/>
          </w:tcPr>
          <w:p w14:paraId="41C3BD99" w14:textId="54910342" w:rsidR="00747B83" w:rsidRPr="00797B8A" w:rsidRDefault="00747B83" w:rsidP="000E72DD">
            <w:pPr>
              <w:pStyle w:val="BoxBulletWhite"/>
            </w:pPr>
            <w:r w:rsidRPr="00797B8A">
              <w:t xml:space="preserve">Several options for </w:t>
            </w:r>
            <w:r w:rsidR="007467CF" w:rsidRPr="00797B8A">
              <w:t>broad crypto</w:t>
            </w:r>
            <w:r w:rsidR="00F75232">
              <w:noBreakHyphen/>
            </w:r>
            <w:r w:rsidR="007467CF" w:rsidRPr="00797B8A">
              <w:t>specific</w:t>
            </w:r>
            <w:r w:rsidRPr="00797B8A">
              <w:t xml:space="preserve"> </w:t>
            </w:r>
            <w:r w:rsidR="000C56D1" w:rsidRPr="00797B8A">
              <w:t xml:space="preserve">tax policy </w:t>
            </w:r>
            <w:r w:rsidRPr="00797B8A">
              <w:t>reforms were raised during consultations</w:t>
            </w:r>
            <w:r w:rsidR="006E1CAE" w:rsidRPr="00797B8A">
              <w:t>,</w:t>
            </w:r>
            <w:r w:rsidR="00BE78FF" w:rsidRPr="00797B8A">
              <w:t xml:space="preserve"> with some identification of these in the Senate </w:t>
            </w:r>
            <w:r w:rsidR="007A7C21">
              <w:t xml:space="preserve">Select Committee </w:t>
            </w:r>
            <w:r w:rsidR="00BE78FF" w:rsidRPr="00797B8A">
              <w:t>Report that preceded the Board</w:t>
            </w:r>
            <w:r w:rsidR="00F75232">
              <w:t>’</w:t>
            </w:r>
            <w:r w:rsidR="00BE78FF" w:rsidRPr="00797B8A">
              <w:t>s Review</w:t>
            </w:r>
            <w:r w:rsidRPr="00797B8A">
              <w:t>.</w:t>
            </w:r>
          </w:p>
          <w:p w14:paraId="5C32ED78" w14:textId="48FB463B" w:rsidR="00F24D1D" w:rsidRPr="00797B8A" w:rsidRDefault="00747B83" w:rsidP="000E72DD">
            <w:pPr>
              <w:pStyle w:val="BoxBulletWhite"/>
            </w:pPr>
            <w:r w:rsidRPr="00797B8A">
              <w:t xml:space="preserve">Whilst the Board does not consider that the Government should consider introducing any of these reforms at the present time, the Board raises them in this </w:t>
            </w:r>
            <w:r w:rsidR="00A915DF" w:rsidRPr="00797B8A">
              <w:t xml:space="preserve">chapter </w:t>
            </w:r>
            <w:r w:rsidR="00865261" w:rsidRPr="00797B8A">
              <w:t xml:space="preserve">so that the Government might consider them in the future, should it </w:t>
            </w:r>
            <w:r w:rsidR="009C2A69" w:rsidRPr="00797B8A">
              <w:t>consider it appropriate</w:t>
            </w:r>
            <w:r w:rsidR="00865261" w:rsidRPr="00797B8A">
              <w:t xml:space="preserve"> to do so.</w:t>
            </w:r>
          </w:p>
          <w:p w14:paraId="5D100528" w14:textId="31A6450D" w:rsidR="00EE7C4C" w:rsidRPr="00797B8A" w:rsidRDefault="004659DA" w:rsidP="000E72DD">
            <w:pPr>
              <w:pStyle w:val="BoxBulletWhite"/>
            </w:pPr>
            <w:r w:rsidRPr="00797B8A">
              <w:t xml:space="preserve">Any potential </w:t>
            </w:r>
            <w:r w:rsidR="00EB5F83" w:rsidRPr="00797B8A">
              <w:t xml:space="preserve">tax amendment or </w:t>
            </w:r>
            <w:r w:rsidRPr="00797B8A">
              <w:t xml:space="preserve">reform </w:t>
            </w:r>
            <w:r w:rsidR="00EB5F83" w:rsidRPr="00797B8A">
              <w:t xml:space="preserve">targeted specifically at crypto assets will require </w:t>
            </w:r>
            <w:r w:rsidR="00760E01" w:rsidRPr="00797B8A">
              <w:t>a definition of this class of assets</w:t>
            </w:r>
            <w:r w:rsidR="00F02BC7" w:rsidRPr="00797B8A">
              <w:t xml:space="preserve"> that is aligned with the policy objective of the relevant amendment or reform.</w:t>
            </w:r>
            <w:r w:rsidR="004F0A51" w:rsidRPr="00797B8A">
              <w:t xml:space="preserve"> </w:t>
            </w:r>
            <w:r w:rsidR="00865261" w:rsidRPr="00797B8A">
              <w:t>Such a definition may be difficult</w:t>
            </w:r>
            <w:r w:rsidR="008A6636" w:rsidRPr="00797B8A">
              <w:t>, particularly given th</w:t>
            </w:r>
            <w:r w:rsidR="00F32EE0" w:rsidRPr="00797B8A">
              <w:t>at the crypto ecosystem is constantly and quickly changing and developing.</w:t>
            </w:r>
          </w:p>
          <w:p w14:paraId="7106CD2A" w14:textId="3DCCEA84" w:rsidR="00FD797E" w:rsidRPr="00797B8A" w:rsidRDefault="00925CF3" w:rsidP="000E72DD">
            <w:pPr>
              <w:pStyle w:val="BoxBulletWhite"/>
            </w:pPr>
            <w:r w:rsidRPr="00797B8A">
              <w:t>T</w:t>
            </w:r>
            <w:r w:rsidR="00821AFD" w:rsidRPr="00797B8A">
              <w:t xml:space="preserve">he </w:t>
            </w:r>
            <w:r w:rsidR="00F32EE0" w:rsidRPr="00797B8A">
              <w:t xml:space="preserve">income tax reform options that the Board raises in this chapter are </w:t>
            </w:r>
            <w:r w:rsidR="00821AFD" w:rsidRPr="00797B8A">
              <w:t xml:space="preserve">a low balance election, </w:t>
            </w:r>
            <w:r w:rsidR="00FD797E" w:rsidRPr="00797B8A">
              <w:t>default revenue or capital treatment, taxing point only at time of conversion to fiat currency, and mark to market and fiat conversion.</w:t>
            </w:r>
          </w:p>
          <w:p w14:paraId="5117F5F3" w14:textId="1DCC5B1A" w:rsidR="002D1CAD" w:rsidRPr="00797B8A" w:rsidRDefault="007467CF" w:rsidP="000E72DD">
            <w:pPr>
              <w:pStyle w:val="BoxBulletWhite"/>
            </w:pPr>
            <w:r w:rsidRPr="00797B8A">
              <w:t>The i</w:t>
            </w:r>
            <w:r w:rsidR="00FD797E" w:rsidRPr="00797B8A">
              <w:t>ndirect tax reform options that the Board raises in this chapter are a digital services tax, an excise tax, and a withholding tax.</w:t>
            </w:r>
            <w:r w:rsidR="004F0A51" w:rsidRPr="00797B8A">
              <w:t xml:space="preserve"> </w:t>
            </w:r>
            <w:r w:rsidR="00FD797E" w:rsidRPr="00797B8A">
              <w:t xml:space="preserve">The purpose of these would be to ensure that Australia receives its fair share of </w:t>
            </w:r>
            <w:r w:rsidR="006D48D4" w:rsidRPr="00797B8A">
              <w:t>cross</w:t>
            </w:r>
            <w:r w:rsidR="00F75232">
              <w:noBreakHyphen/>
            </w:r>
            <w:r w:rsidR="006D48D4" w:rsidRPr="00797B8A">
              <w:t>border crypto asset transactions.</w:t>
            </w:r>
          </w:p>
          <w:p w14:paraId="764B68E5" w14:textId="1ACC49E8" w:rsidR="00F24D1D" w:rsidRPr="00797B8A" w:rsidRDefault="00CC717B" w:rsidP="000E72DD">
            <w:pPr>
              <w:pStyle w:val="BoxBulletWhite"/>
            </w:pPr>
            <w:r w:rsidRPr="00797B8A">
              <w:t>The Board also recommends that the Government continue to monitor and review the development and taxation treatment of the fast</w:t>
            </w:r>
            <w:r w:rsidRPr="00797B8A">
              <w:noBreakHyphen/>
              <w:t>growing areas of DAOs, DeFi, GameFi</w:t>
            </w:r>
            <w:r>
              <w:t xml:space="preserve"> </w:t>
            </w:r>
            <w:r w:rsidRPr="00797B8A">
              <w:t>and NFTs, to determine whether these may require specific taxation measures in the future.</w:t>
            </w:r>
          </w:p>
        </w:tc>
      </w:tr>
    </w:tbl>
    <w:p w14:paraId="2404A3D3" w14:textId="77777777" w:rsidR="00F24D1D" w:rsidRPr="00FA1A19" w:rsidRDefault="00F24D1D" w:rsidP="0069352C">
      <w:pPr>
        <w:pStyle w:val="Heading2"/>
      </w:pPr>
      <w:bookmarkStart w:id="162" w:name="_Toc159513643"/>
      <w:r w:rsidRPr="00FA1A19">
        <w:t>Introduction</w:t>
      </w:r>
      <w:bookmarkEnd w:id="162"/>
    </w:p>
    <w:p w14:paraId="00431916" w14:textId="04D0AAEB" w:rsidR="00643A3E" w:rsidRPr="00FA1A19" w:rsidRDefault="00643A3E">
      <w:r w:rsidRPr="00FA1A19">
        <w:t>Some submissions to the Board suggested</w:t>
      </w:r>
      <w:r w:rsidR="001548E5" w:rsidRPr="00FA1A19">
        <w:t xml:space="preserve"> different</w:t>
      </w:r>
      <w:r w:rsidRPr="00FA1A19">
        <w:t xml:space="preserve"> options for new legislative </w:t>
      </w:r>
      <w:r w:rsidR="00E824D7" w:rsidRPr="00FA1A19">
        <w:t xml:space="preserve">taxation </w:t>
      </w:r>
      <w:r w:rsidRPr="00FA1A19">
        <w:t>regime</w:t>
      </w:r>
      <w:r w:rsidR="00E824D7" w:rsidRPr="00FA1A19">
        <w:t>s</w:t>
      </w:r>
      <w:r w:rsidRPr="00FA1A19">
        <w:t xml:space="preserve"> </w:t>
      </w:r>
      <w:r w:rsidR="001548E5" w:rsidRPr="00FA1A19">
        <w:t xml:space="preserve">specifically </w:t>
      </w:r>
      <w:r w:rsidRPr="00FA1A19">
        <w:t>dealing with digital assets and transactions.</w:t>
      </w:r>
      <w:r w:rsidR="004F0A51" w:rsidRPr="00FA1A19">
        <w:t xml:space="preserve"> </w:t>
      </w:r>
      <w:r w:rsidRPr="00FA1A19">
        <w:t xml:space="preserve">These </w:t>
      </w:r>
      <w:r w:rsidR="00C31E87" w:rsidRPr="00FA1A19">
        <w:t xml:space="preserve">options </w:t>
      </w:r>
      <w:r w:rsidRPr="00FA1A19">
        <w:t>were also the subject of some discussion in round</w:t>
      </w:r>
      <w:r w:rsidR="00AF15A4" w:rsidRPr="00FA1A19">
        <w:t>t</w:t>
      </w:r>
      <w:r w:rsidRPr="00FA1A19">
        <w:t xml:space="preserve">able consultations with stakeholder groups. </w:t>
      </w:r>
    </w:p>
    <w:p w14:paraId="0651FD18" w14:textId="448EC828" w:rsidR="00643A3E" w:rsidRPr="00FA1A19" w:rsidRDefault="005360B7">
      <w:r w:rsidRPr="00FA1A19">
        <w:t>As explained throughout this Report</w:t>
      </w:r>
      <w:r w:rsidR="005C3349" w:rsidRPr="00FA1A19">
        <w:t>, t</w:t>
      </w:r>
      <w:r w:rsidR="00643A3E" w:rsidRPr="00FA1A19">
        <w:t>he Board does not recommend that the Government introduce a</w:t>
      </w:r>
      <w:r w:rsidRPr="00FA1A19">
        <w:t>ny</w:t>
      </w:r>
      <w:r w:rsidR="00643A3E" w:rsidRPr="00FA1A19">
        <w:t xml:space="preserve"> new </w:t>
      </w:r>
      <w:r w:rsidR="00AF15A4" w:rsidRPr="00FA1A19">
        <w:t xml:space="preserve">legislation or </w:t>
      </w:r>
      <w:r w:rsidR="00643A3E" w:rsidRPr="00FA1A19">
        <w:t>legislative regime dealing with the taxation of digital assets and transactions at the present time.</w:t>
      </w:r>
      <w:r w:rsidR="004F0A51" w:rsidRPr="00FA1A19">
        <w:t xml:space="preserve"> </w:t>
      </w:r>
      <w:r w:rsidR="00643A3E" w:rsidRPr="00FA1A19">
        <w:t xml:space="preserve">The full reasons for this are contained in the other </w:t>
      </w:r>
      <w:r w:rsidR="002C78F7" w:rsidRPr="00FA1A19">
        <w:t>c</w:t>
      </w:r>
      <w:r w:rsidR="00643A3E" w:rsidRPr="00FA1A19">
        <w:t>hapters in this Report, but very broadly the</w:t>
      </w:r>
      <w:r w:rsidR="0093571C" w:rsidRPr="00FA1A19">
        <w:t>se</w:t>
      </w:r>
      <w:r w:rsidR="00643A3E" w:rsidRPr="00FA1A19">
        <w:t xml:space="preserve"> reasons are:</w:t>
      </w:r>
    </w:p>
    <w:p w14:paraId="25228CC0" w14:textId="16C1C989" w:rsidR="00643A3E" w:rsidRPr="00FA1A19" w:rsidRDefault="00643A3E" w:rsidP="00797B8A">
      <w:pPr>
        <w:pStyle w:val="Bullet"/>
      </w:pPr>
      <w:r w:rsidRPr="00FA1A19">
        <w:t>The Board has concluded that the provisions in Australia</w:t>
      </w:r>
      <w:r w:rsidR="00F75232">
        <w:t>’</w:t>
      </w:r>
      <w:r w:rsidRPr="00FA1A19">
        <w:t>s existing tax legislation can apply to crypto asset</w:t>
      </w:r>
      <w:r w:rsidR="370B1106" w:rsidRPr="00FA1A19">
        <w:t>s</w:t>
      </w:r>
      <w:r w:rsidR="000B16D6">
        <w:t xml:space="preserve"> </w:t>
      </w:r>
      <w:r w:rsidRPr="00FA1A19">
        <w:t>and transactions.</w:t>
      </w:r>
      <w:r w:rsidR="004F0A51" w:rsidRPr="00FA1A19">
        <w:t xml:space="preserve"> </w:t>
      </w:r>
    </w:p>
    <w:p w14:paraId="5DF52CED" w14:textId="64EBDEEE" w:rsidR="00643A3E" w:rsidRPr="00FA1A19" w:rsidRDefault="00643A3E" w:rsidP="00797B8A">
      <w:pPr>
        <w:pStyle w:val="Bullet"/>
      </w:pPr>
      <w:r w:rsidRPr="00FA1A19">
        <w:t>Any uncertainty as to the way in which the provisions in Australia</w:t>
      </w:r>
      <w:r w:rsidR="00F75232">
        <w:t>’</w:t>
      </w:r>
      <w:r w:rsidRPr="00FA1A19">
        <w:t>s existing tax legislation apply to crypto assets and transactions is best dealt with at the present time by increased ATO guidance upon which taxpayers can rely in fulfilling their taxation responsibilities, informed by consultation with the Board</w:t>
      </w:r>
      <w:r w:rsidR="00F75232">
        <w:t>’</w:t>
      </w:r>
      <w:r w:rsidRPr="00FA1A19">
        <w:t>s proposed Crypto Industry Working Group.</w:t>
      </w:r>
    </w:p>
    <w:p w14:paraId="74460090" w14:textId="178466C6" w:rsidR="00643A3E" w:rsidRPr="00FA1A19" w:rsidRDefault="00643A3E" w:rsidP="00797B8A">
      <w:pPr>
        <w:pStyle w:val="Bullet"/>
      </w:pPr>
      <w:r w:rsidRPr="00FA1A19">
        <w:t xml:space="preserve">In light of the complexity and the quickly and continually evolving nature of the crypto ecosystem including but not limited to DeFi and GameFi, the Board considers that any attempt at this time to legislate a new and </w:t>
      </w:r>
      <w:r w:rsidR="00F97CF2" w:rsidRPr="00FA1A19">
        <w:t>spe</w:t>
      </w:r>
      <w:r w:rsidR="00464E1B" w:rsidRPr="00FA1A19">
        <w:t>cific</w:t>
      </w:r>
      <w:r w:rsidRPr="00FA1A19">
        <w:t xml:space="preserve"> taxation regime to deal with crypto transactions would </w:t>
      </w:r>
      <w:r w:rsidR="00FE0813" w:rsidRPr="00FA1A19">
        <w:t xml:space="preserve">most likely </w:t>
      </w:r>
      <w:r w:rsidRPr="00FA1A19">
        <w:t>lead to more legal complexity and potentially more uncertainty.</w:t>
      </w:r>
    </w:p>
    <w:p w14:paraId="392C5C42" w14:textId="53ECD194" w:rsidR="00643A3E" w:rsidRDefault="00643A3E" w:rsidP="00797B8A">
      <w:pPr>
        <w:pStyle w:val="Bullet"/>
      </w:pPr>
      <w:r w:rsidRPr="00FA1A19">
        <w:t>The development of an Australian crypto</w:t>
      </w:r>
      <w:r w:rsidR="00F75232">
        <w:noBreakHyphen/>
      </w:r>
      <w:r w:rsidRPr="00FA1A19">
        <w:t>specific taxation regime may be quickly superseded by ongoing international developments affecting the taxation of digital assets and transactions (</w:t>
      </w:r>
      <w:r w:rsidR="00CF2959" w:rsidRPr="00FA1A19">
        <w:t>in</w:t>
      </w:r>
      <w:r w:rsidR="00D651B4" w:rsidRPr="00FA1A19">
        <w:t>cluding</w:t>
      </w:r>
      <w:r w:rsidRPr="00FA1A19">
        <w:t xml:space="preserve"> work by the OECD). </w:t>
      </w:r>
    </w:p>
    <w:p w14:paraId="381A3FB8" w14:textId="7D1CC118" w:rsidR="007444B1" w:rsidRDefault="00CA4143" w:rsidP="00A200F5">
      <w:r>
        <w:t>Whilst a</w:t>
      </w:r>
      <w:r w:rsidR="00A200F5">
        <w:t>cknowledging th</w:t>
      </w:r>
      <w:r w:rsidR="00EC396C">
        <w:t xml:space="preserve">e above points against introducing any new legislation or legislative regime dealing with the taxation of digital assets and transactions at the present time, </w:t>
      </w:r>
      <w:r w:rsidR="00A200F5">
        <w:t>the Board</w:t>
      </w:r>
      <w:r w:rsidR="00EC396C">
        <w:t xml:space="preserve"> also recognis</w:t>
      </w:r>
      <w:r w:rsidR="00C25359">
        <w:t>es</w:t>
      </w:r>
      <w:r w:rsidR="00EC396C">
        <w:t xml:space="preserve"> that it</w:t>
      </w:r>
      <w:r w:rsidR="00A200F5">
        <w:t xml:space="preserve"> heard a number of concerns as to the manner in which the current taxation rules </w:t>
      </w:r>
      <w:r w:rsidR="00EC396C">
        <w:t xml:space="preserve">can </w:t>
      </w:r>
      <w:r w:rsidR="00A200F5">
        <w:t xml:space="preserve">operate, </w:t>
      </w:r>
      <w:r w:rsidR="00EC396C">
        <w:t xml:space="preserve">and for this reason recommends that the Government continue to monitor the taxation of the crypto ecosystem to ensure that the administrative measures </w:t>
      </w:r>
      <w:r w:rsidR="007444B1">
        <w:t xml:space="preserve">recommended in this Report are sufficiently managing </w:t>
      </w:r>
      <w:r w:rsidR="00C25359">
        <w:t>any issues</w:t>
      </w:r>
      <w:r w:rsidR="007444B1">
        <w:t>.</w:t>
      </w:r>
    </w:p>
    <w:p w14:paraId="73C89CF8" w14:textId="6FE91FED" w:rsidR="007F4F7B" w:rsidRPr="00FA1A19" w:rsidRDefault="00AE5238">
      <w:r>
        <w:t>N</w:t>
      </w:r>
      <w:r w:rsidR="00643A3E" w:rsidRPr="00FA1A19">
        <w:t xml:space="preserve">otwithstanding the </w:t>
      </w:r>
      <w:r w:rsidR="007377C5">
        <w:t>above comments</w:t>
      </w:r>
      <w:r>
        <w:t xml:space="preserve"> against legislative change at this time</w:t>
      </w:r>
      <w:r w:rsidR="00643A3E" w:rsidRPr="00FA1A19">
        <w:t xml:space="preserve">, for completeness in this </w:t>
      </w:r>
      <w:r w:rsidR="002F5A60" w:rsidRPr="00FA1A19">
        <w:t>c</w:t>
      </w:r>
      <w:r w:rsidR="00643A3E" w:rsidRPr="00FA1A19">
        <w:t xml:space="preserve">hapter the Board identifies some different </w:t>
      </w:r>
      <w:r w:rsidR="000C3D63" w:rsidRPr="00FA1A19">
        <w:t xml:space="preserve">options for </w:t>
      </w:r>
      <w:r w:rsidR="00BA5C6A" w:rsidRPr="00FA1A19">
        <w:t>crypto</w:t>
      </w:r>
      <w:r w:rsidR="00F75232">
        <w:noBreakHyphen/>
      </w:r>
      <w:r w:rsidR="00BA5C6A" w:rsidRPr="00FA1A19">
        <w:t xml:space="preserve">specific </w:t>
      </w:r>
      <w:r w:rsidR="00643A3E" w:rsidRPr="00FA1A19">
        <w:t xml:space="preserve">legislative regimes </w:t>
      </w:r>
      <w:r w:rsidR="002F5A60" w:rsidRPr="00FA1A19">
        <w:t xml:space="preserve">for income tax and indirect taxes </w:t>
      </w:r>
      <w:r w:rsidR="00643A3E" w:rsidRPr="00FA1A19">
        <w:t>that were the subject of some discussion during consultations.</w:t>
      </w:r>
      <w:r w:rsidR="004F0A51" w:rsidRPr="00FA1A19">
        <w:t xml:space="preserve"> </w:t>
      </w:r>
    </w:p>
    <w:p w14:paraId="6E2C3CB5" w14:textId="0FA7B68B" w:rsidR="00ED4E9C" w:rsidRPr="00FA1A19" w:rsidRDefault="00ED4E9C" w:rsidP="00ED4E9C">
      <w:r w:rsidRPr="00FA1A19">
        <w:t>Whilst the Board does not recommend the implementation of any of these regimes at the present time, the Government may benefit from an awareness of the different frameworks that have been considered, should they wish to consider these in the future.</w:t>
      </w:r>
    </w:p>
    <w:p w14:paraId="46951950" w14:textId="699D784A" w:rsidR="00ED4E9C" w:rsidRPr="00FA1A19" w:rsidRDefault="00ED4E9C" w:rsidP="00ED4E9C">
      <w:r w:rsidRPr="00FA1A19">
        <w:t xml:space="preserve">The Board notes that any larger scale reform would need to be strategically considered in the context of international developments on tax policy solutions that are developed by </w:t>
      </w:r>
      <w:r w:rsidR="00076694" w:rsidRPr="00FA1A19">
        <w:t>comparable</w:t>
      </w:r>
      <w:r w:rsidRPr="00FA1A19">
        <w:t xml:space="preserve"> jurisdictions and international organisations such as the OECD and the United Nations (UN), as well as domestic tax policy priorities.</w:t>
      </w:r>
    </w:p>
    <w:p w14:paraId="10B2D91D" w14:textId="1B51A598" w:rsidR="00F24D1D" w:rsidRPr="00FA1A19" w:rsidRDefault="00F24D1D">
      <w:r w:rsidRPr="00FA1A19">
        <w:t xml:space="preserve">The Board </w:t>
      </w:r>
      <w:r w:rsidR="00E334BD" w:rsidRPr="00FA1A19">
        <w:t xml:space="preserve">also </w:t>
      </w:r>
      <w:r w:rsidRPr="00FA1A19">
        <w:t xml:space="preserve">notes that the tax policy proposals referred to in this </w:t>
      </w:r>
      <w:r w:rsidR="002C78F7" w:rsidRPr="00FA1A19">
        <w:t>c</w:t>
      </w:r>
      <w:r w:rsidR="0037192B" w:rsidRPr="00FA1A19">
        <w:t>hapter</w:t>
      </w:r>
      <w:r w:rsidRPr="00FA1A19">
        <w:t xml:space="preserve"> have </w:t>
      </w:r>
      <w:r w:rsidR="008D1595" w:rsidRPr="00FA1A19">
        <w:t xml:space="preserve">been </w:t>
      </w:r>
      <w:r w:rsidR="00561DB7" w:rsidRPr="00FA1A19">
        <w:t>discussed</w:t>
      </w:r>
      <w:r w:rsidR="00FA4618" w:rsidRPr="00FA1A19">
        <w:t xml:space="preserve"> during the Review</w:t>
      </w:r>
      <w:r w:rsidR="00561DB7" w:rsidRPr="00FA1A19">
        <w:t xml:space="preserve"> at a high level</w:t>
      </w:r>
      <w:r w:rsidR="00D41C09">
        <w:t>,</w:t>
      </w:r>
      <w:r w:rsidR="00561DB7" w:rsidRPr="00FA1A19">
        <w:t xml:space="preserve"> but have not </w:t>
      </w:r>
      <w:r w:rsidRPr="00FA1A19">
        <w:t xml:space="preserve">been subject to </w:t>
      </w:r>
      <w:r w:rsidR="00790698" w:rsidRPr="00FA1A19">
        <w:t xml:space="preserve">the detailed </w:t>
      </w:r>
      <w:r w:rsidRPr="00FA1A19">
        <w:t xml:space="preserve">review and assessment </w:t>
      </w:r>
      <w:r w:rsidR="00790698" w:rsidRPr="00FA1A19">
        <w:t xml:space="preserve">necessary </w:t>
      </w:r>
      <w:r w:rsidRPr="00FA1A19">
        <w:t xml:space="preserve">to understand the implications that they may have on the crypto asset community and how they may align with </w:t>
      </w:r>
      <w:r w:rsidR="00D50A7B" w:rsidRPr="00FA1A19">
        <w:t xml:space="preserve">the remainder of the tax system and </w:t>
      </w:r>
      <w:r w:rsidR="00FB6C7F">
        <w:t>g</w:t>
      </w:r>
      <w:r w:rsidR="00FB6C7F" w:rsidRPr="00FA1A19">
        <w:t xml:space="preserve">overnment </w:t>
      </w:r>
      <w:r w:rsidRPr="00FA1A19">
        <w:t xml:space="preserve">policy objectives. </w:t>
      </w:r>
      <w:r w:rsidR="00202E98" w:rsidRPr="00FA1A19">
        <w:t xml:space="preserve">Should the Government wish to consider any of these </w:t>
      </w:r>
      <w:r w:rsidR="00E334BD" w:rsidRPr="00FA1A19">
        <w:t>proposals</w:t>
      </w:r>
      <w:r w:rsidR="00202E98" w:rsidRPr="00FA1A19">
        <w:t xml:space="preserve"> further, </w:t>
      </w:r>
      <w:r w:rsidR="00FF7EB4" w:rsidRPr="00FA1A19">
        <w:t xml:space="preserve">a </w:t>
      </w:r>
      <w:r w:rsidRPr="00FA1A19">
        <w:t xml:space="preserve">detailed assessment </w:t>
      </w:r>
      <w:r w:rsidR="00FF7EB4" w:rsidRPr="00FA1A19">
        <w:t xml:space="preserve">of the </w:t>
      </w:r>
      <w:r w:rsidR="00790698" w:rsidRPr="00FA1A19">
        <w:t xml:space="preserve">relevant </w:t>
      </w:r>
      <w:r w:rsidR="00FF7EB4" w:rsidRPr="00FA1A19">
        <w:t>proposal would be required</w:t>
      </w:r>
      <w:r w:rsidRPr="00FA1A19">
        <w:t>, including further consultation with key stakeholders.</w:t>
      </w:r>
    </w:p>
    <w:p w14:paraId="0975448E" w14:textId="1B918E25" w:rsidR="00F91CF3" w:rsidRPr="00FA1A19" w:rsidRDefault="00F24D1D" w:rsidP="00BB4610">
      <w:r w:rsidRPr="00FA1A19">
        <w:t xml:space="preserve">One of the key issues that the Board </w:t>
      </w:r>
      <w:r w:rsidR="009172C4" w:rsidRPr="00FA1A19">
        <w:t xml:space="preserve">perceives </w:t>
      </w:r>
      <w:r w:rsidRPr="00FA1A19">
        <w:t>with the reform proposals set out below is the need to define the crypto assets that will be subject to any new regime.</w:t>
      </w:r>
      <w:r w:rsidR="004F0A51" w:rsidRPr="00FA1A19">
        <w:t xml:space="preserve"> </w:t>
      </w:r>
      <w:r w:rsidRPr="00FA1A19">
        <w:t xml:space="preserve">In </w:t>
      </w:r>
      <w:r w:rsidR="00372633">
        <w:t>Chapter </w:t>
      </w:r>
      <w:r w:rsidRPr="00FA1A19">
        <w:t xml:space="preserve">12, the Board </w:t>
      </w:r>
      <w:r w:rsidR="00E53033" w:rsidRPr="00FA1A19">
        <w:t xml:space="preserve">detailed its </w:t>
      </w:r>
      <w:r w:rsidRPr="00FA1A19">
        <w:t>engage</w:t>
      </w:r>
      <w:r w:rsidR="00E53033" w:rsidRPr="00FA1A19">
        <w:t>ment</w:t>
      </w:r>
      <w:r w:rsidRPr="00FA1A19">
        <w:t xml:space="preserve"> with international Revenue authorities in </w:t>
      </w:r>
      <w:r w:rsidR="00652F6C" w:rsidRPr="00FA1A19">
        <w:t xml:space="preserve">Canada, </w:t>
      </w:r>
      <w:r w:rsidR="00D44290">
        <w:t>NZ</w:t>
      </w:r>
      <w:r w:rsidR="00652F6C" w:rsidRPr="00FA1A19">
        <w:t xml:space="preserve">, </w:t>
      </w:r>
      <w:r w:rsidR="006B438B" w:rsidRPr="00FA1A19">
        <w:t>Singapore</w:t>
      </w:r>
      <w:r w:rsidR="006B438B">
        <w:t>,</w:t>
      </w:r>
      <w:r w:rsidR="006B438B" w:rsidRPr="00FA1A19">
        <w:t xml:space="preserve"> </w:t>
      </w:r>
      <w:r w:rsidR="00652F6C" w:rsidRPr="00FA1A19">
        <w:t>UK</w:t>
      </w:r>
      <w:r w:rsidR="006B438B">
        <w:t xml:space="preserve"> and</w:t>
      </w:r>
      <w:r w:rsidR="00652F6C" w:rsidRPr="00FA1A19">
        <w:t xml:space="preserve"> US.</w:t>
      </w:r>
      <w:r w:rsidRPr="00FA1A19">
        <w:t xml:space="preserve"> One of the challenges identified </w:t>
      </w:r>
      <w:r w:rsidR="008B3A68" w:rsidRPr="00FA1A19">
        <w:t>by</w:t>
      </w:r>
      <w:r w:rsidRPr="00FA1A19">
        <w:t xml:space="preserve"> most of these Revenue authorities </w:t>
      </w:r>
      <w:r w:rsidR="008B3A68" w:rsidRPr="00FA1A19">
        <w:t xml:space="preserve">was </w:t>
      </w:r>
      <w:r w:rsidR="00EB0BDD" w:rsidRPr="00FA1A19">
        <w:t xml:space="preserve">the need for consistency </w:t>
      </w:r>
      <w:r w:rsidR="00E03D61" w:rsidRPr="00FA1A19">
        <w:t xml:space="preserve">and guidance on </w:t>
      </w:r>
      <w:r w:rsidRPr="00FA1A19">
        <w:t xml:space="preserve">proposed definitions. </w:t>
      </w:r>
      <w:r w:rsidR="00366FCB" w:rsidRPr="00FA1A19">
        <w:t>This</w:t>
      </w:r>
      <w:r w:rsidR="00A454D7" w:rsidRPr="00FA1A19">
        <w:t xml:space="preserve"> issue would be compounded by the staticity of </w:t>
      </w:r>
      <w:r w:rsidR="007318DE" w:rsidRPr="00FA1A19">
        <w:t>such</w:t>
      </w:r>
      <w:r w:rsidR="00AD5726" w:rsidRPr="00FA1A19">
        <w:t xml:space="preserve"> </w:t>
      </w:r>
      <w:r w:rsidRPr="00FA1A19">
        <w:t>definition</w:t>
      </w:r>
      <w:r w:rsidR="007318DE" w:rsidRPr="00FA1A19">
        <w:t>, as it</w:t>
      </w:r>
      <w:r w:rsidRPr="00FA1A19">
        <w:t xml:space="preserve"> would </w:t>
      </w:r>
      <w:r w:rsidR="005F01AC" w:rsidRPr="00FA1A19">
        <w:t xml:space="preserve">need to </w:t>
      </w:r>
      <w:r w:rsidRPr="00FA1A19">
        <w:t xml:space="preserve">adapt to changes in crypto assets over time. The Board sees this as a particular issue given the rapid ongoing development of </w:t>
      </w:r>
      <w:r w:rsidR="00597F30" w:rsidRPr="00FA1A19">
        <w:t xml:space="preserve">assets and </w:t>
      </w:r>
      <w:r w:rsidRPr="00FA1A19">
        <w:t>transactions in this area.</w:t>
      </w:r>
    </w:p>
    <w:p w14:paraId="791F2C47" w14:textId="4697517F" w:rsidR="00097DBB" w:rsidRPr="00FA1A19" w:rsidRDefault="00097DBB" w:rsidP="00BB4610">
      <w:r>
        <w:t>A further key issue that the Government will need to conside</w:t>
      </w:r>
      <w:r w:rsidR="003C4121">
        <w:t xml:space="preserve">r is how any reform may apply to existing assets held, including the prospective versus retrospective application of any new legislation. </w:t>
      </w:r>
    </w:p>
    <w:p w14:paraId="0DD17D98" w14:textId="34F1D839" w:rsidR="002F5A60" w:rsidRPr="00FA1A19" w:rsidRDefault="00C36EA4" w:rsidP="00BB4610">
      <w:r w:rsidRPr="00FA1A19">
        <w:t>The first section of this chapter considers potential crypto</w:t>
      </w:r>
      <w:r w:rsidR="00F75232">
        <w:noBreakHyphen/>
      </w:r>
      <w:r w:rsidRPr="00FA1A19">
        <w:t>specific income tax regimes</w:t>
      </w:r>
      <w:r w:rsidR="00AA15A5">
        <w:t>;</w:t>
      </w:r>
      <w:r w:rsidRPr="00FA1A19">
        <w:t xml:space="preserve"> and the second section considers potential crypto</w:t>
      </w:r>
      <w:r w:rsidR="00F75232">
        <w:noBreakHyphen/>
      </w:r>
      <w:r w:rsidRPr="00FA1A19">
        <w:t>specific indirect tax regimes.</w:t>
      </w:r>
      <w:r w:rsidR="004F0A51" w:rsidRPr="00FA1A19">
        <w:t xml:space="preserve"> </w:t>
      </w:r>
      <w:r w:rsidR="002F5A60" w:rsidRPr="00FA1A19">
        <w:t xml:space="preserve">The final section of this chapter </w:t>
      </w:r>
      <w:r w:rsidR="00C65621" w:rsidRPr="00FA1A19">
        <w:t xml:space="preserve">builds on the explanations in </w:t>
      </w:r>
      <w:r w:rsidR="00372633">
        <w:t>Chapter </w:t>
      </w:r>
      <w:r w:rsidR="00C65621" w:rsidRPr="00FA1A19">
        <w:t>3 of</w:t>
      </w:r>
      <w:r w:rsidR="002F5A60" w:rsidRPr="00FA1A19">
        <w:t xml:space="preserve"> </w:t>
      </w:r>
      <w:r w:rsidR="00830E7B" w:rsidRPr="00FA1A19">
        <w:t>the fast</w:t>
      </w:r>
      <w:r w:rsidR="00F75232">
        <w:noBreakHyphen/>
      </w:r>
      <w:r w:rsidR="00830E7B" w:rsidRPr="00FA1A19">
        <w:t xml:space="preserve">growing areas of </w:t>
      </w:r>
      <w:r w:rsidR="000B134D" w:rsidRPr="00FA1A19">
        <w:t>DAOs, DeFi, GameFi</w:t>
      </w:r>
      <w:r w:rsidR="000B134D">
        <w:t xml:space="preserve"> </w:t>
      </w:r>
      <w:r w:rsidR="000B134D" w:rsidRPr="00FA1A19">
        <w:t xml:space="preserve">and NFTs, </w:t>
      </w:r>
      <w:r w:rsidR="00DD5802" w:rsidRPr="00FA1A19">
        <w:t xml:space="preserve">identifies some issues in relation to these, </w:t>
      </w:r>
      <w:r w:rsidR="00830E7B" w:rsidRPr="00FA1A19">
        <w:t>and proposes that the</w:t>
      </w:r>
      <w:r w:rsidR="00506B9C" w:rsidRPr="00FA1A19">
        <w:t xml:space="preserve"> </w:t>
      </w:r>
      <w:r w:rsidR="00830E7B" w:rsidRPr="00FA1A19">
        <w:t>Government continue to monitor and review these areas to determine whether they may require specific taxation measures in the future.</w:t>
      </w:r>
    </w:p>
    <w:p w14:paraId="075CB6E7" w14:textId="197E615C" w:rsidR="001E05B2" w:rsidRPr="00FA1A19" w:rsidRDefault="00E824D7" w:rsidP="0069352C">
      <w:pPr>
        <w:pStyle w:val="Heading2"/>
      </w:pPr>
      <w:bookmarkStart w:id="163" w:name="_Toc159513644"/>
      <w:r w:rsidRPr="00FA1A19">
        <w:t>Potential crypto</w:t>
      </w:r>
      <w:r w:rsidR="00F75232">
        <w:noBreakHyphen/>
      </w:r>
      <w:r w:rsidRPr="00FA1A19">
        <w:t>specific income tax regimes</w:t>
      </w:r>
      <w:bookmarkEnd w:id="163"/>
    </w:p>
    <w:p w14:paraId="37CCA40C" w14:textId="02F6C319" w:rsidR="00ED4E9C" w:rsidRPr="00FA1A19" w:rsidRDefault="00ED4E9C" w:rsidP="00ED4E9C">
      <w:r w:rsidRPr="00FA1A19">
        <w:t xml:space="preserve">This first section of this chapter considers the following potential </w:t>
      </w:r>
      <w:r w:rsidR="000D367F" w:rsidRPr="00FA1A19">
        <w:t xml:space="preserve">options for </w:t>
      </w:r>
      <w:r w:rsidRPr="00FA1A19">
        <w:t xml:space="preserve">legislative regimes dealing with </w:t>
      </w:r>
      <w:r w:rsidR="000D367F" w:rsidRPr="00FA1A19">
        <w:t xml:space="preserve">crypto and </w:t>
      </w:r>
      <w:r w:rsidRPr="00FA1A19">
        <w:t>income tax.</w:t>
      </w:r>
      <w:r w:rsidR="004F0A51" w:rsidRPr="00FA1A19">
        <w:t xml:space="preserve"> </w:t>
      </w:r>
      <w:r w:rsidRPr="00FA1A19">
        <w:t>These are:</w:t>
      </w:r>
    </w:p>
    <w:p w14:paraId="40BE2226" w14:textId="7525D720" w:rsidR="00ED4E9C" w:rsidRPr="00FA1A19" w:rsidRDefault="00ED4E9C" w:rsidP="00797B8A">
      <w:pPr>
        <w:pStyle w:val="Bullet"/>
      </w:pPr>
      <w:r w:rsidRPr="00FA1A19">
        <w:t xml:space="preserve">Low </w:t>
      </w:r>
      <w:r w:rsidR="00061020">
        <w:t>b</w:t>
      </w:r>
      <w:r w:rsidRPr="00FA1A19">
        <w:t xml:space="preserve">alance </w:t>
      </w:r>
      <w:r w:rsidR="00061020">
        <w:t>e</w:t>
      </w:r>
      <w:r w:rsidRPr="00FA1A19">
        <w:t>lection</w:t>
      </w:r>
    </w:p>
    <w:p w14:paraId="5930D1B6" w14:textId="0CEA3453" w:rsidR="00ED4E9C" w:rsidRPr="00FA1A19" w:rsidRDefault="00ED4E9C" w:rsidP="00797B8A">
      <w:pPr>
        <w:pStyle w:val="Bullet"/>
      </w:pPr>
      <w:r w:rsidRPr="00FA1A19">
        <w:t xml:space="preserve">Default </w:t>
      </w:r>
      <w:r w:rsidR="00061020">
        <w:t>r</w:t>
      </w:r>
      <w:r w:rsidRPr="00FA1A19">
        <w:t xml:space="preserve">evenue or </w:t>
      </w:r>
      <w:r w:rsidR="00061020">
        <w:t>c</w:t>
      </w:r>
      <w:r w:rsidRPr="00FA1A19">
        <w:t xml:space="preserve">apital </w:t>
      </w:r>
      <w:r w:rsidR="00061020">
        <w:t>t</w:t>
      </w:r>
      <w:r w:rsidRPr="00FA1A19">
        <w:t>reatment</w:t>
      </w:r>
    </w:p>
    <w:p w14:paraId="40EA1F04" w14:textId="34BD084D" w:rsidR="00ED4E9C" w:rsidRPr="00FA1A19" w:rsidRDefault="00ED4E9C" w:rsidP="00797B8A">
      <w:pPr>
        <w:pStyle w:val="Bullet"/>
      </w:pPr>
      <w:r w:rsidRPr="00FA1A19">
        <w:t>Taxing point only at time of conversion to fiat currency</w:t>
      </w:r>
    </w:p>
    <w:p w14:paraId="70B4A581" w14:textId="77777777" w:rsidR="00ED4E9C" w:rsidRPr="00FA1A19" w:rsidRDefault="00ED4E9C" w:rsidP="00797B8A">
      <w:pPr>
        <w:pStyle w:val="Bullet"/>
      </w:pPr>
      <w:r w:rsidRPr="00FA1A19">
        <w:t>Mark to market and fiat conversion.</w:t>
      </w:r>
    </w:p>
    <w:p w14:paraId="7E6B2F0B" w14:textId="2FFA5136" w:rsidR="002B5488" w:rsidRPr="00FA1A19" w:rsidRDefault="002B5488" w:rsidP="002B5488">
      <w:r w:rsidRPr="00FA1A19">
        <w:t xml:space="preserve">The Board notes that these options are not all mutually exclusive: for example, the low balance election could be combined with any of the other </w:t>
      </w:r>
      <w:r w:rsidR="000D367F" w:rsidRPr="00FA1A19">
        <w:t>options</w:t>
      </w:r>
      <w:r w:rsidRPr="00FA1A19">
        <w:t>.</w:t>
      </w:r>
    </w:p>
    <w:p w14:paraId="598D17D5" w14:textId="7ECFD700" w:rsidR="00F24D1D" w:rsidRPr="00FA1A19" w:rsidRDefault="004B21BB" w:rsidP="00797B8A">
      <w:pPr>
        <w:pStyle w:val="Heading3"/>
      </w:pPr>
      <w:r w:rsidRPr="00FA1A19">
        <w:t xml:space="preserve">Option 1: </w:t>
      </w:r>
      <w:r w:rsidR="00F24D1D" w:rsidRPr="00797B8A">
        <w:t>Low</w:t>
      </w:r>
      <w:r w:rsidR="00F24D1D" w:rsidRPr="00FA1A19">
        <w:t xml:space="preserve"> balance election</w:t>
      </w:r>
    </w:p>
    <w:p w14:paraId="14D834FA" w14:textId="2CA99D27" w:rsidR="00F24D1D" w:rsidRPr="00FA1A19" w:rsidRDefault="00F24D1D">
      <w:r w:rsidRPr="00FA1A19">
        <w:t xml:space="preserve">As crypto assets increase in popularity and their functionality and usage extends across a variety of activities, many people undertake minor crypto transactions, holding and utilising small balances of crypto assets throughout the year. </w:t>
      </w:r>
    </w:p>
    <w:p w14:paraId="45751231" w14:textId="781A309C" w:rsidR="00F24D1D" w:rsidRPr="00FA1A19" w:rsidRDefault="00F24D1D">
      <w:r w:rsidRPr="00FA1A19">
        <w:t>The Board has</w:t>
      </w:r>
      <w:r w:rsidRPr="00FA1A19" w:rsidDel="00E537D4">
        <w:t xml:space="preserve"> </w:t>
      </w:r>
      <w:r w:rsidR="00E537D4" w:rsidRPr="00FA1A19">
        <w:t xml:space="preserve">considered </w:t>
      </w:r>
      <w:r w:rsidRPr="00FA1A19">
        <w:t xml:space="preserve">the demographics of crypto asset users throughout the Report and highlighted the importance of establishing positive engagement with the tax system for these taxpayers, many of whom </w:t>
      </w:r>
      <w:r w:rsidR="006C0E17" w:rsidRPr="00FA1A19">
        <w:t xml:space="preserve">may </w:t>
      </w:r>
      <w:r w:rsidRPr="00FA1A19">
        <w:t xml:space="preserve">be engaging with the tax system outside of basic salary and wages obligations for the first time. Additionally, the Board has noted </w:t>
      </w:r>
      <w:r w:rsidR="006C0E17" w:rsidRPr="00FA1A19">
        <w:t xml:space="preserve">that </w:t>
      </w:r>
      <w:r w:rsidRPr="00FA1A19">
        <w:t xml:space="preserve">the </w:t>
      </w:r>
      <w:r w:rsidR="006C0E17" w:rsidRPr="00FA1A19">
        <w:t xml:space="preserve">high </w:t>
      </w:r>
      <w:r w:rsidRPr="00FA1A19">
        <w:t>cost of tax advice and compliance in the crypto asset space is often disproportionate to the tax obligation</w:t>
      </w:r>
      <w:r w:rsidR="002461DD" w:rsidRPr="00FA1A19">
        <w:t xml:space="preserve"> concerned</w:t>
      </w:r>
      <w:r w:rsidRPr="00FA1A19">
        <w:t xml:space="preserve">. </w:t>
      </w:r>
    </w:p>
    <w:p w14:paraId="3747C48F" w14:textId="50292D2C" w:rsidR="00F24D1D" w:rsidRPr="00FA1A19" w:rsidRDefault="00F24D1D">
      <w:r w:rsidRPr="00FA1A19">
        <w:t xml:space="preserve">To address this complexity and high compliance cost, several stakeholders have proposed that the </w:t>
      </w:r>
      <w:r w:rsidR="002461DD" w:rsidRPr="00FA1A19">
        <w:t xml:space="preserve">Government </w:t>
      </w:r>
      <w:r w:rsidRPr="00FA1A19">
        <w:t>should consider the use of a low balance election, to exempt</w:t>
      </w:r>
      <w:r w:rsidR="002461DD" w:rsidRPr="00FA1A19">
        <w:t xml:space="preserve"> </w:t>
      </w:r>
      <w:r w:rsidRPr="00FA1A19">
        <w:t xml:space="preserve">taxpayers with a small balance of crypto assets or value of crypto asset transactions </w:t>
      </w:r>
      <w:r w:rsidR="00631D7A" w:rsidRPr="00FA1A19">
        <w:t xml:space="preserve">throughout the reporting period </w:t>
      </w:r>
      <w:r w:rsidRPr="00FA1A19">
        <w:t xml:space="preserve">from </w:t>
      </w:r>
      <w:r w:rsidR="00631D7A" w:rsidRPr="00FA1A19">
        <w:t xml:space="preserve">the </w:t>
      </w:r>
      <w:r w:rsidRPr="00FA1A19">
        <w:t>obligation</w:t>
      </w:r>
      <w:r w:rsidR="00631D7A" w:rsidRPr="00FA1A19">
        <w:t xml:space="preserve"> to declare such transactions</w:t>
      </w:r>
      <w:r w:rsidRPr="00FA1A19">
        <w:t>.</w:t>
      </w:r>
      <w:r w:rsidRPr="00170ADC">
        <w:rPr>
          <w:rStyle w:val="FootnoteReference"/>
        </w:rPr>
        <w:footnoteReference w:id="674"/>
      </w:r>
    </w:p>
    <w:p w14:paraId="574C64DC" w14:textId="77777777" w:rsidR="00F24D1D" w:rsidRPr="00FA1A19" w:rsidRDefault="00F24D1D">
      <w:r w:rsidRPr="00FA1A19">
        <w:t>The proposal raises a number of key issues, including:</w:t>
      </w:r>
    </w:p>
    <w:p w14:paraId="28C62DA1" w14:textId="0B623918" w:rsidR="00F24D1D" w:rsidRPr="00FA1A19" w:rsidRDefault="003F79E5" w:rsidP="00797B8A">
      <w:pPr>
        <w:pStyle w:val="Bullet"/>
      </w:pPr>
      <w:r w:rsidRPr="00FA1A19">
        <w:t xml:space="preserve">the </w:t>
      </w:r>
      <w:r w:rsidR="00F24D1D" w:rsidRPr="00FA1A19">
        <w:t>identification of the crypto assets and /or the class of taxpayers to which the low balance rule would apply</w:t>
      </w:r>
    </w:p>
    <w:p w14:paraId="23D14EB2" w14:textId="10E4D36E" w:rsidR="00524133" w:rsidRPr="00FA1A19" w:rsidRDefault="003F79E5" w:rsidP="00797B8A">
      <w:pPr>
        <w:pStyle w:val="Bullet"/>
      </w:pPr>
      <w:r w:rsidRPr="00FA1A19">
        <w:t xml:space="preserve">whether </w:t>
      </w:r>
      <w:r w:rsidR="00F24D1D" w:rsidRPr="00FA1A19">
        <w:t xml:space="preserve">the low balance rule </w:t>
      </w:r>
      <w:r w:rsidR="00F21A3A">
        <w:t>would be</w:t>
      </w:r>
      <w:r w:rsidR="00F21A3A" w:rsidRPr="00FA1A19">
        <w:t xml:space="preserve"> </w:t>
      </w:r>
      <w:r w:rsidR="00F24D1D" w:rsidRPr="00FA1A19">
        <w:t>elective or prescriptive</w:t>
      </w:r>
    </w:p>
    <w:p w14:paraId="55D14DEE" w14:textId="68C5A963" w:rsidR="00F24D1D" w:rsidRPr="00FA1A19" w:rsidRDefault="003F79E5" w:rsidP="00797B8A">
      <w:pPr>
        <w:pStyle w:val="Bullet"/>
      </w:pPr>
      <w:r w:rsidRPr="00FA1A19">
        <w:t>h</w:t>
      </w:r>
      <w:r w:rsidR="00524133" w:rsidRPr="00FA1A19">
        <w:t>ow losses would be treated</w:t>
      </w:r>
    </w:p>
    <w:p w14:paraId="59A7987F" w14:textId="0DD401FF" w:rsidR="00F24D1D" w:rsidRPr="00FA1A19" w:rsidRDefault="003F79E5" w:rsidP="00797B8A">
      <w:pPr>
        <w:pStyle w:val="Bullet"/>
      </w:pPr>
      <w:r w:rsidRPr="00FA1A19">
        <w:t xml:space="preserve">at </w:t>
      </w:r>
      <w:r w:rsidR="00F24D1D" w:rsidRPr="00FA1A19">
        <w:t xml:space="preserve">what level </w:t>
      </w:r>
      <w:r w:rsidR="00493BBE" w:rsidRPr="00FA1A19">
        <w:t xml:space="preserve">any </w:t>
      </w:r>
      <w:r w:rsidR="00F24D1D" w:rsidRPr="00FA1A19">
        <w:t xml:space="preserve">low balance election </w:t>
      </w:r>
      <w:r w:rsidR="00493BBE" w:rsidRPr="00FA1A19">
        <w:t xml:space="preserve">should </w:t>
      </w:r>
      <w:r w:rsidR="00F24D1D" w:rsidRPr="00FA1A19">
        <w:t>be set</w:t>
      </w:r>
      <w:r w:rsidR="00493BBE" w:rsidRPr="00FA1A19">
        <w:t>.</w:t>
      </w:r>
    </w:p>
    <w:p w14:paraId="09EB2F1D" w14:textId="419494AB" w:rsidR="00F24D1D" w:rsidRPr="00FA1A19" w:rsidRDefault="00F24D1D">
      <w:r w:rsidRPr="00FA1A19">
        <w:t xml:space="preserve">Some international jurisdictions have implemented a low balance election specifically for virtual or crypto assets: </w:t>
      </w:r>
    </w:p>
    <w:p w14:paraId="1E7B28FB" w14:textId="2EDB949E" w:rsidR="00F24D1D" w:rsidRPr="00A903F3" w:rsidRDefault="00F24D1D" w:rsidP="00797B8A">
      <w:pPr>
        <w:pStyle w:val="Bullet"/>
        <w:rPr>
          <w:rStyle w:val="Strong"/>
        </w:rPr>
      </w:pPr>
      <w:r w:rsidRPr="00A903F3">
        <w:rPr>
          <w:rStyle w:val="Strong"/>
        </w:rPr>
        <w:t>Germany</w:t>
      </w:r>
    </w:p>
    <w:p w14:paraId="75DFD68F" w14:textId="6DF45C28" w:rsidR="00F24D1D" w:rsidRPr="00FA1A19" w:rsidRDefault="00F24D1D" w:rsidP="00EE60B2">
      <w:pPr>
        <w:pStyle w:val="NormalIndent"/>
      </w:pPr>
      <w:r w:rsidRPr="00FA1A19">
        <w:t>Private investors are entitled to an exemption provided that crypto assets are held for more than one year. For short term gains</w:t>
      </w:r>
      <w:r w:rsidR="00433304">
        <w:t>,</w:t>
      </w:r>
      <w:r w:rsidRPr="00FA1A19">
        <w:t xml:space="preserve"> the exemption is limited to </w:t>
      </w:r>
      <w:r w:rsidRPr="00FA1A19">
        <w:rPr>
          <w:rFonts w:cs="Calibri"/>
        </w:rPr>
        <w:t>€</w:t>
      </w:r>
      <w:r w:rsidRPr="00FA1A19">
        <w:t>600.</w:t>
      </w:r>
      <w:r w:rsidRPr="00170ADC">
        <w:rPr>
          <w:rStyle w:val="FootnoteReference"/>
        </w:rPr>
        <w:footnoteReference w:id="675"/>
      </w:r>
      <w:r w:rsidRPr="00FA1A19">
        <w:t xml:space="preserve"> </w:t>
      </w:r>
    </w:p>
    <w:p w14:paraId="08EDD9C8" w14:textId="77777777" w:rsidR="00F24D1D" w:rsidRPr="00A903F3" w:rsidRDefault="00F24D1D" w:rsidP="00797B8A">
      <w:pPr>
        <w:pStyle w:val="Bullet"/>
        <w:rPr>
          <w:rStyle w:val="Strong"/>
        </w:rPr>
      </w:pPr>
      <w:r w:rsidRPr="00A903F3">
        <w:rPr>
          <w:rStyle w:val="Strong"/>
        </w:rPr>
        <w:t>Italy</w:t>
      </w:r>
    </w:p>
    <w:p w14:paraId="27C878F7" w14:textId="31BDAED9" w:rsidR="00F24D1D" w:rsidRPr="00FA1A19" w:rsidRDefault="00F24D1D" w:rsidP="00EE60B2">
      <w:pPr>
        <w:pStyle w:val="NormalIndent"/>
      </w:pPr>
      <w:r w:rsidRPr="00FA1A19">
        <w:t xml:space="preserve">Previously </w:t>
      </w:r>
      <w:r w:rsidR="00CF4A9A">
        <w:t xml:space="preserve">tax was </w:t>
      </w:r>
      <w:r w:rsidRPr="00FA1A19">
        <w:t>only levied tax on cryptocurrency where the portfolio value was over approximately €51,000 however following the 2023 budget capital gains tax is now payable on any crypto asset gains over €2,000.</w:t>
      </w:r>
      <w:r w:rsidRPr="00170ADC">
        <w:rPr>
          <w:rStyle w:val="FootnoteReference"/>
        </w:rPr>
        <w:footnoteReference w:id="676"/>
      </w:r>
    </w:p>
    <w:p w14:paraId="50D5751F" w14:textId="77777777" w:rsidR="00F24D1D" w:rsidRPr="00A903F3" w:rsidRDefault="00F24D1D" w:rsidP="00797B8A">
      <w:pPr>
        <w:pStyle w:val="Bullet"/>
        <w:rPr>
          <w:rStyle w:val="Strong"/>
        </w:rPr>
      </w:pPr>
      <w:r w:rsidRPr="00A903F3">
        <w:rPr>
          <w:rStyle w:val="Strong"/>
        </w:rPr>
        <w:t>Portugal</w:t>
      </w:r>
    </w:p>
    <w:p w14:paraId="27FAF47D" w14:textId="77777777" w:rsidR="00F24D1D" w:rsidRPr="00FA1A19" w:rsidRDefault="00F24D1D" w:rsidP="00EE60B2">
      <w:pPr>
        <w:pStyle w:val="NormalIndent"/>
      </w:pPr>
      <w:r w:rsidRPr="00FA1A19">
        <w:t>Exempts crypto assets held for more than a year from capital gains tax, with tax applicable to short term gains.</w:t>
      </w:r>
      <w:r w:rsidRPr="00170ADC">
        <w:rPr>
          <w:rStyle w:val="FootnoteReference"/>
        </w:rPr>
        <w:footnoteReference w:id="677"/>
      </w:r>
    </w:p>
    <w:p w14:paraId="59BEB63C" w14:textId="77777777" w:rsidR="00F24D1D" w:rsidRPr="00A903F3" w:rsidRDefault="00F24D1D" w:rsidP="00797B8A">
      <w:pPr>
        <w:pStyle w:val="Bullet"/>
        <w:rPr>
          <w:rStyle w:val="Strong"/>
        </w:rPr>
      </w:pPr>
      <w:r w:rsidRPr="00A903F3">
        <w:rPr>
          <w:rStyle w:val="Strong"/>
        </w:rPr>
        <w:t>United States</w:t>
      </w:r>
    </w:p>
    <w:p w14:paraId="0461FCAF" w14:textId="49208323" w:rsidR="00F24D1D" w:rsidRPr="00FA1A19" w:rsidRDefault="00F24D1D" w:rsidP="00EE60B2">
      <w:pPr>
        <w:pStyle w:val="NormalIndent"/>
      </w:pPr>
      <w:r w:rsidRPr="00FA1A19">
        <w:t xml:space="preserve">Under the proposed </w:t>
      </w:r>
      <w:r w:rsidRPr="00813896">
        <w:rPr>
          <w:rStyle w:val="Emphasis"/>
        </w:rPr>
        <w:t xml:space="preserve">Responsible Financial Innovation Act, </w:t>
      </w:r>
      <w:r w:rsidRPr="00FA1A19">
        <w:t>gains or losses from the sale or exchange of virtual currency in a personal transaction for goods or services, will be exempt from income tax up to a limit of US</w:t>
      </w:r>
      <w:r w:rsidR="004916D0">
        <w:t xml:space="preserve">D </w:t>
      </w:r>
      <w:r w:rsidRPr="00FA1A19">
        <w:t>200.</w:t>
      </w:r>
    </w:p>
    <w:p w14:paraId="3E2773BB" w14:textId="2E1D964F" w:rsidR="00F24D1D" w:rsidRPr="00FA1A19" w:rsidRDefault="00F24D1D">
      <w:r w:rsidRPr="00FA1A19">
        <w:t>The following table provides a high</w:t>
      </w:r>
      <w:r w:rsidR="00F75232">
        <w:noBreakHyphen/>
      </w:r>
      <w:r w:rsidRPr="00FA1A19">
        <w:t xml:space="preserve">level overview of </w:t>
      </w:r>
      <w:r w:rsidR="008511D0" w:rsidRPr="00FA1A19">
        <w:t xml:space="preserve">some </w:t>
      </w:r>
      <w:r w:rsidRPr="00FA1A19">
        <w:t>relevant areas that would need to be considered in exploring a low balance exemption.</w:t>
      </w:r>
      <w:r w:rsidR="004F0A51" w:rsidRPr="00FA1A19">
        <w:t xml:space="preserve"> </w:t>
      </w:r>
    </w:p>
    <w:p w14:paraId="49C6A21D" w14:textId="259D8777" w:rsidR="00F24D1D" w:rsidRPr="00FA1A19" w:rsidRDefault="00F24D1D" w:rsidP="00797B8A">
      <w:pPr>
        <w:pStyle w:val="SingleParagraph"/>
      </w:pPr>
    </w:p>
    <w:tbl>
      <w:tblPr>
        <w:tblStyle w:val="ListTable3-Accent1"/>
        <w:tblW w:w="5000" w:type="pct"/>
        <w:tblBorders>
          <w:insideV w:val="single" w:sz="4" w:space="0" w:color="142147" w:themeColor="accent1"/>
        </w:tblBorders>
        <w:tblLook w:val="0620" w:firstRow="1" w:lastRow="0" w:firstColumn="0" w:lastColumn="0" w:noHBand="1" w:noVBand="1"/>
      </w:tblPr>
      <w:tblGrid>
        <w:gridCol w:w="3210"/>
        <w:gridCol w:w="3210"/>
        <w:gridCol w:w="3211"/>
      </w:tblGrid>
      <w:tr w:rsidR="00F24D1D" w:rsidRPr="00FA1A19" w14:paraId="39C22208" w14:textId="77777777" w:rsidTr="00EB09BD">
        <w:trPr>
          <w:cnfStyle w:val="100000000000" w:firstRow="1" w:lastRow="0" w:firstColumn="0" w:lastColumn="0" w:oddVBand="0" w:evenVBand="0" w:oddHBand="0" w:evenHBand="0" w:firstRowFirstColumn="0" w:firstRowLastColumn="0" w:lastRowFirstColumn="0" w:lastRowLastColumn="0"/>
          <w:tblHeader/>
        </w:trPr>
        <w:tc>
          <w:tcPr>
            <w:tcW w:w="1666" w:type="pct"/>
          </w:tcPr>
          <w:p w14:paraId="644603AE" w14:textId="315BE30A" w:rsidR="00F24D1D" w:rsidRPr="00FA1A19" w:rsidRDefault="00651344" w:rsidP="00797B8A">
            <w:pPr>
              <w:pStyle w:val="TableColumnHeadingLeft"/>
            </w:pPr>
            <w:r w:rsidRPr="00FA1A19">
              <w:t xml:space="preserve">Proposal / </w:t>
            </w:r>
            <w:r>
              <w:t>S</w:t>
            </w:r>
            <w:r w:rsidRPr="00FA1A19">
              <w:t>olution</w:t>
            </w:r>
          </w:p>
        </w:tc>
        <w:tc>
          <w:tcPr>
            <w:tcW w:w="1666" w:type="pct"/>
          </w:tcPr>
          <w:p w14:paraId="6D081F8C" w14:textId="56B6BCA1" w:rsidR="00F24D1D" w:rsidRPr="00FA1A19" w:rsidRDefault="00651344" w:rsidP="00797B8A">
            <w:pPr>
              <w:pStyle w:val="TableColumnHeadingLeft"/>
            </w:pPr>
            <w:r w:rsidRPr="00FA1A19">
              <w:t xml:space="preserve">Perceived rationale </w:t>
            </w:r>
            <w:r w:rsidR="00EB09BD">
              <w:br/>
            </w:r>
            <w:r w:rsidRPr="00FA1A19">
              <w:t>and benefits</w:t>
            </w:r>
          </w:p>
        </w:tc>
        <w:tc>
          <w:tcPr>
            <w:tcW w:w="1667" w:type="pct"/>
          </w:tcPr>
          <w:p w14:paraId="6BAF28EE" w14:textId="3DB11ED7" w:rsidR="00F24D1D" w:rsidRPr="00FA1A19" w:rsidRDefault="00651344" w:rsidP="00797B8A">
            <w:pPr>
              <w:pStyle w:val="TableColumnHeadingLeft"/>
            </w:pPr>
            <w:r w:rsidRPr="00FA1A19">
              <w:t>Preliminary assessment of issues and sensitivities</w:t>
            </w:r>
          </w:p>
        </w:tc>
      </w:tr>
      <w:tr w:rsidR="00F24D1D" w:rsidRPr="00FA1A19" w14:paraId="55066A43" w14:textId="77777777" w:rsidTr="00EB09BD">
        <w:trPr>
          <w:trHeight w:val="1046"/>
        </w:trPr>
        <w:tc>
          <w:tcPr>
            <w:tcW w:w="1666" w:type="pct"/>
            <w:hideMark/>
          </w:tcPr>
          <w:p w14:paraId="67A05236" w14:textId="0BF4B3BD" w:rsidR="00F24D1D" w:rsidRPr="00FA1A19" w:rsidRDefault="00F24D1D" w:rsidP="00797B8A">
            <w:pPr>
              <w:pStyle w:val="TableTextLeft"/>
              <w:rPr>
                <w:b/>
                <w:bCs/>
              </w:rPr>
            </w:pPr>
            <w:r w:rsidRPr="00FA1A19">
              <w:t>Low balance exemption (</w:t>
            </w:r>
            <w:r w:rsidRPr="00F37E87">
              <w:rPr>
                <w:rStyle w:val="Emphasis"/>
              </w:rPr>
              <w:t>de</w:t>
            </w:r>
            <w:r w:rsidR="00F37E87" w:rsidRPr="00F37E87">
              <w:rPr>
                <w:rStyle w:val="Emphasis"/>
              </w:rPr>
              <w:t> </w:t>
            </w:r>
            <w:r w:rsidRPr="00F37E87">
              <w:rPr>
                <w:rStyle w:val="Emphasis"/>
              </w:rPr>
              <w:t>minimis</w:t>
            </w:r>
            <w:r w:rsidRPr="00FA1A19">
              <w:t xml:space="preserve"> rule), </w:t>
            </w:r>
            <w:r w:rsidR="008511D0" w:rsidRPr="00FA1A19">
              <w:t xml:space="preserve">exempting </w:t>
            </w:r>
            <w:r w:rsidRPr="00FA1A19">
              <w:t xml:space="preserve">taxpayers with a small balance or low value of transactions from tax </w:t>
            </w:r>
            <w:r w:rsidR="008511D0" w:rsidRPr="00FA1A19">
              <w:t xml:space="preserve">disclosure </w:t>
            </w:r>
            <w:r w:rsidRPr="00FA1A19">
              <w:t xml:space="preserve">obligations on crypto asset transactions. </w:t>
            </w:r>
          </w:p>
        </w:tc>
        <w:tc>
          <w:tcPr>
            <w:tcW w:w="1666" w:type="pct"/>
            <w:hideMark/>
          </w:tcPr>
          <w:p w14:paraId="0C7EE27F" w14:textId="77777777" w:rsidR="00F24D1D" w:rsidRPr="00FA1A19" w:rsidRDefault="00F24D1D" w:rsidP="00797B8A">
            <w:pPr>
              <w:pStyle w:val="TableTextLeft"/>
            </w:pPr>
            <w:r w:rsidRPr="00FA1A19">
              <w:t>Reduces the compliance burden for taxpayers undertaking minor crypto investments.</w:t>
            </w:r>
          </w:p>
          <w:p w14:paraId="6FB37B34" w14:textId="704EFDD0" w:rsidR="00F24D1D" w:rsidRPr="00FA1A19" w:rsidRDefault="00F24D1D" w:rsidP="00797B8A">
            <w:pPr>
              <w:pStyle w:val="TableTextLeft"/>
            </w:pPr>
            <w:r w:rsidRPr="00FA1A19">
              <w:t xml:space="preserve">Encourages positive engagement with the tax system. </w:t>
            </w:r>
          </w:p>
        </w:tc>
        <w:tc>
          <w:tcPr>
            <w:tcW w:w="1667" w:type="pct"/>
            <w:hideMark/>
          </w:tcPr>
          <w:p w14:paraId="538A6A5B" w14:textId="43DBF7E5" w:rsidR="00F24D1D" w:rsidRPr="00FA1A19" w:rsidRDefault="0080402E" w:rsidP="00797B8A">
            <w:pPr>
              <w:pStyle w:val="TableTextLeft"/>
            </w:pPr>
            <w:r w:rsidRPr="00FA1A19">
              <w:t>C</w:t>
            </w:r>
            <w:r w:rsidR="00F24D1D" w:rsidRPr="00FA1A19">
              <w:t xml:space="preserve">rypto assets </w:t>
            </w:r>
            <w:r w:rsidR="00206CF0" w:rsidRPr="00FA1A19">
              <w:t xml:space="preserve">need to be defined </w:t>
            </w:r>
            <w:r w:rsidRPr="00FA1A19">
              <w:t xml:space="preserve">for the purposes of the </w:t>
            </w:r>
            <w:r w:rsidR="00F24D1D" w:rsidRPr="00FA1A19">
              <w:t>regime</w:t>
            </w:r>
            <w:r w:rsidRPr="00FA1A19">
              <w:t xml:space="preserve">. </w:t>
            </w:r>
            <w:r w:rsidR="00CC148A" w:rsidRPr="00FA1A19">
              <w:t>Additionally</w:t>
            </w:r>
            <w:r w:rsidR="00387504" w:rsidRPr="00FA1A19">
              <w:t>,</w:t>
            </w:r>
            <w:r w:rsidR="00CC148A" w:rsidRPr="00FA1A19">
              <w:t xml:space="preserve"> there may be the need for </w:t>
            </w:r>
            <w:r w:rsidR="00F24D1D" w:rsidRPr="00FA1A19">
              <w:t xml:space="preserve">definitional </w:t>
            </w:r>
            <w:r w:rsidR="00CC148A" w:rsidRPr="00FA1A19">
              <w:t xml:space="preserve">flexibility or </w:t>
            </w:r>
            <w:r w:rsidR="00F24D1D" w:rsidRPr="00FA1A19">
              <w:t>changes over time</w:t>
            </w:r>
            <w:r w:rsidR="00CC148A" w:rsidRPr="00FA1A19">
              <w:t>.</w:t>
            </w:r>
          </w:p>
          <w:p w14:paraId="43DA248D" w14:textId="5F42524A" w:rsidR="00F24D1D" w:rsidRPr="00FA1A19" w:rsidRDefault="00F24D1D" w:rsidP="00797B8A">
            <w:pPr>
              <w:pStyle w:val="TableTextLeft"/>
            </w:pPr>
            <w:r w:rsidRPr="00FA1A19">
              <w:t>Need to determine appropriate low balance limit</w:t>
            </w:r>
            <w:r w:rsidR="00CC148A" w:rsidRPr="00FA1A19">
              <w:t xml:space="preserve"> and basis of limit (e.g. asset balance, </w:t>
            </w:r>
            <w:r w:rsidR="00D03AFD" w:rsidRPr="00FA1A19">
              <w:t xml:space="preserve">quantum of </w:t>
            </w:r>
            <w:r w:rsidR="00CC148A" w:rsidRPr="00FA1A19">
              <w:t>transaction</w:t>
            </w:r>
            <w:r w:rsidR="00D03AFD" w:rsidRPr="00FA1A19">
              <w:t>s</w:t>
            </w:r>
            <w:r w:rsidR="00CC148A" w:rsidRPr="00FA1A19">
              <w:t xml:space="preserve"> etc</w:t>
            </w:r>
            <w:r w:rsidR="003901E8">
              <w:t>.</w:t>
            </w:r>
            <w:r w:rsidR="00CC148A" w:rsidRPr="00FA1A19">
              <w:t>)</w:t>
            </w:r>
            <w:r w:rsidR="00E40B7D" w:rsidRPr="00FA1A19">
              <w:t>.</w:t>
            </w:r>
          </w:p>
          <w:p w14:paraId="2DDD5765" w14:textId="115256EA" w:rsidR="00F24D1D" w:rsidRPr="00FA1A19" w:rsidRDefault="00F24D1D" w:rsidP="00797B8A">
            <w:pPr>
              <w:pStyle w:val="TableTextLeft"/>
            </w:pPr>
            <w:r w:rsidRPr="00FA1A19">
              <w:t>Tax treatment applied to crypto assets may differ from treatment applied to other non</w:t>
            </w:r>
            <w:r w:rsidR="00F75232">
              <w:noBreakHyphen/>
            </w:r>
            <w:r w:rsidRPr="00FA1A19">
              <w:t>crypto assets.</w:t>
            </w:r>
          </w:p>
          <w:p w14:paraId="70FA7FD1" w14:textId="00621126" w:rsidR="00F24D1D" w:rsidRPr="00FA1A19" w:rsidRDefault="00F24D1D" w:rsidP="00797B8A">
            <w:pPr>
              <w:pStyle w:val="TableTextLeft"/>
            </w:pPr>
            <w:r w:rsidRPr="00FA1A19">
              <w:t>Potential revenue impact (e.g.</w:t>
            </w:r>
            <w:r w:rsidR="000437AD">
              <w:t> </w:t>
            </w:r>
            <w:r w:rsidRPr="00FA1A19">
              <w:t>exemption of otherwise taxable transactions)</w:t>
            </w:r>
            <w:r w:rsidR="00E40B7D" w:rsidRPr="00FA1A19">
              <w:t>.</w:t>
            </w:r>
          </w:p>
        </w:tc>
      </w:tr>
    </w:tbl>
    <w:p w14:paraId="16742E83" w14:textId="77777777" w:rsidR="00DB068A" w:rsidRPr="00FA1A19" w:rsidRDefault="00DB068A" w:rsidP="00797B8A">
      <w:pPr>
        <w:pStyle w:val="SingleParagraph"/>
      </w:pPr>
    </w:p>
    <w:p w14:paraId="7D1CFF8D" w14:textId="54B306CA" w:rsidR="00EA77A1" w:rsidRPr="00FA1A19" w:rsidRDefault="00DB068A" w:rsidP="00DB068A">
      <w:r w:rsidRPr="00FA1A19">
        <w:t xml:space="preserve">The Board notes that the introduction of a low balance election </w:t>
      </w:r>
      <w:r w:rsidR="004302AF" w:rsidRPr="00FA1A19">
        <w:t>for crypto assets and transactions would be inconsistent with how other assets are treated</w:t>
      </w:r>
      <w:r w:rsidR="000B6C72">
        <w:t xml:space="preserve"> under Australian tax law</w:t>
      </w:r>
      <w:r w:rsidR="004302AF" w:rsidRPr="00FA1A19">
        <w:t>: for instance, there is no de minimis rule for shares.</w:t>
      </w:r>
      <w:r w:rsidR="004F0A51" w:rsidRPr="00FA1A19">
        <w:t xml:space="preserve"> </w:t>
      </w:r>
      <w:r w:rsidR="004302AF" w:rsidRPr="00FA1A19">
        <w:t>Such treatment may suggest that crypto assets have an economic importance that exceeds that of other forms of exchange.</w:t>
      </w:r>
      <w:r w:rsidR="004F0A51" w:rsidRPr="00FA1A19">
        <w:t xml:space="preserve"> </w:t>
      </w:r>
      <w:r w:rsidR="007808E7" w:rsidRPr="00FA1A19">
        <w:t xml:space="preserve">Further, whilst a de </w:t>
      </w:r>
      <w:r w:rsidR="00CF3EA1" w:rsidRPr="00FA1A19">
        <w:t>minim</w:t>
      </w:r>
      <w:r w:rsidR="00CF3EA1">
        <w:t>is</w:t>
      </w:r>
      <w:r w:rsidR="00CF3EA1" w:rsidRPr="00FA1A19">
        <w:t xml:space="preserve"> </w:t>
      </w:r>
      <w:r w:rsidR="007808E7" w:rsidRPr="00FA1A19">
        <w:t xml:space="preserve">rule </w:t>
      </w:r>
      <w:r w:rsidR="009C5C3B" w:rsidRPr="00FA1A19">
        <w:t>might</w:t>
      </w:r>
      <w:r w:rsidR="007808E7" w:rsidRPr="00FA1A19">
        <w:t xml:space="preserve"> be introduced for simplicity, i</w:t>
      </w:r>
      <w:r w:rsidR="009C5C3B" w:rsidRPr="00FA1A19">
        <w:t>n practice i</w:t>
      </w:r>
      <w:r w:rsidR="007808E7" w:rsidRPr="00FA1A19">
        <w:t xml:space="preserve">t could lead to integrity </w:t>
      </w:r>
      <w:r w:rsidR="009C5C3B" w:rsidRPr="00FA1A19">
        <w:t>concerns or complexity</w:t>
      </w:r>
      <w:r w:rsidR="00EA77A1" w:rsidRPr="00FA1A19">
        <w:t>.</w:t>
      </w:r>
      <w:r w:rsidR="004F0A51" w:rsidRPr="00FA1A19">
        <w:t xml:space="preserve"> </w:t>
      </w:r>
      <w:r w:rsidR="00EA77A1" w:rsidRPr="00FA1A19">
        <w:t>For instance:</w:t>
      </w:r>
    </w:p>
    <w:p w14:paraId="54871AC7" w14:textId="015629A4" w:rsidR="0064598B" w:rsidRPr="00FA1A19" w:rsidRDefault="0064598B" w:rsidP="00797B8A">
      <w:pPr>
        <w:pStyle w:val="Bullet"/>
      </w:pPr>
      <w:r w:rsidRPr="00FA1A19">
        <w:t>provisions dealing with the deductibility of related expenditure may have to be included</w:t>
      </w:r>
    </w:p>
    <w:p w14:paraId="020507D5" w14:textId="5673A60C" w:rsidR="0064598B" w:rsidRPr="00FA1A19" w:rsidRDefault="009C5C3B" w:rsidP="00797B8A">
      <w:pPr>
        <w:pStyle w:val="Bullet"/>
      </w:pPr>
      <w:r w:rsidRPr="00FA1A19">
        <w:t>some taxpayers may be incentivised to spread crypto asset holdings across various controlled entities, and legislative measures to combat this could lead to added complexity</w:t>
      </w:r>
    </w:p>
    <w:p w14:paraId="5C0ED48B" w14:textId="6D52F89E" w:rsidR="00DB068A" w:rsidRPr="00FA1A19" w:rsidRDefault="00AA2D1A" w:rsidP="00797B8A">
      <w:pPr>
        <w:pStyle w:val="Bullet"/>
      </w:pPr>
      <w:r w:rsidRPr="00FA1A19">
        <w:t>carve outs may need to be considered – for example, low holdings but high turnover in the course of trading</w:t>
      </w:r>
      <w:r w:rsidR="009C5C3B" w:rsidRPr="00FA1A19">
        <w:t>.</w:t>
      </w:r>
    </w:p>
    <w:p w14:paraId="6F22A660" w14:textId="5FDF595D" w:rsidR="00F24D1D" w:rsidRPr="00FA1A19" w:rsidRDefault="00CF604F" w:rsidP="00342121">
      <w:pPr>
        <w:pStyle w:val="Heading3"/>
      </w:pPr>
      <w:r w:rsidRPr="00FA1A19">
        <w:t xml:space="preserve">Option 2: </w:t>
      </w:r>
      <w:r w:rsidR="00F24D1D" w:rsidRPr="00FA1A19">
        <w:t>Default</w:t>
      </w:r>
      <w:r w:rsidR="005E28EC" w:rsidRPr="00FA1A19">
        <w:t xml:space="preserve"> revenue or capital</w:t>
      </w:r>
      <w:r w:rsidR="00F24D1D" w:rsidRPr="00FA1A19">
        <w:t xml:space="preserve"> treatment</w:t>
      </w:r>
    </w:p>
    <w:p w14:paraId="1F55B3C7" w14:textId="63566CD5" w:rsidR="00F24D1D" w:rsidRPr="00FA1A19" w:rsidRDefault="00F24D1D">
      <w:r w:rsidRPr="00FA1A19">
        <w:t xml:space="preserve">In </w:t>
      </w:r>
      <w:r w:rsidR="00372633">
        <w:t>Chapter </w:t>
      </w:r>
      <w:r w:rsidR="00D03AFD" w:rsidRPr="00FA1A19">
        <w:t>7</w:t>
      </w:r>
      <w:r w:rsidRPr="00FA1A19">
        <w:t xml:space="preserve">, the Board set out the complexity that arises in classifying crypto asset transactions </w:t>
      </w:r>
      <w:r w:rsidR="00CF604F" w:rsidRPr="00FA1A19">
        <w:t xml:space="preserve">as being </w:t>
      </w:r>
      <w:r w:rsidRPr="00FA1A19">
        <w:t xml:space="preserve">on capital or revenue account. The Board notes that while the principles established </w:t>
      </w:r>
      <w:r w:rsidR="00CF604F" w:rsidRPr="00FA1A19">
        <w:t xml:space="preserve">at </w:t>
      </w:r>
      <w:r w:rsidRPr="00FA1A19">
        <w:t xml:space="preserve">common law for determining if a transaction should be treated on capital or revenue account are </w:t>
      </w:r>
      <w:r w:rsidR="002D57BE" w:rsidRPr="00FA1A19">
        <w:t xml:space="preserve">generally </w:t>
      </w:r>
      <w:r w:rsidRPr="00FA1A19">
        <w:t xml:space="preserve">sufficient, it will take some time </w:t>
      </w:r>
      <w:r w:rsidR="0037558F" w:rsidRPr="00FA1A19">
        <w:t>before there are</w:t>
      </w:r>
      <w:r w:rsidR="0087185E" w:rsidRPr="00FA1A19">
        <w:t xml:space="preserve"> </w:t>
      </w:r>
      <w:r w:rsidR="0037558F" w:rsidRPr="00FA1A19">
        <w:t xml:space="preserve">precedents </w:t>
      </w:r>
      <w:r w:rsidR="00516F2A" w:rsidRPr="00FA1A19">
        <w:t>that deal with or provide guidance in relation to</w:t>
      </w:r>
      <w:r w:rsidR="0037558F" w:rsidRPr="00FA1A19">
        <w:t xml:space="preserve"> many </w:t>
      </w:r>
      <w:r w:rsidRPr="00FA1A19">
        <w:t>crypto asset activities.</w:t>
      </w:r>
      <w:r w:rsidR="004F0A51" w:rsidRPr="00FA1A19">
        <w:t xml:space="preserve"> </w:t>
      </w:r>
    </w:p>
    <w:p w14:paraId="2DF38584" w14:textId="67FDB171" w:rsidR="00F24D1D" w:rsidRPr="00FA1A19" w:rsidRDefault="00F24D1D">
      <w:r w:rsidRPr="00FA1A19">
        <w:t>In recognition of th</w:t>
      </w:r>
      <w:r w:rsidR="00764CF5" w:rsidRPr="00FA1A19">
        <w:t>is complexity</w:t>
      </w:r>
      <w:r w:rsidRPr="00FA1A19">
        <w:t>, the Board received various submissions proposing that a default treatment be applied to crypto asset transactions.</w:t>
      </w:r>
      <w:r w:rsidRPr="00170ADC">
        <w:rPr>
          <w:rStyle w:val="FootnoteReference"/>
        </w:rPr>
        <w:footnoteReference w:id="678"/>
      </w:r>
      <w:r w:rsidRPr="00FA1A19">
        <w:t xml:space="preserve"> </w:t>
      </w:r>
    </w:p>
    <w:p w14:paraId="2471BF64" w14:textId="0515BA81" w:rsidR="00F24D1D" w:rsidRPr="00FA1A19" w:rsidRDefault="00F24D1D">
      <w:r w:rsidRPr="00FA1A19">
        <w:t>The Board notes that a deeming rule to treat certain assets as being held on capital account has some preceden</w:t>
      </w:r>
      <w:r w:rsidR="00AD4E5A" w:rsidRPr="00FA1A19">
        <w:t>t</w:t>
      </w:r>
      <w:r w:rsidRPr="00FA1A19">
        <w:t xml:space="preserve"> – for example the ability of certain managed investment trusts to make a capital election under Subdivision 275</w:t>
      </w:r>
      <w:r w:rsidR="00F75232">
        <w:noBreakHyphen/>
      </w:r>
      <w:r w:rsidRPr="00FA1A19">
        <w:t xml:space="preserve">B of the ITAA </w:t>
      </w:r>
      <w:r w:rsidR="00722485" w:rsidRPr="00FA1A19">
        <w:t>19</w:t>
      </w:r>
      <w:r w:rsidRPr="00FA1A19">
        <w:t>97</w:t>
      </w:r>
      <w:r w:rsidR="00AD4E5A" w:rsidRPr="00FA1A19">
        <w:t xml:space="preserve">, and the treatment of some assets held by superannuation funds as being on capital account (see </w:t>
      </w:r>
      <w:r w:rsidR="00372633">
        <w:t>Chapter </w:t>
      </w:r>
      <w:r w:rsidR="00AD4E5A" w:rsidRPr="00FA1A19">
        <w:t>8)</w:t>
      </w:r>
      <w:r w:rsidRPr="00FA1A19">
        <w:t>.</w:t>
      </w:r>
    </w:p>
    <w:p w14:paraId="3AC82623" w14:textId="6C9318EC" w:rsidR="00F24D1D" w:rsidRPr="00FA1A19" w:rsidRDefault="00F24D1D">
      <w:r w:rsidRPr="00FA1A19">
        <w:t xml:space="preserve">This </w:t>
      </w:r>
      <w:r w:rsidR="00A43664" w:rsidRPr="00FA1A19">
        <w:t>option</w:t>
      </w:r>
      <w:r w:rsidRPr="00FA1A19">
        <w:t xml:space="preserve"> raises a number of preliminary issues that would need to be considered, including:</w:t>
      </w:r>
    </w:p>
    <w:p w14:paraId="2B6BD925" w14:textId="3983EDAC" w:rsidR="00F24D1D" w:rsidRPr="00FA1A19" w:rsidRDefault="00722485" w:rsidP="00797B8A">
      <w:pPr>
        <w:pStyle w:val="Bullet"/>
      </w:pPr>
      <w:r w:rsidRPr="00FA1A19">
        <w:t>w</w:t>
      </w:r>
      <w:r w:rsidR="00F24D1D" w:rsidRPr="00FA1A19">
        <w:t xml:space="preserve">hether the default </w:t>
      </w:r>
      <w:r w:rsidR="004F33F6" w:rsidRPr="00FA1A19">
        <w:t>characterisation</w:t>
      </w:r>
      <w:r w:rsidR="00F24D1D" w:rsidRPr="00FA1A19">
        <w:t xml:space="preserve"> </w:t>
      </w:r>
      <w:r w:rsidRPr="00FA1A19">
        <w:t xml:space="preserve">should be </w:t>
      </w:r>
      <w:r w:rsidR="00F24D1D" w:rsidRPr="00FA1A19">
        <w:t>revenue or capital</w:t>
      </w:r>
    </w:p>
    <w:p w14:paraId="63761E68" w14:textId="09F3C42F" w:rsidR="00F24D1D" w:rsidRPr="00FA1A19" w:rsidRDefault="00722485" w:rsidP="00797B8A">
      <w:pPr>
        <w:pStyle w:val="Bullet"/>
      </w:pPr>
      <w:r w:rsidRPr="00FA1A19">
        <w:t>t</w:t>
      </w:r>
      <w:r w:rsidR="00F24D1D" w:rsidRPr="00FA1A19">
        <w:t xml:space="preserve">he identity of taxpayers to </w:t>
      </w:r>
      <w:r w:rsidR="00FF4E31" w:rsidRPr="00FA1A19">
        <w:t xml:space="preserve">whom </w:t>
      </w:r>
      <w:r w:rsidR="007C6622" w:rsidRPr="00FA1A19">
        <w:t>the</w:t>
      </w:r>
      <w:r w:rsidR="00F24D1D" w:rsidRPr="00FA1A19">
        <w:t xml:space="preserve"> rules </w:t>
      </w:r>
      <w:r w:rsidR="00FF4E31" w:rsidRPr="00FA1A19">
        <w:t xml:space="preserve">would </w:t>
      </w:r>
      <w:r w:rsidR="00F24D1D" w:rsidRPr="00FA1A19">
        <w:t>apply</w:t>
      </w:r>
    </w:p>
    <w:p w14:paraId="45795DF0" w14:textId="3FC7375C" w:rsidR="00F24D1D" w:rsidRPr="00FA1A19" w:rsidRDefault="00722485" w:rsidP="00797B8A">
      <w:pPr>
        <w:pStyle w:val="Bullet"/>
      </w:pPr>
      <w:r w:rsidRPr="00FA1A19">
        <w:t>w</w:t>
      </w:r>
      <w:r w:rsidR="00F24D1D" w:rsidRPr="00FA1A19">
        <w:t xml:space="preserve">hether the rules </w:t>
      </w:r>
      <w:r w:rsidRPr="00FA1A19">
        <w:t xml:space="preserve">should </w:t>
      </w:r>
      <w:r w:rsidR="00F24D1D" w:rsidRPr="00FA1A19">
        <w:t>apply on an elective or prescriptive basis</w:t>
      </w:r>
    </w:p>
    <w:p w14:paraId="5C159814" w14:textId="7EE24A9A" w:rsidR="00F24D1D" w:rsidRPr="00FA1A19" w:rsidRDefault="00722485" w:rsidP="00797B8A">
      <w:pPr>
        <w:pStyle w:val="Bullet"/>
      </w:pPr>
      <w:r w:rsidRPr="00FA1A19">
        <w:t xml:space="preserve">the </w:t>
      </w:r>
      <w:r w:rsidR="00F24D1D" w:rsidRPr="00FA1A19">
        <w:t xml:space="preserve">additional features </w:t>
      </w:r>
      <w:r w:rsidRPr="00FA1A19">
        <w:t xml:space="preserve">that </w:t>
      </w:r>
      <w:r w:rsidR="00F24D1D" w:rsidRPr="00FA1A19">
        <w:t>are necessary to ensure revenue neutrality (such as quarantining of losses</w:t>
      </w:r>
      <w:r w:rsidRPr="00FA1A19">
        <w:t>).</w:t>
      </w:r>
    </w:p>
    <w:p w14:paraId="43781394" w14:textId="7D970AAE" w:rsidR="00F24D1D" w:rsidRPr="00FA1A19" w:rsidRDefault="00F24D1D">
      <w:r w:rsidRPr="00FA1A19">
        <w:t>The Board notes that an analysis of a default or opt</w:t>
      </w:r>
      <w:r w:rsidR="00F75232">
        <w:noBreakHyphen/>
      </w:r>
      <w:r w:rsidRPr="00FA1A19">
        <w:t>in treatment of crypto asset transactions on revenue or capital account would require extensive exploration of how this aligns with the desired policy outcomes for crypto assets, noting the different taxation outcomes that potentially apply to revenue versus capital treatment (for example, the CGT discount that applies to certain capital gains and not revenue gains, the quarantining of capital losses against capital gains)</w:t>
      </w:r>
      <w:r w:rsidR="000167AA" w:rsidRPr="00FA1A19">
        <w:t>.</w:t>
      </w:r>
    </w:p>
    <w:p w14:paraId="1FB65752" w14:textId="1DEFA86A" w:rsidR="00432FC7" w:rsidRPr="00FA1A19" w:rsidRDefault="00432FC7" w:rsidP="00432FC7">
      <w:r w:rsidRPr="00FA1A19">
        <w:t>The following table provides a high</w:t>
      </w:r>
      <w:r w:rsidR="00F75232">
        <w:noBreakHyphen/>
      </w:r>
      <w:r w:rsidRPr="00FA1A19">
        <w:t>level overview of some relevant areas that would need to be considered in exploring a taxing regime which applies a default capital or revenue treatment to crypto asset transactions:</w:t>
      </w:r>
      <w:r w:rsidR="004F0A51" w:rsidRPr="00FA1A19">
        <w:t xml:space="preserve"> </w:t>
      </w:r>
    </w:p>
    <w:p w14:paraId="4C456916" w14:textId="77777777" w:rsidR="000167AA" w:rsidRPr="00FA1A19" w:rsidRDefault="000167AA" w:rsidP="00797B8A">
      <w:pPr>
        <w:pStyle w:val="SingleParagraph"/>
      </w:pPr>
    </w:p>
    <w:tbl>
      <w:tblPr>
        <w:tblStyle w:val="ListTable3-Accent1"/>
        <w:tblW w:w="5000" w:type="pct"/>
        <w:tblBorders>
          <w:insideH w:val="single" w:sz="4" w:space="0" w:color="142147" w:themeColor="accent1"/>
          <w:insideV w:val="single" w:sz="4" w:space="0" w:color="142147" w:themeColor="accent1"/>
        </w:tblBorders>
        <w:tblLook w:val="0620" w:firstRow="1" w:lastRow="0" w:firstColumn="0" w:lastColumn="0" w:noHBand="1" w:noVBand="1"/>
      </w:tblPr>
      <w:tblGrid>
        <w:gridCol w:w="3210"/>
        <w:gridCol w:w="3210"/>
        <w:gridCol w:w="3211"/>
      </w:tblGrid>
      <w:tr w:rsidR="00F24D1D" w:rsidRPr="00FA1A19" w14:paraId="4327D13E" w14:textId="77777777" w:rsidTr="00EB09BD">
        <w:trPr>
          <w:cnfStyle w:val="100000000000" w:firstRow="1" w:lastRow="0" w:firstColumn="0" w:lastColumn="0" w:oddVBand="0" w:evenVBand="0" w:oddHBand="0" w:evenHBand="0" w:firstRowFirstColumn="0" w:firstRowLastColumn="0" w:lastRowFirstColumn="0" w:lastRowLastColumn="0"/>
          <w:tblHeader/>
        </w:trPr>
        <w:tc>
          <w:tcPr>
            <w:tcW w:w="1666" w:type="pct"/>
          </w:tcPr>
          <w:p w14:paraId="1DC64AEB" w14:textId="40FF7CF6" w:rsidR="00F24D1D" w:rsidRPr="00FA1A19" w:rsidRDefault="00F37E87" w:rsidP="00797B8A">
            <w:pPr>
              <w:pStyle w:val="TableColumnHeadingLeft"/>
            </w:pPr>
            <w:r w:rsidRPr="00FA1A19">
              <w:t xml:space="preserve">Proposal / </w:t>
            </w:r>
            <w:r>
              <w:t>S</w:t>
            </w:r>
            <w:r w:rsidRPr="00FA1A19">
              <w:t>olution</w:t>
            </w:r>
          </w:p>
        </w:tc>
        <w:tc>
          <w:tcPr>
            <w:tcW w:w="1666" w:type="pct"/>
          </w:tcPr>
          <w:p w14:paraId="5B34D5C3" w14:textId="77348E37" w:rsidR="00F24D1D" w:rsidRPr="00FA1A19" w:rsidRDefault="00F37E87" w:rsidP="00797B8A">
            <w:pPr>
              <w:pStyle w:val="TableColumnHeadingLeft"/>
            </w:pPr>
            <w:r w:rsidRPr="00FA1A19">
              <w:t xml:space="preserve">Perceived rationale </w:t>
            </w:r>
            <w:r w:rsidR="00EB09BD">
              <w:br/>
            </w:r>
            <w:r w:rsidRPr="00FA1A19">
              <w:t>and benefits</w:t>
            </w:r>
          </w:p>
        </w:tc>
        <w:tc>
          <w:tcPr>
            <w:tcW w:w="1667" w:type="pct"/>
          </w:tcPr>
          <w:p w14:paraId="14F9831E" w14:textId="4F17081B" w:rsidR="00F24D1D" w:rsidRPr="00FA1A19" w:rsidRDefault="00F37E87" w:rsidP="00797B8A">
            <w:pPr>
              <w:pStyle w:val="TableColumnHeadingLeft"/>
            </w:pPr>
            <w:r w:rsidRPr="00FA1A19">
              <w:t>Preliminary assessment of issues and sensitivities</w:t>
            </w:r>
          </w:p>
        </w:tc>
      </w:tr>
      <w:tr w:rsidR="00F24D1D" w:rsidRPr="00FA1A19" w14:paraId="7D498E05" w14:textId="77777777" w:rsidTr="00EB09BD">
        <w:trPr>
          <w:trHeight w:val="1046"/>
        </w:trPr>
        <w:tc>
          <w:tcPr>
            <w:tcW w:w="1666" w:type="pct"/>
            <w:hideMark/>
          </w:tcPr>
          <w:p w14:paraId="0C8EE817" w14:textId="77777777" w:rsidR="00F24D1D" w:rsidRPr="00FA1A19" w:rsidRDefault="00F24D1D" w:rsidP="00797B8A">
            <w:pPr>
              <w:pStyle w:val="TableTextLeft"/>
              <w:rPr>
                <w:b/>
                <w:bCs/>
              </w:rPr>
            </w:pPr>
            <w:r w:rsidRPr="00FA1A19">
              <w:t xml:space="preserve">Introduce either a default capital or default revenue treatment for transactions involving </w:t>
            </w:r>
            <w:r w:rsidRPr="00FA1A19">
              <w:rPr>
                <w:rFonts w:cstheme="minorHAnsi"/>
              </w:rPr>
              <w:t>crypto</w:t>
            </w:r>
            <w:r w:rsidRPr="00FA1A19">
              <w:t xml:space="preserve"> assets (i.e. a single treatment is applied to all crypto asset holdings for all taxpayer users)</w:t>
            </w:r>
            <w:r w:rsidR="00C74224" w:rsidRPr="00FA1A19">
              <w:t>.</w:t>
            </w:r>
          </w:p>
          <w:p w14:paraId="69930BF7" w14:textId="751829FD" w:rsidR="000B02D3" w:rsidRPr="00FA1A19" w:rsidRDefault="000B02D3" w:rsidP="00797B8A">
            <w:pPr>
              <w:pStyle w:val="TableTextLeft"/>
              <w:rPr>
                <w:bCs/>
              </w:rPr>
            </w:pPr>
            <w:r w:rsidRPr="00FA1A19">
              <w:t>This treatment could apply to only some taxpayers, for example superannuation funds and/or individuals.</w:t>
            </w:r>
          </w:p>
        </w:tc>
        <w:tc>
          <w:tcPr>
            <w:tcW w:w="1666" w:type="pct"/>
            <w:hideMark/>
          </w:tcPr>
          <w:p w14:paraId="493EF7C5" w14:textId="40097ED8" w:rsidR="00F24D1D" w:rsidRPr="00FA1A19" w:rsidRDefault="00F24D1D" w:rsidP="00797B8A">
            <w:pPr>
              <w:pStyle w:val="TableTextLeft"/>
            </w:pPr>
            <w:r w:rsidRPr="00FA1A19">
              <w:t>Remove</w:t>
            </w:r>
            <w:r w:rsidR="00C74224" w:rsidRPr="00FA1A19">
              <w:t>s</w:t>
            </w:r>
            <w:r w:rsidRPr="00FA1A19">
              <w:t xml:space="preserve"> uncertainty in determining the appropriate capital/revenue classification of crypto asset transactions resulting from absence of common law relating to crypto asset transactions. </w:t>
            </w:r>
          </w:p>
          <w:p w14:paraId="09CDABD2" w14:textId="71A5598C" w:rsidR="00F24D1D" w:rsidRPr="00FA1A19" w:rsidRDefault="00F24D1D" w:rsidP="00797B8A">
            <w:pPr>
              <w:pStyle w:val="TableTextLeft"/>
            </w:pPr>
            <w:r w:rsidRPr="00FA1A19">
              <w:t>Default treatment leads to reduced complexity and compliance costs for taxpayers.</w:t>
            </w:r>
            <w:r w:rsidR="004F0A51" w:rsidRPr="00FA1A19">
              <w:t xml:space="preserve"> </w:t>
            </w:r>
          </w:p>
        </w:tc>
        <w:tc>
          <w:tcPr>
            <w:tcW w:w="1667" w:type="pct"/>
            <w:hideMark/>
          </w:tcPr>
          <w:p w14:paraId="6912BCD8" w14:textId="77777777" w:rsidR="00C74224" w:rsidRPr="00FA1A19" w:rsidRDefault="00C74224" w:rsidP="00797B8A">
            <w:pPr>
              <w:pStyle w:val="TableTextLeft"/>
            </w:pPr>
            <w:r w:rsidRPr="00FA1A19">
              <w:t>Crypto assets need to be defined for the purposes of the regime. Additionally there may be the need for definitional flexibility or changes over time.</w:t>
            </w:r>
          </w:p>
          <w:p w14:paraId="28B682D7" w14:textId="0F48BD7C" w:rsidR="00F24D1D" w:rsidRPr="00FA1A19" w:rsidRDefault="00F24D1D" w:rsidP="00797B8A">
            <w:pPr>
              <w:pStyle w:val="TableTextLeft"/>
            </w:pPr>
            <w:r w:rsidRPr="00FA1A19">
              <w:t>Tax treatment applied to crypto assets may differ to other assets</w:t>
            </w:r>
            <w:r w:rsidR="00412C3D">
              <w:rPr>
                <w:rFonts w:cs="Calibri"/>
              </w:rPr>
              <w:t>; and may breach the equity and functional neutrality principle (see chapter 5).</w:t>
            </w:r>
          </w:p>
          <w:p w14:paraId="7CC63F34" w14:textId="4D7F7A69" w:rsidR="00F24D1D" w:rsidRPr="00FA1A19" w:rsidRDefault="00C74224" w:rsidP="00797B8A">
            <w:pPr>
              <w:pStyle w:val="TableTextLeft"/>
            </w:pPr>
            <w:r w:rsidRPr="00FA1A19">
              <w:t>May result in a revenue impact.</w:t>
            </w:r>
            <w:r w:rsidR="004F0A51" w:rsidRPr="00FA1A19">
              <w:t xml:space="preserve"> </w:t>
            </w:r>
            <w:r w:rsidR="00F24D1D" w:rsidRPr="00FA1A19">
              <w:t>Extensive work would be required to determine the actual revenue impact, given various issues (e.g. elective or prescriptive regime, expected losses versus gains, application of CGT discount to default capital election etc</w:t>
            </w:r>
            <w:r w:rsidR="0021580A">
              <w:t>.</w:t>
            </w:r>
            <w:r w:rsidR="00F24D1D" w:rsidRPr="00FA1A19">
              <w:t xml:space="preserve">). </w:t>
            </w:r>
          </w:p>
          <w:p w14:paraId="5C73AA92" w14:textId="77777777" w:rsidR="00F24D1D" w:rsidRPr="00FA1A19" w:rsidRDefault="00F24D1D" w:rsidP="00797B8A">
            <w:pPr>
              <w:pStyle w:val="TableTextLeft"/>
            </w:pPr>
            <w:r w:rsidRPr="00FA1A19">
              <w:t>Requires consideration of policy principles underlying the proposal:</w:t>
            </w:r>
          </w:p>
          <w:p w14:paraId="5C638678" w14:textId="59EC8B81" w:rsidR="00F24D1D" w:rsidRPr="00FA1A19" w:rsidRDefault="00C74224" w:rsidP="00826D86">
            <w:pPr>
              <w:pStyle w:val="TableTextLeftBullet"/>
            </w:pPr>
            <w:r w:rsidRPr="00FA1A19">
              <w:t xml:space="preserve">Should a </w:t>
            </w:r>
            <w:r w:rsidR="00F24D1D" w:rsidRPr="00FA1A19">
              <w:t xml:space="preserve">default treatment </w:t>
            </w:r>
            <w:r w:rsidRPr="00FA1A19">
              <w:t xml:space="preserve">be </w:t>
            </w:r>
            <w:r w:rsidR="00F24D1D" w:rsidRPr="00FA1A19">
              <w:t>elective or prescriptive?</w:t>
            </w:r>
          </w:p>
          <w:p w14:paraId="0737A88B" w14:textId="62B0AA67" w:rsidR="00F24D1D" w:rsidRPr="00FA1A19" w:rsidRDefault="00C74224" w:rsidP="00826D86">
            <w:pPr>
              <w:pStyle w:val="TableTextLeftBullet"/>
              <w:rPr>
                <w:rFonts w:eastAsiaTheme="minorEastAsia"/>
              </w:rPr>
            </w:pPr>
            <w:r w:rsidRPr="00FA1A19">
              <w:t xml:space="preserve">Should the regime be combined </w:t>
            </w:r>
            <w:r w:rsidR="00F24D1D" w:rsidRPr="00FA1A19">
              <w:t>with other features such as quarantining of losses on crypto assets?</w:t>
            </w:r>
          </w:p>
        </w:tc>
      </w:tr>
    </w:tbl>
    <w:p w14:paraId="28F8F811" w14:textId="67002035" w:rsidR="00F24D1D" w:rsidRPr="00FA1A19" w:rsidRDefault="008F2415" w:rsidP="00342121">
      <w:pPr>
        <w:pStyle w:val="Heading3"/>
      </w:pPr>
      <w:r w:rsidRPr="00FA1A19">
        <w:t xml:space="preserve">Option 3: </w:t>
      </w:r>
      <w:r w:rsidR="00F24D1D" w:rsidRPr="00FA1A19">
        <w:t>Taxing point at time of conversion to fiat</w:t>
      </w:r>
    </w:p>
    <w:p w14:paraId="72517EC3" w14:textId="058FEA4F" w:rsidR="00F24D1D" w:rsidRPr="00FA1A19" w:rsidRDefault="00292596">
      <w:r w:rsidRPr="00FA1A19">
        <w:t xml:space="preserve">As set out in </w:t>
      </w:r>
      <w:r w:rsidR="00372633">
        <w:t>Chapter </w:t>
      </w:r>
      <w:r w:rsidRPr="00FA1A19">
        <w:t>2, the Board</w:t>
      </w:r>
      <w:r>
        <w:t>’</w:t>
      </w:r>
      <w:r w:rsidRPr="00FA1A19">
        <w:t>s Review arose from the Government</w:t>
      </w:r>
      <w:r>
        <w:t>’</w:t>
      </w:r>
      <w:r w:rsidRPr="00FA1A19">
        <w:t xml:space="preserve">s response to </w:t>
      </w:r>
      <w:r w:rsidRPr="005A100D">
        <w:rPr>
          <w:rStyle w:val="Emphasis"/>
          <w:i w:val="0"/>
          <w:iCs w:val="0"/>
        </w:rPr>
        <w:t>the</w:t>
      </w:r>
      <w:r>
        <w:t xml:space="preserve"> </w:t>
      </w:r>
      <w:r w:rsidRPr="00FA1A19">
        <w:t>Senate</w:t>
      </w:r>
      <w:r>
        <w:t xml:space="preserve"> Select Committee</w:t>
      </w:r>
      <w:r w:rsidRPr="00FA1A19">
        <w:t xml:space="preserve"> Report </w:t>
      </w:r>
      <w:r w:rsidR="00F24D1D" w:rsidRPr="00FA1A19">
        <w:t xml:space="preserve">which </w:t>
      </w:r>
      <w:r w:rsidR="003F5024" w:rsidRPr="00FA1A19">
        <w:t xml:space="preserve">said (amongst other things) that it can very difficult for taxpayers to correctly assess their CGT liabilities under the current tax law and ATO guidance for these transactions, </w:t>
      </w:r>
      <w:r w:rsidR="0097095D" w:rsidRPr="00FA1A19">
        <w:t xml:space="preserve">and then </w:t>
      </w:r>
      <w:r w:rsidR="003A525F" w:rsidRPr="00FA1A19">
        <w:t>said the following:</w:t>
      </w:r>
    </w:p>
    <w:p w14:paraId="24D2B048" w14:textId="4C0A8B31" w:rsidR="00082574" w:rsidRPr="00FA1A19" w:rsidRDefault="00F646D1" w:rsidP="004B75D8">
      <w:pPr>
        <w:pStyle w:val="Quote"/>
      </w:pPr>
      <w:r w:rsidRPr="00FA1A19">
        <w:t>Some submitters to the inquiry argued that CGT taxation points should be removed altogether for crypto</w:t>
      </w:r>
      <w:r w:rsidR="00F75232">
        <w:noBreakHyphen/>
      </w:r>
      <w:r w:rsidRPr="00FA1A19">
        <w:t>to</w:t>
      </w:r>
      <w:r w:rsidR="00F75232">
        <w:noBreakHyphen/>
      </w:r>
      <w:r w:rsidRPr="00FA1A19">
        <w:t xml:space="preserve">crypto transactions; </w:t>
      </w:r>
      <w:r w:rsidR="008E4892" w:rsidRPr="00FA1A19">
        <w:t xml:space="preserve">that is, CGT should only be applied at the </w:t>
      </w:r>
      <w:r w:rsidR="00F75232">
        <w:t>‘</w:t>
      </w:r>
      <w:r w:rsidR="008E4892" w:rsidRPr="00FA1A19">
        <w:t xml:space="preserve">on and </w:t>
      </w:r>
      <w:r w:rsidR="008E4892" w:rsidRPr="00FA1A19">
        <w:rPr>
          <w:rFonts w:asciiTheme="minorHAnsi" w:hAnsiTheme="minorHAnsi" w:cstheme="minorHAnsi"/>
        </w:rPr>
        <w:t>off</w:t>
      </w:r>
      <w:r w:rsidR="008E4892" w:rsidRPr="00FA1A19">
        <w:t xml:space="preserve"> ramp</w:t>
      </w:r>
      <w:r w:rsidR="00F75232">
        <w:t>’</w:t>
      </w:r>
      <w:r w:rsidR="008E4892" w:rsidRPr="00FA1A19">
        <w:t xml:space="preserve"> points where digital assets are traded for fiat currency or similar.</w:t>
      </w:r>
      <w:r w:rsidR="004F0A51" w:rsidRPr="00FA1A19">
        <w:t xml:space="preserve"> </w:t>
      </w:r>
      <w:r w:rsidR="008E4892" w:rsidRPr="00FA1A19">
        <w:t>While the committee agrees that this would simplify the CGT rules for digital assets considerably, this approach may risk leakage of tax revenue in cases where significant crypto</w:t>
      </w:r>
      <w:r w:rsidR="00F75232">
        <w:noBreakHyphen/>
      </w:r>
      <w:r w:rsidR="008E4892" w:rsidRPr="00FA1A19">
        <w:t>to</w:t>
      </w:r>
      <w:r w:rsidR="00F75232">
        <w:noBreakHyphen/>
      </w:r>
      <w:r w:rsidR="008E4892" w:rsidRPr="00FA1A19">
        <w:t>crypto transactions are occurring in ways that accrue a clearly definable capital benefit</w:t>
      </w:r>
      <w:r w:rsidR="00082574" w:rsidRPr="00FA1A19">
        <w:t>.</w:t>
      </w:r>
    </w:p>
    <w:p w14:paraId="3B78EFD5" w14:textId="4C99119E" w:rsidR="00F24D1D" w:rsidRPr="00FA1A19" w:rsidRDefault="00082574" w:rsidP="0069352C">
      <w:pPr>
        <w:pStyle w:val="Quote"/>
      </w:pPr>
      <w:r w:rsidRPr="00FA1A19">
        <w:t>As su</w:t>
      </w:r>
      <w:r w:rsidR="0082299E" w:rsidRPr="00FA1A19">
        <w:t xml:space="preserve">ch, the committee is recommending that the CGT rules be </w:t>
      </w:r>
      <w:r w:rsidR="00F24D1D" w:rsidRPr="00FA1A19">
        <w:t xml:space="preserve">amended so that digital asset </w:t>
      </w:r>
      <w:r w:rsidR="00F24D1D" w:rsidRPr="00FA1A19">
        <w:rPr>
          <w:rFonts w:asciiTheme="minorHAnsi" w:hAnsiTheme="minorHAnsi" w:cstheme="minorHAnsi"/>
        </w:rPr>
        <w:t>transactions</w:t>
      </w:r>
      <w:r w:rsidR="00F24D1D" w:rsidRPr="00FA1A19">
        <w:t xml:space="preserve"> only create a CGT event when they genuinely result in a clearly definable capital gain or loss.</w:t>
      </w:r>
      <w:r w:rsidR="00F24D1D" w:rsidRPr="00170ADC">
        <w:rPr>
          <w:rStyle w:val="FootnoteReference"/>
        </w:rPr>
        <w:footnoteReference w:id="679"/>
      </w:r>
    </w:p>
    <w:p w14:paraId="030F182F" w14:textId="48746BF6" w:rsidR="00F24D1D" w:rsidRPr="00FA1A19" w:rsidRDefault="00F24D1D">
      <w:r w:rsidRPr="00FA1A19">
        <w:t>Several submissions to the Board</w:t>
      </w:r>
      <w:r w:rsidR="00F75232">
        <w:t>’</w:t>
      </w:r>
      <w:r w:rsidRPr="00FA1A19">
        <w:t>s Review proposed that the Board explore limiting taxing events to those events where crypto assets are converted to fiat currency or exchanged for goods and services (</w:t>
      </w:r>
      <w:r w:rsidR="00F75232">
        <w:t>‘</w:t>
      </w:r>
      <w:r w:rsidRPr="00FA1A19">
        <w:t>on/off ramp transactions</w:t>
      </w:r>
      <w:r w:rsidR="00F75232">
        <w:t>’</w:t>
      </w:r>
      <w:r w:rsidRPr="00FA1A19">
        <w:t>).</w:t>
      </w:r>
      <w:r w:rsidRPr="00170ADC">
        <w:rPr>
          <w:rStyle w:val="FootnoteReference"/>
        </w:rPr>
        <w:footnoteReference w:id="680"/>
      </w:r>
      <w:r w:rsidRPr="00FA1A19">
        <w:t xml:space="preserve"> The approach is broadly based on the p</w:t>
      </w:r>
      <w:r w:rsidR="005B3773" w:rsidRPr="00FA1A19">
        <w:t>rop</w:t>
      </w:r>
      <w:r w:rsidRPr="00FA1A19">
        <w:t>osition that until</w:t>
      </w:r>
      <w:r w:rsidR="00C242EE">
        <w:t xml:space="preserve"> a </w:t>
      </w:r>
      <w:r w:rsidRPr="00FA1A19">
        <w:t>crypto</w:t>
      </w:r>
      <w:r w:rsidR="00C242EE">
        <w:t xml:space="preserve"> asset</w:t>
      </w:r>
      <w:r w:rsidRPr="00FA1A19">
        <w:t xml:space="preserve"> has been converted </w:t>
      </w:r>
      <w:r w:rsidR="0018163C" w:rsidRPr="00FA1A19">
        <w:t>in</w:t>
      </w:r>
      <w:r w:rsidRPr="00FA1A19">
        <w:t xml:space="preserve">to fiat currency, any resulting gain or loss has not been realised. </w:t>
      </w:r>
      <w:r w:rsidR="0018163C" w:rsidRPr="00FA1A19">
        <w:t>Many</w:t>
      </w:r>
      <w:r w:rsidRPr="00FA1A19">
        <w:t xml:space="preserve"> of the income tax issues noted by the Board in </w:t>
      </w:r>
      <w:r w:rsidR="00372633">
        <w:t>Chapter </w:t>
      </w:r>
      <w:r w:rsidR="00A37BD4" w:rsidRPr="00FA1A19">
        <w:t xml:space="preserve">9 </w:t>
      </w:r>
      <w:r w:rsidRPr="00FA1A19">
        <w:t xml:space="preserve">occur because taxation consequences potentially arise in respect of transactions </w:t>
      </w:r>
      <w:r w:rsidRPr="00813896">
        <w:rPr>
          <w:rStyle w:val="Emphasis"/>
        </w:rPr>
        <w:t>within</w:t>
      </w:r>
      <w:r w:rsidRPr="00FA1A19">
        <w:t xml:space="preserve"> the crypto </w:t>
      </w:r>
      <w:r w:rsidR="0018163C" w:rsidRPr="00FA1A19">
        <w:t xml:space="preserve">asset </w:t>
      </w:r>
      <w:r w:rsidRPr="00FA1A19">
        <w:t xml:space="preserve">ecosystem. Focusing on transactions that involve crypto assets entering and leaving the crypto </w:t>
      </w:r>
      <w:r w:rsidR="0018163C" w:rsidRPr="00FA1A19">
        <w:t xml:space="preserve">asset </w:t>
      </w:r>
      <w:r w:rsidRPr="00FA1A19">
        <w:t>ecosystem is likely to simplify the system, but other issues (including revenue neutrality) would need to be carefully considered and quantified.</w:t>
      </w:r>
    </w:p>
    <w:p w14:paraId="6504DF9C" w14:textId="79E4BF30" w:rsidR="00EB09BD" w:rsidRPr="00FA1A19" w:rsidRDefault="00F24D1D" w:rsidP="00EB09BD">
      <w:r w:rsidRPr="00FA1A19">
        <w:t>The following table provides a high</w:t>
      </w:r>
      <w:r w:rsidR="00F75232">
        <w:noBreakHyphen/>
      </w:r>
      <w:r w:rsidRPr="00FA1A19">
        <w:t xml:space="preserve">level overview of </w:t>
      </w:r>
      <w:r w:rsidR="006D7153" w:rsidRPr="00FA1A19">
        <w:t xml:space="preserve">some </w:t>
      </w:r>
      <w:r w:rsidRPr="00FA1A19">
        <w:t xml:space="preserve">relevant areas that would need to be considered in exploring a taxing regime which limits taxing events to the point of conversion of crypto assets to fiat currency or exchange for goods and services. </w:t>
      </w:r>
    </w:p>
    <w:tbl>
      <w:tblPr>
        <w:tblStyle w:val="ListTable3-Accent1"/>
        <w:tblW w:w="5000" w:type="pct"/>
        <w:tblBorders>
          <w:insideV w:val="single" w:sz="4" w:space="0" w:color="142147" w:themeColor="accent1"/>
        </w:tblBorders>
        <w:tblLook w:val="0620" w:firstRow="1" w:lastRow="0" w:firstColumn="0" w:lastColumn="0" w:noHBand="1" w:noVBand="1"/>
      </w:tblPr>
      <w:tblGrid>
        <w:gridCol w:w="3210"/>
        <w:gridCol w:w="3210"/>
        <w:gridCol w:w="3211"/>
      </w:tblGrid>
      <w:tr w:rsidR="00F24D1D" w:rsidRPr="00FA1A19" w14:paraId="7707C176" w14:textId="77777777" w:rsidTr="00EB09BD">
        <w:trPr>
          <w:cnfStyle w:val="100000000000" w:firstRow="1" w:lastRow="0" w:firstColumn="0" w:lastColumn="0" w:oddVBand="0" w:evenVBand="0" w:oddHBand="0" w:evenHBand="0" w:firstRowFirstColumn="0" w:firstRowLastColumn="0" w:lastRowFirstColumn="0" w:lastRowLastColumn="0"/>
          <w:tblHeader/>
        </w:trPr>
        <w:tc>
          <w:tcPr>
            <w:tcW w:w="1666" w:type="pct"/>
          </w:tcPr>
          <w:p w14:paraId="03DD7486" w14:textId="3360D286" w:rsidR="00F24D1D" w:rsidRPr="00FA1A19" w:rsidRDefault="00F37E87" w:rsidP="00797B8A">
            <w:pPr>
              <w:pStyle w:val="TableColumnHeadingLeft"/>
            </w:pPr>
            <w:r w:rsidRPr="00FA1A19">
              <w:t xml:space="preserve">Proposal / </w:t>
            </w:r>
            <w:r>
              <w:t>S</w:t>
            </w:r>
            <w:r w:rsidRPr="00FA1A19">
              <w:t>olution</w:t>
            </w:r>
          </w:p>
        </w:tc>
        <w:tc>
          <w:tcPr>
            <w:tcW w:w="1666" w:type="pct"/>
          </w:tcPr>
          <w:p w14:paraId="61CBE5DC" w14:textId="679FCBF5" w:rsidR="00F24D1D" w:rsidRPr="00FA1A19" w:rsidRDefault="00F37E87" w:rsidP="00797B8A">
            <w:pPr>
              <w:pStyle w:val="TableColumnHeadingLeft"/>
            </w:pPr>
            <w:r w:rsidRPr="00FA1A19">
              <w:t xml:space="preserve">Perceived rationale </w:t>
            </w:r>
            <w:r w:rsidR="00EB09BD">
              <w:br/>
            </w:r>
            <w:r w:rsidRPr="00FA1A19">
              <w:t>and benefits</w:t>
            </w:r>
          </w:p>
        </w:tc>
        <w:tc>
          <w:tcPr>
            <w:tcW w:w="1667" w:type="pct"/>
          </w:tcPr>
          <w:p w14:paraId="663E1711" w14:textId="0394103B" w:rsidR="00F24D1D" w:rsidRPr="00FA1A19" w:rsidRDefault="00F37E87" w:rsidP="00797B8A">
            <w:pPr>
              <w:pStyle w:val="TableColumnHeadingLeft"/>
            </w:pPr>
            <w:r w:rsidRPr="00FA1A19">
              <w:t>Preliminary assessment of issues and sensitivities</w:t>
            </w:r>
          </w:p>
        </w:tc>
      </w:tr>
      <w:tr w:rsidR="00F24D1D" w:rsidRPr="00FA1A19" w14:paraId="154BB904" w14:textId="77777777" w:rsidTr="00EB09BD">
        <w:trPr>
          <w:trHeight w:val="1046"/>
        </w:trPr>
        <w:tc>
          <w:tcPr>
            <w:tcW w:w="1666" w:type="pct"/>
            <w:hideMark/>
          </w:tcPr>
          <w:p w14:paraId="7F95C758" w14:textId="77777777" w:rsidR="00F24D1D" w:rsidRPr="00FA1A19" w:rsidRDefault="00F24D1D" w:rsidP="00797B8A">
            <w:pPr>
              <w:pStyle w:val="TableTextLeft"/>
            </w:pPr>
            <w:r w:rsidRPr="00FA1A19">
              <w:t>A taxing event occurs only at the time that a crypto asset is converted to fiat currency or exchanged for goods and services.</w:t>
            </w:r>
          </w:p>
          <w:p w14:paraId="16996B0D" w14:textId="0B772C97" w:rsidR="00F24D1D" w:rsidRPr="00FA1A19" w:rsidRDefault="00F24D1D" w:rsidP="00797B8A">
            <w:pPr>
              <w:pStyle w:val="TableTextLeft"/>
              <w:rPr>
                <w:b/>
                <w:bCs/>
              </w:rPr>
            </w:pPr>
            <w:r w:rsidRPr="00FA1A19">
              <w:t xml:space="preserve">A </w:t>
            </w:r>
            <w:r w:rsidRPr="00FA1A19">
              <w:rPr>
                <w:rFonts w:cstheme="minorBidi"/>
              </w:rPr>
              <w:t>methodology</w:t>
            </w:r>
            <w:r w:rsidRPr="00FA1A19">
              <w:t xml:space="preserve"> for allocating cost to the transaction will be required, such as through an averaging or pooled cost style methodology.</w:t>
            </w:r>
          </w:p>
        </w:tc>
        <w:tc>
          <w:tcPr>
            <w:tcW w:w="1666" w:type="pct"/>
            <w:hideMark/>
          </w:tcPr>
          <w:p w14:paraId="22BB211B" w14:textId="4FEFBBDF" w:rsidR="006065F5" w:rsidRPr="00FA1A19" w:rsidRDefault="00F24D1D" w:rsidP="00797B8A">
            <w:pPr>
              <w:pStyle w:val="TableTextLeft"/>
            </w:pPr>
            <w:r w:rsidRPr="00FA1A19">
              <w:t xml:space="preserve">Potentially simplifies the application of tax </w:t>
            </w:r>
            <w:r w:rsidR="006065F5" w:rsidRPr="00FA1A19">
              <w:t>law</w:t>
            </w:r>
            <w:r w:rsidRPr="00FA1A19">
              <w:t xml:space="preserve"> to crypto </w:t>
            </w:r>
            <w:r w:rsidR="006065F5" w:rsidRPr="00FA1A19">
              <w:t xml:space="preserve">asset </w:t>
            </w:r>
            <w:r w:rsidRPr="00FA1A19">
              <w:t>transactions.</w:t>
            </w:r>
            <w:r w:rsidR="004F0A51" w:rsidRPr="00FA1A19">
              <w:t xml:space="preserve"> </w:t>
            </w:r>
          </w:p>
          <w:p w14:paraId="16AC910A" w14:textId="5D93AE7C" w:rsidR="00F24D1D" w:rsidRPr="00FA1A19" w:rsidRDefault="006065F5" w:rsidP="00797B8A">
            <w:pPr>
              <w:pStyle w:val="TableTextLeft"/>
            </w:pPr>
            <w:r w:rsidRPr="00FA1A19">
              <w:t xml:space="preserve">Taxpayers would not be required to </w:t>
            </w:r>
            <w:r w:rsidR="00F24D1D" w:rsidRPr="00FA1A19">
              <w:t>assess</w:t>
            </w:r>
            <w:r w:rsidRPr="00FA1A19">
              <w:t xml:space="preserve"> the tax</w:t>
            </w:r>
            <w:r w:rsidR="00F24D1D" w:rsidRPr="00FA1A19">
              <w:t xml:space="preserve"> implications of crypto </w:t>
            </w:r>
            <w:r w:rsidRPr="00FA1A19">
              <w:t>asset</w:t>
            </w:r>
            <w:r w:rsidR="00D113D7">
              <w:t>-</w:t>
            </w:r>
            <w:r w:rsidR="00F24D1D" w:rsidRPr="00FA1A19">
              <w:t>to</w:t>
            </w:r>
            <w:r w:rsidR="00D113D7">
              <w:t>-</w:t>
            </w:r>
            <w:r w:rsidR="00F24D1D" w:rsidRPr="00FA1A19">
              <w:t xml:space="preserve">crypto </w:t>
            </w:r>
            <w:r w:rsidRPr="00FA1A19">
              <w:t xml:space="preserve">asset </w:t>
            </w:r>
            <w:r w:rsidR="00F24D1D" w:rsidRPr="00FA1A19">
              <w:t>transactions</w:t>
            </w:r>
            <w:r w:rsidRPr="00FA1A19">
              <w:t>.</w:t>
            </w:r>
          </w:p>
        </w:tc>
        <w:tc>
          <w:tcPr>
            <w:tcW w:w="1667" w:type="pct"/>
            <w:hideMark/>
          </w:tcPr>
          <w:p w14:paraId="78BA88A8" w14:textId="5FD2C0F5" w:rsidR="006065F5" w:rsidRPr="00FA1A19" w:rsidRDefault="006065F5" w:rsidP="00797B8A">
            <w:pPr>
              <w:pStyle w:val="TableTextLeft"/>
            </w:pPr>
            <w:r w:rsidRPr="00FA1A19">
              <w:t>Crypto assets need to be defined for the purposes of the regime. Additionally</w:t>
            </w:r>
            <w:r w:rsidR="0060118F" w:rsidRPr="00FA1A19">
              <w:t>,</w:t>
            </w:r>
            <w:r w:rsidRPr="00FA1A19">
              <w:t xml:space="preserve"> there may be the need for definitional flexibility or changes over time.</w:t>
            </w:r>
          </w:p>
          <w:p w14:paraId="712223A4" w14:textId="333EB9B3" w:rsidR="00F24D1D" w:rsidRPr="00FA1A19" w:rsidRDefault="00F24D1D" w:rsidP="00797B8A">
            <w:pPr>
              <w:pStyle w:val="TableTextLeft"/>
            </w:pPr>
            <w:r w:rsidRPr="00FA1A19">
              <w:rPr>
                <w:rFonts w:cs="Calibri"/>
              </w:rPr>
              <w:t>Tax treatment applied to crypto assets may differ from other assets</w:t>
            </w:r>
            <w:r w:rsidR="00412C3D">
              <w:rPr>
                <w:rFonts w:cs="Calibri"/>
              </w:rPr>
              <w:t>; and may breach the equity and functional neutrality principle (see chapter 5).</w:t>
            </w:r>
          </w:p>
          <w:p w14:paraId="45BE2DB5" w14:textId="3F96AA44" w:rsidR="00F24D1D" w:rsidRPr="00FA1A19" w:rsidRDefault="00F24D1D" w:rsidP="00797B8A">
            <w:pPr>
              <w:pStyle w:val="TableTextLeft"/>
            </w:pPr>
            <w:r w:rsidRPr="00FA1A19">
              <w:t xml:space="preserve">Potential revenue impact </w:t>
            </w:r>
            <w:r w:rsidR="0002732C" w:rsidRPr="00FA1A19">
              <w:t>as there is</w:t>
            </w:r>
            <w:r w:rsidR="006065F5" w:rsidRPr="00FA1A19">
              <w:t xml:space="preserve"> </w:t>
            </w:r>
            <w:r w:rsidRPr="00FA1A19">
              <w:t xml:space="preserve">no taxing event for crypto </w:t>
            </w:r>
            <w:r w:rsidR="006065F5" w:rsidRPr="00FA1A19">
              <w:t>asset</w:t>
            </w:r>
            <w:r w:rsidR="00FA4475">
              <w:t>-</w:t>
            </w:r>
            <w:r w:rsidRPr="00FA1A19">
              <w:t>to</w:t>
            </w:r>
            <w:r w:rsidR="00FA4475">
              <w:t>-</w:t>
            </w:r>
            <w:r w:rsidRPr="00FA1A19">
              <w:t xml:space="preserve">crypto </w:t>
            </w:r>
            <w:r w:rsidR="006065F5" w:rsidRPr="00FA1A19">
              <w:t xml:space="preserve">asset </w:t>
            </w:r>
            <w:r w:rsidRPr="00FA1A19">
              <w:t>transactions</w:t>
            </w:r>
            <w:r w:rsidR="0002732C" w:rsidRPr="00FA1A19">
              <w:t>. This will be</w:t>
            </w:r>
            <w:r w:rsidRPr="00FA1A19">
              <w:t xml:space="preserve"> subject to the direction of the market,</w:t>
            </w:r>
            <w:r w:rsidR="0002732C" w:rsidRPr="00FA1A19">
              <w:t xml:space="preserve"> however </w:t>
            </w:r>
            <w:r w:rsidR="00412C3D">
              <w:t xml:space="preserve">this </w:t>
            </w:r>
            <w:r w:rsidR="0002732C" w:rsidRPr="00FA1A19">
              <w:t xml:space="preserve">may </w:t>
            </w:r>
            <w:r w:rsidR="00711392" w:rsidRPr="00FA1A19">
              <w:t xml:space="preserve">provide opportunity to </w:t>
            </w:r>
            <w:r w:rsidRPr="00FA1A19">
              <w:t>indefinitely defer a taxing event by not converting to fiat</w:t>
            </w:r>
            <w:r w:rsidR="00711392" w:rsidRPr="00FA1A19">
              <w:t>.</w:t>
            </w:r>
            <w:r w:rsidR="004F0A51" w:rsidRPr="00FA1A19">
              <w:t xml:space="preserve"> </w:t>
            </w:r>
          </w:p>
          <w:p w14:paraId="4EC5CCB9" w14:textId="2552B4FC" w:rsidR="00F24D1D" w:rsidRPr="00797B8A" w:rsidRDefault="000054AE" w:rsidP="00797B8A">
            <w:pPr>
              <w:pStyle w:val="TableTextLeft"/>
              <w:rPr>
                <w:rFonts w:cstheme="minorHAnsi"/>
              </w:rPr>
            </w:pPr>
            <w:r w:rsidRPr="00FA1A19">
              <w:rPr>
                <w:rFonts w:cstheme="minorHAnsi"/>
              </w:rPr>
              <w:t xml:space="preserve">Requires consideration of policy principles underlying the proposal, including whether </w:t>
            </w:r>
            <w:r w:rsidR="00C252C8" w:rsidRPr="00FA1A19">
              <w:rPr>
                <w:rFonts w:cstheme="minorHAnsi"/>
              </w:rPr>
              <w:t xml:space="preserve">regime should be </w:t>
            </w:r>
            <w:r w:rsidRPr="00FA1A19">
              <w:rPr>
                <w:rFonts w:cstheme="minorHAnsi"/>
              </w:rPr>
              <w:t>elective or prescriptive</w:t>
            </w:r>
            <w:r w:rsidR="00C252C8" w:rsidRPr="00FA1A19">
              <w:rPr>
                <w:rFonts w:cstheme="minorHAnsi"/>
              </w:rPr>
              <w:t>.</w:t>
            </w:r>
          </w:p>
        </w:tc>
      </w:tr>
    </w:tbl>
    <w:p w14:paraId="0F05DCC2" w14:textId="1E615CC6" w:rsidR="00F24D1D" w:rsidRPr="00FA1A19" w:rsidRDefault="005B1DFE" w:rsidP="00797B8A">
      <w:pPr>
        <w:pStyle w:val="Heading3"/>
      </w:pPr>
      <w:r w:rsidRPr="00FA1A19">
        <w:t xml:space="preserve">Option 4: </w:t>
      </w:r>
      <w:r w:rsidR="00F24D1D" w:rsidRPr="00797B8A">
        <w:t>Mark</w:t>
      </w:r>
      <w:r w:rsidR="00F24D1D" w:rsidRPr="00FA1A19">
        <w:t xml:space="preserve"> to market and fiat conversion</w:t>
      </w:r>
    </w:p>
    <w:p w14:paraId="6EF2B1CD" w14:textId="044A658B" w:rsidR="00F24D1D" w:rsidRPr="00FA1A19" w:rsidRDefault="00F24D1D">
      <w:r w:rsidRPr="00FA1A19">
        <w:t xml:space="preserve">As set out in the above table, a proposal </w:t>
      </w:r>
      <w:r w:rsidR="000945AD" w:rsidRPr="00FA1A19">
        <w:t xml:space="preserve">that </w:t>
      </w:r>
      <w:r w:rsidRPr="00FA1A19">
        <w:t xml:space="preserve">limits the taxing event on crypto to the time that it is converted to fiat currency may create a risk that the taxing point is able to be indefinitely deferred, resulting in the accumulation of wealth in crypto assets without the </w:t>
      </w:r>
      <w:r w:rsidR="00D47712" w:rsidRPr="00FA1A19">
        <w:t xml:space="preserve">incidence </w:t>
      </w:r>
      <w:r w:rsidRPr="00FA1A19">
        <w:t xml:space="preserve">of tax. One proposal, aligned with the simplicity of identifying a taxing point at the time of conversion to fiat, is to apply modified </w:t>
      </w:r>
      <w:r w:rsidR="00F75232">
        <w:t>‘</w:t>
      </w:r>
      <w:r w:rsidRPr="00FA1A19">
        <w:t>trading stock</w:t>
      </w:r>
      <w:r w:rsidR="00F75232">
        <w:t>’</w:t>
      </w:r>
      <w:r w:rsidRPr="00FA1A19" w:rsidDel="00FA4EC1">
        <w:t xml:space="preserve"> </w:t>
      </w:r>
      <w:r w:rsidR="00FA4EC1" w:rsidRPr="00FA1A19">
        <w:t xml:space="preserve">style </w:t>
      </w:r>
      <w:r w:rsidRPr="00FA1A19">
        <w:t>rules to crypto assets.</w:t>
      </w:r>
    </w:p>
    <w:p w14:paraId="3174B509" w14:textId="77777777" w:rsidR="00F24D1D" w:rsidRPr="00FA1A19" w:rsidRDefault="00F24D1D">
      <w:r w:rsidRPr="00FA1A19">
        <w:t>The precise form of the arrangements would need to be considered further but, as an example, the Board notes that such a methodology could be structured such that:</w:t>
      </w:r>
    </w:p>
    <w:p w14:paraId="6551F408" w14:textId="150F29D2" w:rsidR="00F24D1D" w:rsidRPr="00FA1A19" w:rsidRDefault="00F24D1D" w:rsidP="00797B8A">
      <w:pPr>
        <w:pStyle w:val="Bullet"/>
      </w:pPr>
      <w:r w:rsidRPr="00FA1A19">
        <w:t>purchases of crypto assets are deductible</w:t>
      </w:r>
    </w:p>
    <w:p w14:paraId="140BC7FA" w14:textId="17AE2BD1" w:rsidR="00F24D1D" w:rsidRPr="00FA1A19" w:rsidRDefault="00F24D1D" w:rsidP="00797B8A">
      <w:pPr>
        <w:pStyle w:val="Bullet"/>
      </w:pPr>
      <w:r w:rsidRPr="00FA1A19">
        <w:t>an amount is included in assessable income when a crypto asset is converted to fiat currency or exchanged for goods and services</w:t>
      </w:r>
    </w:p>
    <w:p w14:paraId="496B8541" w14:textId="6C192BDF" w:rsidR="000014EF" w:rsidRPr="00FA1A19" w:rsidRDefault="00FC3F71" w:rsidP="00797B8A">
      <w:pPr>
        <w:pStyle w:val="Bullet"/>
      </w:pPr>
      <w:r>
        <w:t>a</w:t>
      </w:r>
      <w:r w:rsidRPr="00FA1A19" w:rsidDel="000014EF">
        <w:t xml:space="preserve">t </w:t>
      </w:r>
      <w:r w:rsidR="00F24D1D" w:rsidRPr="00FA1A19" w:rsidDel="000014EF">
        <w:t xml:space="preserve">the </w:t>
      </w:r>
      <w:r w:rsidR="00F24D1D" w:rsidRPr="00FA1A19">
        <w:t>end of each year:</w:t>
      </w:r>
    </w:p>
    <w:p w14:paraId="57448FF1" w14:textId="3EC92110" w:rsidR="00F24D1D" w:rsidRPr="00FA1A19" w:rsidRDefault="00CE42BD" w:rsidP="00797B8A">
      <w:pPr>
        <w:pStyle w:val="Dash"/>
      </w:pPr>
      <w:r w:rsidRPr="00FA1A19">
        <w:t xml:space="preserve">any </w:t>
      </w:r>
      <w:r w:rsidR="00F24D1D" w:rsidRPr="00FA1A19">
        <w:t>increase in value of crypto assets held at end of year versus start of year is assessabl</w:t>
      </w:r>
      <w:r w:rsidR="00CD2D78">
        <w:t>e</w:t>
      </w:r>
    </w:p>
    <w:p w14:paraId="7C53062F" w14:textId="6F484EBE" w:rsidR="00F24D1D" w:rsidRPr="00FA1A19" w:rsidRDefault="00CE42BD" w:rsidP="00797B8A">
      <w:pPr>
        <w:pStyle w:val="Dash"/>
      </w:pPr>
      <w:r w:rsidRPr="00FA1A19">
        <w:t>a</w:t>
      </w:r>
      <w:r w:rsidR="000014EF" w:rsidRPr="00FA1A19">
        <w:t>ny</w:t>
      </w:r>
      <w:r w:rsidR="00F24D1D" w:rsidRPr="00FA1A19" w:rsidDel="000014EF">
        <w:t xml:space="preserve"> </w:t>
      </w:r>
      <w:r w:rsidR="00F24D1D" w:rsidRPr="00FA1A19">
        <w:t>decrease in value of crypto assets held at end of year versus start of year is deductible.</w:t>
      </w:r>
    </w:p>
    <w:p w14:paraId="64326E20" w14:textId="327402A2" w:rsidR="00F24D1D" w:rsidRPr="00FA1A19" w:rsidRDefault="00F24D1D">
      <w:pPr>
        <w:rPr>
          <w:rFonts w:cstheme="minorHAnsi"/>
        </w:rPr>
      </w:pPr>
      <w:r w:rsidRPr="00FA1A19">
        <w:rPr>
          <w:rFonts w:cstheme="minorHAnsi"/>
        </w:rPr>
        <w:t xml:space="preserve">This methodology is essentially a modified trading stock regime. However, unlike the trading stock rules in Division 70 of the ITAA </w:t>
      </w:r>
      <w:r w:rsidR="00CE42BD" w:rsidRPr="00FA1A19">
        <w:rPr>
          <w:rFonts w:cstheme="minorHAnsi"/>
        </w:rPr>
        <w:t>19</w:t>
      </w:r>
      <w:r w:rsidRPr="00FA1A19">
        <w:rPr>
          <w:rFonts w:cstheme="minorHAnsi"/>
        </w:rPr>
        <w:t xml:space="preserve">97: </w:t>
      </w:r>
    </w:p>
    <w:p w14:paraId="7DB7AA12" w14:textId="1CA043BC" w:rsidR="00F24D1D" w:rsidRPr="00FA1A19" w:rsidRDefault="00F24D1D" w:rsidP="00797B8A">
      <w:pPr>
        <w:pStyle w:val="Bullet"/>
        <w:rPr>
          <w:rFonts w:cstheme="minorHAnsi"/>
        </w:rPr>
      </w:pPr>
      <w:r w:rsidRPr="00FA1A19">
        <w:t>there would be no requirement for the taxpayer to be carrying on a business in order to apply the treatment</w:t>
      </w:r>
    </w:p>
    <w:p w14:paraId="7FAA1462" w14:textId="77777777" w:rsidR="00CD2D78" w:rsidRPr="00CD2D78" w:rsidRDefault="00F24D1D">
      <w:pPr>
        <w:pStyle w:val="Bullet"/>
        <w:rPr>
          <w:rFonts w:cstheme="minorHAnsi"/>
        </w:rPr>
      </w:pPr>
      <w:r w:rsidRPr="00FA1A19">
        <w:t xml:space="preserve">there would be no requirement to account for any transactions </w:t>
      </w:r>
      <w:r w:rsidR="009C62D7" w:rsidRPr="00FA1A19">
        <w:t xml:space="preserve">undertaken </w:t>
      </w:r>
      <w:r w:rsidRPr="00FA1A19">
        <w:t>within the crypto ecosystem, such as where one crypto asset is disposed of in exchange for another</w:t>
      </w:r>
    </w:p>
    <w:p w14:paraId="21958D35" w14:textId="3081D3E0" w:rsidR="00F24D1D" w:rsidRPr="00CD2D78" w:rsidRDefault="00F24D1D">
      <w:pPr>
        <w:pStyle w:val="Bullet"/>
        <w:rPr>
          <w:rFonts w:cstheme="minorHAnsi"/>
        </w:rPr>
      </w:pPr>
      <w:r w:rsidRPr="00FA1A19">
        <w:t>the crypto asset holdings at the end of the year would be valued at market value (cost or replacement value options available under trading stock regime would not be available).</w:t>
      </w:r>
    </w:p>
    <w:p w14:paraId="0119EBD8" w14:textId="57B925CD" w:rsidR="00F24D1D" w:rsidRPr="00FA1A19" w:rsidRDefault="009C62D7" w:rsidP="00797B8A">
      <w:pPr>
        <w:rPr>
          <w:rFonts w:cstheme="minorHAnsi"/>
        </w:rPr>
      </w:pPr>
      <w:r w:rsidRPr="00FA1A19">
        <w:rPr>
          <w:rFonts w:cstheme="minorBidi"/>
        </w:rPr>
        <w:t>This</w:t>
      </w:r>
      <w:r w:rsidR="00F24D1D" w:rsidRPr="00FA1A19">
        <w:rPr>
          <w:rFonts w:cstheme="minorBidi"/>
        </w:rPr>
        <w:t xml:space="preserve"> approach </w:t>
      </w:r>
      <w:r w:rsidRPr="00FA1A19">
        <w:rPr>
          <w:rFonts w:cstheme="minorBidi"/>
        </w:rPr>
        <w:t xml:space="preserve">has the potential to include unrealised gains as assessable income and unrealised losses as allowable deductions </w:t>
      </w:r>
      <w:r w:rsidR="00F24D1D" w:rsidRPr="00FA1A19">
        <w:rPr>
          <w:rFonts w:cstheme="minorBidi"/>
        </w:rPr>
        <w:t>because of the requirement to determine the market value of crypto assets at the end of an income year. Whether this is consistent with wider policy objectives would need to be reviewed and considered further.</w:t>
      </w:r>
    </w:p>
    <w:p w14:paraId="5A797717" w14:textId="4708AE4A" w:rsidR="00F24D1D" w:rsidRPr="00FA1A19" w:rsidRDefault="00F24D1D" w:rsidP="00797B8A">
      <w:pPr>
        <w:rPr>
          <w:rFonts w:cstheme="minorHAnsi"/>
        </w:rPr>
      </w:pPr>
      <w:r w:rsidRPr="00FA1A19">
        <w:rPr>
          <w:rFonts w:cstheme="minorBidi"/>
        </w:rPr>
        <w:t>The Board considers that the differences between this regime and the trading stock measures may require new legislative provisions to be included, rather than seeking to rely on the trading stock rules with modifications. The Board note</w:t>
      </w:r>
      <w:r w:rsidR="00810CA9" w:rsidRPr="00FA1A19">
        <w:rPr>
          <w:rFonts w:cstheme="minorBidi"/>
        </w:rPr>
        <w:t>s</w:t>
      </w:r>
      <w:r w:rsidRPr="00FA1A19">
        <w:rPr>
          <w:rFonts w:cstheme="minorBidi"/>
        </w:rPr>
        <w:t xml:space="preserve"> that a recent example of this approach is the rules in Division 420 of the ITAA </w:t>
      </w:r>
      <w:r w:rsidR="00F13D39" w:rsidRPr="00FA1A19">
        <w:rPr>
          <w:rFonts w:cstheme="minorBidi"/>
        </w:rPr>
        <w:t>19</w:t>
      </w:r>
      <w:r w:rsidRPr="00FA1A19">
        <w:rPr>
          <w:rFonts w:cstheme="minorBidi"/>
        </w:rPr>
        <w:t xml:space="preserve">97 which apply what is essentially a </w:t>
      </w:r>
      <w:r w:rsidR="00F75232">
        <w:rPr>
          <w:rFonts w:cstheme="minorBidi"/>
        </w:rPr>
        <w:t>‘</w:t>
      </w:r>
      <w:r w:rsidRPr="00FA1A19">
        <w:rPr>
          <w:rFonts w:cstheme="minorBidi"/>
        </w:rPr>
        <w:t>trading stock type</w:t>
      </w:r>
      <w:r w:rsidR="00F75232">
        <w:rPr>
          <w:rFonts w:cstheme="minorBidi"/>
        </w:rPr>
        <w:t>’</w:t>
      </w:r>
      <w:r w:rsidRPr="00FA1A19">
        <w:rPr>
          <w:rFonts w:cstheme="minorBidi"/>
        </w:rPr>
        <w:t xml:space="preserve"> regime to registered emission units.</w:t>
      </w:r>
    </w:p>
    <w:p w14:paraId="5A65F519" w14:textId="1135B6F3" w:rsidR="00F24D1D" w:rsidRPr="00FA1A19" w:rsidRDefault="00F24D1D" w:rsidP="00797B8A">
      <w:r w:rsidRPr="00FA1A19">
        <w:t>The following table provides a high</w:t>
      </w:r>
      <w:r w:rsidR="00F75232">
        <w:noBreakHyphen/>
      </w:r>
      <w:r w:rsidRPr="00FA1A19">
        <w:t xml:space="preserve">level overview of relevant areas that would need to be considered in exploring a taxing regime which requires the taxpayer to report the net movement in crypto asset holdings throughout the period. </w:t>
      </w:r>
    </w:p>
    <w:p w14:paraId="1478A6D0" w14:textId="47EF7183" w:rsidR="00F24D1D" w:rsidRPr="00FA1A19" w:rsidRDefault="00F24D1D" w:rsidP="00797B8A">
      <w:pPr>
        <w:pStyle w:val="SingleParagraph"/>
      </w:pPr>
    </w:p>
    <w:tbl>
      <w:tblPr>
        <w:tblStyle w:val="ListTable3-Accent1"/>
        <w:tblW w:w="5000" w:type="pct"/>
        <w:tblBorders>
          <w:insideV w:val="single" w:sz="4" w:space="0" w:color="142147" w:themeColor="accent1"/>
        </w:tblBorders>
        <w:tblLook w:val="0420" w:firstRow="1" w:lastRow="0" w:firstColumn="0" w:lastColumn="0" w:noHBand="0" w:noVBand="1"/>
      </w:tblPr>
      <w:tblGrid>
        <w:gridCol w:w="3210"/>
        <w:gridCol w:w="3210"/>
        <w:gridCol w:w="3211"/>
      </w:tblGrid>
      <w:tr w:rsidR="00F24D1D" w:rsidRPr="00FA1A19" w14:paraId="1CEA4EAE" w14:textId="77777777" w:rsidTr="00EB09BD">
        <w:trPr>
          <w:cnfStyle w:val="100000000000" w:firstRow="1" w:lastRow="0" w:firstColumn="0" w:lastColumn="0" w:oddVBand="0" w:evenVBand="0" w:oddHBand="0" w:evenHBand="0" w:firstRowFirstColumn="0" w:firstRowLastColumn="0" w:lastRowFirstColumn="0" w:lastRowLastColumn="0"/>
          <w:tblHeader/>
        </w:trPr>
        <w:tc>
          <w:tcPr>
            <w:tcW w:w="1666" w:type="pct"/>
          </w:tcPr>
          <w:p w14:paraId="73A439A0" w14:textId="0572B9BE" w:rsidR="00F24D1D" w:rsidRPr="00FA1A19" w:rsidRDefault="00F37E87" w:rsidP="00797B8A">
            <w:pPr>
              <w:pStyle w:val="TableColumnHeadingLeft"/>
            </w:pPr>
            <w:r w:rsidRPr="00FA1A19">
              <w:t xml:space="preserve">Proposal / </w:t>
            </w:r>
            <w:r>
              <w:t>S</w:t>
            </w:r>
            <w:r w:rsidRPr="00FA1A19">
              <w:t>olution</w:t>
            </w:r>
          </w:p>
        </w:tc>
        <w:tc>
          <w:tcPr>
            <w:tcW w:w="1666" w:type="pct"/>
          </w:tcPr>
          <w:p w14:paraId="7E439493" w14:textId="6FCA6D5A" w:rsidR="00F24D1D" w:rsidRPr="00FA1A19" w:rsidRDefault="00F37E87" w:rsidP="00797B8A">
            <w:pPr>
              <w:pStyle w:val="TableColumnHeadingLeft"/>
            </w:pPr>
            <w:r w:rsidRPr="00FA1A19">
              <w:t xml:space="preserve">Perceived rationale </w:t>
            </w:r>
            <w:r w:rsidR="00EB09BD">
              <w:br/>
            </w:r>
            <w:r w:rsidRPr="00FA1A19">
              <w:t>and benefits</w:t>
            </w:r>
          </w:p>
        </w:tc>
        <w:tc>
          <w:tcPr>
            <w:tcW w:w="1667" w:type="pct"/>
          </w:tcPr>
          <w:p w14:paraId="01A7C983" w14:textId="664D85A5" w:rsidR="00F24D1D" w:rsidRPr="00FA1A19" w:rsidRDefault="00F37E87" w:rsidP="00797B8A">
            <w:pPr>
              <w:pStyle w:val="TableColumnHeadingLeft"/>
            </w:pPr>
            <w:r w:rsidRPr="00FA1A19">
              <w:t>Preliminary assessment of issues and sensitivities</w:t>
            </w:r>
          </w:p>
        </w:tc>
      </w:tr>
      <w:tr w:rsidR="00F24D1D" w:rsidRPr="00FA1A19" w14:paraId="79206FC3" w14:textId="77777777" w:rsidTr="00EB09BD">
        <w:trPr>
          <w:cnfStyle w:val="000000100000" w:firstRow="0" w:lastRow="0" w:firstColumn="0" w:lastColumn="0" w:oddVBand="0" w:evenVBand="0" w:oddHBand="1" w:evenHBand="0" w:firstRowFirstColumn="0" w:firstRowLastColumn="0" w:lastRowFirstColumn="0" w:lastRowLastColumn="0"/>
          <w:trHeight w:val="1175"/>
        </w:trPr>
        <w:tc>
          <w:tcPr>
            <w:tcW w:w="1666" w:type="pct"/>
            <w:hideMark/>
          </w:tcPr>
          <w:p w14:paraId="118AE34D" w14:textId="19AF55C5" w:rsidR="00F24D1D" w:rsidRPr="00FA1A19" w:rsidRDefault="00FF7B9D" w:rsidP="00797B8A">
            <w:pPr>
              <w:pStyle w:val="TableTextLeft"/>
            </w:pPr>
            <w:r w:rsidRPr="00FA1A19">
              <w:t xml:space="preserve">Proposal is similar to </w:t>
            </w:r>
            <w:r w:rsidR="00F24D1D" w:rsidRPr="00FA1A19">
              <w:t>a modified trading stock regime</w:t>
            </w:r>
            <w:r w:rsidRPr="00FA1A19">
              <w:t>, where p</w:t>
            </w:r>
            <w:r w:rsidR="00F24D1D" w:rsidRPr="00FA1A19">
              <w:t>urchases of crypto assets are deductible</w:t>
            </w:r>
            <w:r w:rsidRPr="00FA1A19">
              <w:t xml:space="preserve"> and an a</w:t>
            </w:r>
            <w:r w:rsidR="00F24D1D" w:rsidRPr="00FA1A19">
              <w:t>mount is included in assessable income when a crypto asset is converted to fiat currency or exchanged for goods and services.</w:t>
            </w:r>
          </w:p>
          <w:p w14:paraId="183EBBA5" w14:textId="0B01496D" w:rsidR="00F24D1D" w:rsidRPr="00CC447D" w:rsidRDefault="00F24D1D" w:rsidP="00797B8A">
            <w:pPr>
              <w:pStyle w:val="TableTextLeft"/>
              <w:rPr>
                <w:rStyle w:val="Strong"/>
                <w:b w:val="0"/>
                <w:bCs w:val="0"/>
              </w:rPr>
            </w:pPr>
            <w:r w:rsidRPr="00CC447D">
              <w:rPr>
                <w:rStyle w:val="Strong"/>
                <w:b w:val="0"/>
                <w:bCs w:val="0"/>
              </w:rPr>
              <w:t>At the end of each year</w:t>
            </w:r>
            <w:r w:rsidR="00396A5B" w:rsidRPr="00CC447D">
              <w:rPr>
                <w:rStyle w:val="Strong"/>
                <w:b w:val="0"/>
                <w:bCs w:val="0"/>
              </w:rPr>
              <w:t xml:space="preserve"> the movement in the market value of crypto assets held at the end of the year versus the start of the year is</w:t>
            </w:r>
            <w:r w:rsidRPr="00CC447D">
              <w:rPr>
                <w:rStyle w:val="Strong"/>
                <w:b w:val="0"/>
                <w:bCs w:val="0"/>
              </w:rPr>
              <w:t>:</w:t>
            </w:r>
          </w:p>
          <w:p w14:paraId="39B16509" w14:textId="7D39257C" w:rsidR="00F24D1D" w:rsidRPr="00EB09BD" w:rsidRDefault="00F24D1D" w:rsidP="00EB09BD">
            <w:pPr>
              <w:pStyle w:val="TableTextLeftBullet"/>
            </w:pPr>
            <w:r w:rsidRPr="00FA1A19">
              <w:t>assessable</w:t>
            </w:r>
            <w:r w:rsidR="00396A5B" w:rsidRPr="00FA1A19">
              <w:t xml:space="preserve"> </w:t>
            </w:r>
            <w:r w:rsidR="00396A5B" w:rsidRPr="00EB09BD">
              <w:t>where there is an increase in market value</w:t>
            </w:r>
          </w:p>
          <w:p w14:paraId="3250A902" w14:textId="358ED18F" w:rsidR="00F24D1D" w:rsidRPr="00797B8A" w:rsidRDefault="00F24D1D" w:rsidP="00EB09BD">
            <w:pPr>
              <w:pStyle w:val="TableTextLeftBullet"/>
              <w:rPr>
                <w:rFonts w:ascii="Arial" w:hAnsi="Arial" w:cs="Arial"/>
              </w:rPr>
            </w:pPr>
            <w:r w:rsidRPr="00EB09BD">
              <w:t>de</w:t>
            </w:r>
            <w:r w:rsidR="00396A5B" w:rsidRPr="00EB09BD">
              <w:t>ductible where there is a de</w:t>
            </w:r>
            <w:r w:rsidRPr="00EB09BD">
              <w:t xml:space="preserve">crease in </w:t>
            </w:r>
            <w:r w:rsidR="00396A5B" w:rsidRPr="00EB09BD">
              <w:t>market</w:t>
            </w:r>
            <w:r w:rsidR="00396A5B" w:rsidRPr="00FA1A19">
              <w:t xml:space="preserve"> </w:t>
            </w:r>
            <w:r w:rsidRPr="00FA1A19">
              <w:t>value</w:t>
            </w:r>
            <w:r w:rsidR="00396A5B" w:rsidRPr="00FA1A19">
              <w:t>.</w:t>
            </w:r>
            <w:r w:rsidRPr="00FA1A19">
              <w:t xml:space="preserve"> </w:t>
            </w:r>
          </w:p>
        </w:tc>
        <w:tc>
          <w:tcPr>
            <w:tcW w:w="1666" w:type="pct"/>
            <w:hideMark/>
          </w:tcPr>
          <w:p w14:paraId="7B255074" w14:textId="6C9A4743" w:rsidR="00F24D1D" w:rsidRPr="00FA1A19" w:rsidRDefault="00F24D1D" w:rsidP="00797B8A">
            <w:pPr>
              <w:pStyle w:val="TableTextLeft"/>
            </w:pPr>
            <w:r w:rsidRPr="00FA1A19">
              <w:t xml:space="preserve">Potentially simplifies the application of the tax rules to crypto </w:t>
            </w:r>
            <w:r w:rsidR="00735FEC" w:rsidRPr="00FA1A19">
              <w:t xml:space="preserve">asset </w:t>
            </w:r>
            <w:r w:rsidRPr="00FA1A19">
              <w:t>transactions</w:t>
            </w:r>
            <w:r w:rsidR="00735FEC" w:rsidRPr="00FA1A19">
              <w:t xml:space="preserve"> as there would be no requirement</w:t>
            </w:r>
            <w:r w:rsidRPr="00FA1A19">
              <w:t xml:space="preserve"> to assess </w:t>
            </w:r>
            <w:r w:rsidR="00735FEC" w:rsidRPr="00FA1A19">
              <w:t xml:space="preserve">the tax </w:t>
            </w:r>
            <w:r w:rsidRPr="00FA1A19">
              <w:t xml:space="preserve">implications of crypto </w:t>
            </w:r>
            <w:r w:rsidR="00735FEC" w:rsidRPr="00FA1A19">
              <w:t>asset</w:t>
            </w:r>
            <w:r w:rsidR="00EC1A27">
              <w:t>-</w:t>
            </w:r>
            <w:r w:rsidRPr="00FA1A19">
              <w:t>to</w:t>
            </w:r>
            <w:r w:rsidR="00EC1A27">
              <w:t>-</w:t>
            </w:r>
            <w:r w:rsidRPr="00FA1A19">
              <w:t xml:space="preserve">crypto </w:t>
            </w:r>
            <w:r w:rsidR="00735FEC" w:rsidRPr="00FA1A19">
              <w:t xml:space="preserve">asset </w:t>
            </w:r>
            <w:r w:rsidRPr="00FA1A19">
              <w:t>transactions</w:t>
            </w:r>
            <w:r w:rsidR="00735FEC" w:rsidRPr="00FA1A19">
              <w:t>.</w:t>
            </w:r>
          </w:p>
        </w:tc>
        <w:tc>
          <w:tcPr>
            <w:tcW w:w="1667" w:type="pct"/>
            <w:hideMark/>
          </w:tcPr>
          <w:p w14:paraId="26D8E4E8" w14:textId="77777777" w:rsidR="00735FEC" w:rsidRPr="00FA1A19" w:rsidRDefault="00735FEC" w:rsidP="00797B8A">
            <w:pPr>
              <w:pStyle w:val="TableTextLeft"/>
            </w:pPr>
            <w:r w:rsidRPr="00FA1A19">
              <w:t>Crypto assets need to be defined for the purposes of the regime. Additionally there may be the need for definitional flexibility or changes over time.</w:t>
            </w:r>
          </w:p>
          <w:p w14:paraId="6030B777" w14:textId="0BA38B35" w:rsidR="00F24D1D" w:rsidRPr="00FA1A19" w:rsidRDefault="00F24D1D" w:rsidP="00797B8A">
            <w:pPr>
              <w:pStyle w:val="TableTextLeft"/>
              <w:rPr>
                <w:rFonts w:cs="Calibri"/>
              </w:rPr>
            </w:pPr>
            <w:r w:rsidRPr="00FA1A19">
              <w:rPr>
                <w:rFonts w:cs="Calibri"/>
              </w:rPr>
              <w:t>Tax treatment applied to crypto assets may differ from other assets</w:t>
            </w:r>
            <w:r w:rsidR="006C586D">
              <w:rPr>
                <w:rFonts w:cs="Calibri"/>
              </w:rPr>
              <w:t>; and may breach the equity and functional neutrality principle (see chapter 5).</w:t>
            </w:r>
          </w:p>
          <w:p w14:paraId="36C5BC1A" w14:textId="2118F7B5" w:rsidR="00F24D1D" w:rsidRPr="00797B8A" w:rsidRDefault="00735FEC" w:rsidP="00797B8A">
            <w:pPr>
              <w:pStyle w:val="TableTextLeft"/>
            </w:pPr>
            <w:r w:rsidRPr="00FA1A19">
              <w:t xml:space="preserve">May result in a </w:t>
            </w:r>
            <w:r w:rsidR="00F24D1D" w:rsidRPr="00FA1A19">
              <w:t>revenue impact</w:t>
            </w:r>
            <w:r w:rsidRPr="00FA1A19">
              <w:t xml:space="preserve"> as there is</w:t>
            </w:r>
            <w:r w:rsidR="00F24D1D" w:rsidRPr="00FA1A19">
              <w:t xml:space="preserve"> no taxing event for crypto</w:t>
            </w:r>
            <w:r w:rsidRPr="00FA1A19">
              <w:t xml:space="preserve"> asset</w:t>
            </w:r>
            <w:r w:rsidR="006C586D">
              <w:t>-</w:t>
            </w:r>
            <w:r w:rsidR="00F24D1D" w:rsidRPr="00FA1A19">
              <w:t>to</w:t>
            </w:r>
            <w:r w:rsidR="006C586D">
              <w:t>-</w:t>
            </w:r>
            <w:r w:rsidR="00F24D1D" w:rsidRPr="00FA1A19">
              <w:t xml:space="preserve">crypto </w:t>
            </w:r>
            <w:r w:rsidRPr="00FA1A19">
              <w:t xml:space="preserve">asset </w:t>
            </w:r>
            <w:r w:rsidR="00F24D1D" w:rsidRPr="00FA1A19">
              <w:t>transactions</w:t>
            </w:r>
            <w:r w:rsidR="000A61C2" w:rsidRPr="00FA1A19">
              <w:t>. However</w:t>
            </w:r>
            <w:r w:rsidR="007F3445">
              <w:t>,</w:t>
            </w:r>
            <w:r w:rsidR="000A61C2" w:rsidRPr="00FA1A19">
              <w:t xml:space="preserve"> the inclusion of the</w:t>
            </w:r>
            <w:r w:rsidR="00F24D1D" w:rsidRPr="00FA1A19" w:rsidDel="000A61C2">
              <w:t xml:space="preserve"> </w:t>
            </w:r>
            <w:r w:rsidR="00F24D1D" w:rsidRPr="00FA1A19">
              <w:t xml:space="preserve">movement in the value of the crypto assets, </w:t>
            </w:r>
            <w:r w:rsidR="000A61C2" w:rsidRPr="00FA1A19">
              <w:t xml:space="preserve">may </w:t>
            </w:r>
            <w:r w:rsidR="00F24D1D" w:rsidRPr="00FA1A19">
              <w:t>reduc</w:t>
            </w:r>
            <w:r w:rsidR="000A61C2" w:rsidRPr="00FA1A19">
              <w:t>e</w:t>
            </w:r>
            <w:r w:rsidR="00F24D1D" w:rsidRPr="00FA1A19">
              <w:t xml:space="preserve"> the revenue impact of assets being </w:t>
            </w:r>
            <w:r w:rsidR="00F75232">
              <w:t>‘</w:t>
            </w:r>
            <w:r w:rsidR="00F24D1D" w:rsidRPr="00FA1A19">
              <w:t>locked</w:t>
            </w:r>
            <w:r w:rsidR="00F75232">
              <w:noBreakHyphen/>
            </w:r>
            <w:r w:rsidR="00F24D1D" w:rsidRPr="00FA1A19">
              <w:t>in</w:t>
            </w:r>
            <w:r w:rsidR="00F75232">
              <w:t>’</w:t>
            </w:r>
            <w:r w:rsidR="00F24D1D" w:rsidRPr="00FA1A19">
              <w:t xml:space="preserve"> as crypto assets. </w:t>
            </w:r>
          </w:p>
          <w:p w14:paraId="5ACDFBEC" w14:textId="2629F4CD" w:rsidR="00F24D1D" w:rsidRPr="00FA1A19" w:rsidRDefault="00F24D1D" w:rsidP="00797B8A">
            <w:pPr>
              <w:pStyle w:val="TableTextLeft"/>
            </w:pPr>
            <w:r w:rsidRPr="00FA1A19">
              <w:t>Requires consideration of policy principles underlying the proposal</w:t>
            </w:r>
            <w:r w:rsidR="0099119E" w:rsidRPr="00FA1A19">
              <w:t xml:space="preserve"> including</w:t>
            </w:r>
            <w:r w:rsidRPr="00FA1A19">
              <w:t>:</w:t>
            </w:r>
          </w:p>
          <w:p w14:paraId="2B467BB4" w14:textId="30D1348C" w:rsidR="00F24D1D" w:rsidRPr="00FA1A19" w:rsidRDefault="008513F2" w:rsidP="00EB09BD">
            <w:pPr>
              <w:pStyle w:val="TableTextLeftBullet"/>
              <w:rPr>
                <w:rFonts w:ascii="Arial" w:hAnsi="Arial" w:cs="Arial"/>
              </w:rPr>
            </w:pPr>
            <w:r w:rsidRPr="00FA1A19">
              <w:t xml:space="preserve">The appropriateness </w:t>
            </w:r>
            <w:r w:rsidR="00F24D1D" w:rsidRPr="00FA1A19">
              <w:t>of a taxing regime based on unrealised gains and losses</w:t>
            </w:r>
            <w:r w:rsidRPr="00FA1A19">
              <w:t xml:space="preserve">. Such regimes are </w:t>
            </w:r>
            <w:r w:rsidR="00F24D1D" w:rsidRPr="00FA1A19">
              <w:t xml:space="preserve">currently </w:t>
            </w:r>
            <w:r w:rsidRPr="00FA1A19">
              <w:t xml:space="preserve">only </w:t>
            </w:r>
            <w:r w:rsidR="00F24D1D" w:rsidRPr="00FA1A19">
              <w:t xml:space="preserve">used in limited circumstances and </w:t>
            </w:r>
            <w:r w:rsidRPr="00FA1A19">
              <w:t xml:space="preserve">are </w:t>
            </w:r>
            <w:r w:rsidR="00F24D1D" w:rsidRPr="00FA1A19">
              <w:t>typically elective rather than prescriptive</w:t>
            </w:r>
            <w:r w:rsidRPr="00FA1A19">
              <w:t>.</w:t>
            </w:r>
          </w:p>
          <w:p w14:paraId="3FE96DA7" w14:textId="452CC67B" w:rsidR="00F24D1D" w:rsidRPr="00FA1A19" w:rsidRDefault="008513F2" w:rsidP="00CD2D78">
            <w:pPr>
              <w:pStyle w:val="TableTextLeftBullet"/>
            </w:pPr>
            <w:r w:rsidRPr="00FA1A19">
              <w:rPr>
                <w:rFonts w:cstheme="minorBidi"/>
              </w:rPr>
              <w:t xml:space="preserve">Should </w:t>
            </w:r>
            <w:r w:rsidRPr="00FA1A19">
              <w:t>the regime be combined with other features such as quarantining of losses on crypto assets?</w:t>
            </w:r>
          </w:p>
        </w:tc>
      </w:tr>
    </w:tbl>
    <w:p w14:paraId="6C6C92B5" w14:textId="77777777" w:rsidR="00F24D1D" w:rsidRPr="00FA1A19" w:rsidRDefault="00F24D1D" w:rsidP="00797B8A">
      <w:pPr>
        <w:pStyle w:val="SingleParagraph"/>
      </w:pPr>
    </w:p>
    <w:p w14:paraId="615817D3" w14:textId="3D968C2D" w:rsidR="00B177CE" w:rsidRPr="00FA1A19" w:rsidRDefault="00B177CE">
      <w:r w:rsidRPr="00FA1A19">
        <w:t xml:space="preserve">Difficulties with a market to market and fiat conversion regime would include </w:t>
      </w:r>
      <w:r w:rsidR="00A249BA" w:rsidRPr="00FA1A19">
        <w:t>the taxing of unrealised gains in a volatile market such as crypto.</w:t>
      </w:r>
    </w:p>
    <w:p w14:paraId="2D98E062" w14:textId="56ABFF70" w:rsidR="00F24D1D" w:rsidRPr="00FA1A19" w:rsidRDefault="007467CF" w:rsidP="0069352C">
      <w:pPr>
        <w:pStyle w:val="Heading2"/>
      </w:pPr>
      <w:bookmarkStart w:id="164" w:name="_Toc159513645"/>
      <w:r w:rsidRPr="00FA1A19">
        <w:t>Potential crypto</w:t>
      </w:r>
      <w:r w:rsidR="00F75232">
        <w:noBreakHyphen/>
      </w:r>
      <w:r w:rsidRPr="00FA1A19">
        <w:t xml:space="preserve">specific indirect tax </w:t>
      </w:r>
      <w:r w:rsidRPr="00797B8A">
        <w:t>regimes</w:t>
      </w:r>
      <w:bookmarkEnd w:id="164"/>
    </w:p>
    <w:p w14:paraId="5CE4CC97" w14:textId="77777777" w:rsidR="00F24D1D" w:rsidRPr="00FA1A19" w:rsidRDefault="00F24D1D" w:rsidP="00797B8A">
      <w:pPr>
        <w:pStyle w:val="Heading3"/>
      </w:pPr>
      <w:r w:rsidRPr="00FA1A19">
        <w:rPr>
          <w:rFonts w:eastAsiaTheme="majorEastAsia"/>
        </w:rPr>
        <w:t>Introduction</w:t>
      </w:r>
    </w:p>
    <w:p w14:paraId="6D99E4EE" w14:textId="408DD376" w:rsidR="00ED4E9C" w:rsidRPr="00FA1A19" w:rsidRDefault="00ED4E9C" w:rsidP="00ED4E9C">
      <w:r w:rsidRPr="00FA1A19">
        <w:t>This second section of this chapter considers the following potential indirect tax crypto</w:t>
      </w:r>
      <w:r w:rsidR="00F75232">
        <w:noBreakHyphen/>
      </w:r>
      <w:r w:rsidRPr="00FA1A19">
        <w:t>specific legislative regimes:</w:t>
      </w:r>
    </w:p>
    <w:p w14:paraId="43F07453" w14:textId="3C2CF3A2" w:rsidR="00ED4E9C" w:rsidRPr="00FA1A19" w:rsidRDefault="00ED4E9C" w:rsidP="00797B8A">
      <w:pPr>
        <w:pStyle w:val="Bullet"/>
      </w:pPr>
      <w:r w:rsidRPr="00FA1A19">
        <w:t>Digital Services Tax</w:t>
      </w:r>
    </w:p>
    <w:p w14:paraId="7AAB6359" w14:textId="03D289E1" w:rsidR="00ED4E9C" w:rsidRPr="00FA1A19" w:rsidRDefault="00ED4E9C" w:rsidP="00797B8A">
      <w:pPr>
        <w:pStyle w:val="Bullet"/>
      </w:pPr>
      <w:r w:rsidRPr="00FA1A19">
        <w:t>Excise Tax</w:t>
      </w:r>
    </w:p>
    <w:p w14:paraId="1C0F4D50" w14:textId="4D073625" w:rsidR="00ED4E9C" w:rsidRPr="00FA1A19" w:rsidRDefault="00ED4E9C" w:rsidP="00797B8A">
      <w:pPr>
        <w:pStyle w:val="Bullet"/>
      </w:pPr>
      <w:r w:rsidRPr="00FA1A19">
        <w:t>Gross</w:t>
      </w:r>
      <w:r w:rsidR="00F75232">
        <w:noBreakHyphen/>
      </w:r>
      <w:r w:rsidRPr="00FA1A19">
        <w:t>based withholding tax.</w:t>
      </w:r>
    </w:p>
    <w:p w14:paraId="3B6474BE" w14:textId="710557E2" w:rsidR="00F24D1D" w:rsidRPr="00FA1A19" w:rsidRDefault="00F91A9C" w:rsidP="00797B8A">
      <w:pPr>
        <w:pStyle w:val="Heading3"/>
      </w:pPr>
      <w:r w:rsidRPr="00FA1A19">
        <w:t xml:space="preserve">Option 1: </w:t>
      </w:r>
      <w:r w:rsidR="00F24D1D" w:rsidRPr="00797B8A">
        <w:t>Digital</w:t>
      </w:r>
      <w:r w:rsidR="00F24D1D" w:rsidRPr="00FA1A19">
        <w:t xml:space="preserve"> Services Tax</w:t>
      </w:r>
    </w:p>
    <w:p w14:paraId="5DE73062" w14:textId="77777777" w:rsidR="00ED4E9C" w:rsidRPr="00FA1A19" w:rsidRDefault="00ED4E9C" w:rsidP="00ED4E9C">
      <w:r w:rsidRPr="00FA1A19">
        <w:t xml:space="preserve">The Board is aware of the growing concern about the international taxation of crypto assets and more broadly the taxation of the digitalisation of the economy. Prior to the development of the OECD inclusive framework dealing with Base Erosion and Profit Shifting (BEPS), several countries dealt with this growing concern by introducing digital services taxes. </w:t>
      </w:r>
    </w:p>
    <w:p w14:paraId="3CBE6F4E" w14:textId="222FEC93" w:rsidR="00222DD3" w:rsidRPr="00FA1A19" w:rsidRDefault="00A16D9C">
      <w:pPr>
        <w:autoSpaceDE w:val="0"/>
        <w:autoSpaceDN w:val="0"/>
        <w:adjustRightInd w:val="0"/>
        <w:spacing w:after="0"/>
        <w:rPr>
          <w:rFonts w:asciiTheme="minorHAnsi" w:eastAsiaTheme="minorHAnsi" w:hAnsiTheme="minorHAnsi" w:cstheme="minorHAnsi"/>
          <w:lang w:eastAsia="en-US"/>
        </w:rPr>
      </w:pPr>
      <w:r w:rsidRPr="00FA1A19">
        <w:rPr>
          <w:rFonts w:asciiTheme="minorHAnsi" w:eastAsiaTheme="minorHAnsi" w:hAnsiTheme="minorHAnsi" w:cstheme="minorHAnsi"/>
          <w:lang w:eastAsia="en-US"/>
        </w:rPr>
        <w:t>A Digital Services Tax (DST)</w:t>
      </w:r>
      <w:r w:rsidR="00222DD3" w:rsidRPr="00FA1A19">
        <w:rPr>
          <w:rFonts w:asciiTheme="minorHAnsi" w:eastAsiaTheme="minorHAnsi" w:hAnsiTheme="minorHAnsi" w:cstheme="minorHAnsi"/>
          <w:lang w:eastAsia="en-US"/>
        </w:rPr>
        <w:t xml:space="preserve"> </w:t>
      </w:r>
      <w:r w:rsidR="007A6FB3" w:rsidRPr="00FA1A19">
        <w:rPr>
          <w:rFonts w:asciiTheme="minorHAnsi" w:eastAsiaTheme="minorHAnsi" w:hAnsiTheme="minorHAnsi" w:cstheme="minorHAnsi"/>
          <w:lang w:eastAsia="en-US"/>
        </w:rPr>
        <w:t xml:space="preserve">was </w:t>
      </w:r>
      <w:r w:rsidR="00222DD3" w:rsidRPr="00FA1A19">
        <w:rPr>
          <w:rFonts w:asciiTheme="minorHAnsi" w:eastAsiaTheme="minorHAnsi" w:hAnsiTheme="minorHAnsi" w:cstheme="minorHAnsi"/>
          <w:lang w:eastAsia="en-US"/>
        </w:rPr>
        <w:t xml:space="preserve">described </w:t>
      </w:r>
      <w:r w:rsidR="007A6FB3" w:rsidRPr="00FA1A19">
        <w:rPr>
          <w:rFonts w:asciiTheme="minorHAnsi" w:eastAsiaTheme="minorHAnsi" w:hAnsiTheme="minorHAnsi" w:cstheme="minorHAnsi"/>
          <w:lang w:eastAsia="en-US"/>
        </w:rPr>
        <w:t xml:space="preserve">in 2020 </w:t>
      </w:r>
      <w:r w:rsidR="00222DD3" w:rsidRPr="00FA1A19">
        <w:rPr>
          <w:rFonts w:asciiTheme="minorHAnsi" w:eastAsiaTheme="minorHAnsi" w:hAnsiTheme="minorHAnsi" w:cstheme="minorHAnsi"/>
          <w:lang w:eastAsia="en-US"/>
        </w:rPr>
        <w:t>as:</w:t>
      </w:r>
    </w:p>
    <w:p w14:paraId="1B66136C" w14:textId="12045359" w:rsidR="00222DD3" w:rsidRPr="00FA1A19" w:rsidRDefault="00A16D9C" w:rsidP="004B75D8">
      <w:pPr>
        <w:pStyle w:val="Quote"/>
        <w:rPr>
          <w:rFonts w:eastAsiaTheme="minorHAnsi"/>
          <w:lang w:eastAsia="en-US"/>
        </w:rPr>
      </w:pPr>
      <w:r w:rsidRPr="00FA1A19">
        <w:rPr>
          <w:rFonts w:eastAsiaTheme="minorHAnsi"/>
          <w:lang w:eastAsia="en-US"/>
        </w:rPr>
        <w:t>a tax on selected revenue streams of multinational digital companies.</w:t>
      </w:r>
      <w:r w:rsidR="004F0A51" w:rsidRPr="00FA1A19">
        <w:rPr>
          <w:rFonts w:eastAsiaTheme="minorHAnsi"/>
          <w:lang w:eastAsia="en-US"/>
        </w:rPr>
        <w:t xml:space="preserve"> </w:t>
      </w:r>
      <w:r w:rsidR="00222DD3" w:rsidRPr="00FA1A19">
        <w:rPr>
          <w:rFonts w:eastAsiaTheme="minorHAnsi"/>
          <w:lang w:eastAsia="en-US"/>
        </w:rPr>
        <w:t xml:space="preserve">Revenue streams that may be taxed </w:t>
      </w:r>
      <w:r w:rsidR="00222DD3" w:rsidRPr="00FA1A19">
        <w:rPr>
          <w:rFonts w:eastAsiaTheme="minorHAnsi"/>
        </w:rPr>
        <w:t>by</w:t>
      </w:r>
      <w:r w:rsidR="00222DD3" w:rsidRPr="00FA1A19">
        <w:rPr>
          <w:rFonts w:eastAsiaTheme="minorHAnsi"/>
          <w:lang w:eastAsia="en-US"/>
        </w:rPr>
        <w:t xml:space="preserve"> a country include advertising, intermediation, and digital marketplaces and data transmission.</w:t>
      </w:r>
      <w:r w:rsidR="004F0A51" w:rsidRPr="00FA1A19">
        <w:rPr>
          <w:rFonts w:eastAsiaTheme="minorHAnsi"/>
          <w:lang w:eastAsia="en-US"/>
        </w:rPr>
        <w:t xml:space="preserve"> </w:t>
      </w:r>
      <w:r w:rsidR="00222DD3" w:rsidRPr="00FA1A19">
        <w:rPr>
          <w:rFonts w:eastAsiaTheme="minorHAnsi"/>
          <w:lang w:eastAsia="en-US"/>
        </w:rPr>
        <w:t>The rationale for the DST is to attempt to capture profits that are generated in a country but then sifted offshore by digital MNEs</w:t>
      </w:r>
      <w:r w:rsidR="002A493F" w:rsidRPr="00FA1A19">
        <w:rPr>
          <w:rFonts w:eastAsiaTheme="minorHAnsi"/>
          <w:lang w:eastAsia="en-US"/>
        </w:rPr>
        <w:t xml:space="preserve"> [multinational enterprises]</w:t>
      </w:r>
      <w:r w:rsidR="00222DD3" w:rsidRPr="00FA1A19">
        <w:rPr>
          <w:rFonts w:eastAsiaTheme="minorHAnsi"/>
          <w:lang w:eastAsia="en-US"/>
        </w:rPr>
        <w:t>.</w:t>
      </w:r>
    </w:p>
    <w:p w14:paraId="57F4A902" w14:textId="194E1BE9" w:rsidR="002A493F" w:rsidRPr="00FA1A19" w:rsidRDefault="007A6FB3" w:rsidP="004B75D8">
      <w:pPr>
        <w:pStyle w:val="Quote"/>
        <w:rPr>
          <w:rFonts w:eastAsiaTheme="minorHAnsi"/>
          <w:lang w:eastAsia="en-US"/>
        </w:rPr>
      </w:pPr>
      <w:r w:rsidRPr="00FA1A19">
        <w:rPr>
          <w:rFonts w:eastAsiaTheme="minorHAnsi"/>
          <w:lang w:eastAsia="en-US"/>
        </w:rPr>
        <w:t>The DSTs implemented to date generally have a very high tax</w:t>
      </w:r>
      <w:r w:rsidR="00F75232">
        <w:rPr>
          <w:rFonts w:eastAsiaTheme="minorHAnsi"/>
          <w:lang w:eastAsia="en-US"/>
        </w:rPr>
        <w:noBreakHyphen/>
      </w:r>
      <w:r w:rsidRPr="00FA1A19">
        <w:rPr>
          <w:rFonts w:eastAsiaTheme="minorHAnsi"/>
          <w:lang w:eastAsia="en-US"/>
        </w:rPr>
        <w:t xml:space="preserve">free threshold which ensures that the tax only applies to large MNEs which are thought to make a significant amount of profit in the domestic </w:t>
      </w:r>
      <w:r w:rsidRPr="00FA1A19">
        <w:rPr>
          <w:rFonts w:eastAsiaTheme="minorHAnsi"/>
        </w:rPr>
        <w:t>country</w:t>
      </w:r>
      <w:r w:rsidRPr="00FA1A19">
        <w:rPr>
          <w:rFonts w:eastAsiaTheme="minorHAnsi"/>
          <w:lang w:eastAsia="en-US"/>
        </w:rPr>
        <w:t>.</w:t>
      </w:r>
      <w:r w:rsidR="004F0A51" w:rsidRPr="00FA1A19">
        <w:rPr>
          <w:rFonts w:eastAsiaTheme="minorHAnsi"/>
          <w:lang w:eastAsia="en-US"/>
        </w:rPr>
        <w:t xml:space="preserve"> </w:t>
      </w:r>
      <w:r w:rsidRPr="00FA1A19">
        <w:rPr>
          <w:rFonts w:eastAsiaTheme="minorHAnsi"/>
          <w:lang w:eastAsia="en-US"/>
        </w:rPr>
        <w:t>By con</w:t>
      </w:r>
      <w:r w:rsidR="00F83A01" w:rsidRPr="00FA1A19">
        <w:rPr>
          <w:rFonts w:eastAsiaTheme="minorHAnsi"/>
          <w:lang w:eastAsia="en-US"/>
        </w:rPr>
        <w:t>s</w:t>
      </w:r>
      <w:r w:rsidRPr="00FA1A19">
        <w:rPr>
          <w:rFonts w:eastAsiaTheme="minorHAnsi"/>
          <w:lang w:eastAsia="en-US"/>
        </w:rPr>
        <w:t xml:space="preserve">truction it is usually targeted at Google, Apple, Facebook and Amazon and is thus known as the </w:t>
      </w:r>
      <w:r w:rsidR="00F75232">
        <w:rPr>
          <w:rFonts w:eastAsiaTheme="minorHAnsi"/>
          <w:lang w:eastAsia="en-US"/>
        </w:rPr>
        <w:t>“</w:t>
      </w:r>
      <w:r w:rsidRPr="00FA1A19">
        <w:rPr>
          <w:rFonts w:eastAsiaTheme="minorHAnsi"/>
          <w:lang w:eastAsia="en-US"/>
        </w:rPr>
        <w:t>GAFA tax</w:t>
      </w:r>
      <w:r w:rsidR="00F75232">
        <w:rPr>
          <w:rFonts w:eastAsiaTheme="minorHAnsi"/>
          <w:lang w:eastAsia="en-US"/>
        </w:rPr>
        <w:t>”</w:t>
      </w:r>
      <w:r w:rsidRPr="00FA1A19">
        <w:rPr>
          <w:rFonts w:eastAsiaTheme="minorHAnsi"/>
          <w:lang w:eastAsia="en-US"/>
        </w:rPr>
        <w:t>.</w:t>
      </w:r>
      <w:r w:rsidR="004F0A51" w:rsidRPr="00FA1A19">
        <w:rPr>
          <w:rFonts w:eastAsiaTheme="minorHAnsi"/>
          <w:lang w:eastAsia="en-US"/>
        </w:rPr>
        <w:t xml:space="preserve"> </w:t>
      </w:r>
      <w:r w:rsidR="000359E8" w:rsidRPr="00FA1A19">
        <w:rPr>
          <w:rFonts w:eastAsiaTheme="minorHAnsi"/>
          <w:lang w:eastAsia="en-US"/>
        </w:rPr>
        <w:t>DSTs have gained political traction and media attention over the past few years, particularly in light of the high profile of these companies.</w:t>
      </w:r>
      <w:r w:rsidR="000359E8" w:rsidRPr="00170ADC">
        <w:rPr>
          <w:rStyle w:val="FootnoteReference"/>
          <w:rFonts w:eastAsiaTheme="minorHAnsi"/>
        </w:rPr>
        <w:footnoteReference w:id="681"/>
      </w:r>
    </w:p>
    <w:p w14:paraId="7559A8D0" w14:textId="0F23AF28" w:rsidR="00F24D1D" w:rsidRPr="00FA1A19" w:rsidRDefault="00F24D1D">
      <w:pPr>
        <w:rPr>
          <w:rFonts w:asciiTheme="minorHAnsi" w:hAnsiTheme="minorHAnsi" w:cstheme="minorHAnsi"/>
        </w:rPr>
      </w:pPr>
      <w:r w:rsidRPr="00FA1A19">
        <w:rPr>
          <w:rFonts w:asciiTheme="minorHAnsi" w:hAnsiTheme="minorHAnsi" w:cstheme="minorHAnsi"/>
        </w:rPr>
        <w:t>Sanger and Thomas have analysed the European Commission</w:t>
      </w:r>
      <w:r w:rsidR="00F75232">
        <w:rPr>
          <w:rFonts w:asciiTheme="minorHAnsi" w:hAnsiTheme="minorHAnsi" w:cstheme="minorHAnsi"/>
        </w:rPr>
        <w:t>’</w:t>
      </w:r>
      <w:r w:rsidRPr="00FA1A19">
        <w:rPr>
          <w:rFonts w:asciiTheme="minorHAnsi" w:hAnsiTheme="minorHAnsi" w:cstheme="minorHAnsi"/>
        </w:rPr>
        <w:t>s (EC) two digital tax proposals:</w:t>
      </w:r>
    </w:p>
    <w:p w14:paraId="0BAE2349" w14:textId="33BE58A1" w:rsidR="00F24D1D" w:rsidRPr="00FA1A19" w:rsidRDefault="00F75232" w:rsidP="00797B8A">
      <w:pPr>
        <w:pStyle w:val="Bullet"/>
        <w:rPr>
          <w:rFonts w:eastAsiaTheme="majorEastAsia" w:cstheme="minorHAnsi"/>
        </w:rPr>
      </w:pPr>
      <w:r>
        <w:rPr>
          <w:rFonts w:eastAsiaTheme="majorEastAsia"/>
        </w:rPr>
        <w:t>‘</w:t>
      </w:r>
      <w:r w:rsidR="00F24D1D" w:rsidRPr="00FA1A19">
        <w:rPr>
          <w:rFonts w:eastAsiaTheme="majorEastAsia"/>
        </w:rPr>
        <w:t xml:space="preserve">The first proposal is described as an </w:t>
      </w:r>
      <w:r>
        <w:rPr>
          <w:rFonts w:eastAsiaTheme="majorEastAsia"/>
        </w:rPr>
        <w:t>‘</w:t>
      </w:r>
      <w:r w:rsidR="00F24D1D" w:rsidRPr="00FA1A19">
        <w:rPr>
          <w:rFonts w:eastAsiaTheme="majorEastAsia"/>
        </w:rPr>
        <w:t>interim</w:t>
      </w:r>
      <w:r>
        <w:rPr>
          <w:rFonts w:eastAsiaTheme="majorEastAsia"/>
        </w:rPr>
        <w:t>’</w:t>
      </w:r>
      <w:r w:rsidR="00F24D1D" w:rsidRPr="00FA1A19">
        <w:rPr>
          <w:rFonts w:eastAsiaTheme="majorEastAsia"/>
        </w:rPr>
        <w:t xml:space="preserve"> 3% digital services tax (DST) on gross revenues (i.e. turnover) derived from activities in which users are deemed to play a major role in value creation</w:t>
      </w:r>
      <w:r w:rsidR="00CC447D">
        <w:rPr>
          <w:rFonts w:eastAsiaTheme="majorEastAsia"/>
        </w:rPr>
        <w:t>.</w:t>
      </w:r>
    </w:p>
    <w:p w14:paraId="328C5467" w14:textId="75270935" w:rsidR="00F24D1D" w:rsidRPr="00FA1A19" w:rsidRDefault="00F24D1D" w:rsidP="00797B8A">
      <w:pPr>
        <w:pStyle w:val="Bullet"/>
        <w:rPr>
          <w:rFonts w:eastAsiaTheme="majorEastAsia" w:cstheme="minorHAnsi"/>
        </w:rPr>
      </w:pPr>
      <w:r w:rsidRPr="00FA1A19">
        <w:rPr>
          <w:rFonts w:eastAsiaTheme="majorEastAsia"/>
        </w:rPr>
        <w:t>The Commission</w:t>
      </w:r>
      <w:r w:rsidR="00F75232">
        <w:rPr>
          <w:rFonts w:eastAsiaTheme="majorEastAsia"/>
        </w:rPr>
        <w:t>’</w:t>
      </w:r>
      <w:r w:rsidRPr="00FA1A19">
        <w:rPr>
          <w:rFonts w:eastAsiaTheme="majorEastAsia"/>
        </w:rPr>
        <w:t>s second, longer</w:t>
      </w:r>
      <w:r w:rsidR="00F75232">
        <w:rPr>
          <w:rFonts w:eastAsiaTheme="majorEastAsia"/>
        </w:rPr>
        <w:noBreakHyphen/>
      </w:r>
      <w:r w:rsidRPr="00FA1A19">
        <w:rPr>
          <w:rFonts w:eastAsiaTheme="majorEastAsia"/>
        </w:rPr>
        <w:t xml:space="preserve">term proposal is far broader, with more than 50 different digital activities potentially subject to tax. A </w:t>
      </w:r>
      <w:r w:rsidR="00F75232">
        <w:rPr>
          <w:rFonts w:eastAsiaTheme="majorEastAsia"/>
        </w:rPr>
        <w:t>‘</w:t>
      </w:r>
      <w:r w:rsidRPr="00FA1A19">
        <w:rPr>
          <w:rFonts w:eastAsiaTheme="majorEastAsia"/>
        </w:rPr>
        <w:t>significant digital presence</w:t>
      </w:r>
      <w:r w:rsidR="00F75232">
        <w:rPr>
          <w:rFonts w:eastAsiaTheme="majorEastAsia"/>
        </w:rPr>
        <w:t>’</w:t>
      </w:r>
      <w:r w:rsidRPr="00FA1A19">
        <w:rPr>
          <w:rFonts w:eastAsiaTheme="majorEastAsia"/>
        </w:rPr>
        <w:t xml:space="preserve"> (SDP) concept would result in a new digital permanent establishment (PE) definition, intended to establish taxable nexus, along with revised profit allocation rules to determine how the taxes on digitally derived profits are distributed among countries.</w:t>
      </w:r>
      <w:r w:rsidR="00F75232">
        <w:rPr>
          <w:rFonts w:eastAsiaTheme="majorEastAsia"/>
        </w:rPr>
        <w:t>’</w:t>
      </w:r>
      <w:r w:rsidRPr="00170ADC">
        <w:rPr>
          <w:rStyle w:val="FootnoteReference"/>
          <w:rFonts w:eastAsiaTheme="majorEastAsia"/>
        </w:rPr>
        <w:footnoteReference w:id="682"/>
      </w:r>
    </w:p>
    <w:p w14:paraId="4C8EC5B0" w14:textId="77777777" w:rsidR="00F24D1D" w:rsidRPr="00FA1A19" w:rsidRDefault="00F24D1D">
      <w:pPr>
        <w:autoSpaceDE w:val="0"/>
        <w:autoSpaceDN w:val="0"/>
        <w:adjustRightInd w:val="0"/>
        <w:spacing w:after="0"/>
        <w:rPr>
          <w:rFonts w:asciiTheme="minorHAnsi" w:eastAsiaTheme="minorHAnsi" w:hAnsiTheme="minorHAnsi" w:cstheme="minorHAnsi"/>
          <w:lang w:eastAsia="en-US"/>
        </w:rPr>
      </w:pPr>
      <w:r w:rsidRPr="00FA1A19">
        <w:rPr>
          <w:rFonts w:asciiTheme="minorHAnsi" w:eastAsiaTheme="minorHAnsi" w:hAnsiTheme="minorHAnsi" w:cstheme="minorHAnsi"/>
          <w:lang w:eastAsia="en-US"/>
        </w:rPr>
        <w:t>The EC was unable to find the necessary unanimous support for the proposal to be adopted. However, it has indicated that, in case the OECD does not reach an agreement, it will resume its work on taxing the digital economy.</w:t>
      </w:r>
    </w:p>
    <w:p w14:paraId="5D45B621" w14:textId="48B11A92" w:rsidR="00BE4457" w:rsidRPr="00FA1A19" w:rsidRDefault="00BE4457" w:rsidP="00BE4457">
      <w:pPr>
        <w:spacing w:before="240"/>
        <w:rPr>
          <w:szCs w:val="24"/>
        </w:rPr>
      </w:pPr>
      <w:r w:rsidRPr="00FA1A19">
        <w:rPr>
          <w:szCs w:val="24"/>
        </w:rPr>
        <w:t>If Amount A of Pillar One</w:t>
      </w:r>
      <w:r w:rsidR="00375992" w:rsidRPr="00170ADC">
        <w:rPr>
          <w:rStyle w:val="FootnoteReference"/>
        </w:rPr>
        <w:footnoteReference w:id="683"/>
      </w:r>
      <w:r w:rsidRPr="00FA1A19">
        <w:rPr>
          <w:szCs w:val="24"/>
        </w:rPr>
        <w:t xml:space="preserve"> fails to reach consensus, it is likely that many more countries will enact DSTs. DSTs generally have low rates (below 5%), are politically popular in some jurisdictions, and may have significant revenue generating potential (the UK DST brought in more revenue than expected).</w:t>
      </w:r>
    </w:p>
    <w:p w14:paraId="56690267" w14:textId="77777777" w:rsidR="00BE4457" w:rsidRPr="00FA1A19" w:rsidRDefault="00BE4457" w:rsidP="00BE4457">
      <w:pPr>
        <w:rPr>
          <w:rFonts w:asciiTheme="minorHAnsi" w:eastAsiaTheme="minorHAnsi" w:hAnsiTheme="minorHAnsi" w:cstheme="minorHAnsi"/>
          <w:lang w:eastAsia="en-US"/>
        </w:rPr>
      </w:pPr>
      <w:r w:rsidRPr="00FA1A19">
        <w:rPr>
          <w:rFonts w:asciiTheme="minorHAnsi" w:eastAsiaTheme="minorHAnsi" w:hAnsiTheme="minorHAnsi" w:cstheme="minorHAnsi"/>
          <w:lang w:eastAsia="en-US"/>
        </w:rPr>
        <w:t>However, if Amount A of Pillar One reaches consensus, the jurisdictions that ratify the agreement are expected to be required to abolish all DSTs and relevant similar measures when the agreement comes into effect.</w:t>
      </w:r>
    </w:p>
    <w:p w14:paraId="5D9D2969" w14:textId="0DB5E0CF" w:rsidR="00F24D1D" w:rsidRPr="00FA1A19" w:rsidRDefault="00F24D1D">
      <w:pPr>
        <w:rPr>
          <w:rFonts w:asciiTheme="minorHAnsi" w:eastAsiaTheme="minorHAnsi" w:hAnsiTheme="minorHAnsi" w:cstheme="minorHAnsi"/>
          <w:lang w:eastAsia="en-US"/>
        </w:rPr>
      </w:pPr>
      <w:r w:rsidRPr="00FA1A19">
        <w:rPr>
          <w:rFonts w:asciiTheme="minorHAnsi" w:eastAsiaTheme="minorHAnsi" w:hAnsiTheme="minorHAnsi" w:cstheme="minorHAnsi"/>
          <w:lang w:eastAsia="en-US"/>
        </w:rPr>
        <w:t>The new</w:t>
      </w:r>
      <w:r w:rsidR="003A3CB2" w:rsidRPr="00FA1A19">
        <w:rPr>
          <w:rFonts w:asciiTheme="minorHAnsi" w:eastAsiaTheme="minorHAnsi" w:hAnsiTheme="minorHAnsi" w:cstheme="minorHAnsi"/>
          <w:lang w:eastAsia="en-US"/>
        </w:rPr>
        <w:t>ly elected</w:t>
      </w:r>
      <w:r w:rsidRPr="00FA1A19">
        <w:rPr>
          <w:rFonts w:asciiTheme="minorHAnsi" w:eastAsiaTheme="minorHAnsi" w:hAnsiTheme="minorHAnsi" w:cstheme="minorHAnsi"/>
          <w:lang w:eastAsia="en-US"/>
        </w:rPr>
        <w:t xml:space="preserve"> </w:t>
      </w:r>
      <w:r w:rsidR="00D44290">
        <w:rPr>
          <w:rFonts w:asciiTheme="minorHAnsi" w:eastAsiaTheme="minorHAnsi" w:hAnsiTheme="minorHAnsi" w:cstheme="minorHAnsi"/>
          <w:lang w:eastAsia="en-US"/>
        </w:rPr>
        <w:t>NZ</w:t>
      </w:r>
      <w:r w:rsidRPr="00FA1A19">
        <w:rPr>
          <w:rFonts w:asciiTheme="minorHAnsi" w:eastAsiaTheme="minorHAnsi" w:hAnsiTheme="minorHAnsi" w:cstheme="minorHAnsi"/>
          <w:lang w:eastAsia="en-US"/>
        </w:rPr>
        <w:t xml:space="preserve"> Government has chosen to reinstate the Digital Services Tax Bill </w:t>
      </w:r>
      <w:r w:rsidR="00AB6AAC" w:rsidRPr="00FA1A19">
        <w:rPr>
          <w:rFonts w:asciiTheme="minorHAnsi" w:eastAsiaTheme="minorHAnsi" w:hAnsiTheme="minorHAnsi" w:cstheme="minorHAnsi"/>
          <w:lang w:eastAsia="en-US"/>
        </w:rPr>
        <w:t xml:space="preserve">tabled by the previous </w:t>
      </w:r>
      <w:r w:rsidR="006D5F98">
        <w:rPr>
          <w:rFonts w:asciiTheme="minorHAnsi" w:eastAsiaTheme="minorHAnsi" w:hAnsiTheme="minorHAnsi" w:cstheme="minorHAnsi"/>
          <w:lang w:eastAsia="en-US"/>
        </w:rPr>
        <w:t xml:space="preserve">NZ </w:t>
      </w:r>
      <w:r w:rsidR="00AB6AAC" w:rsidRPr="00FA1A19">
        <w:rPr>
          <w:rFonts w:asciiTheme="minorHAnsi" w:eastAsiaTheme="minorHAnsi" w:hAnsiTheme="minorHAnsi" w:cstheme="minorHAnsi"/>
          <w:lang w:eastAsia="en-US"/>
        </w:rPr>
        <w:t xml:space="preserve">Government </w:t>
      </w:r>
      <w:r w:rsidRPr="00FA1A19">
        <w:rPr>
          <w:rFonts w:asciiTheme="minorHAnsi" w:eastAsiaTheme="minorHAnsi" w:hAnsiTheme="minorHAnsi" w:cstheme="minorHAnsi"/>
          <w:lang w:eastAsia="en-US"/>
        </w:rPr>
        <w:t xml:space="preserve">that will </w:t>
      </w:r>
      <w:r w:rsidR="00AB6AAC" w:rsidRPr="00FA1A19">
        <w:rPr>
          <w:rFonts w:asciiTheme="minorHAnsi" w:eastAsiaTheme="minorHAnsi" w:hAnsiTheme="minorHAnsi" w:cstheme="minorHAnsi"/>
          <w:lang w:eastAsia="en-US"/>
        </w:rPr>
        <w:t xml:space="preserve">enable it </w:t>
      </w:r>
      <w:r w:rsidRPr="00FA1A19">
        <w:rPr>
          <w:rFonts w:asciiTheme="minorHAnsi" w:eastAsiaTheme="minorHAnsi" w:hAnsiTheme="minorHAnsi" w:cstheme="minorHAnsi"/>
          <w:lang w:eastAsia="en-US"/>
        </w:rPr>
        <w:t>to impose DST with effect from 1 January 2025</w:t>
      </w:r>
      <w:r w:rsidR="00984F93" w:rsidRPr="00FA1A19">
        <w:rPr>
          <w:rFonts w:asciiTheme="minorHAnsi" w:eastAsiaTheme="minorHAnsi" w:hAnsiTheme="minorHAnsi" w:cstheme="minorHAnsi"/>
          <w:lang w:eastAsia="en-US"/>
        </w:rPr>
        <w:t xml:space="preserve"> at the earliest</w:t>
      </w:r>
      <w:r w:rsidR="007E68E5" w:rsidRPr="00FA1A19">
        <w:rPr>
          <w:rFonts w:asciiTheme="minorHAnsi" w:eastAsiaTheme="minorHAnsi" w:hAnsiTheme="minorHAnsi" w:cstheme="minorHAnsi"/>
          <w:lang w:eastAsia="en-US"/>
        </w:rPr>
        <w:t xml:space="preserve">. It </w:t>
      </w:r>
      <w:r w:rsidRPr="00FA1A19">
        <w:rPr>
          <w:rFonts w:asciiTheme="minorHAnsi" w:eastAsiaTheme="minorHAnsi" w:hAnsiTheme="minorHAnsi" w:cstheme="minorHAnsi"/>
          <w:lang w:eastAsia="en-US"/>
        </w:rPr>
        <w:t>propos</w:t>
      </w:r>
      <w:r w:rsidR="007E68E5" w:rsidRPr="00FA1A19">
        <w:rPr>
          <w:rFonts w:asciiTheme="minorHAnsi" w:eastAsiaTheme="minorHAnsi" w:hAnsiTheme="minorHAnsi" w:cstheme="minorHAnsi"/>
          <w:lang w:eastAsia="en-US"/>
        </w:rPr>
        <w:t>es</w:t>
      </w:r>
      <w:r w:rsidRPr="00FA1A19">
        <w:rPr>
          <w:rFonts w:asciiTheme="minorHAnsi" w:eastAsiaTheme="minorHAnsi" w:hAnsiTheme="minorHAnsi" w:cstheme="minorHAnsi"/>
          <w:lang w:eastAsia="en-US"/>
        </w:rPr>
        <w:t xml:space="preserve"> a 3% turnover tax, applied to large groups that provide taxable digital services to persons in </w:t>
      </w:r>
      <w:r w:rsidR="00D44290">
        <w:rPr>
          <w:rFonts w:asciiTheme="minorHAnsi" w:eastAsiaTheme="minorHAnsi" w:hAnsiTheme="minorHAnsi" w:cstheme="minorHAnsi"/>
          <w:lang w:eastAsia="en-US"/>
        </w:rPr>
        <w:t>NZ</w:t>
      </w:r>
      <w:r w:rsidRPr="00FA1A19">
        <w:rPr>
          <w:rFonts w:asciiTheme="minorHAnsi" w:eastAsiaTheme="minorHAnsi" w:hAnsiTheme="minorHAnsi" w:cstheme="minorHAnsi"/>
          <w:lang w:eastAsia="en-US"/>
        </w:rPr>
        <w:t>. Digital services will include activities related to user data gathered in connection with a platform, service, engine, or advertising.</w:t>
      </w:r>
    </w:p>
    <w:p w14:paraId="714A774F" w14:textId="178C0896" w:rsidR="00F24D1D" w:rsidRPr="00FA1A19" w:rsidRDefault="00F91A9C" w:rsidP="00342121">
      <w:pPr>
        <w:pStyle w:val="Heading3"/>
      </w:pPr>
      <w:r w:rsidRPr="00FA1A19">
        <w:t xml:space="preserve">Option 2: </w:t>
      </w:r>
      <w:r w:rsidR="00F24D1D" w:rsidRPr="00FA1A19">
        <w:t>Excise tax</w:t>
      </w:r>
    </w:p>
    <w:p w14:paraId="50D00D8E" w14:textId="39150631" w:rsidR="00F24D1D" w:rsidRPr="00FA1A19" w:rsidRDefault="00F24D1D" w:rsidP="00A5755E">
      <w:pPr>
        <w:rPr>
          <w:szCs w:val="24"/>
        </w:rPr>
      </w:pPr>
      <w:r w:rsidRPr="00FA1A19">
        <w:rPr>
          <w:rFonts w:asciiTheme="minorHAnsi" w:eastAsiaTheme="minorHAnsi" w:hAnsiTheme="minorHAnsi" w:cstheme="minorHAnsi"/>
          <w:lang w:eastAsia="en-US"/>
        </w:rPr>
        <w:t xml:space="preserve">A further alternative for </w:t>
      </w:r>
      <w:r w:rsidR="009D1190" w:rsidRPr="00FA1A19">
        <w:rPr>
          <w:rFonts w:asciiTheme="minorHAnsi" w:eastAsiaTheme="minorHAnsi" w:hAnsiTheme="minorHAnsi" w:cstheme="minorHAnsi"/>
          <w:lang w:eastAsia="en-US"/>
        </w:rPr>
        <w:t>an indirect tax</w:t>
      </w:r>
      <w:r w:rsidR="00D9058A" w:rsidRPr="00FA1A19">
        <w:rPr>
          <w:rFonts w:asciiTheme="minorHAnsi" w:eastAsiaTheme="minorHAnsi" w:hAnsiTheme="minorHAnsi" w:cstheme="minorHAnsi"/>
          <w:lang w:eastAsia="en-US"/>
        </w:rPr>
        <w:t xml:space="preserve"> in relation to crypto assets, might be possible</w:t>
      </w:r>
      <w:r w:rsidRPr="00FA1A19">
        <w:rPr>
          <w:rFonts w:asciiTheme="minorHAnsi" w:eastAsiaTheme="minorHAnsi" w:hAnsiTheme="minorHAnsi" w:cstheme="minorHAnsi"/>
          <w:lang w:eastAsia="en-US"/>
        </w:rPr>
        <w:t xml:space="preserve"> through the use of an excise tax. </w:t>
      </w:r>
    </w:p>
    <w:p w14:paraId="58A4E42A" w14:textId="45C07AC4" w:rsidR="00F24D1D" w:rsidRPr="00FA1A19" w:rsidRDefault="00F24D1D" w:rsidP="00A5755E">
      <w:pPr>
        <w:rPr>
          <w:szCs w:val="24"/>
        </w:rPr>
      </w:pPr>
      <w:r w:rsidRPr="00FA1A19">
        <w:t xml:space="preserve">Excise has been defined as </w:t>
      </w:r>
      <w:r w:rsidR="00F75232">
        <w:t>‘</w:t>
      </w:r>
      <w:r w:rsidRPr="00FA1A19">
        <w:t>a commodity</w:t>
      </w:r>
      <w:r w:rsidR="00F75232">
        <w:noBreakHyphen/>
      </w:r>
      <w:r w:rsidRPr="00FA1A19">
        <w:t>based tax levied on the manufacture or production of selected goods in Australia (including liquid fuel, tobacco and some alcoholic beverages). Imported equivalents are subject to an excise</w:t>
      </w:r>
      <w:r w:rsidR="00F75232">
        <w:noBreakHyphen/>
      </w:r>
      <w:r w:rsidRPr="00FA1A19">
        <w:t>equivalent customs duty.</w:t>
      </w:r>
      <w:r w:rsidR="00462B09">
        <w:t>’</w:t>
      </w:r>
      <w:r w:rsidRPr="00170ADC">
        <w:rPr>
          <w:rStyle w:val="FootnoteReference"/>
        </w:rPr>
        <w:footnoteReference w:id="684"/>
      </w:r>
    </w:p>
    <w:p w14:paraId="48D20875" w14:textId="6970B5E5" w:rsidR="00F24D1D" w:rsidRPr="00FA1A19" w:rsidRDefault="00F24D1D" w:rsidP="00A5755E">
      <w:pPr>
        <w:rPr>
          <w:szCs w:val="24"/>
        </w:rPr>
      </w:pPr>
      <w:r w:rsidRPr="00FA1A19">
        <w:t>Under current Australian law, excise duty is imposed on the domestic manufacture of petroleum fuels, certain biofuels, alcoholic beverages other than wine, tobacco products, crude oil and oils and lubricants. Equivalent duties on identical imported products are imposed through customs duty, along with tariffs imposed on imported goods for the purpose of protecting domestically produced goods.</w:t>
      </w:r>
      <w:r w:rsidR="00F75232">
        <w:t>’</w:t>
      </w:r>
      <w:r w:rsidRPr="00170ADC">
        <w:rPr>
          <w:rStyle w:val="FootnoteReference"/>
        </w:rPr>
        <w:footnoteReference w:id="685"/>
      </w:r>
      <w:r w:rsidR="004B03F3" w:rsidRPr="00FA1A19">
        <w:t xml:space="preserve"> In a recent and notable High Court decision, it was held that </w:t>
      </w:r>
      <w:r w:rsidR="00B459D5" w:rsidRPr="00FA1A19">
        <w:t>a charge based on the distance travelled by an electric vehicle was also an excise.</w:t>
      </w:r>
      <w:r w:rsidR="00B459D5" w:rsidRPr="00170ADC">
        <w:rPr>
          <w:rStyle w:val="FootnoteReference"/>
        </w:rPr>
        <w:footnoteReference w:id="686"/>
      </w:r>
    </w:p>
    <w:p w14:paraId="3C9B4B3E" w14:textId="52CA6358" w:rsidR="00F24D1D" w:rsidRPr="00FA1A19" w:rsidRDefault="00F24D1D" w:rsidP="00A5755E">
      <w:pPr>
        <w:rPr>
          <w:szCs w:val="24"/>
        </w:rPr>
      </w:pPr>
      <w:r w:rsidRPr="00FA1A19">
        <w:t xml:space="preserve">Federal Treasury consider that </w:t>
      </w:r>
      <w:r w:rsidR="00F75232">
        <w:t>‘</w:t>
      </w:r>
      <w:r w:rsidRPr="00FA1A19">
        <w:t>excises are typically applied to goods with a relatively inelastic demand</w:t>
      </w:r>
      <w:r w:rsidRPr="00170ADC">
        <w:rPr>
          <w:rStyle w:val="FootnoteReference"/>
        </w:rPr>
        <w:footnoteReference w:id="687"/>
      </w:r>
      <w:r w:rsidRPr="00FA1A19">
        <w:t xml:space="preserve"> and where the number of manufacturers is limited.</w:t>
      </w:r>
      <w:r w:rsidR="00F75232">
        <w:t>’</w:t>
      </w:r>
      <w:r w:rsidRPr="00170ADC">
        <w:rPr>
          <w:rStyle w:val="FootnoteReference"/>
        </w:rPr>
        <w:footnoteReference w:id="688"/>
      </w:r>
      <w:r w:rsidR="004F0A51" w:rsidRPr="00FA1A19">
        <w:t xml:space="preserve"> </w:t>
      </w:r>
      <w:r w:rsidRPr="00FA1A19">
        <w:t xml:space="preserve">Such characteristics </w:t>
      </w:r>
      <w:r w:rsidR="00220C4C" w:rsidRPr="00FA1A19">
        <w:t>c</w:t>
      </w:r>
      <w:r w:rsidRPr="00FA1A19">
        <w:t>ould be well suited to the taxing of digital services. However, Treasury advise that there is a major negativity with an excise tax</w:t>
      </w:r>
      <w:r w:rsidR="004F0A51" w:rsidRPr="00FA1A19">
        <w:t xml:space="preserve"> </w:t>
      </w:r>
      <w:r w:rsidRPr="00FA1A19">
        <w:t xml:space="preserve">namely, </w:t>
      </w:r>
      <w:r w:rsidR="00F75232">
        <w:t>‘</w:t>
      </w:r>
      <w:r w:rsidRPr="00FA1A19">
        <w:t>an increased incentive to avoid taxation.</w:t>
      </w:r>
      <w:r w:rsidR="00F75232">
        <w:t>’</w:t>
      </w:r>
      <w:r w:rsidRPr="00170ADC">
        <w:rPr>
          <w:rStyle w:val="FootnoteReference"/>
        </w:rPr>
        <w:footnoteReference w:id="689"/>
      </w:r>
      <w:r w:rsidR="00220C4C" w:rsidRPr="00FA1A19">
        <w:t xml:space="preserve"> These matters could be considered further, should the Government wish to </w:t>
      </w:r>
      <w:r w:rsidR="00E350BC" w:rsidRPr="00FA1A19">
        <w:t>consider an excise tax in relation to digital services.</w:t>
      </w:r>
      <w:r w:rsidR="00E350BC" w:rsidRPr="00FA1A19" w:rsidDel="00E350BC">
        <w:t xml:space="preserve"> </w:t>
      </w:r>
    </w:p>
    <w:p w14:paraId="6C99DAA7" w14:textId="03E6130D" w:rsidR="00F24D1D" w:rsidRPr="00FA1A19" w:rsidRDefault="00F91A9C" w:rsidP="00342121">
      <w:pPr>
        <w:pStyle w:val="Heading3"/>
      </w:pPr>
      <w:r w:rsidRPr="00FA1A19">
        <w:t xml:space="preserve">Option 3: </w:t>
      </w:r>
      <w:r w:rsidR="00F24D1D" w:rsidRPr="00FA1A19">
        <w:t>Gross</w:t>
      </w:r>
      <w:r w:rsidR="00F75232">
        <w:noBreakHyphen/>
      </w:r>
      <w:r w:rsidR="00F24D1D" w:rsidRPr="00FA1A19">
        <w:t>based Withholding Taxes on Digital Services</w:t>
      </w:r>
    </w:p>
    <w:p w14:paraId="394948E0" w14:textId="726AB9F9" w:rsidR="00A50319" w:rsidRPr="00FA1A19" w:rsidRDefault="00A50319" w:rsidP="00A50319">
      <w:pPr>
        <w:rPr>
          <w:szCs w:val="24"/>
        </w:rPr>
      </w:pPr>
      <w:r w:rsidRPr="00FA1A19">
        <w:t>The purpose of Australia</w:t>
      </w:r>
      <w:r w:rsidR="00F75232">
        <w:t>’</w:t>
      </w:r>
      <w:r w:rsidRPr="00FA1A19">
        <w:t>s withholding tax rules is to enable the efficient and timely collection of tax revenue on an ongoing basis.</w:t>
      </w:r>
      <w:r w:rsidRPr="00FA1A19">
        <w:rPr>
          <w:szCs w:val="24"/>
        </w:rPr>
        <w:t xml:space="preserve"> </w:t>
      </w:r>
      <w:r w:rsidRPr="00FA1A19">
        <w:t xml:space="preserve">The obligation to withhold rests with the </w:t>
      </w:r>
      <w:r w:rsidR="00F75232">
        <w:t>‘</w:t>
      </w:r>
      <w:r w:rsidRPr="00FA1A19">
        <w:t>payer</w:t>
      </w:r>
      <w:r w:rsidR="00F75232">
        <w:t>’</w:t>
      </w:r>
      <w:r w:rsidRPr="00FA1A19">
        <w:t xml:space="preserve"> of funds, not the recipient. Under these rules, the payer must withhold an amount from certain payments it makes and then pay that amount to the ATO, usually in regular instalments throughout the year, depending on the size of the entity or the nature of the transaction to which it relates</w:t>
      </w:r>
      <w:r w:rsidRPr="00FA1A19">
        <w:rPr>
          <w:szCs w:val="24"/>
        </w:rPr>
        <w:t xml:space="preserve">. </w:t>
      </w:r>
    </w:p>
    <w:p w14:paraId="4B7D880D" w14:textId="012576BA" w:rsidR="00A50319" w:rsidRPr="00FA1A19" w:rsidRDefault="00A50319" w:rsidP="00A50319">
      <w:pPr>
        <w:rPr>
          <w:szCs w:val="24"/>
        </w:rPr>
      </w:pPr>
      <w:r w:rsidRPr="00FA1A19">
        <w:t xml:space="preserve">Withholding taxes may operate as a final taxing point, such as is generally the case with withholding taxes for foreign investors; or alternatively as retention at the time of payment of an income amount and provided as an offset when the final tax is calculated at the end of the year, such as </w:t>
      </w:r>
      <w:r w:rsidR="00E77F1E">
        <w:t>PAYG</w:t>
      </w:r>
      <w:r w:rsidRPr="00FA1A19">
        <w:t xml:space="preserve"> </w:t>
      </w:r>
      <w:r w:rsidR="00E77F1E">
        <w:t>w</w:t>
      </w:r>
      <w:r w:rsidRPr="00FA1A19">
        <w:t>ithholding on salary and wages or foreign resident capital gains withholding (FRCGW) on the disposal of property over a certain value.</w:t>
      </w:r>
      <w:r w:rsidR="0095186D" w:rsidRPr="00170ADC">
        <w:rPr>
          <w:rStyle w:val="FootnoteReference"/>
        </w:rPr>
        <w:footnoteReference w:id="690"/>
      </w:r>
      <w:r w:rsidRPr="00FA1A19">
        <w:rPr>
          <w:szCs w:val="24"/>
        </w:rPr>
        <w:t xml:space="preserve"> </w:t>
      </w:r>
    </w:p>
    <w:p w14:paraId="48538B5A" w14:textId="6E12BEF9" w:rsidR="00F24D1D" w:rsidRPr="00FA1A19" w:rsidRDefault="00A50319">
      <w:pPr>
        <w:rPr>
          <w:rFonts w:eastAsiaTheme="minorHAnsi"/>
          <w:b/>
          <w:bCs/>
          <w:iCs/>
          <w:lang w:eastAsia="en-US"/>
        </w:rPr>
      </w:pPr>
      <w:r w:rsidRPr="00FA1A19">
        <w:t>Withholding taxes are often paid where dividends, interest or royalties are paid by an Australian resident to a foreign entity. For foreign resident withholding taxes, the rate is typically set out in the relevant double tax agreement.</w:t>
      </w:r>
    </w:p>
    <w:p w14:paraId="00557C33" w14:textId="4BB84860" w:rsidR="00821B54" w:rsidRPr="00FA1A19" w:rsidRDefault="00133205">
      <w:pPr>
        <w:rPr>
          <w:szCs w:val="24"/>
        </w:rPr>
      </w:pPr>
      <w:r w:rsidRPr="00FA1A19">
        <w:t>In Vertex</w:t>
      </w:r>
      <w:r w:rsidR="00F75232">
        <w:t>’</w:t>
      </w:r>
      <w:r w:rsidRPr="00FA1A19">
        <w:t>s submission to the Review, they proposed a</w:t>
      </w:r>
      <w:r w:rsidR="009F5619" w:rsidRPr="00FA1A19">
        <w:t xml:space="preserve"> </w:t>
      </w:r>
      <w:r w:rsidRPr="00FA1A19">
        <w:t>regime whereb</w:t>
      </w:r>
      <w:r w:rsidR="00194E37" w:rsidRPr="00FA1A19">
        <w:t xml:space="preserve">y decentralised virtual/crypto asset service providers </w:t>
      </w:r>
      <w:r w:rsidR="009F5619" w:rsidRPr="00FA1A19">
        <w:t>would</w:t>
      </w:r>
      <w:r w:rsidR="0077603B" w:rsidRPr="00FA1A19">
        <w:t xml:space="preserve"> </w:t>
      </w:r>
      <w:r w:rsidR="00F75232">
        <w:t>‘</w:t>
      </w:r>
      <w:r w:rsidR="0077603B" w:rsidRPr="00FA1A19">
        <w:t>enable user compliance through use of a pay as you go approach</w:t>
      </w:r>
      <w:r w:rsidR="00F75232">
        <w:t>’</w:t>
      </w:r>
      <w:r w:rsidR="0077603B" w:rsidRPr="00FA1A19">
        <w:t xml:space="preserve">, which they considered would enable these service providers to </w:t>
      </w:r>
      <w:r w:rsidR="00F75232">
        <w:t>‘</w:t>
      </w:r>
      <w:r w:rsidR="0077603B" w:rsidRPr="00FA1A19">
        <w:t>withhold taxes, taxes which users/taxpayers can claim by presenting necessary information to the tax administration, all of which is done on the native blockc</w:t>
      </w:r>
      <w:r w:rsidR="00821B54" w:rsidRPr="00FA1A19">
        <w:t>h</w:t>
      </w:r>
      <w:r w:rsidR="0077603B" w:rsidRPr="00FA1A19">
        <w:t>ain</w:t>
      </w:r>
      <w:r w:rsidR="00821B54" w:rsidRPr="00FA1A19">
        <w:t xml:space="preserve"> networks</w:t>
      </w:r>
      <w:r w:rsidR="00F75232">
        <w:t>’</w:t>
      </w:r>
      <w:r w:rsidR="00821B54" w:rsidRPr="00FA1A19">
        <w:t>.</w:t>
      </w:r>
      <w:r w:rsidR="00F24D1D" w:rsidRPr="00170ADC" w:rsidDel="00E72AEA">
        <w:rPr>
          <w:rStyle w:val="FootnoteReference"/>
        </w:rPr>
        <w:footnoteReference w:id="691"/>
      </w:r>
      <w:r w:rsidR="00F24D1D" w:rsidRPr="00FA1A19">
        <w:rPr>
          <w:szCs w:val="24"/>
        </w:rPr>
        <w:t xml:space="preserve"> </w:t>
      </w:r>
    </w:p>
    <w:p w14:paraId="342B775A" w14:textId="658777CA" w:rsidR="00F24D1D" w:rsidRPr="00FA1A19" w:rsidRDefault="002536DE">
      <w:pPr>
        <w:rPr>
          <w:szCs w:val="24"/>
        </w:rPr>
      </w:pPr>
      <w:r w:rsidRPr="00FA1A19">
        <w:t xml:space="preserve">Such a withholding tax could apply to many or all </w:t>
      </w:r>
      <w:r w:rsidR="00670E48" w:rsidRPr="00FA1A19">
        <w:rPr>
          <w:szCs w:val="24"/>
        </w:rPr>
        <w:t>digital asset platforms</w:t>
      </w:r>
      <w:r w:rsidR="00997096" w:rsidRPr="00FA1A19">
        <w:rPr>
          <w:szCs w:val="24"/>
        </w:rPr>
        <w:t xml:space="preserve"> (such as crypto exchanges)</w:t>
      </w:r>
      <w:r w:rsidRPr="00FA1A19">
        <w:rPr>
          <w:szCs w:val="24"/>
        </w:rPr>
        <w:t>, although not all withholding could be done on the native blockchain networks.</w:t>
      </w:r>
      <w:r w:rsidR="004F0A51" w:rsidRPr="00FA1A19">
        <w:rPr>
          <w:szCs w:val="24"/>
        </w:rPr>
        <w:t xml:space="preserve"> </w:t>
      </w:r>
      <w:r w:rsidRPr="00FA1A19">
        <w:rPr>
          <w:szCs w:val="24"/>
        </w:rPr>
        <w:t xml:space="preserve">One issue that might arise is whether this could be done for all crypto </w:t>
      </w:r>
      <w:r w:rsidR="00DB7DA8">
        <w:rPr>
          <w:szCs w:val="24"/>
        </w:rPr>
        <w:t xml:space="preserve">asset </w:t>
      </w:r>
      <w:r w:rsidRPr="00FA1A19">
        <w:rPr>
          <w:szCs w:val="24"/>
        </w:rPr>
        <w:t xml:space="preserve">transactions and if not, whether it would disadvantage those who use </w:t>
      </w:r>
      <w:r w:rsidR="00670E48" w:rsidRPr="00FA1A19">
        <w:rPr>
          <w:szCs w:val="24"/>
        </w:rPr>
        <w:t>digital asset platforms</w:t>
      </w:r>
      <w:r w:rsidRPr="00FA1A19">
        <w:rPr>
          <w:szCs w:val="24"/>
        </w:rPr>
        <w:t xml:space="preserve"> rather than interact with the blockchain directly.</w:t>
      </w:r>
      <w:r w:rsidR="004F0A51" w:rsidRPr="00FA1A19">
        <w:rPr>
          <w:szCs w:val="24"/>
        </w:rPr>
        <w:t xml:space="preserve"> </w:t>
      </w:r>
      <w:r w:rsidR="00FF5BC2" w:rsidRPr="00FA1A19">
        <w:rPr>
          <w:szCs w:val="24"/>
        </w:rPr>
        <w:t xml:space="preserve">Considerable work would have to be done as to whether such a mechanism would assist to avoid revenue leakage and if so, the costs to simplicity and </w:t>
      </w:r>
      <w:r w:rsidR="00670E48" w:rsidRPr="00FA1A19">
        <w:rPr>
          <w:szCs w:val="24"/>
        </w:rPr>
        <w:t>e</w:t>
      </w:r>
      <w:r w:rsidR="00FF5BC2" w:rsidRPr="00FA1A19">
        <w:rPr>
          <w:szCs w:val="24"/>
        </w:rPr>
        <w:t>quity that might ensure.</w:t>
      </w:r>
      <w:r w:rsidR="00FF5BC2" w:rsidRPr="00FA1A19" w:rsidDel="00997096">
        <w:rPr>
          <w:szCs w:val="24"/>
        </w:rPr>
        <w:t xml:space="preserve"> </w:t>
      </w:r>
    </w:p>
    <w:p w14:paraId="2F5E69E1" w14:textId="0D2468D1" w:rsidR="00F24D1D" w:rsidRPr="00FA1A19" w:rsidRDefault="00F24D1D">
      <w:r w:rsidRPr="00FA1A19">
        <w:t>The following table provides a high</w:t>
      </w:r>
      <w:r w:rsidR="00F75232">
        <w:noBreakHyphen/>
      </w:r>
      <w:r w:rsidRPr="00FA1A19">
        <w:t xml:space="preserve">level overview of relevant areas that would need to be considered in exploring a withholding tax regime for crypto assets. </w:t>
      </w:r>
    </w:p>
    <w:p w14:paraId="23F69422" w14:textId="77777777" w:rsidR="00FA63BC" w:rsidRPr="00FA1A19" w:rsidRDefault="00FA63BC" w:rsidP="00797B8A">
      <w:pPr>
        <w:pStyle w:val="SingleParagraph"/>
      </w:pPr>
    </w:p>
    <w:tbl>
      <w:tblPr>
        <w:tblStyle w:val="ListTable3-Accent1"/>
        <w:tblW w:w="5000" w:type="pct"/>
        <w:tblLook w:val="0220" w:firstRow="1" w:lastRow="0" w:firstColumn="0" w:lastColumn="0" w:noHBand="1" w:noVBand="0"/>
      </w:tblPr>
      <w:tblGrid>
        <w:gridCol w:w="3210"/>
        <w:gridCol w:w="3210"/>
        <w:gridCol w:w="3211"/>
      </w:tblGrid>
      <w:tr w:rsidR="00F24D1D" w:rsidRPr="00FA1A19" w14:paraId="427A128D" w14:textId="77777777" w:rsidTr="00EB09B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Pr>
          <w:p w14:paraId="1CE65AB9" w14:textId="5393EF4F" w:rsidR="00F24D1D" w:rsidRPr="00FA1A19" w:rsidRDefault="00EB09BD" w:rsidP="00797B8A">
            <w:pPr>
              <w:pStyle w:val="TableColumnHeadingLeft"/>
            </w:pPr>
            <w:r w:rsidRPr="00FA1A19">
              <w:t xml:space="preserve">Proposal / </w:t>
            </w:r>
            <w:r>
              <w:t>S</w:t>
            </w:r>
            <w:r w:rsidRPr="00FA1A19">
              <w:t>olution</w:t>
            </w:r>
          </w:p>
        </w:tc>
        <w:tc>
          <w:tcPr>
            <w:tcW w:w="1666" w:type="pct"/>
          </w:tcPr>
          <w:p w14:paraId="4C3333BD" w14:textId="7EF1CD23" w:rsidR="00F24D1D" w:rsidRPr="00FA1A19" w:rsidRDefault="00EB09BD" w:rsidP="00797B8A">
            <w:pPr>
              <w:pStyle w:val="TableColumnHeadingLeft"/>
              <w:cnfStyle w:val="100000000000" w:firstRow="1" w:lastRow="0" w:firstColumn="0" w:lastColumn="0" w:oddVBand="0" w:evenVBand="0" w:oddHBand="0" w:evenHBand="0" w:firstRowFirstColumn="0" w:firstRowLastColumn="0" w:lastRowFirstColumn="0" w:lastRowLastColumn="0"/>
            </w:pPr>
            <w:r w:rsidRPr="00FA1A19">
              <w:t xml:space="preserve">Perceived rationale </w:t>
            </w:r>
            <w:r>
              <w:br/>
            </w:r>
            <w:r w:rsidRPr="00FA1A19">
              <w:t>and benefits</w:t>
            </w:r>
          </w:p>
        </w:tc>
        <w:tc>
          <w:tcPr>
            <w:cnfStyle w:val="000010000000" w:firstRow="0" w:lastRow="0" w:firstColumn="0" w:lastColumn="0" w:oddVBand="1" w:evenVBand="0" w:oddHBand="0" w:evenHBand="0" w:firstRowFirstColumn="0" w:firstRowLastColumn="0" w:lastRowFirstColumn="0" w:lastRowLastColumn="0"/>
            <w:tcW w:w="1667" w:type="pct"/>
          </w:tcPr>
          <w:p w14:paraId="6354ACE7" w14:textId="189F9F94" w:rsidR="00F24D1D" w:rsidRPr="00FA1A19" w:rsidRDefault="00EB09BD" w:rsidP="00797B8A">
            <w:pPr>
              <w:pStyle w:val="TableColumnHeadingLeft"/>
            </w:pPr>
            <w:r w:rsidRPr="00FA1A19">
              <w:t>Preliminary assessment of issues and sensitivities</w:t>
            </w:r>
          </w:p>
        </w:tc>
      </w:tr>
      <w:tr w:rsidR="00F24D1D" w:rsidRPr="00FA1A19" w14:paraId="1B1CD1CC" w14:textId="77777777" w:rsidTr="00EB09BD">
        <w:trPr>
          <w:trHeight w:val="1046"/>
        </w:trPr>
        <w:tc>
          <w:tcPr>
            <w:cnfStyle w:val="000010000000" w:firstRow="0" w:lastRow="0" w:firstColumn="0" w:lastColumn="0" w:oddVBand="1" w:evenVBand="0" w:oddHBand="0" w:evenHBand="0" w:firstRowFirstColumn="0" w:firstRowLastColumn="0" w:lastRowFirstColumn="0" w:lastRowLastColumn="0"/>
            <w:tcW w:w="1666" w:type="pct"/>
            <w:hideMark/>
          </w:tcPr>
          <w:p w14:paraId="602695FE" w14:textId="21063E78" w:rsidR="00F24D1D" w:rsidRPr="00FA1A19" w:rsidRDefault="00F24D1D" w:rsidP="00797B8A">
            <w:pPr>
              <w:pStyle w:val="TableTextLeft"/>
              <w:rPr>
                <w:b/>
                <w:bCs/>
              </w:rPr>
            </w:pPr>
            <w:r w:rsidRPr="00FA1A19">
              <w:t xml:space="preserve">Withholding of tax on transactions by </w:t>
            </w:r>
            <w:r w:rsidR="00670E48" w:rsidRPr="00FA1A19">
              <w:t>digital asset platforms</w:t>
            </w:r>
            <w:r w:rsidRPr="00FA1A19">
              <w:t>.</w:t>
            </w:r>
          </w:p>
        </w:tc>
        <w:tc>
          <w:tcPr>
            <w:tcW w:w="1666" w:type="pct"/>
            <w:hideMark/>
          </w:tcPr>
          <w:p w14:paraId="43552B42" w14:textId="07973A78" w:rsidR="00F24D1D" w:rsidRPr="00FA1A19" w:rsidRDefault="00F24D1D" w:rsidP="00797B8A">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Improve collectability of taxes by shifting burden to </w:t>
            </w:r>
            <w:r w:rsidR="00670E48" w:rsidRPr="00FA1A19">
              <w:t>digital asset platforms</w:t>
            </w:r>
            <w:r w:rsidRPr="00FA1A19">
              <w:t xml:space="preserve">. </w:t>
            </w:r>
          </w:p>
        </w:tc>
        <w:tc>
          <w:tcPr>
            <w:cnfStyle w:val="000010000000" w:firstRow="0" w:lastRow="0" w:firstColumn="0" w:lastColumn="0" w:oddVBand="1" w:evenVBand="0" w:oddHBand="0" w:evenHBand="0" w:firstRowFirstColumn="0" w:firstRowLastColumn="0" w:lastRowFirstColumn="0" w:lastRowLastColumn="0"/>
            <w:tcW w:w="1667" w:type="pct"/>
            <w:hideMark/>
          </w:tcPr>
          <w:p w14:paraId="356951BA" w14:textId="3C8418BD" w:rsidR="00F24D1D" w:rsidRPr="00FA1A19" w:rsidRDefault="00F24D1D" w:rsidP="00797B8A">
            <w:pPr>
              <w:pStyle w:val="TableTextLeft"/>
            </w:pPr>
            <w:r w:rsidRPr="00FA1A19">
              <w:t>Australia will only have the power to apply the regime to Australian based exchanges and transactions undertaken on foreign exchanges or off</w:t>
            </w:r>
            <w:r w:rsidR="00BA4B3A">
              <w:t>-</w:t>
            </w:r>
            <w:r w:rsidRPr="00FA1A19">
              <w:t xml:space="preserve">chain will not be captured. </w:t>
            </w:r>
          </w:p>
          <w:p w14:paraId="247122BD" w14:textId="651185BE" w:rsidR="00F24D1D" w:rsidRPr="00FA1A19" w:rsidRDefault="00F24D1D" w:rsidP="00797B8A">
            <w:pPr>
              <w:pStyle w:val="TableTextLeft"/>
            </w:pPr>
            <w:r w:rsidRPr="00FA1A19">
              <w:t>There will be complexity in determining relevant rate as it will be based on proceeds not gain</w:t>
            </w:r>
            <w:r w:rsidR="00E310AA">
              <w:t>s</w:t>
            </w:r>
            <w:r w:rsidRPr="00FA1A19">
              <w:t xml:space="preserve"> and apply to cross section of taxpayers.</w:t>
            </w:r>
          </w:p>
          <w:p w14:paraId="7BFFB056" w14:textId="48380F05" w:rsidR="00F24D1D" w:rsidRPr="00FA1A19" w:rsidRDefault="00F24D1D" w:rsidP="00797B8A">
            <w:pPr>
              <w:pStyle w:val="TableTextLeft"/>
            </w:pPr>
            <w:r w:rsidRPr="00FA1A19">
              <w:t>Does not reduce complexity if not a final tax. A precedent exists with the FRCGW regime (12.5%</w:t>
            </w:r>
            <w:r w:rsidR="006B2D70">
              <w:t> </w:t>
            </w:r>
            <w:r w:rsidRPr="00FA1A19">
              <w:t>of proceeds)</w:t>
            </w:r>
            <w:r w:rsidR="00306C49" w:rsidRPr="00FA1A19">
              <w:t>.</w:t>
            </w:r>
          </w:p>
        </w:tc>
      </w:tr>
    </w:tbl>
    <w:p w14:paraId="4801AA14" w14:textId="77777777" w:rsidR="00797B8A" w:rsidRDefault="00797B8A" w:rsidP="00797B8A">
      <w:pPr>
        <w:pStyle w:val="SingleParagraph"/>
      </w:pPr>
    </w:p>
    <w:p w14:paraId="04D9FF2D" w14:textId="69C50FF2" w:rsidR="003E28C1" w:rsidRPr="00797B8A" w:rsidRDefault="003E28C1" w:rsidP="0069352C">
      <w:pPr>
        <w:pStyle w:val="Heading2"/>
      </w:pPr>
      <w:bookmarkStart w:id="166" w:name="_Toc159513646"/>
      <w:r w:rsidRPr="00797B8A">
        <w:t>Conclusion on options for reform</w:t>
      </w:r>
      <w:bookmarkEnd w:id="166"/>
    </w:p>
    <w:tbl>
      <w:tblPr>
        <w:tblStyle w:val="Style2"/>
        <w:tblW w:w="5000" w:type="pct"/>
        <w:tblLook w:val="01E0" w:firstRow="1" w:lastRow="1" w:firstColumn="1" w:lastColumn="1" w:noHBand="0" w:noVBand="0"/>
      </w:tblPr>
      <w:tblGrid>
        <w:gridCol w:w="9641"/>
      </w:tblGrid>
      <w:tr w:rsidR="003E28C1" w:rsidRPr="00797B8A" w14:paraId="54261FB7"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40A6A574" w14:textId="07BAB4C7" w:rsidR="003E28C1" w:rsidRPr="00797B8A" w:rsidRDefault="00372633" w:rsidP="00797B8A">
            <w:pPr>
              <w:pStyle w:val="BoxHeading1"/>
            </w:pPr>
            <w:r>
              <w:t>Recommendation </w:t>
            </w:r>
            <w:r w:rsidR="003E28C1" w:rsidRPr="00797B8A">
              <w:t>13.1</w:t>
            </w:r>
          </w:p>
        </w:tc>
      </w:tr>
      <w:tr w:rsidR="003E28C1" w:rsidRPr="00FA1A19" w14:paraId="3F431C4E"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559BA1BF" w14:textId="4F4F41E8" w:rsidR="003E28C1" w:rsidRPr="00FA1A19" w:rsidRDefault="003E28C1" w:rsidP="00797B8A">
            <w:pPr>
              <w:pStyle w:val="BoxText"/>
            </w:pPr>
            <w:r w:rsidRPr="00FA1A19">
              <w:t>Some options for crypto</w:t>
            </w:r>
            <w:r w:rsidR="00F75232">
              <w:noBreakHyphen/>
            </w:r>
            <w:r w:rsidRPr="00FA1A19">
              <w:t>specific legislative taxation regimes were raised with the Board during consultations.</w:t>
            </w:r>
            <w:r w:rsidR="004F0A51" w:rsidRPr="00FA1A19">
              <w:t xml:space="preserve"> </w:t>
            </w:r>
          </w:p>
          <w:p w14:paraId="4E98F64D" w14:textId="1DA3918B" w:rsidR="003E28C1" w:rsidRPr="00FA1A19" w:rsidRDefault="003E28C1" w:rsidP="00797B8A">
            <w:pPr>
              <w:pStyle w:val="BoxText"/>
            </w:pPr>
            <w:r w:rsidRPr="00FA1A19">
              <w:t>The Board does not recommend the introduction of any crypto</w:t>
            </w:r>
            <w:r w:rsidR="00F75232">
              <w:noBreakHyphen/>
            </w:r>
            <w:r w:rsidRPr="00FA1A19">
              <w:t>specific legislative taxation regime at the present time, when the crypto ecosystem is changing and developing rapidly.</w:t>
            </w:r>
            <w:r w:rsidR="004F0A51" w:rsidRPr="00FA1A19">
              <w:t xml:space="preserve"> </w:t>
            </w:r>
            <w:r w:rsidRPr="00FA1A19">
              <w:t xml:space="preserve">Even if the crypto ecosystem </w:t>
            </w:r>
            <w:r w:rsidR="0097707D">
              <w:t>was</w:t>
            </w:r>
            <w:r w:rsidR="0097707D" w:rsidRPr="00FA1A19">
              <w:t xml:space="preserve"> </w:t>
            </w:r>
            <w:r w:rsidRPr="00FA1A19">
              <w:t>more settled, a crypto</w:t>
            </w:r>
            <w:r w:rsidR="00F75232">
              <w:noBreakHyphen/>
            </w:r>
            <w:r w:rsidRPr="00FA1A19">
              <w:t xml:space="preserve">specific legislative taxation regime </w:t>
            </w:r>
            <w:r w:rsidR="00AB2964" w:rsidRPr="00FA1A19">
              <w:t>c</w:t>
            </w:r>
            <w:r w:rsidRPr="00FA1A19">
              <w:t xml:space="preserve">ould raise </w:t>
            </w:r>
            <w:r w:rsidR="00AB2964" w:rsidRPr="00FA1A19">
              <w:t>issues</w:t>
            </w:r>
            <w:r w:rsidRPr="00FA1A19">
              <w:t xml:space="preserve"> such as ensuring confined and applicable definitions, acting contrary to neutrality, potential integrity concerns, increased complexity</w:t>
            </w:r>
            <w:r w:rsidR="0024673E">
              <w:t xml:space="preserve"> </w:t>
            </w:r>
            <w:r w:rsidR="0024673E">
              <w:rPr>
                <w:rFonts w:cstheme="minorHAnsi"/>
              </w:rPr>
              <w:t>and barriers to entry for a developing market.</w:t>
            </w:r>
          </w:p>
          <w:p w14:paraId="72EE06DC" w14:textId="0BB79E45" w:rsidR="00480895" w:rsidRPr="00FA1A19" w:rsidRDefault="003E28C1" w:rsidP="00797B8A">
            <w:pPr>
              <w:pStyle w:val="BoxText"/>
            </w:pPr>
            <w:r w:rsidRPr="00FA1A19">
              <w:t xml:space="preserve">Should the Government </w:t>
            </w:r>
            <w:r w:rsidR="006A26D1" w:rsidRPr="00FA1A19">
              <w:t>decide</w:t>
            </w:r>
            <w:r w:rsidRPr="00FA1A19">
              <w:t xml:space="preserve"> to explore the suitability of introducing a crypto</w:t>
            </w:r>
            <w:r w:rsidR="00F75232">
              <w:noBreakHyphen/>
            </w:r>
            <w:r w:rsidRPr="00FA1A19">
              <w:t xml:space="preserve">specific legislative taxation regime at some time in the future, the Government may decide to consider one or more of the options identified in this </w:t>
            </w:r>
            <w:r w:rsidR="00372633">
              <w:t>Chapter </w:t>
            </w:r>
            <w:r w:rsidRPr="00FA1A19">
              <w:t>13</w:t>
            </w:r>
            <w:r w:rsidR="00480895" w:rsidRPr="00FA1A19">
              <w:t xml:space="preserve">, which were the subject of varying levels of discussion </w:t>
            </w:r>
            <w:r w:rsidR="00134F4C">
              <w:t xml:space="preserve">during the </w:t>
            </w:r>
            <w:r w:rsidR="00480895" w:rsidRPr="00FA1A19">
              <w:t>Review</w:t>
            </w:r>
            <w:r w:rsidRPr="00FA1A19">
              <w:t>.</w:t>
            </w:r>
            <w:r w:rsidR="004F0A51" w:rsidRPr="00FA1A19">
              <w:t xml:space="preserve"> </w:t>
            </w:r>
          </w:p>
          <w:p w14:paraId="5D2DC09D" w14:textId="0E445FF3" w:rsidR="003E28C1" w:rsidRPr="00FA1A19" w:rsidRDefault="003E28C1" w:rsidP="00797B8A">
            <w:pPr>
              <w:pStyle w:val="BoxText"/>
            </w:pPr>
            <w:r w:rsidRPr="00FA1A19">
              <w:t xml:space="preserve">Should the Government </w:t>
            </w:r>
            <w:r w:rsidR="00480895" w:rsidRPr="00FA1A19">
              <w:t>decide to consider any of these options in the future</w:t>
            </w:r>
            <w:r w:rsidRPr="00FA1A19">
              <w:t xml:space="preserve">, the Board recommends that the Government undertake further consultation with key stakeholders and a further detailed review </w:t>
            </w:r>
            <w:r w:rsidR="00BD0826" w:rsidRPr="00FA1A19">
              <w:t>in relation to any option that it might consider</w:t>
            </w:r>
            <w:r w:rsidRPr="00FA1A19">
              <w:t>.</w:t>
            </w:r>
          </w:p>
        </w:tc>
      </w:tr>
    </w:tbl>
    <w:p w14:paraId="2248E1D6" w14:textId="77777777" w:rsidR="00797B8A" w:rsidRDefault="00797B8A" w:rsidP="00797B8A">
      <w:pPr>
        <w:pStyle w:val="SingleParagraph"/>
      </w:pPr>
    </w:p>
    <w:p w14:paraId="699581A8" w14:textId="54D59F30" w:rsidR="00F24D1D" w:rsidRPr="00FA1A19" w:rsidRDefault="006A26D1" w:rsidP="0069352C">
      <w:pPr>
        <w:pStyle w:val="Heading2"/>
      </w:pPr>
      <w:bookmarkStart w:id="167" w:name="_Toc159513647"/>
      <w:r w:rsidRPr="00FA1A19">
        <w:t>A</w:t>
      </w:r>
      <w:r w:rsidR="00B635D2" w:rsidRPr="00FA1A19">
        <w:t xml:space="preserve">reas </w:t>
      </w:r>
      <w:r w:rsidR="00AD36FE" w:rsidRPr="00FA1A19">
        <w:t>to watch</w:t>
      </w:r>
      <w:bookmarkEnd w:id="167"/>
    </w:p>
    <w:p w14:paraId="279BF242" w14:textId="77777777" w:rsidR="00F24D1D" w:rsidRPr="00FA1A19" w:rsidRDefault="00F24D1D" w:rsidP="00342121">
      <w:pPr>
        <w:pStyle w:val="Heading3"/>
      </w:pPr>
      <w:r w:rsidRPr="00FA1A19">
        <w:t>Background</w:t>
      </w:r>
    </w:p>
    <w:p w14:paraId="543130BF" w14:textId="03F288FB" w:rsidR="0085689C" w:rsidRPr="00FA1A19" w:rsidRDefault="00F24D1D">
      <w:pPr>
        <w:rPr>
          <w:rFonts w:eastAsiaTheme="minorHAnsi"/>
          <w:lang w:eastAsia="en-US"/>
        </w:rPr>
      </w:pPr>
      <w:r w:rsidRPr="00FA1A19">
        <w:rPr>
          <w:rFonts w:eastAsiaTheme="minorHAnsi"/>
          <w:lang w:eastAsia="en-US"/>
        </w:rPr>
        <w:t xml:space="preserve">In </w:t>
      </w:r>
      <w:r w:rsidR="00372633">
        <w:rPr>
          <w:rFonts w:eastAsiaTheme="minorHAnsi"/>
          <w:lang w:eastAsia="en-US"/>
        </w:rPr>
        <w:t>Chapter </w:t>
      </w:r>
      <w:r w:rsidR="0093307A" w:rsidRPr="00FA1A19">
        <w:rPr>
          <w:rFonts w:eastAsiaTheme="minorHAnsi"/>
          <w:lang w:eastAsia="en-US"/>
        </w:rPr>
        <w:t>9</w:t>
      </w:r>
      <w:r w:rsidRPr="00FA1A19">
        <w:rPr>
          <w:rFonts w:eastAsiaTheme="minorHAnsi"/>
          <w:lang w:eastAsia="en-US"/>
        </w:rPr>
        <w:t>, the Board address</w:t>
      </w:r>
      <w:r w:rsidR="001D6AFC" w:rsidRPr="00FA1A19">
        <w:rPr>
          <w:rFonts w:eastAsiaTheme="minorHAnsi"/>
          <w:lang w:eastAsia="en-US"/>
        </w:rPr>
        <w:t>ed</w:t>
      </w:r>
      <w:r w:rsidRPr="00FA1A19">
        <w:rPr>
          <w:rFonts w:eastAsiaTheme="minorHAnsi"/>
          <w:lang w:eastAsia="en-US"/>
        </w:rPr>
        <w:t xml:space="preserve"> the tax treatment of </w:t>
      </w:r>
      <w:r w:rsidR="0072221B" w:rsidRPr="00FA1A19">
        <w:rPr>
          <w:rFonts w:eastAsiaTheme="minorHAnsi"/>
          <w:lang w:eastAsia="en-US"/>
        </w:rPr>
        <w:t xml:space="preserve">those </w:t>
      </w:r>
      <w:r w:rsidRPr="00FA1A19">
        <w:rPr>
          <w:rFonts w:eastAsiaTheme="minorHAnsi"/>
          <w:lang w:eastAsia="en-US"/>
        </w:rPr>
        <w:t xml:space="preserve">specific </w:t>
      </w:r>
      <w:r w:rsidR="0093307A" w:rsidRPr="00FA1A19">
        <w:rPr>
          <w:rFonts w:eastAsiaTheme="minorHAnsi"/>
          <w:lang w:eastAsia="en-US"/>
        </w:rPr>
        <w:t>transactions</w:t>
      </w:r>
      <w:r w:rsidRPr="00FA1A19">
        <w:rPr>
          <w:rFonts w:eastAsiaTheme="minorHAnsi"/>
          <w:lang w:eastAsia="en-US"/>
        </w:rPr>
        <w:t xml:space="preserve"> that occur with crypto assets</w:t>
      </w:r>
      <w:r w:rsidR="0072221B" w:rsidRPr="00FA1A19">
        <w:rPr>
          <w:rFonts w:eastAsiaTheme="minorHAnsi"/>
          <w:lang w:eastAsia="en-US"/>
        </w:rPr>
        <w:t xml:space="preserve"> that were </w:t>
      </w:r>
      <w:r w:rsidR="0093307A" w:rsidRPr="00FA1A19">
        <w:rPr>
          <w:rFonts w:eastAsiaTheme="minorHAnsi"/>
          <w:lang w:eastAsia="en-US"/>
        </w:rPr>
        <w:t xml:space="preserve">particularly </w:t>
      </w:r>
      <w:r w:rsidR="0072221B" w:rsidRPr="00FA1A19">
        <w:rPr>
          <w:rFonts w:eastAsiaTheme="minorHAnsi"/>
          <w:lang w:eastAsia="en-US"/>
        </w:rPr>
        <w:t>highlighted throughout its consultation.</w:t>
      </w:r>
      <w:r w:rsidRPr="00FA1A19">
        <w:rPr>
          <w:rFonts w:eastAsiaTheme="minorHAnsi"/>
          <w:lang w:eastAsia="en-US"/>
        </w:rPr>
        <w:t xml:space="preserve"> </w:t>
      </w:r>
      <w:r w:rsidR="0072221B" w:rsidRPr="00FA1A19">
        <w:rPr>
          <w:rFonts w:eastAsiaTheme="minorHAnsi"/>
          <w:lang w:eastAsia="en-US"/>
        </w:rPr>
        <w:t>H</w:t>
      </w:r>
      <w:r w:rsidRPr="00FA1A19">
        <w:rPr>
          <w:rFonts w:eastAsiaTheme="minorHAnsi"/>
          <w:lang w:eastAsia="en-US"/>
        </w:rPr>
        <w:t xml:space="preserve">owever, </w:t>
      </w:r>
      <w:r w:rsidR="0033500A" w:rsidRPr="00FA1A19">
        <w:rPr>
          <w:rFonts w:eastAsiaTheme="minorHAnsi"/>
          <w:lang w:eastAsia="en-US"/>
        </w:rPr>
        <w:t xml:space="preserve">the Board acknowledges </w:t>
      </w:r>
      <w:r w:rsidR="00B14322" w:rsidRPr="00FA1A19">
        <w:rPr>
          <w:rFonts w:eastAsiaTheme="minorHAnsi"/>
          <w:lang w:eastAsia="en-US"/>
        </w:rPr>
        <w:t xml:space="preserve">that this represents a </w:t>
      </w:r>
      <w:r w:rsidR="00F75232">
        <w:rPr>
          <w:rFonts w:eastAsiaTheme="minorHAnsi"/>
          <w:lang w:eastAsia="en-US"/>
        </w:rPr>
        <w:t>‘</w:t>
      </w:r>
      <w:r w:rsidR="00B14322" w:rsidRPr="00FA1A19">
        <w:rPr>
          <w:rFonts w:eastAsiaTheme="minorHAnsi"/>
          <w:lang w:eastAsia="en-US"/>
        </w:rPr>
        <w:t>point in time</w:t>
      </w:r>
      <w:r w:rsidR="00F75232">
        <w:rPr>
          <w:rFonts w:eastAsiaTheme="minorHAnsi"/>
          <w:lang w:eastAsia="en-US"/>
        </w:rPr>
        <w:t>’</w:t>
      </w:r>
      <w:r w:rsidR="00B14322" w:rsidRPr="00FA1A19">
        <w:rPr>
          <w:rFonts w:eastAsiaTheme="minorHAnsi"/>
          <w:lang w:eastAsia="en-US"/>
        </w:rPr>
        <w:t xml:space="preserve"> reflection of </w:t>
      </w:r>
      <w:r w:rsidR="00C34112" w:rsidRPr="00FA1A19">
        <w:rPr>
          <w:rFonts w:eastAsiaTheme="minorHAnsi"/>
          <w:lang w:eastAsia="en-US"/>
        </w:rPr>
        <w:t>issues of particular interest to</w:t>
      </w:r>
      <w:r w:rsidR="0085689C" w:rsidRPr="00FA1A19">
        <w:rPr>
          <w:rFonts w:eastAsiaTheme="minorHAnsi"/>
          <w:lang w:eastAsia="en-US"/>
        </w:rPr>
        <w:t xml:space="preserve"> crypto</w:t>
      </w:r>
      <w:r w:rsidR="00C34112" w:rsidRPr="00FA1A19">
        <w:rPr>
          <w:rFonts w:eastAsiaTheme="minorHAnsi"/>
          <w:lang w:eastAsia="en-US"/>
        </w:rPr>
        <w:t xml:space="preserve"> taxpayers and their advisers.</w:t>
      </w:r>
      <w:r w:rsidR="00390FD3" w:rsidRPr="00FA1A19">
        <w:rPr>
          <w:rFonts w:eastAsiaTheme="minorHAnsi"/>
          <w:lang w:eastAsia="en-US"/>
        </w:rPr>
        <w:t xml:space="preserve"> </w:t>
      </w:r>
    </w:p>
    <w:p w14:paraId="6EE5D945" w14:textId="144FFB00" w:rsidR="00EA4304" w:rsidRPr="00FA1A19" w:rsidRDefault="00390FD3" w:rsidP="00995964">
      <w:pPr>
        <w:rPr>
          <w:rFonts w:eastAsiaTheme="minorHAnsi"/>
          <w:lang w:eastAsia="en-US"/>
        </w:rPr>
      </w:pPr>
      <w:r w:rsidRPr="00FA1A19">
        <w:rPr>
          <w:rFonts w:eastAsiaTheme="minorHAnsi"/>
          <w:lang w:eastAsia="en-US"/>
        </w:rPr>
        <w:t>Since their inception, the evolution of crypto assets and the frameworks within which they operate has been rapid and often unpredictable. In undertaking its Review, the Board is mindful that this evolution is not slowing down.</w:t>
      </w:r>
      <w:r w:rsidR="004F0A51" w:rsidRPr="00FA1A19">
        <w:rPr>
          <w:rFonts w:eastAsiaTheme="minorHAnsi"/>
          <w:lang w:eastAsia="en-US"/>
        </w:rPr>
        <w:t xml:space="preserve"> </w:t>
      </w:r>
      <w:r w:rsidR="00C34112" w:rsidRPr="00FA1A19">
        <w:rPr>
          <w:rFonts w:eastAsiaTheme="minorHAnsi"/>
          <w:lang w:eastAsia="en-US"/>
        </w:rPr>
        <w:t>The Board</w:t>
      </w:r>
      <w:r w:rsidR="00F75232">
        <w:rPr>
          <w:rFonts w:eastAsiaTheme="minorHAnsi"/>
          <w:lang w:eastAsia="en-US"/>
        </w:rPr>
        <w:t>’</w:t>
      </w:r>
      <w:r w:rsidR="00C34112" w:rsidRPr="00FA1A19">
        <w:rPr>
          <w:rFonts w:eastAsiaTheme="minorHAnsi"/>
          <w:lang w:eastAsia="en-US"/>
        </w:rPr>
        <w:t xml:space="preserve">s consultations together with its own research indicates that areas </w:t>
      </w:r>
      <w:r w:rsidR="0078648B" w:rsidRPr="00FA1A19">
        <w:rPr>
          <w:rFonts w:eastAsiaTheme="minorHAnsi"/>
          <w:lang w:eastAsia="en-US"/>
        </w:rPr>
        <w:t xml:space="preserve">in the crypto ecosystem that are currently </w:t>
      </w:r>
      <w:r w:rsidR="00BB46BE" w:rsidRPr="00FA1A19">
        <w:rPr>
          <w:rFonts w:eastAsiaTheme="minorHAnsi"/>
          <w:lang w:eastAsia="en-US"/>
        </w:rPr>
        <w:t xml:space="preserve">increasing in scale and </w:t>
      </w:r>
      <w:r w:rsidR="0078648B" w:rsidRPr="00FA1A19">
        <w:rPr>
          <w:rFonts w:eastAsiaTheme="minorHAnsi"/>
          <w:lang w:eastAsia="en-US"/>
        </w:rPr>
        <w:t xml:space="preserve">developing at a particularly fast rate are </w:t>
      </w:r>
      <w:r w:rsidR="00F4349B" w:rsidRPr="00FA1A19">
        <w:rPr>
          <w:rFonts w:eastAsiaTheme="minorHAnsi"/>
          <w:lang w:eastAsia="en-US"/>
        </w:rPr>
        <w:t xml:space="preserve">DAOs, DeFi, GameFi, and NFTs, </w:t>
      </w:r>
      <w:r w:rsidR="00342EA8" w:rsidRPr="00FA1A19">
        <w:rPr>
          <w:rFonts w:eastAsiaTheme="minorHAnsi"/>
          <w:lang w:eastAsia="en-US"/>
        </w:rPr>
        <w:t xml:space="preserve">each of which was introduced in </w:t>
      </w:r>
      <w:r w:rsidR="00372633">
        <w:rPr>
          <w:rFonts w:eastAsiaTheme="minorHAnsi"/>
          <w:lang w:eastAsia="en-US"/>
        </w:rPr>
        <w:t>Chapter </w:t>
      </w:r>
      <w:r w:rsidR="00342EA8" w:rsidRPr="00FA1A19">
        <w:rPr>
          <w:rFonts w:eastAsiaTheme="minorHAnsi"/>
          <w:lang w:eastAsia="en-US"/>
        </w:rPr>
        <w:t>3</w:t>
      </w:r>
      <w:r w:rsidR="009D4394" w:rsidRPr="00FA1A19">
        <w:rPr>
          <w:rFonts w:eastAsiaTheme="minorHAnsi"/>
          <w:lang w:eastAsia="en-US"/>
        </w:rPr>
        <w:t>.</w:t>
      </w:r>
      <w:r w:rsidR="004F0A51" w:rsidRPr="00FA1A19">
        <w:rPr>
          <w:rFonts w:eastAsiaTheme="minorHAnsi"/>
          <w:lang w:eastAsia="en-US"/>
        </w:rPr>
        <w:t xml:space="preserve"> </w:t>
      </w:r>
    </w:p>
    <w:p w14:paraId="3E97C77E" w14:textId="03FEDCC2" w:rsidR="00B22429" w:rsidRPr="00FA1A19" w:rsidRDefault="00A2143F" w:rsidP="00995964">
      <w:pPr>
        <w:rPr>
          <w:rFonts w:eastAsiaTheme="minorHAnsi"/>
          <w:lang w:eastAsia="en-US"/>
        </w:rPr>
      </w:pPr>
      <w:r w:rsidRPr="00FA1A19">
        <w:rPr>
          <w:rFonts w:eastAsiaTheme="minorHAnsi"/>
          <w:lang w:eastAsia="en-US"/>
        </w:rPr>
        <w:t>During its consultations</w:t>
      </w:r>
      <w:r w:rsidR="00E91067" w:rsidRPr="00FA1A19">
        <w:rPr>
          <w:rFonts w:eastAsiaTheme="minorHAnsi"/>
          <w:lang w:eastAsia="en-US"/>
        </w:rPr>
        <w:t xml:space="preserve">, the Board </w:t>
      </w:r>
      <w:r w:rsidR="003D6647" w:rsidRPr="00FA1A19">
        <w:rPr>
          <w:rFonts w:eastAsiaTheme="minorHAnsi"/>
          <w:lang w:eastAsia="en-US"/>
        </w:rPr>
        <w:t>received</w:t>
      </w:r>
      <w:r w:rsidR="00E91067" w:rsidRPr="00FA1A19">
        <w:rPr>
          <w:rFonts w:eastAsiaTheme="minorHAnsi"/>
          <w:lang w:eastAsia="en-US"/>
        </w:rPr>
        <w:t xml:space="preserve"> some submissions in relation to </w:t>
      </w:r>
      <w:r w:rsidR="00995964" w:rsidRPr="00FA1A19">
        <w:rPr>
          <w:rFonts w:eastAsiaTheme="minorHAnsi"/>
          <w:lang w:eastAsia="en-US"/>
        </w:rPr>
        <w:t>taxation of these areas</w:t>
      </w:r>
      <w:r w:rsidRPr="00FA1A19">
        <w:rPr>
          <w:rFonts w:eastAsiaTheme="minorHAnsi"/>
          <w:lang w:eastAsia="en-US"/>
        </w:rPr>
        <w:t xml:space="preserve">, but there was </w:t>
      </w:r>
      <w:r w:rsidR="00995964" w:rsidRPr="00FA1A19">
        <w:rPr>
          <w:rFonts w:eastAsiaTheme="minorHAnsi"/>
          <w:lang w:eastAsia="en-US"/>
        </w:rPr>
        <w:t xml:space="preserve">acknowledgement that </w:t>
      </w:r>
      <w:r w:rsidR="005F291D" w:rsidRPr="00FA1A19">
        <w:rPr>
          <w:rFonts w:eastAsiaTheme="minorHAnsi"/>
          <w:lang w:eastAsia="en-US"/>
        </w:rPr>
        <w:t>these areas are currently undergoing much change and development, that</w:t>
      </w:r>
      <w:r w:rsidR="008E11C3" w:rsidRPr="00FA1A19">
        <w:rPr>
          <w:rFonts w:eastAsiaTheme="minorHAnsi"/>
          <w:lang w:eastAsia="en-US"/>
        </w:rPr>
        <w:t xml:space="preserve"> other</w:t>
      </w:r>
      <w:r w:rsidR="005F291D" w:rsidRPr="00FA1A19">
        <w:rPr>
          <w:rFonts w:eastAsiaTheme="minorHAnsi"/>
          <w:lang w:eastAsia="en-US"/>
        </w:rPr>
        <w:t xml:space="preserve"> </w:t>
      </w:r>
      <w:r w:rsidR="008E11C3" w:rsidRPr="00FA1A19">
        <w:rPr>
          <w:rFonts w:eastAsiaTheme="minorHAnsi"/>
          <w:lang w:eastAsia="en-US"/>
        </w:rPr>
        <w:t>work is currently being undertaken in relation to government regulation of these areas</w:t>
      </w:r>
      <w:r w:rsidR="00B558C1" w:rsidRPr="00FA1A19">
        <w:rPr>
          <w:rFonts w:eastAsiaTheme="minorHAnsi"/>
          <w:lang w:eastAsia="en-US"/>
        </w:rPr>
        <w:t>, and that any taxation initiatives would have to be subject to</w:t>
      </w:r>
      <w:r w:rsidR="00730285" w:rsidRPr="00FA1A19">
        <w:rPr>
          <w:rFonts w:eastAsiaTheme="minorHAnsi"/>
          <w:lang w:eastAsia="en-US"/>
        </w:rPr>
        <w:t xml:space="preserve"> and </w:t>
      </w:r>
      <w:r w:rsidR="00B558C1" w:rsidRPr="00FA1A19">
        <w:rPr>
          <w:rFonts w:eastAsiaTheme="minorHAnsi"/>
          <w:lang w:eastAsia="en-US"/>
        </w:rPr>
        <w:t>consistent with</w:t>
      </w:r>
      <w:r w:rsidR="006D1044" w:rsidRPr="00FA1A19">
        <w:rPr>
          <w:rFonts w:eastAsiaTheme="minorHAnsi"/>
          <w:lang w:eastAsia="en-US"/>
        </w:rPr>
        <w:t xml:space="preserve"> any regulatory initiatives that the Government may decide </w:t>
      </w:r>
      <w:r w:rsidR="00730285" w:rsidRPr="00FA1A19">
        <w:rPr>
          <w:rFonts w:eastAsiaTheme="minorHAnsi"/>
          <w:lang w:eastAsia="en-US"/>
        </w:rPr>
        <w:t>to implement</w:t>
      </w:r>
      <w:r w:rsidR="006D1044" w:rsidRPr="00FA1A19">
        <w:rPr>
          <w:rFonts w:eastAsiaTheme="minorHAnsi"/>
          <w:lang w:eastAsia="en-US"/>
        </w:rPr>
        <w:t>.</w:t>
      </w:r>
      <w:r w:rsidR="004F0A51" w:rsidRPr="00FA1A19">
        <w:rPr>
          <w:rFonts w:eastAsiaTheme="minorHAnsi"/>
          <w:lang w:eastAsia="en-US"/>
        </w:rPr>
        <w:t xml:space="preserve"> </w:t>
      </w:r>
      <w:r w:rsidR="0051177C" w:rsidRPr="00FA1A19">
        <w:rPr>
          <w:rFonts w:eastAsiaTheme="minorHAnsi"/>
          <w:lang w:eastAsia="en-US"/>
        </w:rPr>
        <w:t xml:space="preserve">For </w:t>
      </w:r>
      <w:r w:rsidR="00262BCC" w:rsidRPr="00FA1A19">
        <w:rPr>
          <w:rFonts w:eastAsiaTheme="minorHAnsi"/>
          <w:lang w:eastAsia="en-US"/>
        </w:rPr>
        <w:t>these</w:t>
      </w:r>
      <w:r w:rsidR="0051177C" w:rsidRPr="00FA1A19">
        <w:rPr>
          <w:rFonts w:eastAsiaTheme="minorHAnsi"/>
          <w:lang w:eastAsia="en-US"/>
        </w:rPr>
        <w:t xml:space="preserve"> reason</w:t>
      </w:r>
      <w:r w:rsidR="00C54538" w:rsidRPr="00FA1A19">
        <w:rPr>
          <w:rFonts w:eastAsiaTheme="minorHAnsi"/>
          <w:lang w:eastAsia="en-US"/>
        </w:rPr>
        <w:t>s</w:t>
      </w:r>
      <w:r w:rsidR="0051177C" w:rsidRPr="00FA1A19">
        <w:rPr>
          <w:rFonts w:eastAsiaTheme="minorHAnsi"/>
          <w:lang w:eastAsia="en-US"/>
        </w:rPr>
        <w:t xml:space="preserve">, as well as for the reasons set out in this </w:t>
      </w:r>
      <w:r w:rsidR="008F553A">
        <w:rPr>
          <w:rFonts w:eastAsiaTheme="minorHAnsi"/>
          <w:lang w:eastAsia="en-US"/>
        </w:rPr>
        <w:t>R</w:t>
      </w:r>
      <w:r w:rsidR="008F553A" w:rsidRPr="00FA1A19">
        <w:rPr>
          <w:rFonts w:eastAsiaTheme="minorHAnsi"/>
          <w:lang w:eastAsia="en-US"/>
        </w:rPr>
        <w:t>eport</w:t>
      </w:r>
      <w:r w:rsidR="0051177C" w:rsidRPr="00FA1A19">
        <w:rPr>
          <w:rFonts w:eastAsiaTheme="minorHAnsi"/>
          <w:lang w:eastAsia="en-US"/>
        </w:rPr>
        <w:t xml:space="preserve">, </w:t>
      </w:r>
      <w:r w:rsidR="009D4394" w:rsidRPr="00FA1A19">
        <w:rPr>
          <w:rFonts w:eastAsiaTheme="minorHAnsi"/>
          <w:lang w:eastAsia="en-US"/>
        </w:rPr>
        <w:t xml:space="preserve">the Board does not consider that the Government should </w:t>
      </w:r>
      <w:r w:rsidR="00A8033D" w:rsidRPr="00FA1A19">
        <w:rPr>
          <w:rFonts w:eastAsiaTheme="minorHAnsi"/>
          <w:lang w:eastAsia="en-US"/>
        </w:rPr>
        <w:t>implement</w:t>
      </w:r>
      <w:r w:rsidR="009D4394" w:rsidRPr="00FA1A19">
        <w:rPr>
          <w:rFonts w:eastAsiaTheme="minorHAnsi"/>
          <w:lang w:eastAsia="en-US"/>
        </w:rPr>
        <w:t xml:space="preserve"> any legislative changes to deal with t</w:t>
      </w:r>
      <w:r w:rsidR="006D1044" w:rsidRPr="00FA1A19">
        <w:rPr>
          <w:rFonts w:eastAsiaTheme="minorHAnsi"/>
          <w:lang w:eastAsia="en-US"/>
        </w:rPr>
        <w:t>axation law as it applies to these</w:t>
      </w:r>
      <w:r w:rsidR="009D4394" w:rsidRPr="00FA1A19">
        <w:rPr>
          <w:rFonts w:eastAsiaTheme="minorHAnsi"/>
          <w:lang w:eastAsia="en-US"/>
        </w:rPr>
        <w:t xml:space="preserve"> areas at the present time.</w:t>
      </w:r>
      <w:r w:rsidR="004F0A51" w:rsidRPr="00FA1A19">
        <w:rPr>
          <w:rFonts w:eastAsiaTheme="minorHAnsi"/>
          <w:lang w:eastAsia="en-US"/>
        </w:rPr>
        <w:t xml:space="preserve"> </w:t>
      </w:r>
    </w:p>
    <w:p w14:paraId="474C6DB1" w14:textId="2CD0E74F" w:rsidR="0051177C" w:rsidRPr="00FA1A19" w:rsidRDefault="009D4394">
      <w:pPr>
        <w:rPr>
          <w:rFonts w:eastAsiaTheme="minorHAnsi"/>
          <w:lang w:eastAsia="en-US"/>
        </w:rPr>
      </w:pPr>
      <w:r w:rsidRPr="00FA1A19">
        <w:rPr>
          <w:rFonts w:eastAsiaTheme="minorHAnsi"/>
          <w:lang w:eastAsia="en-US"/>
        </w:rPr>
        <w:t xml:space="preserve">However, the Board expects that </w:t>
      </w:r>
      <w:r w:rsidR="00B22429" w:rsidRPr="00FA1A19">
        <w:rPr>
          <w:rFonts w:eastAsiaTheme="minorHAnsi"/>
          <w:lang w:eastAsia="en-US"/>
        </w:rPr>
        <w:t xml:space="preserve">the application of taxation laws in these areas will </w:t>
      </w:r>
      <w:r w:rsidR="0051177C" w:rsidRPr="00FA1A19">
        <w:rPr>
          <w:rFonts w:eastAsiaTheme="minorHAnsi"/>
          <w:lang w:eastAsia="en-US"/>
        </w:rPr>
        <w:t>become of increasing interest to participants in the crypto ecosystem and their advisers.</w:t>
      </w:r>
      <w:r w:rsidR="004F0A51" w:rsidRPr="00FA1A19">
        <w:rPr>
          <w:rFonts w:eastAsiaTheme="minorHAnsi"/>
          <w:lang w:eastAsia="en-US"/>
        </w:rPr>
        <w:t xml:space="preserve"> </w:t>
      </w:r>
      <w:r w:rsidR="001C17C4" w:rsidRPr="00FA1A19">
        <w:rPr>
          <w:rFonts w:eastAsiaTheme="minorHAnsi"/>
          <w:lang w:eastAsia="en-US"/>
        </w:rPr>
        <w:t xml:space="preserve">The Board recommends that the ATO continue to </w:t>
      </w:r>
      <w:r w:rsidR="008A1E67" w:rsidRPr="00FA1A19">
        <w:rPr>
          <w:rFonts w:eastAsiaTheme="minorHAnsi"/>
          <w:lang w:eastAsia="en-US"/>
        </w:rPr>
        <w:t>monitor</w:t>
      </w:r>
      <w:r w:rsidR="001C17C4" w:rsidRPr="00FA1A19">
        <w:rPr>
          <w:rFonts w:eastAsiaTheme="minorHAnsi"/>
          <w:lang w:eastAsia="en-US"/>
        </w:rPr>
        <w:t xml:space="preserve"> the tax treatment of new and evolving crypto assets and transactions in accordance with existing rules and principles</w:t>
      </w:r>
      <w:r w:rsidR="00A0775A" w:rsidRPr="00FA1A19">
        <w:rPr>
          <w:rFonts w:eastAsiaTheme="minorHAnsi"/>
          <w:lang w:eastAsia="en-US"/>
        </w:rPr>
        <w:t xml:space="preserve">, </w:t>
      </w:r>
      <w:r w:rsidR="003C3483" w:rsidRPr="00FA1A19">
        <w:rPr>
          <w:rFonts w:eastAsiaTheme="minorHAnsi"/>
          <w:lang w:eastAsia="en-US"/>
        </w:rPr>
        <w:t>and anticipates that such monitoring will include attention being given to these areas</w:t>
      </w:r>
      <w:r w:rsidR="00A0775A" w:rsidRPr="00FA1A19">
        <w:rPr>
          <w:rFonts w:eastAsiaTheme="minorHAnsi"/>
          <w:lang w:eastAsia="en-US"/>
        </w:rPr>
        <w:t>.</w:t>
      </w:r>
    </w:p>
    <w:p w14:paraId="6084484E" w14:textId="67E81FAA" w:rsidR="000B15B0" w:rsidRPr="00FA1A19" w:rsidRDefault="000B15B0">
      <w:pPr>
        <w:rPr>
          <w:rFonts w:eastAsiaTheme="minorHAnsi"/>
          <w:lang w:eastAsia="en-US"/>
        </w:rPr>
      </w:pPr>
      <w:r w:rsidRPr="00FA1A19">
        <w:rPr>
          <w:rFonts w:eastAsiaTheme="minorHAnsi"/>
          <w:lang w:eastAsia="en-US"/>
        </w:rPr>
        <w:t xml:space="preserve">The remaining paragraphs in this </w:t>
      </w:r>
      <w:r w:rsidR="00423AFA" w:rsidRPr="00FA1A19">
        <w:rPr>
          <w:rFonts w:eastAsiaTheme="minorHAnsi"/>
          <w:lang w:eastAsia="en-US"/>
        </w:rPr>
        <w:t>c</w:t>
      </w:r>
      <w:r w:rsidRPr="00FA1A19">
        <w:rPr>
          <w:rFonts w:eastAsiaTheme="minorHAnsi"/>
          <w:lang w:eastAsia="en-US"/>
        </w:rPr>
        <w:t xml:space="preserve">hapter explain these </w:t>
      </w:r>
      <w:r w:rsidR="00B12AC0" w:rsidRPr="00FA1A19">
        <w:rPr>
          <w:rFonts w:eastAsiaTheme="minorHAnsi"/>
          <w:lang w:eastAsia="en-US"/>
        </w:rPr>
        <w:t>four</w:t>
      </w:r>
      <w:r w:rsidRPr="00FA1A19">
        <w:rPr>
          <w:rFonts w:eastAsiaTheme="minorHAnsi"/>
          <w:lang w:eastAsia="en-US"/>
        </w:rPr>
        <w:t xml:space="preserve"> areas</w:t>
      </w:r>
      <w:r w:rsidR="008545E8" w:rsidRPr="00FA1A19">
        <w:rPr>
          <w:rFonts w:eastAsiaTheme="minorHAnsi"/>
          <w:lang w:eastAsia="en-US"/>
        </w:rPr>
        <w:t xml:space="preserve"> further,</w:t>
      </w:r>
      <w:r w:rsidRPr="00FA1A19">
        <w:rPr>
          <w:rFonts w:eastAsiaTheme="minorHAnsi"/>
          <w:lang w:eastAsia="en-US"/>
        </w:rPr>
        <w:t xml:space="preserve"> and potential taxation issues </w:t>
      </w:r>
      <w:r w:rsidR="00621BE8" w:rsidRPr="00FA1A19">
        <w:rPr>
          <w:rFonts w:eastAsiaTheme="minorHAnsi"/>
          <w:lang w:eastAsia="en-US"/>
        </w:rPr>
        <w:t>that may arise</w:t>
      </w:r>
      <w:r w:rsidRPr="00FA1A19">
        <w:rPr>
          <w:rFonts w:eastAsiaTheme="minorHAnsi"/>
          <w:lang w:eastAsia="en-US"/>
        </w:rPr>
        <w:t xml:space="preserve"> in relation to them.</w:t>
      </w:r>
    </w:p>
    <w:p w14:paraId="275320AE" w14:textId="5103D2DD" w:rsidR="00F24D1D" w:rsidRPr="00FA1A19" w:rsidRDefault="00F24D1D" w:rsidP="00342121">
      <w:pPr>
        <w:pStyle w:val="Heading3"/>
      </w:pPr>
      <w:r w:rsidRPr="00FA1A19">
        <w:t>Decentralised Autonomous Organisations</w:t>
      </w:r>
      <w:r w:rsidR="00FE753F" w:rsidRPr="00FA1A19">
        <w:t xml:space="preserve"> </w:t>
      </w:r>
    </w:p>
    <w:p w14:paraId="3B1968A3" w14:textId="280945C5" w:rsidR="00F24D1D" w:rsidRPr="00FA1A19" w:rsidRDefault="00F24D1D">
      <w:pPr>
        <w:rPr>
          <w:rFonts w:eastAsiaTheme="minorHAnsi" w:cs="Calibri"/>
          <w:lang w:eastAsia="en-US"/>
        </w:rPr>
      </w:pPr>
      <w:r w:rsidRPr="00FA1A19">
        <w:rPr>
          <w:rFonts w:eastAsiaTheme="minorEastAsia" w:cs="Calibri"/>
          <w:lang w:eastAsia="en-US"/>
        </w:rPr>
        <w:t>As the crypto ecosystem has evolved, so has the associated organisational structures through which these assets operate. DAOs have become an important feature of the crypto ecosystem.</w:t>
      </w:r>
      <w:r w:rsidRPr="00170ADC">
        <w:rPr>
          <w:rStyle w:val="FootnoteReference"/>
          <w:rFonts w:eastAsiaTheme="minorEastAsia"/>
        </w:rPr>
        <w:footnoteReference w:id="692"/>
      </w:r>
      <w:r w:rsidRPr="00FA1A19">
        <w:rPr>
          <w:rFonts w:eastAsiaTheme="minorEastAsia" w:cs="Calibri"/>
          <w:lang w:eastAsia="en-US"/>
        </w:rPr>
        <w:t xml:space="preserve"> </w:t>
      </w:r>
    </w:p>
    <w:p w14:paraId="63E922BE" w14:textId="77777777" w:rsidR="00042402" w:rsidRPr="00FA1A19" w:rsidRDefault="005937A4">
      <w:pPr>
        <w:rPr>
          <w:rFonts w:eastAsiaTheme="minorEastAsia" w:cs="Calibri"/>
          <w:lang w:eastAsia="en-US"/>
        </w:rPr>
      </w:pPr>
      <w:r w:rsidRPr="00FA1A19">
        <w:rPr>
          <w:rFonts w:eastAsiaTheme="minorEastAsia" w:cs="Calibri"/>
          <w:lang w:eastAsia="en-US"/>
        </w:rPr>
        <w:t xml:space="preserve">The World Economic Forum has described </w:t>
      </w:r>
      <w:r w:rsidR="00F24D1D" w:rsidRPr="00FA1A19">
        <w:rPr>
          <w:rFonts w:eastAsiaTheme="minorEastAsia" w:cs="Calibri"/>
          <w:lang w:eastAsia="en-US"/>
        </w:rPr>
        <w:t xml:space="preserve">DAOs </w:t>
      </w:r>
      <w:r w:rsidRPr="00FA1A19">
        <w:rPr>
          <w:rFonts w:eastAsiaTheme="minorEastAsia" w:cs="Calibri"/>
          <w:lang w:eastAsia="en-US"/>
        </w:rPr>
        <w:t>as</w:t>
      </w:r>
      <w:r w:rsidR="00042402" w:rsidRPr="00FA1A19">
        <w:rPr>
          <w:rFonts w:eastAsiaTheme="minorEastAsia" w:cs="Calibri"/>
          <w:lang w:eastAsia="en-US"/>
        </w:rPr>
        <w:t>:</w:t>
      </w:r>
    </w:p>
    <w:p w14:paraId="590A5D29" w14:textId="0847F8D9" w:rsidR="00042402" w:rsidRPr="00FA1A19" w:rsidRDefault="00F24D1D" w:rsidP="004B75D8">
      <w:pPr>
        <w:pStyle w:val="Quote"/>
        <w:rPr>
          <w:rFonts w:eastAsiaTheme="minorEastAsia"/>
          <w:lang w:eastAsia="en-US"/>
        </w:rPr>
      </w:pPr>
      <w:r w:rsidRPr="00FA1A19">
        <w:rPr>
          <w:rFonts w:eastAsiaTheme="minorEastAsia"/>
          <w:lang w:eastAsia="en-US"/>
        </w:rPr>
        <w:t>organi</w:t>
      </w:r>
      <w:r w:rsidR="005937A4" w:rsidRPr="00FA1A19">
        <w:rPr>
          <w:rFonts w:eastAsiaTheme="minorEastAsia"/>
          <w:lang w:eastAsia="en-US"/>
        </w:rPr>
        <w:t>z</w:t>
      </w:r>
      <w:r w:rsidRPr="00FA1A19">
        <w:rPr>
          <w:rFonts w:eastAsiaTheme="minorEastAsia"/>
          <w:lang w:eastAsia="en-US"/>
        </w:rPr>
        <w:t>ational structures that use blockchains, digital assets and related technologies to direct resources, organise activities and make decisions. Community</w:t>
      </w:r>
      <w:r w:rsidR="00F75232">
        <w:rPr>
          <w:rFonts w:eastAsiaTheme="minorEastAsia"/>
          <w:lang w:eastAsia="en-US"/>
        </w:rPr>
        <w:noBreakHyphen/>
      </w:r>
      <w:r w:rsidRPr="00FA1A19">
        <w:rPr>
          <w:rFonts w:eastAsiaTheme="minorEastAsia"/>
          <w:lang w:eastAsia="en-US"/>
        </w:rPr>
        <w:t>oriented and code</w:t>
      </w:r>
      <w:r w:rsidR="00F75232">
        <w:rPr>
          <w:rFonts w:eastAsiaTheme="minorEastAsia"/>
          <w:lang w:eastAsia="en-US"/>
        </w:rPr>
        <w:noBreakHyphen/>
      </w:r>
      <w:r w:rsidRPr="00FA1A19">
        <w:rPr>
          <w:rFonts w:eastAsiaTheme="minorEastAsia"/>
          <w:lang w:eastAsia="en-US"/>
        </w:rPr>
        <w:t xml:space="preserve">driven, DAOs attempt to </w:t>
      </w:r>
      <w:r w:rsidRPr="00FA1A19">
        <w:rPr>
          <w:rFonts w:eastAsiaTheme="minorEastAsia"/>
        </w:rPr>
        <w:t>provide</w:t>
      </w:r>
      <w:r w:rsidRPr="00FA1A19">
        <w:rPr>
          <w:rFonts w:eastAsiaTheme="minorEastAsia"/>
          <w:lang w:eastAsia="en-US"/>
        </w:rPr>
        <w:t xml:space="preserve"> an alternative to traditional organi</w:t>
      </w:r>
      <w:r w:rsidR="005937A4" w:rsidRPr="00FA1A19">
        <w:rPr>
          <w:rFonts w:eastAsiaTheme="minorEastAsia"/>
          <w:lang w:eastAsia="en-US"/>
        </w:rPr>
        <w:t>z</w:t>
      </w:r>
      <w:r w:rsidRPr="00FA1A19">
        <w:rPr>
          <w:rFonts w:eastAsiaTheme="minorEastAsia"/>
          <w:lang w:eastAsia="en-US"/>
        </w:rPr>
        <w:t>ational forms by making operational information publicly available and enabling members to participate in governance.</w:t>
      </w:r>
    </w:p>
    <w:p w14:paraId="7C8EB9A6" w14:textId="072272A2" w:rsidR="00042402" w:rsidRPr="00FA1A19" w:rsidRDefault="00042402" w:rsidP="004B75D8">
      <w:pPr>
        <w:pStyle w:val="Quote"/>
        <w:rPr>
          <w:rFonts w:eastAsiaTheme="minorEastAsia"/>
          <w:lang w:eastAsia="en-US"/>
        </w:rPr>
      </w:pPr>
      <w:r w:rsidRPr="00FA1A19">
        <w:rPr>
          <w:rFonts w:eastAsiaTheme="minorEastAsia"/>
          <w:lang w:eastAsia="en-US"/>
        </w:rPr>
        <w:t>…</w:t>
      </w:r>
    </w:p>
    <w:p w14:paraId="798D15CF" w14:textId="2D580204" w:rsidR="002B5CD1" w:rsidRPr="00FA1A19" w:rsidRDefault="00F24D1D" w:rsidP="004B75D8">
      <w:pPr>
        <w:pStyle w:val="Quote"/>
        <w:rPr>
          <w:rFonts w:eastAsiaTheme="minorEastAsia"/>
          <w:lang w:eastAsia="en-US"/>
        </w:rPr>
      </w:pPr>
      <w:r w:rsidRPr="00FA1A19">
        <w:rPr>
          <w:rFonts w:eastAsiaTheme="minorEastAsia"/>
          <w:lang w:eastAsia="en-US"/>
        </w:rPr>
        <w:t xml:space="preserve">DAOs aim to enable communities to achieve their goals while reducing the need for intermediaries or centralized leadership to manage operations. DAOs typically run on public, permissionless blockchains, </w:t>
      </w:r>
      <w:r w:rsidRPr="00FA1A19">
        <w:rPr>
          <w:rFonts w:eastAsiaTheme="minorEastAsia"/>
        </w:rPr>
        <w:t>with</w:t>
      </w:r>
      <w:r w:rsidRPr="00FA1A19">
        <w:rPr>
          <w:rFonts w:eastAsiaTheme="minorEastAsia"/>
          <w:lang w:eastAsia="en-US"/>
        </w:rPr>
        <w:t xml:space="preserve"> their actions and governance encoded in opensource software and enforced by smart contracts.</w:t>
      </w:r>
      <w:r w:rsidRPr="00170ADC">
        <w:rPr>
          <w:rStyle w:val="FootnoteReference"/>
          <w:rFonts w:eastAsiaTheme="minorEastAsia"/>
        </w:rPr>
        <w:footnoteReference w:id="693"/>
      </w:r>
    </w:p>
    <w:p w14:paraId="3E0CDE38" w14:textId="16F5E226" w:rsidR="00F24D1D" w:rsidRPr="00FA1A19" w:rsidRDefault="002B5CD1">
      <w:pPr>
        <w:rPr>
          <w:rFonts w:eastAsiaTheme="minorHAnsi" w:cs="Calibri"/>
          <w:lang w:eastAsia="en-US"/>
        </w:rPr>
      </w:pPr>
      <w:r w:rsidRPr="00FA1A19">
        <w:rPr>
          <w:rFonts w:eastAsiaTheme="minorEastAsia" w:cs="Calibri"/>
          <w:lang w:eastAsia="en-US"/>
        </w:rPr>
        <w:t>DAOs</w:t>
      </w:r>
      <w:r w:rsidR="00EA4860" w:rsidRPr="00FA1A19">
        <w:rPr>
          <w:rFonts w:eastAsiaTheme="minorEastAsia" w:cs="Calibri"/>
          <w:lang w:eastAsia="en-US"/>
        </w:rPr>
        <w:t xml:space="preserve"> have on</w:t>
      </w:r>
      <w:r w:rsidR="00F75232">
        <w:rPr>
          <w:rFonts w:eastAsiaTheme="minorEastAsia" w:cs="Calibri"/>
          <w:lang w:eastAsia="en-US"/>
        </w:rPr>
        <w:noBreakHyphen/>
      </w:r>
      <w:r w:rsidR="00EA4860" w:rsidRPr="00FA1A19">
        <w:rPr>
          <w:rFonts w:eastAsiaTheme="minorEastAsia" w:cs="Calibri"/>
          <w:lang w:eastAsia="en-US"/>
        </w:rPr>
        <w:t>chain governance</w:t>
      </w:r>
      <w:r w:rsidR="00812E68" w:rsidRPr="00FA1A19">
        <w:rPr>
          <w:rFonts w:eastAsiaTheme="minorEastAsia" w:cs="Calibri"/>
          <w:lang w:eastAsia="en-US"/>
        </w:rPr>
        <w:t xml:space="preserve">, </w:t>
      </w:r>
      <w:r w:rsidR="00EA4860" w:rsidRPr="00FA1A19">
        <w:rPr>
          <w:rFonts w:eastAsiaTheme="minorEastAsia" w:cs="Calibri"/>
          <w:lang w:eastAsia="en-US"/>
        </w:rPr>
        <w:t xml:space="preserve">although </w:t>
      </w:r>
      <w:r w:rsidR="00587626" w:rsidRPr="00FA1A19">
        <w:rPr>
          <w:rFonts w:eastAsiaTheme="minorEastAsia" w:cs="Calibri"/>
          <w:lang w:eastAsia="en-US"/>
        </w:rPr>
        <w:t>some may have</w:t>
      </w:r>
      <w:r w:rsidR="008338CB" w:rsidRPr="00FA1A19">
        <w:rPr>
          <w:rFonts w:eastAsiaTheme="minorEastAsia" w:cs="Calibri"/>
          <w:lang w:eastAsia="en-US"/>
        </w:rPr>
        <w:t xml:space="preserve"> some component of</w:t>
      </w:r>
      <w:r w:rsidR="00587626" w:rsidRPr="00FA1A19">
        <w:rPr>
          <w:rFonts w:eastAsiaTheme="minorEastAsia" w:cs="Calibri"/>
          <w:lang w:eastAsia="en-US"/>
        </w:rPr>
        <w:t xml:space="preserve"> centralised governance</w:t>
      </w:r>
      <w:r w:rsidR="00B86F7A" w:rsidRPr="00FA1A19">
        <w:rPr>
          <w:rFonts w:eastAsiaTheme="minorEastAsia" w:cs="Calibri"/>
          <w:lang w:eastAsia="en-US"/>
        </w:rPr>
        <w:t xml:space="preserve"> </w:t>
      </w:r>
      <w:r w:rsidRPr="00FA1A19">
        <w:rPr>
          <w:rFonts w:eastAsiaTheme="minorEastAsia" w:cs="Calibri"/>
          <w:lang w:eastAsia="en-US"/>
        </w:rPr>
        <w:t xml:space="preserve">whether formally or informally by a small number of individuals holding large percentages of governance tokens </w:t>
      </w:r>
      <w:r w:rsidR="00B86F7A" w:rsidRPr="00FA1A19">
        <w:rPr>
          <w:rFonts w:eastAsiaTheme="minorEastAsia" w:cs="Calibri"/>
          <w:lang w:eastAsia="en-US"/>
        </w:rPr>
        <w:t xml:space="preserve">– see </w:t>
      </w:r>
      <w:r w:rsidR="00372633">
        <w:rPr>
          <w:rFonts w:eastAsiaTheme="minorEastAsia" w:cs="Calibri"/>
          <w:lang w:eastAsia="en-US"/>
        </w:rPr>
        <w:t>Chapter </w:t>
      </w:r>
      <w:r w:rsidR="00B86F7A" w:rsidRPr="00FA1A19">
        <w:rPr>
          <w:rFonts w:eastAsiaTheme="minorEastAsia" w:cs="Calibri"/>
          <w:lang w:eastAsia="en-US"/>
        </w:rPr>
        <w:t>3.</w:t>
      </w:r>
    </w:p>
    <w:p w14:paraId="0EB5E250" w14:textId="446E280F" w:rsidR="00F24D1D" w:rsidRPr="00FA1A19" w:rsidRDefault="00F24D1D">
      <w:pPr>
        <w:rPr>
          <w:rFonts w:eastAsiaTheme="minorHAnsi" w:cs="Calibri"/>
          <w:lang w:eastAsia="en-US"/>
        </w:rPr>
      </w:pPr>
      <w:r w:rsidRPr="00FA1A19">
        <w:rPr>
          <w:rFonts w:eastAsiaTheme="minorHAnsi" w:cs="Calibri"/>
          <w:lang w:eastAsia="en-US"/>
        </w:rPr>
        <w:t xml:space="preserve">DAOs are a means </w:t>
      </w:r>
      <w:r w:rsidR="00E02586" w:rsidRPr="00FA1A19">
        <w:rPr>
          <w:rFonts w:eastAsiaTheme="minorHAnsi" w:cs="Calibri"/>
          <w:lang w:eastAsia="en-US"/>
        </w:rPr>
        <w:t xml:space="preserve">of </w:t>
      </w:r>
      <w:r w:rsidRPr="00FA1A19">
        <w:rPr>
          <w:rFonts w:eastAsiaTheme="minorHAnsi" w:cs="Calibri"/>
          <w:lang w:eastAsia="en-US"/>
        </w:rPr>
        <w:t>raising capital by holders of an underlying token or NFT</w:t>
      </w:r>
      <w:r w:rsidR="005E2163" w:rsidRPr="00FA1A19">
        <w:rPr>
          <w:rFonts w:eastAsiaTheme="minorHAnsi" w:cs="Calibri"/>
          <w:lang w:eastAsia="en-US"/>
        </w:rPr>
        <w:t xml:space="preserve">, with investors subsequently holding governance tokens that </w:t>
      </w:r>
      <w:r w:rsidR="00162165" w:rsidRPr="00FA1A19">
        <w:rPr>
          <w:rFonts w:eastAsiaTheme="minorHAnsi" w:cs="Calibri"/>
          <w:lang w:eastAsia="en-US"/>
        </w:rPr>
        <w:t xml:space="preserve">will </w:t>
      </w:r>
      <w:r w:rsidR="006A1683" w:rsidRPr="00FA1A19">
        <w:rPr>
          <w:rFonts w:eastAsiaTheme="minorHAnsi" w:cs="Calibri"/>
          <w:lang w:eastAsia="en-US"/>
        </w:rPr>
        <w:t xml:space="preserve">give them eligibility </w:t>
      </w:r>
      <w:r w:rsidRPr="00FA1A19">
        <w:rPr>
          <w:rFonts w:eastAsiaTheme="minorHAnsi" w:cs="Calibri"/>
          <w:lang w:eastAsia="en-US"/>
        </w:rPr>
        <w:t xml:space="preserve">to vote on how the DAO will use its funds. </w:t>
      </w:r>
    </w:p>
    <w:p w14:paraId="72B7D3FA" w14:textId="37E0DFE8" w:rsidR="00F24D1D" w:rsidRPr="00FA1A19" w:rsidRDefault="00F24D1D">
      <w:pPr>
        <w:rPr>
          <w:rFonts w:eastAsiaTheme="minorHAnsi" w:cs="Calibri"/>
          <w:lang w:eastAsia="en-US"/>
        </w:rPr>
      </w:pPr>
      <w:r w:rsidRPr="00FA1A19">
        <w:rPr>
          <w:rFonts w:eastAsiaTheme="minorHAnsi" w:cs="Calibri"/>
          <w:lang w:eastAsia="en-US"/>
        </w:rPr>
        <w:t xml:space="preserve">Australia does not currently have a regulatory framework or classification of DAOs and </w:t>
      </w:r>
      <w:r w:rsidR="005235EE" w:rsidRPr="00FA1A19">
        <w:rPr>
          <w:rFonts w:eastAsiaTheme="minorHAnsi" w:cs="Calibri"/>
          <w:lang w:eastAsia="en-US"/>
        </w:rPr>
        <w:t xml:space="preserve">DAOs </w:t>
      </w:r>
      <w:r w:rsidR="00784CAA" w:rsidRPr="00FA1A19">
        <w:rPr>
          <w:rFonts w:eastAsiaTheme="minorHAnsi" w:cs="Calibri"/>
          <w:lang w:eastAsia="en-US"/>
        </w:rPr>
        <w:t>are not legal entities</w:t>
      </w:r>
      <w:r w:rsidRPr="00FA1A19">
        <w:rPr>
          <w:rFonts w:eastAsiaTheme="minorHAnsi" w:cs="Calibri"/>
          <w:lang w:eastAsia="en-US"/>
        </w:rPr>
        <w:t>. While the</w:t>
      </w:r>
      <w:r w:rsidR="00254BD0" w:rsidRPr="00FA1A19">
        <w:rPr>
          <w:rFonts w:eastAsiaTheme="minorHAnsi" w:cs="Calibri"/>
          <w:lang w:eastAsia="en-US"/>
        </w:rPr>
        <w:t xml:space="preserve"> taxation legislation has an expanded definition of </w:t>
      </w:r>
      <w:r w:rsidR="00F75232">
        <w:rPr>
          <w:rFonts w:eastAsiaTheme="minorHAnsi" w:cs="Calibri"/>
          <w:lang w:eastAsia="en-US"/>
        </w:rPr>
        <w:t>‘</w:t>
      </w:r>
      <w:r w:rsidR="00254BD0" w:rsidRPr="00FA1A19">
        <w:rPr>
          <w:rFonts w:eastAsiaTheme="minorHAnsi" w:cs="Calibri"/>
          <w:lang w:eastAsia="en-US"/>
        </w:rPr>
        <w:t>entity</w:t>
      </w:r>
      <w:r w:rsidR="00F75232">
        <w:rPr>
          <w:rFonts w:eastAsiaTheme="minorHAnsi" w:cs="Calibri"/>
          <w:lang w:eastAsia="en-US"/>
        </w:rPr>
        <w:t>’</w:t>
      </w:r>
      <w:r w:rsidR="00254BD0" w:rsidRPr="00FA1A19">
        <w:rPr>
          <w:rFonts w:eastAsiaTheme="minorHAnsi" w:cs="Calibri"/>
          <w:lang w:eastAsia="en-US"/>
        </w:rPr>
        <w:t xml:space="preserve"> that includes </w:t>
      </w:r>
      <w:r w:rsidR="008D4162" w:rsidRPr="00FA1A19">
        <w:rPr>
          <w:rFonts w:eastAsiaTheme="minorHAnsi" w:cs="Calibri"/>
          <w:lang w:eastAsia="en-US"/>
        </w:rPr>
        <w:t>partnerships, other unincorporated association or body of persons and trusts,</w:t>
      </w:r>
      <w:r w:rsidR="008D4162" w:rsidRPr="00170ADC">
        <w:rPr>
          <w:rStyle w:val="FootnoteReference"/>
          <w:rFonts w:eastAsiaTheme="minorHAnsi"/>
        </w:rPr>
        <w:footnoteReference w:id="694"/>
      </w:r>
      <w:r w:rsidRPr="00FA1A19">
        <w:rPr>
          <w:rFonts w:eastAsiaTheme="minorHAnsi" w:cs="Calibri"/>
          <w:lang w:eastAsia="en-US"/>
        </w:rPr>
        <w:t xml:space="preserve"> a</w:t>
      </w:r>
      <w:r w:rsidR="00665170" w:rsidRPr="00FA1A19">
        <w:rPr>
          <w:rFonts w:eastAsiaTheme="minorHAnsi" w:cs="Calibri"/>
          <w:lang w:eastAsia="en-US"/>
        </w:rPr>
        <w:t xml:space="preserve"> token </w:t>
      </w:r>
      <w:r w:rsidRPr="00FA1A19">
        <w:rPr>
          <w:rFonts w:eastAsiaTheme="minorHAnsi" w:cs="Calibri"/>
          <w:lang w:eastAsia="en-US"/>
        </w:rPr>
        <w:t>interest in a DAO</w:t>
      </w:r>
      <w:r w:rsidR="00665170" w:rsidRPr="00FA1A19">
        <w:rPr>
          <w:rFonts w:eastAsiaTheme="minorHAnsi" w:cs="Calibri"/>
          <w:lang w:eastAsia="en-US"/>
        </w:rPr>
        <w:t xml:space="preserve"> does not </w:t>
      </w:r>
      <w:r w:rsidR="00E87693" w:rsidRPr="00FA1A19">
        <w:rPr>
          <w:rFonts w:eastAsiaTheme="minorHAnsi" w:cs="Calibri"/>
          <w:lang w:eastAsia="en-US"/>
        </w:rPr>
        <w:t xml:space="preserve">readily fall within any of these categories notwithstanding that DAOs may have </w:t>
      </w:r>
      <w:r w:rsidRPr="00FA1A19">
        <w:rPr>
          <w:rFonts w:eastAsiaTheme="minorHAnsi" w:cs="Calibri"/>
          <w:lang w:eastAsia="en-US"/>
        </w:rPr>
        <w:t xml:space="preserve">some similarities to an interest in a partnership or an equity interest. </w:t>
      </w:r>
    </w:p>
    <w:p w14:paraId="114C1183" w14:textId="1417BA9F" w:rsidR="00F24D1D" w:rsidRPr="00FA1A19" w:rsidRDefault="00F24D1D">
      <w:pPr>
        <w:rPr>
          <w:rFonts w:eastAsiaTheme="minorHAnsi" w:cs="Calibri"/>
          <w:lang w:eastAsia="en-US"/>
        </w:rPr>
      </w:pPr>
      <w:r w:rsidRPr="00FA1A19">
        <w:rPr>
          <w:rFonts w:eastAsiaTheme="minorHAnsi" w:cs="Calibri"/>
          <w:lang w:eastAsia="en-US"/>
        </w:rPr>
        <w:t xml:space="preserve">The Board has heard that the lack of clarity in relation to the classification of DAOs drives complexity in taxation. As highlighted in </w:t>
      </w:r>
      <w:r w:rsidR="00FF538C">
        <w:t>Blockchain &amp; Digital Assets – Services + Law</w:t>
      </w:r>
      <w:r w:rsidRPr="00FA1A19">
        <w:rPr>
          <w:rFonts w:eastAsiaTheme="minorHAnsi" w:cs="Calibri"/>
          <w:lang w:eastAsia="en-US"/>
        </w:rPr>
        <w:t xml:space="preserve"> submission:</w:t>
      </w:r>
    </w:p>
    <w:p w14:paraId="2E489373" w14:textId="1A25F2FB" w:rsidR="00F24D1D" w:rsidRPr="00FA1A19" w:rsidRDefault="00F24D1D" w:rsidP="004B75D8">
      <w:pPr>
        <w:pStyle w:val="Quote"/>
      </w:pPr>
      <w:r w:rsidRPr="00FA1A19">
        <w:t xml:space="preserve">In large part, my view is that confusion stems from the lack of guidance regarding the characterisation of a DAO as an entity (or entities) for tax purposes. If a DAO does not fit within any of the existing entity types, there is a need to legislate recognition of </w:t>
      </w:r>
      <w:r w:rsidR="00F75232">
        <w:t>‘</w:t>
      </w:r>
      <w:r w:rsidRPr="00FA1A19">
        <w:t>personless protocols</w:t>
      </w:r>
      <w:r w:rsidR="00F75232">
        <w:t>’</w:t>
      </w:r>
      <w:r w:rsidRPr="00FA1A19">
        <w:t xml:space="preserve"> and </w:t>
      </w:r>
      <w:r w:rsidR="00F75232">
        <w:t>‘</w:t>
      </w:r>
      <w:r w:rsidRPr="00FA1A19">
        <w:t>non</w:t>
      </w:r>
      <w:r w:rsidR="00F75232">
        <w:noBreakHyphen/>
      </w:r>
      <w:r w:rsidRPr="00FA1A19">
        <w:t>counterparty property</w:t>
      </w:r>
      <w:r w:rsidR="00F75232">
        <w:t>’</w:t>
      </w:r>
      <w:r w:rsidRPr="00FA1A19">
        <w:t xml:space="preserve"> and/or move to an activities bases of taxation.</w:t>
      </w:r>
      <w:r w:rsidRPr="00170ADC">
        <w:rPr>
          <w:rStyle w:val="FootnoteReference"/>
        </w:rPr>
        <w:footnoteReference w:id="695"/>
      </w:r>
    </w:p>
    <w:p w14:paraId="04482FDC" w14:textId="77777777" w:rsidR="00F24D1D" w:rsidRPr="00FA1A19" w:rsidRDefault="00F24D1D">
      <w:pPr>
        <w:autoSpaceDE w:val="0"/>
        <w:autoSpaceDN w:val="0"/>
        <w:adjustRightInd w:val="0"/>
      </w:pPr>
      <w:r w:rsidRPr="00FA1A19">
        <w:t xml:space="preserve">Similarly, Koinly noted: </w:t>
      </w:r>
    </w:p>
    <w:p w14:paraId="6060BCF9" w14:textId="77777777" w:rsidR="00F24D1D" w:rsidRPr="00FA1A19" w:rsidRDefault="00F24D1D" w:rsidP="004B75D8">
      <w:pPr>
        <w:pStyle w:val="Quote"/>
        <w:rPr>
          <w:rFonts w:eastAsiaTheme="minorHAnsi"/>
        </w:rPr>
      </w:pPr>
      <w:r w:rsidRPr="00FA1A19">
        <w:rPr>
          <w:rFonts w:eastAsiaTheme="minorEastAsia"/>
        </w:rPr>
        <w:t xml:space="preserve">The tax treatment of DAOs is unclear, stemming from uncertainty as to its legal characterisation. A DAO fundamentally differs from existing partnerships or companies in the decentralised way they operate. DAOs do not neatly fit into an existing company or partnership structure, and doing so creates outcomes that are not reflective of the economic functions and </w:t>
      </w:r>
      <w:r w:rsidRPr="00FA1A19">
        <w:rPr>
          <w:rFonts w:eastAsiaTheme="minorEastAsia" w:cs="Calibri"/>
          <w:lang w:eastAsia="en-US"/>
        </w:rPr>
        <w:t>operations</w:t>
      </w:r>
      <w:r w:rsidRPr="00FA1A19">
        <w:rPr>
          <w:rFonts w:eastAsiaTheme="minorEastAsia"/>
        </w:rPr>
        <w:t xml:space="preserve"> of a DAO.</w:t>
      </w:r>
      <w:r w:rsidRPr="00170ADC">
        <w:rPr>
          <w:rStyle w:val="FootnoteReference"/>
          <w:rFonts w:eastAsiaTheme="minorEastAsia"/>
        </w:rPr>
        <w:footnoteReference w:id="696"/>
      </w:r>
    </w:p>
    <w:p w14:paraId="36E99FD2" w14:textId="77777777" w:rsidR="009A5DA6" w:rsidRDefault="00F24D1D">
      <w:pPr>
        <w:autoSpaceDE w:val="0"/>
        <w:autoSpaceDN w:val="0"/>
        <w:adjustRightInd w:val="0"/>
        <w:spacing w:after="0"/>
      </w:pPr>
      <w:r w:rsidRPr="00FA1A19">
        <w:t>Internationally, the UK Law Commission undertook a public call for evidence between November 2022 and February 2023 (the pre</w:t>
      </w:r>
      <w:r w:rsidR="00F75232">
        <w:noBreakHyphen/>
      </w:r>
      <w:r w:rsidRPr="00FA1A19">
        <w:t xml:space="preserve">consultation period) in relation to the characterisation of DAOs, with a view to moving to consultation and policy development following that phase. The call asked for information on how DAOs are structured and operated and how they might integrate into existing legal frameworks. </w:t>
      </w:r>
    </w:p>
    <w:p w14:paraId="7A3E832E" w14:textId="26E193A3" w:rsidR="00F24D1D" w:rsidRPr="00FA1A19" w:rsidRDefault="00F24D1D">
      <w:pPr>
        <w:autoSpaceDE w:val="0"/>
        <w:autoSpaceDN w:val="0"/>
        <w:adjustRightInd w:val="0"/>
        <w:spacing w:after="0"/>
      </w:pPr>
      <w:r w:rsidRPr="00FA1A19">
        <w:t>In the US, various states have passed legislation in relation to DAOs, including Utah, who passed legislation allowing any DAO formed in the state that is not registered as a for</w:t>
      </w:r>
      <w:r w:rsidR="00F75232">
        <w:noBreakHyphen/>
      </w:r>
      <w:r w:rsidRPr="00FA1A19">
        <w:t>profit or non</w:t>
      </w:r>
      <w:r w:rsidR="00F75232">
        <w:noBreakHyphen/>
      </w:r>
      <w:r w:rsidRPr="00FA1A19">
        <w:t>profit entity to be treated equivalent to a domestic limited liability company, with New Hampshire entertaining similar legislation.</w:t>
      </w:r>
      <w:r w:rsidRPr="00170ADC">
        <w:rPr>
          <w:rStyle w:val="FootnoteReference"/>
        </w:rPr>
        <w:footnoteReference w:id="697"/>
      </w:r>
      <w:r w:rsidR="004F0A51" w:rsidRPr="00FA1A19">
        <w:t xml:space="preserve"> </w:t>
      </w:r>
      <w:r w:rsidR="002854B6" w:rsidRPr="00FA1A19">
        <w:t xml:space="preserve">The World Economic Forum has recognised that a DAO </w:t>
      </w:r>
      <w:r w:rsidR="00BE2CEA" w:rsidRPr="00FA1A19">
        <w:t xml:space="preserve">may </w:t>
      </w:r>
      <w:r w:rsidR="00F75232">
        <w:t>‘</w:t>
      </w:r>
      <w:r w:rsidR="00BE2CEA" w:rsidRPr="00FA1A19">
        <w:t>be wrapped in a formal entity structure</w:t>
      </w:r>
      <w:r w:rsidR="00F75232">
        <w:t>’</w:t>
      </w:r>
      <w:r w:rsidR="00BE2CEA" w:rsidRPr="00FA1A19">
        <w:t xml:space="preserve"> so as to access benefits such as limited liability, but that even where a DAO does not </w:t>
      </w:r>
      <w:r w:rsidR="00C86066" w:rsidRPr="00FA1A19">
        <w:t>explicitly</w:t>
      </w:r>
      <w:r w:rsidR="00BE2CEA" w:rsidRPr="00FA1A19">
        <w:t xml:space="preserve"> create a legal wrapper, it </w:t>
      </w:r>
      <w:r w:rsidR="00F75232">
        <w:t>‘</w:t>
      </w:r>
      <w:r w:rsidR="00BE2CEA" w:rsidRPr="00FA1A19">
        <w:t>may be recognized by default under the law as an unincorporated association or a partnership</w:t>
      </w:r>
      <w:r w:rsidR="007F19FD" w:rsidRPr="00FA1A19">
        <w:t>.</w:t>
      </w:r>
      <w:r w:rsidR="00F75232">
        <w:t>’</w:t>
      </w:r>
      <w:r w:rsidR="007F19FD" w:rsidRPr="00170ADC">
        <w:rPr>
          <w:rStyle w:val="FootnoteReference"/>
        </w:rPr>
        <w:footnoteReference w:id="698"/>
      </w:r>
      <w:r w:rsidR="004F0A51" w:rsidRPr="00FA1A19">
        <w:t xml:space="preserve"> </w:t>
      </w:r>
      <w:r w:rsidR="007F19FD" w:rsidRPr="00FA1A19">
        <w:t>T</w:t>
      </w:r>
      <w:r w:rsidR="00EE4F9D" w:rsidRPr="00FA1A19">
        <w:t>his can raise issues of personal liability for those holding governance tokens.</w:t>
      </w:r>
      <w:r w:rsidR="004F0A51" w:rsidRPr="00FA1A19">
        <w:t xml:space="preserve"> </w:t>
      </w:r>
      <w:r w:rsidR="00EE4F9D" w:rsidRPr="00FA1A19">
        <w:t xml:space="preserve">There have been some </w:t>
      </w:r>
      <w:r w:rsidR="003757A4" w:rsidRPr="00FA1A19">
        <w:t>decisions offshore</w:t>
      </w:r>
      <w:r w:rsidR="00675C9E" w:rsidRPr="00FA1A19">
        <w:t xml:space="preserve"> by regulators and courts</w:t>
      </w:r>
      <w:r w:rsidR="003757A4" w:rsidRPr="00FA1A19">
        <w:t xml:space="preserve"> that raise these issues.</w:t>
      </w:r>
      <w:r w:rsidR="003757A4" w:rsidRPr="00170ADC">
        <w:rPr>
          <w:rStyle w:val="FootnoteReference"/>
        </w:rPr>
        <w:footnoteReference w:id="699"/>
      </w:r>
      <w:r w:rsidR="004F0A51" w:rsidRPr="00FA1A19">
        <w:t xml:space="preserve"> </w:t>
      </w:r>
    </w:p>
    <w:p w14:paraId="77FA0A3F" w14:textId="5769F559" w:rsidR="00675C9E" w:rsidRPr="00FA1A19" w:rsidRDefault="00F24D1D">
      <w:pPr>
        <w:autoSpaceDE w:val="0"/>
        <w:autoSpaceDN w:val="0"/>
        <w:adjustRightInd w:val="0"/>
      </w:pPr>
      <w:r w:rsidRPr="00FA1A19">
        <w:t xml:space="preserve">Since their inception, DAOs have grown globally to being represented by upwards of </w:t>
      </w:r>
      <w:r w:rsidR="002019F1" w:rsidRPr="00FA1A19">
        <w:t>9.9m</w:t>
      </w:r>
      <w:r w:rsidRPr="00FA1A19">
        <w:t xml:space="preserve"> governance token holders with a total treasury of around </w:t>
      </w:r>
      <w:r w:rsidR="006243CE">
        <w:t xml:space="preserve">USD </w:t>
      </w:r>
      <w:r w:rsidR="002019F1" w:rsidRPr="00FA1A19">
        <w:t>30.4</w:t>
      </w:r>
      <w:r w:rsidR="00372633">
        <w:t> billion</w:t>
      </w:r>
      <w:r w:rsidRPr="00FA1A19">
        <w:t>.</w:t>
      </w:r>
      <w:r w:rsidRPr="00170ADC">
        <w:rPr>
          <w:rStyle w:val="FootnoteReference"/>
        </w:rPr>
        <w:footnoteReference w:id="700"/>
      </w:r>
      <w:r w:rsidRPr="00FA1A19">
        <w:t xml:space="preserve"> While much of these of these funds will be concentrated under particular groups of holders outside of Australia, the </w:t>
      </w:r>
      <w:r w:rsidR="008F0921" w:rsidRPr="00FA1A19">
        <w:t>Board</w:t>
      </w:r>
      <w:r w:rsidR="00F75232">
        <w:t>’</w:t>
      </w:r>
      <w:r w:rsidR="008F0921" w:rsidRPr="00FA1A19">
        <w:t>s consultations indicated that the number of Australians holding tokens in DAOs are not insignificant.</w:t>
      </w:r>
      <w:r w:rsidR="004F0A51" w:rsidRPr="00FA1A19">
        <w:t xml:space="preserve"> </w:t>
      </w:r>
    </w:p>
    <w:p w14:paraId="35A98612" w14:textId="1CA7F43B" w:rsidR="00675C9E" w:rsidRPr="00FA1A19" w:rsidRDefault="00675C9E" w:rsidP="00675C9E">
      <w:pPr>
        <w:autoSpaceDE w:val="0"/>
        <w:autoSpaceDN w:val="0"/>
        <w:adjustRightInd w:val="0"/>
      </w:pPr>
      <w:r w:rsidRPr="00FA1A19">
        <w:t>The focus of Australia</w:t>
      </w:r>
      <w:r w:rsidR="00F75232">
        <w:t>’</w:t>
      </w:r>
      <w:r w:rsidRPr="00FA1A19">
        <w:t>s current examination crypto asset regulatory issues following the token mapping exercise undertaken in early 2023</w:t>
      </w:r>
      <w:r w:rsidR="005E30AF">
        <w:t>,</w:t>
      </w:r>
      <w:r w:rsidRPr="00170ADC">
        <w:rPr>
          <w:rStyle w:val="FootnoteReference"/>
        </w:rPr>
        <w:footnoteReference w:id="701"/>
      </w:r>
      <w:r w:rsidRPr="00FA1A19">
        <w:t xml:space="preserve"> is Treasury</w:t>
      </w:r>
      <w:r w:rsidR="00F75232">
        <w:t>’</w:t>
      </w:r>
      <w:r w:rsidRPr="00FA1A19">
        <w:t>s review of the regulatory and licencing regime for crypto asset secondary service providers.</w:t>
      </w:r>
      <w:r w:rsidRPr="00170ADC">
        <w:rPr>
          <w:rStyle w:val="FootnoteReference"/>
        </w:rPr>
        <w:footnoteReference w:id="702"/>
      </w:r>
      <w:r w:rsidRPr="00FA1A19">
        <w:t xml:space="preserve"> Further work is expected to be undertaken in relation to DAOs in the future and the Board recommends that consideration to be given to the taxation treatment of DAOs following clarification of the relevant regulatory framework.</w:t>
      </w:r>
    </w:p>
    <w:p w14:paraId="4DC08DB3" w14:textId="275B6337" w:rsidR="00F24D1D" w:rsidRPr="00FA1A19" w:rsidRDefault="00F24D1D">
      <w:pPr>
        <w:autoSpaceDE w:val="0"/>
        <w:autoSpaceDN w:val="0"/>
        <w:adjustRightInd w:val="0"/>
      </w:pPr>
      <w:r w:rsidRPr="00FA1A19">
        <w:t>Currently, the ATO does not provide any public guidance in relation to DAOs.</w:t>
      </w:r>
    </w:p>
    <w:p w14:paraId="6F08FDFE" w14:textId="67F49914" w:rsidR="00F24D1D" w:rsidRPr="00FA1A19" w:rsidRDefault="00F24D1D">
      <w:pPr>
        <w:autoSpaceDE w:val="0"/>
        <w:autoSpaceDN w:val="0"/>
        <w:adjustRightInd w:val="0"/>
      </w:pPr>
      <w:r w:rsidRPr="00FA1A19">
        <w:t xml:space="preserve">Some of the issues </w:t>
      </w:r>
      <w:r w:rsidR="008F0921" w:rsidRPr="00FA1A19">
        <w:t xml:space="preserve">raised in consultations </w:t>
      </w:r>
      <w:r w:rsidRPr="00FA1A19">
        <w:t xml:space="preserve">include: </w:t>
      </w:r>
    </w:p>
    <w:p w14:paraId="4704DDAD" w14:textId="69961C5A" w:rsidR="00F24D1D" w:rsidRPr="00FA1A19" w:rsidRDefault="004B7DBF" w:rsidP="00F37E87">
      <w:pPr>
        <w:pStyle w:val="Bullet"/>
      </w:pPr>
      <w:r w:rsidRPr="00FA1A19">
        <w:t>t</w:t>
      </w:r>
      <w:r w:rsidR="008F0921" w:rsidRPr="00FA1A19">
        <w:t>he r</w:t>
      </w:r>
      <w:r w:rsidR="00F24D1D" w:rsidRPr="00FA1A19">
        <w:t>ole of DAO</w:t>
      </w:r>
      <w:r w:rsidRPr="00FA1A19">
        <w:t>s</w:t>
      </w:r>
      <w:r w:rsidR="00F24D1D" w:rsidRPr="00FA1A19">
        <w:t xml:space="preserve"> in transactions including airdrops, initial coin offerings (ICOs) and DeFi transactions</w:t>
      </w:r>
      <w:r w:rsidR="00F24D1D" w:rsidRPr="00170ADC">
        <w:rPr>
          <w:rStyle w:val="FootnoteReference"/>
        </w:rPr>
        <w:footnoteReference w:id="703"/>
      </w:r>
    </w:p>
    <w:p w14:paraId="20B91EF9" w14:textId="469C5246" w:rsidR="00F24D1D" w:rsidRPr="00FA1A19" w:rsidRDefault="004B7DBF" w:rsidP="00F37E87">
      <w:pPr>
        <w:pStyle w:val="Bullet"/>
      </w:pPr>
      <w:r w:rsidRPr="00FA1A19">
        <w:t>the c</w:t>
      </w:r>
      <w:r w:rsidR="00F24D1D" w:rsidRPr="00FA1A19">
        <w:t xml:space="preserve">haracterisation of DAOs </w:t>
      </w:r>
      <w:r w:rsidR="00626CD9" w:rsidRPr="00FA1A19">
        <w:t>(are they an entity?)</w:t>
      </w:r>
      <w:r w:rsidR="00F24D1D" w:rsidRPr="00FA1A19">
        <w:t xml:space="preserve"> and whether </w:t>
      </w:r>
      <w:r w:rsidRPr="00FA1A19">
        <w:t xml:space="preserve">the income in </w:t>
      </w:r>
      <w:r w:rsidR="00F24D1D" w:rsidRPr="00FA1A19">
        <w:t>DAOs should be taxed at the entity or investor level (akin to a partnership or company)</w:t>
      </w:r>
      <w:r w:rsidR="00F24D1D" w:rsidRPr="00170ADC">
        <w:rPr>
          <w:rStyle w:val="FootnoteReference"/>
        </w:rPr>
        <w:footnoteReference w:id="704"/>
      </w:r>
    </w:p>
    <w:p w14:paraId="78E60A39" w14:textId="09C6D47F" w:rsidR="00F24D1D" w:rsidRPr="00FA1A19" w:rsidRDefault="004B7DBF" w:rsidP="00F37E87">
      <w:pPr>
        <w:pStyle w:val="Bullet"/>
      </w:pPr>
      <w:r w:rsidRPr="00FA1A19">
        <w:t>w</w:t>
      </w:r>
      <w:r w:rsidR="00F24D1D" w:rsidRPr="00FA1A19">
        <w:t>hether corporate tax residency from a central management and control perspective, could be influenced by the existence of a DAO</w:t>
      </w:r>
      <w:r w:rsidR="00F24D1D" w:rsidRPr="00170ADC">
        <w:rPr>
          <w:rStyle w:val="FootnoteReference"/>
        </w:rPr>
        <w:footnoteReference w:id="705"/>
      </w:r>
    </w:p>
    <w:p w14:paraId="2C232FC2" w14:textId="34BB0F88" w:rsidR="00F24D1D" w:rsidRPr="00FA1A19" w:rsidRDefault="004B7DBF" w:rsidP="00F37E87">
      <w:pPr>
        <w:pStyle w:val="Bullet"/>
      </w:pPr>
      <w:r w:rsidRPr="00FA1A19">
        <w:t>the s</w:t>
      </w:r>
      <w:r w:rsidR="00F24D1D" w:rsidRPr="00FA1A19">
        <w:t>ource of DAO transactions</w:t>
      </w:r>
      <w:r w:rsidR="00F24D1D" w:rsidRPr="00170ADC">
        <w:rPr>
          <w:rStyle w:val="FootnoteReference"/>
        </w:rPr>
        <w:footnoteReference w:id="706"/>
      </w:r>
    </w:p>
    <w:p w14:paraId="5CEBF37A" w14:textId="25E62C8E" w:rsidR="00F24D1D" w:rsidRPr="00FA1A19" w:rsidRDefault="004B7DBF" w:rsidP="00F37E87">
      <w:pPr>
        <w:pStyle w:val="Bullet"/>
      </w:pPr>
      <w:r w:rsidRPr="00FA1A19">
        <w:t>w</w:t>
      </w:r>
      <w:r w:rsidR="00F24D1D" w:rsidRPr="00FA1A19">
        <w:t>hen a DAO is carrying on an enterprise for GST purposes</w:t>
      </w:r>
      <w:r w:rsidR="00F24D1D" w:rsidRPr="00170ADC">
        <w:rPr>
          <w:rStyle w:val="FootnoteReference"/>
        </w:rPr>
        <w:footnoteReference w:id="707"/>
      </w:r>
      <w:r w:rsidR="00F24D1D" w:rsidRPr="00FA1A19">
        <w:t xml:space="preserve"> </w:t>
      </w:r>
    </w:p>
    <w:p w14:paraId="62E86C88" w14:textId="265E28F9" w:rsidR="00F24D1D" w:rsidRPr="00FA1A19" w:rsidRDefault="004B7DBF" w:rsidP="00F37E87">
      <w:pPr>
        <w:pStyle w:val="Bullet"/>
      </w:pPr>
      <w:r w:rsidRPr="00FA1A19">
        <w:t>t</w:t>
      </w:r>
      <w:r w:rsidR="00F24D1D" w:rsidRPr="00FA1A19">
        <w:t>he application of the mutuality principle to a DAO</w:t>
      </w:r>
      <w:r w:rsidR="00F24D1D" w:rsidRPr="00170ADC">
        <w:rPr>
          <w:rStyle w:val="FootnoteReference"/>
        </w:rPr>
        <w:footnoteReference w:id="708"/>
      </w:r>
    </w:p>
    <w:p w14:paraId="099875C0" w14:textId="0BFE0E9C" w:rsidR="00F24D1D" w:rsidRPr="00FA1A19" w:rsidRDefault="00165CB7" w:rsidP="00F37E87">
      <w:pPr>
        <w:pStyle w:val="Bullet"/>
      </w:pPr>
      <w:r>
        <w:t>t</w:t>
      </w:r>
      <w:r w:rsidRPr="00FA1A19">
        <w:t xml:space="preserve">he </w:t>
      </w:r>
      <w:r w:rsidR="004B7DBF" w:rsidRPr="00FA1A19">
        <w:t>t</w:t>
      </w:r>
      <w:r w:rsidR="00F24D1D" w:rsidRPr="00FA1A19">
        <w:t>ax treatment of proceeds of raising capital</w:t>
      </w:r>
      <w:r w:rsidR="004B7DBF" w:rsidRPr="00FA1A19">
        <w:t xml:space="preserve"> for a DAO</w:t>
      </w:r>
      <w:r w:rsidR="00F24D1D" w:rsidRPr="00170ADC">
        <w:rPr>
          <w:rStyle w:val="FootnoteReference"/>
        </w:rPr>
        <w:footnoteReference w:id="709"/>
      </w:r>
    </w:p>
    <w:p w14:paraId="38EA0025" w14:textId="77D4E0CA" w:rsidR="00F24D1D" w:rsidRPr="00FA1A19" w:rsidRDefault="00165CB7" w:rsidP="00F37E87">
      <w:pPr>
        <w:pStyle w:val="Bullet"/>
      </w:pPr>
      <w:r>
        <w:t>t</w:t>
      </w:r>
      <w:r w:rsidRPr="00FA1A19">
        <w:t xml:space="preserve">he </w:t>
      </w:r>
      <w:r w:rsidR="004B7DBF" w:rsidRPr="00FA1A19">
        <w:t>p</w:t>
      </w:r>
      <w:r w:rsidR="00F24D1D" w:rsidRPr="00FA1A19">
        <w:t>otential restructure rollover relief for transition to DAOs following regulation</w:t>
      </w:r>
      <w:r w:rsidR="00F24D1D" w:rsidRPr="00170ADC">
        <w:rPr>
          <w:rStyle w:val="FootnoteReference"/>
        </w:rPr>
        <w:footnoteReference w:id="710"/>
      </w:r>
      <w:r w:rsidR="004B7DBF" w:rsidRPr="00FA1A19">
        <w:t xml:space="preserve"> </w:t>
      </w:r>
    </w:p>
    <w:p w14:paraId="04146A88" w14:textId="74C41990" w:rsidR="00F24D1D" w:rsidRPr="00FA1A19" w:rsidRDefault="00F24D1D" w:rsidP="00F37E87">
      <w:pPr>
        <w:pStyle w:val="Bullet"/>
      </w:pPr>
      <w:r w:rsidRPr="00FA1A19">
        <w:t xml:space="preserve">DAOs and </w:t>
      </w:r>
      <w:r w:rsidR="004B7DBF" w:rsidRPr="00FA1A19">
        <w:t xml:space="preserve">the </w:t>
      </w:r>
      <w:r w:rsidR="00250D13" w:rsidRPr="00FA1A19">
        <w:t>not</w:t>
      </w:r>
      <w:r w:rsidR="00F75232">
        <w:noBreakHyphen/>
      </w:r>
      <w:r w:rsidR="00250D13" w:rsidRPr="00FA1A19">
        <w:t>for</w:t>
      </w:r>
      <w:r w:rsidR="00F75232">
        <w:noBreakHyphen/>
      </w:r>
      <w:r w:rsidR="00250D13" w:rsidRPr="00FA1A19">
        <w:t>profit (</w:t>
      </w:r>
      <w:r w:rsidRPr="00FA1A19">
        <w:t>NFP</w:t>
      </w:r>
      <w:r w:rsidR="00250D13" w:rsidRPr="00FA1A19">
        <w:t>)</w:t>
      </w:r>
      <w:r w:rsidRPr="00FA1A19">
        <w:t xml:space="preserve"> sector.</w:t>
      </w:r>
      <w:r w:rsidRPr="00170ADC">
        <w:rPr>
          <w:rStyle w:val="FootnoteReference"/>
        </w:rPr>
        <w:footnoteReference w:id="711"/>
      </w:r>
    </w:p>
    <w:p w14:paraId="0120608E" w14:textId="28AEC4B3" w:rsidR="00250D13" w:rsidRPr="00FA1A19" w:rsidRDefault="00250D13" w:rsidP="00250D13">
      <w:r w:rsidRPr="00FA1A19">
        <w:t>The</w:t>
      </w:r>
      <w:r w:rsidR="00345105" w:rsidRPr="00FA1A19">
        <w:t xml:space="preserve"> outcome of the</w:t>
      </w:r>
      <w:r w:rsidRPr="00FA1A19">
        <w:t>se issues may be important to Australia</w:t>
      </w:r>
      <w:r w:rsidR="00F75232">
        <w:t>’</w:t>
      </w:r>
      <w:r w:rsidRPr="00FA1A19">
        <w:t>s revenue base.</w:t>
      </w:r>
    </w:p>
    <w:p w14:paraId="725A347A" w14:textId="3E24C3D9" w:rsidR="00F24D1D" w:rsidRPr="00FA1A19" w:rsidRDefault="00F24D1D" w:rsidP="00342121">
      <w:pPr>
        <w:pStyle w:val="Heading3"/>
      </w:pPr>
      <w:r w:rsidRPr="00FA1A19">
        <w:t>Decentralised Finance</w:t>
      </w:r>
      <w:r w:rsidR="007736F9" w:rsidRPr="00FA1A19">
        <w:t xml:space="preserve"> </w:t>
      </w:r>
    </w:p>
    <w:p w14:paraId="099C3093" w14:textId="599E33F7" w:rsidR="00F24D1D" w:rsidRPr="00FA1A19" w:rsidRDefault="00F24D1D">
      <w:r w:rsidRPr="00FA1A19">
        <w:t xml:space="preserve">The Board has addressed the challenges in relation to taxation of </w:t>
      </w:r>
      <w:r w:rsidR="00760E24" w:rsidRPr="00FA1A19">
        <w:t>various aspects of DeFi arrangements</w:t>
      </w:r>
      <w:r w:rsidRPr="00FA1A19">
        <w:t xml:space="preserve"> in </w:t>
      </w:r>
      <w:r w:rsidR="00372633">
        <w:t>Chapter </w:t>
      </w:r>
      <w:r w:rsidR="00AC3B12" w:rsidRPr="00FA1A19">
        <w:t>9</w:t>
      </w:r>
      <w:r w:rsidRPr="00FA1A19">
        <w:t>. DeFi activities cover a broad range of activities</w:t>
      </w:r>
      <w:r w:rsidR="00CC2ED9" w:rsidRPr="00FA1A19">
        <w:t xml:space="preserve"> including </w:t>
      </w:r>
      <w:r w:rsidRPr="00FA1A19">
        <w:t>trading, staking, borrowing or lending of crypto assets by others.</w:t>
      </w:r>
    </w:p>
    <w:p w14:paraId="48001B71" w14:textId="022A4439" w:rsidR="00F24D1D" w:rsidRPr="00FA1A19" w:rsidRDefault="00F24D1D">
      <w:r w:rsidRPr="00FA1A19">
        <w:t>DeFi is an effort to replicate certain functions of the traditional financial system in an open, decentralised, permissionless and autonomous way, based on blockchains.</w:t>
      </w:r>
      <w:r w:rsidRPr="00170ADC">
        <w:rPr>
          <w:rStyle w:val="FootnoteReference"/>
        </w:rPr>
        <w:footnoteReference w:id="712"/>
      </w:r>
      <w:r w:rsidRPr="00FA1A19">
        <w:t xml:space="preserve"> Across the period from July 2020 to November 2021, DeFi applications on the Ethereum blockchain grew approximately 2,150% to approximately US</w:t>
      </w:r>
      <w:r w:rsidR="003C69D2">
        <w:t xml:space="preserve">D </w:t>
      </w:r>
      <w:r w:rsidRPr="00FA1A19">
        <w:t>100</w:t>
      </w:r>
      <w:r w:rsidR="00372633">
        <w:t> billion</w:t>
      </w:r>
      <w:r w:rsidRPr="00FA1A19">
        <w:t>.</w:t>
      </w:r>
      <w:r w:rsidRPr="00170ADC">
        <w:rPr>
          <w:rStyle w:val="FootnoteReference"/>
        </w:rPr>
        <w:footnoteReference w:id="713"/>
      </w:r>
      <w:r w:rsidR="004F0A51" w:rsidRPr="00FA1A19">
        <w:t xml:space="preserve"> </w:t>
      </w:r>
      <w:r w:rsidRPr="00FA1A19">
        <w:t>The rapid growth of this space and the appeal of it to often young retail investors, highlights a need for clarity not only in relation to regulation but to the associated tax treatments.</w:t>
      </w:r>
    </w:p>
    <w:p w14:paraId="4729A60D" w14:textId="18BD08C8" w:rsidR="00F24D1D" w:rsidRPr="00FA1A19" w:rsidRDefault="00F24D1D">
      <w:r w:rsidRPr="00FA1A19">
        <w:t xml:space="preserve">Certain activities undertaken within DeFi space are analogous to those undertaken within traditional centralised finance arrangements and </w:t>
      </w:r>
      <w:r w:rsidR="00CC2ED9" w:rsidRPr="00FA1A19">
        <w:t>one issue for consideration is the</w:t>
      </w:r>
      <w:r w:rsidRPr="00FA1A19">
        <w:t xml:space="preserve"> appropriateness of alignment between the tax treatment of activities across these spaces</w:t>
      </w:r>
      <w:r w:rsidR="00CC2ED9" w:rsidRPr="00FA1A19">
        <w:t xml:space="preserve">, having regard to </w:t>
      </w:r>
      <w:r w:rsidR="00023B3A" w:rsidRPr="00FA1A19">
        <w:t xml:space="preserve">Principle 3 </w:t>
      </w:r>
      <w:r w:rsidR="00F75232">
        <w:t>‘</w:t>
      </w:r>
      <w:r w:rsidR="00023B3A" w:rsidRPr="00FA1A19">
        <w:t>Equity and Functional Neutrality</w:t>
      </w:r>
      <w:r w:rsidR="00F75232">
        <w:t>’</w:t>
      </w:r>
      <w:r w:rsidR="00023B3A" w:rsidRPr="00FA1A19">
        <w:t xml:space="preserve"> and </w:t>
      </w:r>
      <w:r w:rsidR="00CC2ED9" w:rsidRPr="00FA1A19">
        <w:t xml:space="preserve">Principle </w:t>
      </w:r>
      <w:r w:rsidR="006843A1" w:rsidRPr="00FA1A19">
        <w:t xml:space="preserve">4 </w:t>
      </w:r>
      <w:r w:rsidR="00F75232">
        <w:t>‘</w:t>
      </w:r>
      <w:r w:rsidR="006843A1" w:rsidRPr="00FA1A19">
        <w:t>Competitive Neutrality</w:t>
      </w:r>
      <w:r w:rsidR="00F75232">
        <w:t>’</w:t>
      </w:r>
      <w:r w:rsidR="006843A1" w:rsidRPr="00FA1A19">
        <w:t xml:space="preserve"> in </w:t>
      </w:r>
      <w:r w:rsidR="00372633">
        <w:t>Chapter </w:t>
      </w:r>
      <w:r w:rsidR="00032DA9">
        <w:t>5</w:t>
      </w:r>
      <w:r w:rsidR="00032DA9" w:rsidRPr="00FA1A19">
        <w:t xml:space="preserve"> </w:t>
      </w:r>
      <w:r w:rsidR="006843A1" w:rsidRPr="00FA1A19">
        <w:t>of this report</w:t>
      </w:r>
      <w:r w:rsidRPr="00FA1A19">
        <w:t xml:space="preserve">. </w:t>
      </w:r>
    </w:p>
    <w:p w14:paraId="5DCC66DF" w14:textId="33C1C35D" w:rsidR="00101C37" w:rsidRPr="00FA1A19" w:rsidRDefault="00BD4C97" w:rsidP="00342121">
      <w:pPr>
        <w:pStyle w:val="Heading3"/>
      </w:pPr>
      <w:r w:rsidRPr="00FA1A19">
        <w:t>Gaming Fina</w:t>
      </w:r>
      <w:r w:rsidR="007736F9" w:rsidRPr="00FA1A19">
        <w:t xml:space="preserve">nce </w:t>
      </w:r>
    </w:p>
    <w:p w14:paraId="7C41E7AF" w14:textId="467E3F35" w:rsidR="009B0AA5" w:rsidRPr="00FA1A19" w:rsidRDefault="009B0AA5" w:rsidP="009B0AA5">
      <w:r w:rsidRPr="00FA1A19">
        <w:rPr>
          <w:rFonts w:asciiTheme="minorHAnsi" w:hAnsiTheme="minorHAnsi" w:cstheme="minorHAnsi"/>
        </w:rPr>
        <w:t xml:space="preserve">As explained in </w:t>
      </w:r>
      <w:r w:rsidR="00372633">
        <w:rPr>
          <w:rFonts w:asciiTheme="minorHAnsi" w:hAnsiTheme="minorHAnsi" w:cstheme="minorHAnsi"/>
        </w:rPr>
        <w:t>Chapter </w:t>
      </w:r>
      <w:r w:rsidRPr="00FA1A19">
        <w:rPr>
          <w:rFonts w:asciiTheme="minorHAnsi" w:hAnsiTheme="minorHAnsi" w:cstheme="minorHAnsi"/>
        </w:rPr>
        <w:t>3,</w:t>
      </w:r>
      <w:r w:rsidRPr="00FA1A19">
        <w:t xml:space="preserve"> GameFi is the intersection of gaming and finance driven by the use of blockchain, NFTs and smart contracts. </w:t>
      </w:r>
      <w:r w:rsidR="00E36985" w:rsidRPr="00FA1A19">
        <w:t>It represents a rapidly emerging and distinct segment.</w:t>
      </w:r>
      <w:r w:rsidR="004F0A51" w:rsidRPr="00FA1A19">
        <w:t xml:space="preserve"> </w:t>
      </w:r>
      <w:r w:rsidRPr="00FA1A19">
        <w:t>Unlike in traditional gaming environments, game players can acquire NFTs or crypto assets for participating in and accumulating resources while playing the game, as in game currency or in</w:t>
      </w:r>
      <w:r w:rsidR="00F75232">
        <w:noBreakHyphen/>
      </w:r>
      <w:r w:rsidRPr="00FA1A19">
        <w:t>game assets and stored in a digital asset wallet or traded in a secondary market.</w:t>
      </w:r>
      <w:r w:rsidRPr="00170ADC">
        <w:rPr>
          <w:rStyle w:val="FootnoteReference"/>
        </w:rPr>
        <w:footnoteReference w:id="714"/>
      </w:r>
      <w:r w:rsidRPr="00FA1A19">
        <w:t xml:space="preserve"> </w:t>
      </w:r>
    </w:p>
    <w:p w14:paraId="07620ED4" w14:textId="3CECC08B" w:rsidR="009B0AA5" w:rsidRPr="00FA1A19" w:rsidRDefault="009B0AA5" w:rsidP="009B0AA5">
      <w:r w:rsidRPr="00FA1A19">
        <w:t>The global GameFi market is expected to reach USD 90.51</w:t>
      </w:r>
      <w:r w:rsidR="00372633">
        <w:t> billion</w:t>
      </w:r>
      <w:r w:rsidRPr="00FA1A19">
        <w:t xml:space="preserve"> by 2031.</w:t>
      </w:r>
      <w:r w:rsidRPr="00170ADC">
        <w:rPr>
          <w:rStyle w:val="FootnoteReference"/>
        </w:rPr>
        <w:footnoteReference w:id="715"/>
      </w:r>
      <w:r w:rsidRPr="00FA1A19">
        <w:t xml:space="preserve"> Prominent GameFi platform</w:t>
      </w:r>
      <w:r w:rsidR="00496674">
        <w:t>,</w:t>
      </w:r>
      <w:r w:rsidRPr="00FA1A19">
        <w:t xml:space="preserve"> Axie Infinity</w:t>
      </w:r>
      <w:r w:rsidR="00496674">
        <w:t>,</w:t>
      </w:r>
      <w:r w:rsidRPr="00FA1A19">
        <w:t xml:space="preserve"> peaked at 2.8</w:t>
      </w:r>
      <w:r w:rsidR="00372633">
        <w:t> million</w:t>
      </w:r>
      <w:r w:rsidRPr="00FA1A19">
        <w:t xml:space="preserve"> users in late 2021 and while statistics in relation to Australian users are not known, it would be a reasonable conclusion that many thousands of Australians are engaging with these platforms.</w:t>
      </w:r>
      <w:r w:rsidR="004F0A51" w:rsidRPr="00FA1A19">
        <w:t xml:space="preserve"> </w:t>
      </w:r>
      <w:r w:rsidRPr="00FA1A19">
        <w:t xml:space="preserve">Many of the </w:t>
      </w:r>
      <w:r w:rsidR="00F75232">
        <w:t>‘</w:t>
      </w:r>
      <w:r w:rsidRPr="00FA1A19">
        <w:t>AAA</w:t>
      </w:r>
      <w:r w:rsidR="00F75232">
        <w:t>’</w:t>
      </w:r>
      <w:r w:rsidRPr="00FA1A19">
        <w:t xml:space="preserve"> gaming companies</w:t>
      </w:r>
      <w:r w:rsidRPr="00170ADC">
        <w:rPr>
          <w:rStyle w:val="FootnoteReference"/>
        </w:rPr>
        <w:footnoteReference w:id="716"/>
      </w:r>
      <w:r w:rsidRPr="00FA1A19">
        <w:t xml:space="preserve"> are now developing blockchain games and releasing their own NFTs.</w:t>
      </w:r>
      <w:r w:rsidRPr="00170ADC">
        <w:rPr>
          <w:rStyle w:val="FootnoteReference"/>
        </w:rPr>
        <w:footnoteReference w:id="717"/>
      </w:r>
    </w:p>
    <w:p w14:paraId="2A964005" w14:textId="16F819AB" w:rsidR="00101C37" w:rsidRPr="00FA1A19" w:rsidRDefault="001F3C1F" w:rsidP="001F3C1F">
      <w:r w:rsidRPr="00FA1A19">
        <w:t xml:space="preserve">As GameFi develops, together with the related </w:t>
      </w:r>
      <w:r w:rsidR="00101C37" w:rsidRPr="00FA1A19">
        <w:rPr>
          <w:rFonts w:asciiTheme="minorHAnsi" w:hAnsiTheme="minorHAnsi" w:cstheme="minorHAnsi"/>
        </w:rPr>
        <w:t xml:space="preserve">Web3 and Metaverse technologies </w:t>
      </w:r>
      <w:r w:rsidR="00C77DE6" w:rsidRPr="00FA1A19">
        <w:rPr>
          <w:rFonts w:asciiTheme="minorHAnsi" w:hAnsiTheme="minorHAnsi" w:cstheme="minorHAnsi"/>
        </w:rPr>
        <w:t xml:space="preserve">(see </w:t>
      </w:r>
      <w:r w:rsidR="00372633">
        <w:rPr>
          <w:rFonts w:asciiTheme="minorHAnsi" w:hAnsiTheme="minorHAnsi" w:cstheme="minorHAnsi"/>
        </w:rPr>
        <w:t>Chapter </w:t>
      </w:r>
      <w:r w:rsidR="00C77DE6" w:rsidRPr="00FA1A19">
        <w:rPr>
          <w:rFonts w:asciiTheme="minorHAnsi" w:hAnsiTheme="minorHAnsi" w:cstheme="minorHAnsi"/>
        </w:rPr>
        <w:t>3)</w:t>
      </w:r>
      <w:r w:rsidRPr="00FA1A19">
        <w:rPr>
          <w:rFonts w:asciiTheme="minorHAnsi" w:hAnsiTheme="minorHAnsi" w:cstheme="minorHAnsi"/>
        </w:rPr>
        <w:t>,</w:t>
      </w:r>
      <w:r w:rsidR="00C77DE6" w:rsidRPr="00FA1A19">
        <w:rPr>
          <w:rFonts w:asciiTheme="minorHAnsi" w:hAnsiTheme="minorHAnsi" w:cstheme="minorHAnsi"/>
        </w:rPr>
        <w:t xml:space="preserve"> </w:t>
      </w:r>
      <w:r w:rsidR="00CE06BD" w:rsidRPr="00FA1A19">
        <w:rPr>
          <w:rFonts w:asciiTheme="minorHAnsi" w:hAnsiTheme="minorHAnsi" w:cstheme="minorHAnsi"/>
        </w:rPr>
        <w:t xml:space="preserve">the application of </w:t>
      </w:r>
      <w:r w:rsidR="00101C37" w:rsidRPr="00FA1A19">
        <w:rPr>
          <w:rFonts w:asciiTheme="minorHAnsi" w:hAnsiTheme="minorHAnsi" w:cstheme="minorHAnsi"/>
        </w:rPr>
        <w:t xml:space="preserve">existing tax principles </w:t>
      </w:r>
      <w:r w:rsidR="00CE06BD" w:rsidRPr="00FA1A19">
        <w:rPr>
          <w:rFonts w:asciiTheme="minorHAnsi" w:hAnsiTheme="minorHAnsi" w:cstheme="minorHAnsi"/>
        </w:rPr>
        <w:t>to them will continue to be required</w:t>
      </w:r>
      <w:r w:rsidR="00101C37" w:rsidRPr="00FA1A19">
        <w:rPr>
          <w:rFonts w:asciiTheme="minorHAnsi" w:hAnsiTheme="minorHAnsi" w:cstheme="minorHAnsi"/>
        </w:rPr>
        <w:t>.</w:t>
      </w:r>
      <w:r w:rsidR="004F0A51" w:rsidRPr="00FA1A19">
        <w:rPr>
          <w:rFonts w:asciiTheme="minorHAnsi" w:hAnsiTheme="minorHAnsi" w:cstheme="minorHAnsi"/>
        </w:rPr>
        <w:t xml:space="preserve"> </w:t>
      </w:r>
      <w:r w:rsidRPr="00FA1A19">
        <w:rPr>
          <w:rFonts w:asciiTheme="minorHAnsi" w:hAnsiTheme="minorHAnsi" w:cstheme="minorHAnsi"/>
        </w:rPr>
        <w:t xml:space="preserve">In particular, the </w:t>
      </w:r>
      <w:r w:rsidR="00101C37" w:rsidRPr="00FA1A19">
        <w:t>Metaverse presents new challenges for taxation, particularly in relation to when taxation may arise, including whether economic gains within the Metaverse should be taxed immediately upon receipt or deferred until realisation or cash</w:t>
      </w:r>
      <w:r w:rsidR="00F75232">
        <w:noBreakHyphen/>
      </w:r>
      <w:r w:rsidR="00101C37" w:rsidRPr="00FA1A19">
        <w:t>out from the Metaverse.</w:t>
      </w:r>
      <w:r w:rsidR="00101C37" w:rsidRPr="00170ADC">
        <w:rPr>
          <w:rStyle w:val="FootnoteReference"/>
        </w:rPr>
        <w:footnoteReference w:id="718"/>
      </w:r>
    </w:p>
    <w:p w14:paraId="09719B93" w14:textId="08D46A12" w:rsidR="00101C37" w:rsidRPr="00FA1A19" w:rsidRDefault="00321C08" w:rsidP="00101C37">
      <w:r w:rsidRPr="00FA1A19">
        <w:t>S</w:t>
      </w:r>
      <w:r w:rsidR="00101C37" w:rsidRPr="00FA1A19">
        <w:t xml:space="preserve">ubmissions to the Review highlighted the nature of GameFi activities and prevalence of young or inexperienced taxpayers participating in this environment. A variety of potentially taxable events may occur within this environment. Koinly provided the following examples: </w:t>
      </w:r>
    </w:p>
    <w:p w14:paraId="666A072E" w14:textId="68614F33" w:rsidR="00101C37" w:rsidRPr="00FA1A19" w:rsidRDefault="00101C37" w:rsidP="004B75D8">
      <w:pPr>
        <w:pStyle w:val="Quote"/>
      </w:pPr>
      <w:r w:rsidRPr="00FA1A19">
        <w:t>Investors buy a gaming NFT (character) and use that character to earn crypto assets in</w:t>
      </w:r>
      <w:r w:rsidR="00F75232">
        <w:noBreakHyphen/>
      </w:r>
      <w:r w:rsidRPr="00FA1A19">
        <w:t>game. The crypto assets earned are often used as a cost to breed the NFT with another NFT character to create an egg that will hatch into a new character over time. As these characters breed, they move toward a breeding cap, which depreciates their value. There are numerous occurrences of NFTs as a result of breeding alone</w:t>
      </w:r>
      <w:r w:rsidR="00DD7E85">
        <w:t xml:space="preserve"> – </w:t>
      </w:r>
      <w:r w:rsidRPr="00FA1A19">
        <w:t>for example, NFT characters can be retained or burned to create new NFTs. Each of these actions, based on current interpretation, could be taxable events (</w:t>
      </w:r>
      <w:r w:rsidR="00B37AC1" w:rsidRPr="00FA1A19">
        <w:t>e.g.</w:t>
      </w:r>
      <w:r w:rsidRPr="00FA1A19">
        <w:t xml:space="preserve"> disposing of in</w:t>
      </w:r>
      <w:r w:rsidR="00F75232">
        <w:noBreakHyphen/>
      </w:r>
      <w:r w:rsidRPr="00FA1A19">
        <w:t>game tokens in order to create a new NFT).</w:t>
      </w:r>
    </w:p>
    <w:p w14:paraId="0CA25312" w14:textId="56F8C8C8" w:rsidR="00101C37" w:rsidRPr="00FA1A19" w:rsidRDefault="00101C37" w:rsidP="004B75D8">
      <w:pPr>
        <w:pStyle w:val="Quote"/>
      </w:pPr>
      <w:r w:rsidRPr="00FA1A19">
        <w:t>Another common theme within GameFi is scholarships. This is where investors loan crypto assets to individuals who are able to use their NFTs to generate additional crypto. In this model, new assets are split between the owner and the player. In this method, both the owner and the renter create hundreds of potential income</w:t>
      </w:r>
      <w:r w:rsidR="00F75232">
        <w:noBreakHyphen/>
      </w:r>
      <w:r w:rsidRPr="00FA1A19">
        <w:t>generating taxable events (noting that such activities may be akin to running a business). It should be noted that every game is different in the way they generate play</w:t>
      </w:r>
      <w:r w:rsidR="00F75232">
        <w:noBreakHyphen/>
      </w:r>
      <w:r w:rsidRPr="00FA1A19">
        <w:t>to</w:t>
      </w:r>
      <w:r w:rsidR="00F75232">
        <w:noBreakHyphen/>
      </w:r>
      <w:r w:rsidRPr="00FA1A19">
        <w:t>earn style rewards.</w:t>
      </w:r>
      <w:r w:rsidR="00CF1196" w:rsidRPr="00170ADC">
        <w:rPr>
          <w:rStyle w:val="FootnoteReference"/>
        </w:rPr>
        <w:footnoteReference w:id="719"/>
      </w:r>
    </w:p>
    <w:p w14:paraId="4A598778" w14:textId="04F86C5C" w:rsidR="00101C37" w:rsidRPr="00FA1A19" w:rsidRDefault="00101C37" w:rsidP="00101C37">
      <w:r w:rsidRPr="00FA1A19">
        <w:t xml:space="preserve">The Board has noted in </w:t>
      </w:r>
      <w:r w:rsidR="00372633">
        <w:t>Chapter </w:t>
      </w:r>
      <w:r w:rsidRPr="00FA1A19">
        <w:t xml:space="preserve">7 that there is a need for clarity about the circumstances in which the </w:t>
      </w:r>
      <w:r w:rsidR="00AF308F">
        <w:t>personal</w:t>
      </w:r>
      <w:r w:rsidR="00AF308F" w:rsidRPr="00FA1A19">
        <w:t xml:space="preserve"> </w:t>
      </w:r>
      <w:r w:rsidRPr="00FA1A19">
        <w:t>use exemption may apply to gains that would otherwise be taxable as capital gains and where the activities of a crypto asset user may cross over into that of carrying on a business.</w:t>
      </w:r>
      <w:r w:rsidR="004F0A51" w:rsidRPr="00FA1A19">
        <w:t xml:space="preserve"> </w:t>
      </w:r>
    </w:p>
    <w:p w14:paraId="67AEEDB1" w14:textId="06047BB4" w:rsidR="00101C37" w:rsidRPr="00FA1A19" w:rsidRDefault="00101C37" w:rsidP="00101C37">
      <w:r w:rsidRPr="00FA1A19">
        <w:t>In their submission to the Review, FinTech noted that given the rapidly evolving nature of transactions</w:t>
      </w:r>
      <w:r w:rsidR="00E251F9" w:rsidRPr="00FA1A19">
        <w:t>,</w:t>
      </w:r>
      <w:r w:rsidRPr="00FA1A19">
        <w:t xml:space="preserve"> a principles</w:t>
      </w:r>
      <w:r w:rsidR="00F75232">
        <w:noBreakHyphen/>
      </w:r>
      <w:r w:rsidRPr="00FA1A19">
        <w:t>based approach is required in respect of the taxation of GameFi activities.</w:t>
      </w:r>
      <w:r w:rsidRPr="00170ADC">
        <w:rPr>
          <w:rStyle w:val="FootnoteReference"/>
        </w:rPr>
        <w:footnoteReference w:id="720"/>
      </w:r>
    </w:p>
    <w:p w14:paraId="3CE19D1B" w14:textId="77777777" w:rsidR="00101C37" w:rsidRPr="00FA1A19" w:rsidRDefault="00101C37" w:rsidP="00101C37">
      <w:pPr>
        <w:autoSpaceDE w:val="0"/>
        <w:autoSpaceDN w:val="0"/>
        <w:adjustRightInd w:val="0"/>
        <w:rPr>
          <w:rFonts w:asciiTheme="minorHAnsi" w:hAnsiTheme="minorHAnsi" w:cstheme="minorHAnsi"/>
        </w:rPr>
      </w:pPr>
      <w:r w:rsidRPr="00FA1A19">
        <w:rPr>
          <w:rFonts w:asciiTheme="minorHAnsi" w:hAnsiTheme="minorHAnsi" w:cstheme="minorHAnsi"/>
        </w:rPr>
        <w:t xml:space="preserve">More broadly in relation to the Metaverse, PwC highlighted the GST issues that arise in this space: </w:t>
      </w:r>
    </w:p>
    <w:p w14:paraId="3654EDAD" w14:textId="5B2C8079" w:rsidR="00101C37" w:rsidRPr="00FA1A19" w:rsidRDefault="00101C37" w:rsidP="00F37E87">
      <w:pPr>
        <w:pStyle w:val="Bullet"/>
      </w:pPr>
      <w:r w:rsidRPr="00FA1A19">
        <w:t xml:space="preserve">Do participants in the </w:t>
      </w:r>
      <w:r w:rsidR="00F75232">
        <w:t>‘</w:t>
      </w:r>
      <w:r w:rsidRPr="00FA1A19">
        <w:t>Metaverse</w:t>
      </w:r>
      <w:r w:rsidR="00F75232">
        <w:t>’</w:t>
      </w:r>
      <w:r w:rsidRPr="00FA1A19">
        <w:t xml:space="preserve"> carry on an enterprise for GST purposes (this is particularly relevant for </w:t>
      </w:r>
      <w:r w:rsidR="00F75232">
        <w:t>‘</w:t>
      </w:r>
      <w:r w:rsidRPr="00FA1A19">
        <w:t>play to earn</w:t>
      </w:r>
      <w:r w:rsidR="00F75232">
        <w:t>’</w:t>
      </w:r>
      <w:r w:rsidRPr="00FA1A19">
        <w:t xml:space="preserve"> gaming)? </w:t>
      </w:r>
    </w:p>
    <w:p w14:paraId="732EC9A8" w14:textId="20594E0D" w:rsidR="00101C37" w:rsidRPr="00FA1A19" w:rsidRDefault="00101C37" w:rsidP="00F37E87">
      <w:pPr>
        <w:pStyle w:val="Bullet"/>
      </w:pPr>
      <w:r w:rsidRPr="00FA1A19">
        <w:t xml:space="preserve">Will a </w:t>
      </w:r>
      <w:r w:rsidR="00F75232">
        <w:t>‘</w:t>
      </w:r>
      <w:r w:rsidRPr="00FA1A19">
        <w:t>Metaverse</w:t>
      </w:r>
      <w:r w:rsidR="00F75232">
        <w:t>’</w:t>
      </w:r>
      <w:r w:rsidRPr="00FA1A19">
        <w:t xml:space="preserve"> operator be considered an </w:t>
      </w:r>
      <w:r w:rsidR="00F75232">
        <w:t>‘</w:t>
      </w:r>
      <w:r w:rsidRPr="00FA1A19">
        <w:t>Electronic Distribution Platform</w:t>
      </w:r>
      <w:r w:rsidR="00F75232">
        <w:t>’</w:t>
      </w:r>
      <w:r w:rsidRPr="00FA1A19">
        <w:t xml:space="preserve"> operator for GST purposes? </w:t>
      </w:r>
    </w:p>
    <w:p w14:paraId="64FB1AA1" w14:textId="31413E3D" w:rsidR="00101C37" w:rsidRPr="00FA1A19" w:rsidRDefault="00101C37" w:rsidP="00F37E87">
      <w:pPr>
        <w:pStyle w:val="Bullet"/>
      </w:pPr>
      <w:r w:rsidRPr="00FA1A19">
        <w:t xml:space="preserve">How will participants in the </w:t>
      </w:r>
      <w:r w:rsidR="00F75232">
        <w:t>‘</w:t>
      </w:r>
      <w:r w:rsidRPr="00FA1A19">
        <w:t>Metaverse</w:t>
      </w:r>
      <w:r w:rsidR="00F75232">
        <w:t>’</w:t>
      </w:r>
      <w:r w:rsidRPr="00FA1A19">
        <w:t xml:space="preserve"> identify when they transact with non</w:t>
      </w:r>
      <w:r w:rsidR="00F75232">
        <w:noBreakHyphen/>
      </w:r>
      <w:r w:rsidRPr="00FA1A19">
        <w:t xml:space="preserve">resident counterparties? </w:t>
      </w:r>
    </w:p>
    <w:p w14:paraId="10398236" w14:textId="63E5702B" w:rsidR="00101C37" w:rsidRPr="00EE60B2" w:rsidRDefault="00101C37" w:rsidP="00F37E87">
      <w:pPr>
        <w:pStyle w:val="Bullet"/>
        <w:rPr>
          <w:rFonts w:cstheme="minorHAnsi"/>
        </w:rPr>
      </w:pPr>
      <w:r w:rsidRPr="00FA1A19">
        <w:t xml:space="preserve">Does the location of the </w:t>
      </w:r>
      <w:r w:rsidR="00F75232">
        <w:t>‘</w:t>
      </w:r>
      <w:r w:rsidRPr="00FA1A19">
        <w:t>Metaverse</w:t>
      </w:r>
      <w:r w:rsidR="00F75232">
        <w:t>’</w:t>
      </w:r>
      <w:r w:rsidRPr="00FA1A19">
        <w:t xml:space="preserve"> operator / servers impact the location of transactions taking place in the </w:t>
      </w:r>
      <w:r w:rsidR="00F75232">
        <w:t>‘</w:t>
      </w:r>
      <w:r w:rsidRPr="00EE60B2">
        <w:t>Metaverse</w:t>
      </w:r>
      <w:r w:rsidR="00F75232">
        <w:t>’</w:t>
      </w:r>
      <w:r w:rsidRPr="00EE60B2">
        <w:t>?</w:t>
      </w:r>
      <w:r w:rsidRPr="00170ADC">
        <w:rPr>
          <w:rStyle w:val="FootnoteReference"/>
        </w:rPr>
        <w:footnoteReference w:id="721"/>
      </w:r>
      <w:r w:rsidRPr="00EE60B2">
        <w:t xml:space="preserve"> </w:t>
      </w:r>
    </w:p>
    <w:p w14:paraId="4EAED4DB" w14:textId="73F26A20" w:rsidR="00F24D1D" w:rsidRPr="00FA1A19" w:rsidRDefault="00F24D1D" w:rsidP="00342121">
      <w:pPr>
        <w:pStyle w:val="Heading3"/>
      </w:pPr>
      <w:r w:rsidRPr="00FA1A19">
        <w:t>Non fungible tokens</w:t>
      </w:r>
    </w:p>
    <w:p w14:paraId="2428B984" w14:textId="36140D1F" w:rsidR="00F24D1D" w:rsidRPr="00FA1A19" w:rsidRDefault="00F24D1D">
      <w:r w:rsidRPr="00FA1A19">
        <w:t xml:space="preserve">As set out in </w:t>
      </w:r>
      <w:r w:rsidR="00423AFA" w:rsidRPr="00FA1A19">
        <w:t>C</w:t>
      </w:r>
      <w:r w:rsidRPr="00FA1A19">
        <w:t>hapter</w:t>
      </w:r>
      <w:r w:rsidR="00AF14E4" w:rsidRPr="00FA1A19">
        <w:t>s</w:t>
      </w:r>
      <w:r w:rsidR="00B073BE" w:rsidRPr="00FA1A19">
        <w:t xml:space="preserve"> 3</w:t>
      </w:r>
      <w:r w:rsidRPr="00FA1A19">
        <w:t xml:space="preserve"> </w:t>
      </w:r>
      <w:r w:rsidR="00AF14E4" w:rsidRPr="00FA1A19">
        <w:t xml:space="preserve">and </w:t>
      </w:r>
      <w:r w:rsidR="00CD4B92" w:rsidRPr="00FA1A19">
        <w:t>10</w:t>
      </w:r>
      <w:r w:rsidRPr="00FA1A19">
        <w:t xml:space="preserve"> of the Board</w:t>
      </w:r>
      <w:r w:rsidR="00F75232">
        <w:t>’</w:t>
      </w:r>
      <w:r w:rsidRPr="00FA1A19">
        <w:t xml:space="preserve">s Report, NFTs have broad and diverse capability. </w:t>
      </w:r>
      <w:r w:rsidR="00B073BE" w:rsidRPr="00FA1A19">
        <w:t>However, t</w:t>
      </w:r>
      <w:r w:rsidRPr="00FA1A19">
        <w:t xml:space="preserve">hese assets </w:t>
      </w:r>
      <w:r w:rsidR="00B073BE" w:rsidRPr="00FA1A19">
        <w:t xml:space="preserve">may </w:t>
      </w:r>
      <w:r w:rsidRPr="00FA1A19">
        <w:t xml:space="preserve">present a variety of complex tax issues in connection with the process of minting, transferring, and royalty payments as well as addressing the overarching categorisation of various NFTs. </w:t>
      </w:r>
    </w:p>
    <w:p w14:paraId="4961BC44" w14:textId="7FF34B3C" w:rsidR="00F24D1D" w:rsidRPr="00FA1A19" w:rsidRDefault="00F24D1D">
      <w:r w:rsidRPr="00FA1A19">
        <w:t>In the Joint Bodies</w:t>
      </w:r>
      <w:r w:rsidR="00F75232">
        <w:t>’</w:t>
      </w:r>
      <w:r w:rsidRPr="00FA1A19">
        <w:t xml:space="preserve"> submission to the review, they noted the functional distinctions between NFTs and cryptocurrencies, the challenges in relation to the categorisation of personal use assets for CGT purposes and how NFTs may operate for a business taxpayer. </w:t>
      </w:r>
      <w:r w:rsidRPr="00170ADC">
        <w:rPr>
          <w:rStyle w:val="FootnoteReference"/>
        </w:rPr>
        <w:footnoteReference w:id="722"/>
      </w:r>
    </w:p>
    <w:p w14:paraId="45806933" w14:textId="77777777" w:rsidR="00F24D1D" w:rsidRPr="00FA1A19" w:rsidRDefault="00F24D1D">
      <w:r w:rsidRPr="00FA1A19">
        <w:t>EY noted the following challenges facing the categorisation of NFTs for tax purposes:</w:t>
      </w:r>
    </w:p>
    <w:p w14:paraId="6A50A3F7" w14:textId="3214BE48" w:rsidR="00F24D1D" w:rsidRPr="00FA1A19" w:rsidRDefault="00F24D1D" w:rsidP="00F37E87">
      <w:pPr>
        <w:pStyle w:val="Bullet"/>
      </w:pPr>
      <w:r w:rsidRPr="00FA1A19">
        <w:t>NFTs may represent a digital asset and/or an underlying tangible asset</w:t>
      </w:r>
    </w:p>
    <w:p w14:paraId="32AF1DC9" w14:textId="07D48C63" w:rsidR="00F24D1D" w:rsidRPr="00FA1A19" w:rsidRDefault="00F24D1D" w:rsidP="00F37E87">
      <w:pPr>
        <w:pStyle w:val="Bullet"/>
      </w:pPr>
      <w:r w:rsidRPr="00FA1A19">
        <w:t>NFTs may be one of a kind, part of a limited run or part of a larger commercial scale production</w:t>
      </w:r>
    </w:p>
    <w:p w14:paraId="031686CF" w14:textId="3FED7B4B" w:rsidR="00F24D1D" w:rsidRPr="00FA1A19" w:rsidRDefault="00F24D1D" w:rsidP="00F37E87">
      <w:pPr>
        <w:pStyle w:val="Bullet"/>
      </w:pPr>
      <w:r w:rsidRPr="00FA1A19">
        <w:t>NFTs may have rights attached, the rights may be embedded as self</w:t>
      </w:r>
      <w:r w:rsidR="00F75232">
        <w:noBreakHyphen/>
      </w:r>
      <w:r w:rsidRPr="00FA1A19">
        <w:t>executing code or attached as part of a separate written contract</w:t>
      </w:r>
    </w:p>
    <w:p w14:paraId="123E5E10" w14:textId="03C544A8" w:rsidR="00F24D1D" w:rsidRPr="00FA1A19" w:rsidRDefault="00F24D1D" w:rsidP="00F37E87">
      <w:pPr>
        <w:pStyle w:val="Bullet"/>
      </w:pPr>
      <w:r w:rsidRPr="00FA1A19">
        <w:t xml:space="preserve">NFTs may provide owners with membership rights to exclusive clubs, these rights may or may not have </w:t>
      </w:r>
      <w:r w:rsidR="00A8382B" w:rsidRPr="00FA1A19">
        <w:t xml:space="preserve">market </w:t>
      </w:r>
      <w:r w:rsidRPr="00FA1A19">
        <w:t>value</w:t>
      </w:r>
    </w:p>
    <w:p w14:paraId="7DAB3B64" w14:textId="38C2906F" w:rsidR="00F24D1D" w:rsidRPr="00FA1A19" w:rsidRDefault="00F24D1D" w:rsidP="00F37E87">
      <w:pPr>
        <w:pStyle w:val="Bullet"/>
      </w:pPr>
      <w:r w:rsidRPr="00FA1A19">
        <w:t xml:space="preserve">NFTs may provide a holder with the right to contribute to the decision making within an associated </w:t>
      </w:r>
      <w:r w:rsidR="00F429B9">
        <w:t>DAO</w:t>
      </w:r>
    </w:p>
    <w:p w14:paraId="2D126949" w14:textId="2A2AEA8D" w:rsidR="00F24D1D" w:rsidRPr="00FA1A19" w:rsidRDefault="00F24D1D" w:rsidP="00F37E87">
      <w:pPr>
        <w:pStyle w:val="Bullet"/>
      </w:pPr>
      <w:r w:rsidRPr="00FA1A19">
        <w:t>NFTs may be used to authenticate associated assets or prove identity</w:t>
      </w:r>
    </w:p>
    <w:p w14:paraId="365DD609" w14:textId="0FE3A3F1" w:rsidR="00F24D1D" w:rsidRPr="00FA1A19" w:rsidRDefault="00F24D1D" w:rsidP="00F37E87">
      <w:pPr>
        <w:pStyle w:val="Bullet"/>
      </w:pPr>
      <w:r w:rsidRPr="00FA1A19">
        <w:t>NFTs may be used in GameFi or to represent digital assets in the metaverse</w:t>
      </w:r>
    </w:p>
    <w:p w14:paraId="48E8D9CE" w14:textId="11CB9B3E" w:rsidR="00F24D1D" w:rsidRPr="00FA1A19" w:rsidRDefault="00F24D1D" w:rsidP="00F37E87">
      <w:pPr>
        <w:pStyle w:val="Bullet"/>
      </w:pPr>
      <w:r w:rsidRPr="00FA1A19">
        <w:t>The price of NFTs may be determined by the open market or have a floor price set by an NFT community</w:t>
      </w:r>
    </w:p>
    <w:p w14:paraId="27F89911" w14:textId="546181C0" w:rsidR="00F24D1D" w:rsidRPr="00FA1A19" w:rsidRDefault="00F24D1D" w:rsidP="00F37E87">
      <w:pPr>
        <w:pStyle w:val="Bullet"/>
      </w:pPr>
      <w:r w:rsidRPr="00FA1A19">
        <w:t xml:space="preserve">NFTs may be traded directly between privately owned wallets, via certain </w:t>
      </w:r>
      <w:r w:rsidR="00397609" w:rsidRPr="00FA1A19">
        <w:t xml:space="preserve">DEXs </w:t>
      </w:r>
      <w:r w:rsidRPr="00FA1A19">
        <w:t>or digital NFT marketplaces (</w:t>
      </w:r>
      <w:r w:rsidR="00B37AC1" w:rsidRPr="00FA1A19">
        <w:t>e.g.</w:t>
      </w:r>
      <w:r w:rsidRPr="00FA1A19">
        <w:t xml:space="preserve"> Opensea)</w:t>
      </w:r>
    </w:p>
    <w:p w14:paraId="0714E3DE" w14:textId="265B35E2" w:rsidR="00F24D1D" w:rsidRPr="00FA1A19" w:rsidRDefault="00F429B9" w:rsidP="00F37E87">
      <w:pPr>
        <w:pStyle w:val="Bullet"/>
      </w:pPr>
      <w:r>
        <w:t>t</w:t>
      </w:r>
      <w:r w:rsidR="00F24D1D" w:rsidRPr="00FA1A19">
        <w:t xml:space="preserve">he minting of NFTs may incur </w:t>
      </w:r>
      <w:r w:rsidR="00F75232">
        <w:t>‘</w:t>
      </w:r>
      <w:r w:rsidR="00F24D1D" w:rsidRPr="00FA1A19">
        <w:t>gas</w:t>
      </w:r>
      <w:r w:rsidR="00F75232">
        <w:t>’</w:t>
      </w:r>
      <w:r w:rsidR="00F24D1D" w:rsidRPr="00FA1A19">
        <w:t xml:space="preserve"> fees</w:t>
      </w:r>
    </w:p>
    <w:p w14:paraId="47766216" w14:textId="78091576" w:rsidR="00F24D1D" w:rsidRPr="00FA1A19" w:rsidRDefault="00F429B9" w:rsidP="00F37E87">
      <w:pPr>
        <w:pStyle w:val="Bullet"/>
        <w:rPr>
          <w:rFonts w:ascii="EYInterstate" w:hAnsi="EYInterstate" w:cs="EYInterstate"/>
          <w:color w:val="000000"/>
          <w:sz w:val="20"/>
          <w:szCs w:val="20"/>
        </w:rPr>
      </w:pPr>
      <w:r>
        <w:t>w</w:t>
      </w:r>
      <w:r w:rsidR="00F24D1D" w:rsidRPr="00FA1A19">
        <w:t>here</w:t>
      </w:r>
      <w:r w:rsidR="00F24D1D" w:rsidRPr="00FA1A19">
        <w:rPr>
          <w:rFonts w:cstheme="minorBidi"/>
          <w:color w:val="000000"/>
        </w:rPr>
        <w:t xml:space="preserve"> embedded rights to commission which self</w:t>
      </w:r>
      <w:r w:rsidR="00F75232">
        <w:rPr>
          <w:rFonts w:cstheme="minorBidi"/>
          <w:color w:val="000000"/>
        </w:rPr>
        <w:noBreakHyphen/>
      </w:r>
      <w:r w:rsidR="00F24D1D" w:rsidRPr="00FA1A19">
        <w:rPr>
          <w:rFonts w:cstheme="minorBidi"/>
          <w:color w:val="000000"/>
        </w:rPr>
        <w:t xml:space="preserve">execute on each subsequent sale, the commission collected may be treated as ordinary income for the original NFT </w:t>
      </w:r>
      <w:r w:rsidR="00F75232">
        <w:rPr>
          <w:rFonts w:cstheme="minorBidi"/>
          <w:color w:val="000000"/>
        </w:rPr>
        <w:t>‘</w:t>
      </w:r>
      <w:r w:rsidR="00F24D1D" w:rsidRPr="00FA1A19">
        <w:rPr>
          <w:rFonts w:cstheme="minorBidi"/>
          <w:color w:val="000000"/>
        </w:rPr>
        <w:t>artist</w:t>
      </w:r>
      <w:r w:rsidR="00F75232">
        <w:rPr>
          <w:rFonts w:cstheme="minorBidi"/>
          <w:color w:val="000000"/>
        </w:rPr>
        <w:t>’</w:t>
      </w:r>
      <w:r w:rsidR="00F24D1D" w:rsidRPr="00FA1A19">
        <w:rPr>
          <w:rFonts w:cstheme="minorBidi"/>
          <w:color w:val="000000"/>
        </w:rPr>
        <w:t xml:space="preserve"> and may trigger withholding obligations dependent on the jurisdiction of the sale or exchange.</w:t>
      </w:r>
      <w:r w:rsidR="00F24D1D" w:rsidRPr="00170ADC">
        <w:rPr>
          <w:rStyle w:val="FootnoteReference"/>
        </w:rPr>
        <w:footnoteReference w:id="723"/>
      </w:r>
    </w:p>
    <w:p w14:paraId="39BA3102" w14:textId="37C82EBB" w:rsidR="00974BC0" w:rsidRDefault="00FE196A">
      <w:r w:rsidRPr="00FA1A19">
        <w:t>Another issue to be considered in the context of NFTs is the tax implication on minting the NFT, whether the minted asset is on</w:t>
      </w:r>
      <w:r w:rsidR="00F75232">
        <w:noBreakHyphen/>
      </w:r>
      <w:r w:rsidRPr="00FA1A19">
        <w:t>chain or off</w:t>
      </w:r>
      <w:r w:rsidR="00F75232">
        <w:noBreakHyphen/>
      </w:r>
      <w:r w:rsidRPr="00FA1A19">
        <w:t>chain.</w:t>
      </w:r>
    </w:p>
    <w:p w14:paraId="3C0EF0ED" w14:textId="77777777" w:rsidR="00A3544C" w:rsidRPr="00FA1A19" w:rsidRDefault="00A3544C" w:rsidP="00F37E87">
      <w:pPr>
        <w:pStyle w:val="SingleParagraph"/>
      </w:pPr>
    </w:p>
    <w:tbl>
      <w:tblPr>
        <w:tblStyle w:val="Style2"/>
        <w:tblW w:w="5000" w:type="pct"/>
        <w:tblLook w:val="0420" w:firstRow="1" w:lastRow="0" w:firstColumn="0" w:lastColumn="0" w:noHBand="0" w:noVBand="1"/>
      </w:tblPr>
      <w:tblGrid>
        <w:gridCol w:w="9641"/>
      </w:tblGrid>
      <w:tr w:rsidR="00A3544C" w:rsidRPr="00FA1A19" w14:paraId="4482A48B" w14:textId="77777777" w:rsidTr="00EB09BD">
        <w:trPr>
          <w:cnfStyle w:val="100000000000" w:firstRow="1" w:lastRow="0" w:firstColumn="0" w:lastColumn="0" w:oddVBand="0" w:evenVBand="0" w:oddHBand="0" w:evenHBand="0" w:firstRowFirstColumn="0" w:firstRowLastColumn="0" w:lastRowFirstColumn="0" w:lastRowLastColumn="0"/>
        </w:trPr>
        <w:tc>
          <w:tcPr>
            <w:tcW w:w="5000" w:type="pct"/>
          </w:tcPr>
          <w:p w14:paraId="6FA91474" w14:textId="7E3A97B5" w:rsidR="00A3544C" w:rsidRPr="00FA1A19" w:rsidRDefault="00372633" w:rsidP="003316D7">
            <w:pPr>
              <w:pStyle w:val="BoxHeading1"/>
            </w:pPr>
            <w:r>
              <w:t>Recommendation </w:t>
            </w:r>
            <w:r w:rsidR="0021174D" w:rsidRPr="00FA1A19">
              <w:t>1</w:t>
            </w:r>
            <w:r w:rsidR="00A3544C" w:rsidRPr="00FA1A19">
              <w:t>3.2</w:t>
            </w:r>
          </w:p>
        </w:tc>
      </w:tr>
      <w:tr w:rsidR="00A3544C" w:rsidRPr="00FA1A19" w14:paraId="3B23A3E4" w14:textId="77777777" w:rsidTr="00EB09BD">
        <w:trPr>
          <w:cnfStyle w:val="000000100000" w:firstRow="0" w:lastRow="0" w:firstColumn="0" w:lastColumn="0" w:oddVBand="0" w:evenVBand="0" w:oddHBand="1" w:evenHBand="0" w:firstRowFirstColumn="0" w:firstRowLastColumn="0" w:lastRowFirstColumn="0" w:lastRowLastColumn="0"/>
        </w:trPr>
        <w:tc>
          <w:tcPr>
            <w:tcW w:w="5000" w:type="pct"/>
          </w:tcPr>
          <w:p w14:paraId="62EF52D1" w14:textId="4525F138" w:rsidR="00A3544C" w:rsidRPr="00E06493" w:rsidRDefault="00A3544C" w:rsidP="00E06493">
            <w:pPr>
              <w:pStyle w:val="BoxText"/>
              <w:rPr>
                <w:rFonts w:eastAsiaTheme="minorHAnsi"/>
              </w:rPr>
            </w:pPr>
            <w:r w:rsidRPr="00FA1A19">
              <w:rPr>
                <w:rFonts w:eastAsiaTheme="minorHAnsi"/>
                <w:lang w:eastAsia="en-US"/>
              </w:rPr>
              <w:t>The Board</w:t>
            </w:r>
            <w:r w:rsidR="00F75232">
              <w:rPr>
                <w:rFonts w:eastAsiaTheme="minorHAnsi"/>
                <w:lang w:eastAsia="en-US"/>
              </w:rPr>
              <w:t>’</w:t>
            </w:r>
            <w:r w:rsidRPr="00FA1A19">
              <w:rPr>
                <w:rFonts w:eastAsiaTheme="minorHAnsi"/>
                <w:lang w:eastAsia="en-US"/>
              </w:rPr>
              <w:t xml:space="preserve">s </w:t>
            </w:r>
            <w:r w:rsidR="00E544AC">
              <w:rPr>
                <w:rFonts w:eastAsiaTheme="minorHAnsi"/>
                <w:lang w:eastAsia="en-US"/>
              </w:rPr>
              <w:t xml:space="preserve">stakeholder </w:t>
            </w:r>
            <w:r w:rsidRPr="00FA1A19">
              <w:rPr>
                <w:rFonts w:eastAsiaTheme="minorHAnsi"/>
                <w:lang w:eastAsia="en-US"/>
              </w:rPr>
              <w:t xml:space="preserve">consultations together with its own research indicates that areas in the crypto ecosystem that are currently increasing in </w:t>
            </w:r>
            <w:r w:rsidRPr="00E06493">
              <w:rPr>
                <w:rFonts w:eastAsiaTheme="minorHAnsi"/>
              </w:rPr>
              <w:t>scale and developing at a particularly fast rate are DAOs, DeFi, GameFi, and N</w:t>
            </w:r>
            <w:r w:rsidR="00923992">
              <w:rPr>
                <w:rFonts w:eastAsiaTheme="minorHAnsi"/>
              </w:rPr>
              <w:t>FTs</w:t>
            </w:r>
            <w:r w:rsidRPr="00E06493">
              <w:rPr>
                <w:rFonts w:eastAsiaTheme="minorHAnsi"/>
              </w:rPr>
              <w:t>.</w:t>
            </w:r>
          </w:p>
          <w:p w14:paraId="12491277" w14:textId="67C1CAC4" w:rsidR="00A3544C" w:rsidRPr="00E06493" w:rsidRDefault="00A3544C" w:rsidP="00E06493">
            <w:pPr>
              <w:pStyle w:val="BoxText"/>
              <w:rPr>
                <w:rFonts w:eastAsiaTheme="minorEastAsia"/>
              </w:rPr>
            </w:pPr>
            <w:r w:rsidRPr="00E06493">
              <w:rPr>
                <w:rFonts w:eastAsiaTheme="minorEastAsia"/>
              </w:rPr>
              <w:t>The Government may like to consider undertaking further work in relation to the taxation implications of these four areas in the future</w:t>
            </w:r>
            <w:r w:rsidR="70DDD2C5" w:rsidRPr="00E06493">
              <w:rPr>
                <w:rFonts w:eastAsiaTheme="minorEastAsia"/>
              </w:rPr>
              <w:t xml:space="preserve"> particularly </w:t>
            </w:r>
            <w:r w:rsidR="421CDF89" w:rsidRPr="00E06493">
              <w:rPr>
                <w:rFonts w:eastAsiaTheme="minorEastAsia"/>
              </w:rPr>
              <w:t xml:space="preserve">in light of </w:t>
            </w:r>
            <w:r w:rsidR="57BFCECB" w:rsidRPr="00E06493">
              <w:rPr>
                <w:rFonts w:eastAsiaTheme="minorEastAsia"/>
              </w:rPr>
              <w:t>any</w:t>
            </w:r>
            <w:r w:rsidR="70DDD2C5" w:rsidRPr="00E06493">
              <w:rPr>
                <w:rFonts w:eastAsiaTheme="minorEastAsia"/>
              </w:rPr>
              <w:t xml:space="preserve"> policy responses </w:t>
            </w:r>
            <w:r w:rsidR="41851465" w:rsidRPr="00E06493">
              <w:rPr>
                <w:rFonts w:eastAsiaTheme="minorEastAsia"/>
              </w:rPr>
              <w:t xml:space="preserve">made the </w:t>
            </w:r>
            <w:r w:rsidR="70DDD2C5" w:rsidRPr="00E06493">
              <w:rPr>
                <w:rFonts w:eastAsiaTheme="minorEastAsia"/>
              </w:rPr>
              <w:t xml:space="preserve">to the </w:t>
            </w:r>
            <w:r w:rsidR="24174EA5" w:rsidRPr="00E06493">
              <w:rPr>
                <w:rFonts w:eastAsiaTheme="minorEastAsia"/>
              </w:rPr>
              <w:t>regulation of such activities</w:t>
            </w:r>
            <w:r w:rsidRPr="00E06493">
              <w:rPr>
                <w:rFonts w:eastAsiaTheme="minorEastAsia"/>
              </w:rPr>
              <w:t xml:space="preserve">. </w:t>
            </w:r>
          </w:p>
          <w:p w14:paraId="18562059" w14:textId="77777777" w:rsidR="00A3544C" w:rsidRPr="00FA1A19" w:rsidRDefault="00A3544C" w:rsidP="00E06493">
            <w:pPr>
              <w:pStyle w:val="BoxText"/>
              <w:rPr>
                <w:rFonts w:cstheme="minorHAnsi"/>
                <w:bCs/>
              </w:rPr>
            </w:pPr>
            <w:r w:rsidRPr="00E06493">
              <w:rPr>
                <w:rFonts w:eastAsiaTheme="minorHAnsi"/>
              </w:rPr>
              <w:t>In the meantime, the Board recommends that the ATO continue to consider the tax treatment of new and evolving crypto assets and transactions</w:t>
            </w:r>
            <w:r w:rsidRPr="00FA1A19">
              <w:rPr>
                <w:rFonts w:eastAsiaTheme="minorHAnsi"/>
                <w:lang w:eastAsia="en-US"/>
              </w:rPr>
              <w:t xml:space="preserve"> in accordance with existing rules and principles, including in relation to these four areas.</w:t>
            </w:r>
          </w:p>
        </w:tc>
      </w:tr>
    </w:tbl>
    <w:p w14:paraId="2071643E" w14:textId="77777777" w:rsidR="00F37E87" w:rsidRDefault="00F37E87">
      <w:pPr>
        <w:sectPr w:rsidR="00F37E87" w:rsidSect="00320772">
          <w:pgSz w:w="11909" w:h="16834" w:code="9"/>
          <w:pgMar w:top="1985" w:right="1134" w:bottom="1985" w:left="1134" w:header="1134" w:footer="1134" w:gutter="0"/>
          <w:cols w:space="708"/>
          <w:docGrid w:linePitch="360"/>
        </w:sectPr>
      </w:pPr>
    </w:p>
    <w:p w14:paraId="585AE06F" w14:textId="4F0770F3" w:rsidR="00261D62" w:rsidRPr="0069352C" w:rsidRDefault="00261D62" w:rsidP="0069352C">
      <w:pPr>
        <w:pStyle w:val="Heading1"/>
      </w:pPr>
      <w:bookmarkStart w:id="168" w:name="_Toc136855879"/>
      <w:bookmarkStart w:id="169" w:name="_Toc159513648"/>
      <w:r w:rsidRPr="00FA1A19">
        <w:t xml:space="preserve">Appendix </w:t>
      </w:r>
      <w:r w:rsidR="006C0CEB" w:rsidRPr="00FA1A19">
        <w:t>A</w:t>
      </w:r>
      <w:r w:rsidRPr="00FA1A19">
        <w:t xml:space="preserve">: </w:t>
      </w:r>
      <w:bookmarkEnd w:id="168"/>
      <w:r w:rsidRPr="00FA1A19">
        <w:t>Consultation process and participants</w:t>
      </w:r>
      <w:bookmarkEnd w:id="169"/>
    </w:p>
    <w:p w14:paraId="1BEC7880" w14:textId="7A9CAD64" w:rsidR="00CF7546" w:rsidRPr="00FA1A19" w:rsidRDefault="00CF7546" w:rsidP="0069352C">
      <w:pPr>
        <w:pStyle w:val="Heading2"/>
      </w:pPr>
      <w:bookmarkStart w:id="170" w:name="_Toc159513649"/>
      <w:r w:rsidRPr="00FA1A19">
        <w:t xml:space="preserve">Written </w:t>
      </w:r>
      <w:r w:rsidRPr="0069352C">
        <w:t>submissions</w:t>
      </w:r>
      <w:bookmarkEnd w:id="170"/>
      <w:r w:rsidR="008702EF">
        <w:t xml:space="preserve"> </w:t>
      </w:r>
    </w:p>
    <w:p w14:paraId="55949318" w14:textId="7B2F99D6" w:rsidR="00EB2126" w:rsidRPr="00FA1A19" w:rsidRDefault="00261D62" w:rsidP="00261D62">
      <w:pPr>
        <w:rPr>
          <w:rFonts w:asciiTheme="minorHAnsi" w:hAnsiTheme="minorHAnsi" w:cstheme="minorHAnsi"/>
        </w:rPr>
      </w:pPr>
      <w:r w:rsidRPr="00FA1A19">
        <w:rPr>
          <w:rFonts w:asciiTheme="minorHAnsi" w:hAnsiTheme="minorHAnsi" w:cstheme="minorHAnsi"/>
          <w:shd w:val="clear" w:color="auto" w:fill="FFFFFF"/>
        </w:rPr>
        <w:t xml:space="preserve">In August 2022, the Board published a Consultation Guide which provides an overview of crypto assets and the current taxation treatment within Australia. The guide </w:t>
      </w:r>
      <w:r w:rsidR="00EB2126" w:rsidRPr="00FA1A19">
        <w:rPr>
          <w:rFonts w:asciiTheme="minorHAnsi" w:hAnsiTheme="minorHAnsi" w:cstheme="minorHAnsi"/>
          <w:shd w:val="clear" w:color="auto" w:fill="FFFFFF"/>
        </w:rPr>
        <w:t xml:space="preserve">outlined </w:t>
      </w:r>
      <w:r w:rsidRPr="00FA1A19">
        <w:rPr>
          <w:rFonts w:asciiTheme="minorHAnsi" w:hAnsiTheme="minorHAnsi" w:cstheme="minorHAnsi"/>
          <w:shd w:val="clear" w:color="auto" w:fill="FFFFFF"/>
        </w:rPr>
        <w:t xml:space="preserve">recent relevant </w:t>
      </w:r>
      <w:r w:rsidR="00A531C1">
        <w:rPr>
          <w:rFonts w:asciiTheme="minorHAnsi" w:hAnsiTheme="minorHAnsi" w:cstheme="minorHAnsi"/>
          <w:shd w:val="clear" w:color="auto" w:fill="FFFFFF"/>
        </w:rPr>
        <w:t>g</w:t>
      </w:r>
      <w:r w:rsidR="00D70B6C" w:rsidRPr="00FA1A19">
        <w:rPr>
          <w:rFonts w:asciiTheme="minorHAnsi" w:hAnsiTheme="minorHAnsi" w:cstheme="minorHAnsi"/>
          <w:shd w:val="clear" w:color="auto" w:fill="FFFFFF"/>
        </w:rPr>
        <w:t xml:space="preserve">overnment </w:t>
      </w:r>
      <w:r w:rsidRPr="00FA1A19">
        <w:rPr>
          <w:rFonts w:asciiTheme="minorHAnsi" w:hAnsiTheme="minorHAnsi" w:cstheme="minorHAnsi"/>
          <w:shd w:val="clear" w:color="auto" w:fill="FFFFFF"/>
        </w:rPr>
        <w:t xml:space="preserve">reports and announcements and </w:t>
      </w:r>
      <w:r w:rsidR="00EB2126" w:rsidRPr="00FA1A19">
        <w:rPr>
          <w:rFonts w:asciiTheme="minorHAnsi" w:hAnsiTheme="minorHAnsi" w:cstheme="minorHAnsi"/>
          <w:shd w:val="clear" w:color="auto" w:fill="FFFFFF"/>
        </w:rPr>
        <w:t xml:space="preserve">posed </w:t>
      </w:r>
      <w:r w:rsidRPr="00FA1A19">
        <w:rPr>
          <w:rFonts w:asciiTheme="minorHAnsi" w:hAnsiTheme="minorHAnsi" w:cstheme="minorHAnsi"/>
          <w:shd w:val="clear" w:color="auto" w:fill="FFFFFF"/>
        </w:rPr>
        <w:t>a series of questions for interested parties to consider when formulating input to the review.</w:t>
      </w:r>
      <w:r w:rsidRPr="00FA1A19">
        <w:rPr>
          <w:rFonts w:asciiTheme="minorHAnsi" w:hAnsiTheme="minorHAnsi" w:cstheme="minorHAnsi"/>
        </w:rPr>
        <w:t xml:space="preserve"> </w:t>
      </w:r>
    </w:p>
    <w:p w14:paraId="3160E2AF" w14:textId="6B9FF8FD" w:rsidR="00261D62" w:rsidRPr="00FA1A19" w:rsidRDefault="00261D62" w:rsidP="00261D62">
      <w:pPr>
        <w:rPr>
          <w:rFonts w:asciiTheme="minorHAnsi" w:hAnsiTheme="minorHAnsi" w:cstheme="minorHAnsi"/>
        </w:rPr>
      </w:pPr>
      <w:r w:rsidRPr="00FA1A19">
        <w:rPr>
          <w:rFonts w:asciiTheme="minorHAnsi" w:hAnsiTheme="minorHAnsi" w:cstheme="minorHAnsi"/>
        </w:rPr>
        <w:t>The Board received 41 written submissions during the consultation period from the following organisations</w:t>
      </w:r>
      <w:r w:rsidR="00BA56A0" w:rsidRPr="00FA1A19">
        <w:rPr>
          <w:rFonts w:asciiTheme="minorHAnsi" w:hAnsiTheme="minorHAnsi" w:cstheme="minorHAnsi"/>
        </w:rPr>
        <w:t xml:space="preserve"> and individuals</w:t>
      </w:r>
      <w:r w:rsidRPr="00FA1A19">
        <w:rPr>
          <w:rFonts w:asciiTheme="minorHAnsi" w:hAnsiTheme="minorHAnsi" w:cstheme="minorHAnsi"/>
        </w:rPr>
        <w:t>:</w:t>
      </w:r>
    </w:p>
    <w:p w14:paraId="38463C8C" w14:textId="77777777" w:rsidR="00C0412D" w:rsidRPr="00FA1A19" w:rsidRDefault="00C0412D" w:rsidP="00F37E87">
      <w:pPr>
        <w:pStyle w:val="SingleParagraph"/>
      </w:pPr>
    </w:p>
    <w:tbl>
      <w:tblPr>
        <w:tblStyle w:val="ListTable3-Accent1"/>
        <w:tblW w:w="0" w:type="auto"/>
        <w:tblBorders>
          <w:insideH w:val="single" w:sz="4" w:space="0" w:color="142147" w:themeColor="accent1"/>
          <w:insideV w:val="single" w:sz="4" w:space="0" w:color="142147" w:themeColor="accent1"/>
        </w:tblBorders>
        <w:tblLook w:val="04A0" w:firstRow="1" w:lastRow="0" w:firstColumn="1" w:lastColumn="0" w:noHBand="0" w:noVBand="1"/>
      </w:tblPr>
      <w:tblGrid>
        <w:gridCol w:w="1255"/>
        <w:gridCol w:w="6962"/>
        <w:gridCol w:w="1414"/>
      </w:tblGrid>
      <w:tr w:rsidR="003E2887" w:rsidRPr="00FA1A19" w14:paraId="09D476D9" w14:textId="0DD64F1F" w:rsidTr="00F724BA">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100" w:firstRow="0" w:lastRow="0" w:firstColumn="1" w:lastColumn="0" w:oddVBand="0" w:evenVBand="0" w:oddHBand="0" w:evenHBand="0" w:firstRowFirstColumn="1" w:firstRowLastColumn="0" w:lastRowFirstColumn="0" w:lastRowLastColumn="0"/>
            <w:tcW w:w="1255" w:type="dxa"/>
          </w:tcPr>
          <w:p w14:paraId="35E449DA" w14:textId="15E95BF6" w:rsidR="003E2887" w:rsidRPr="00FA1A19" w:rsidRDefault="00786EA4" w:rsidP="00F37E87">
            <w:pPr>
              <w:pStyle w:val="TableColumnHeadingLeft"/>
            </w:pPr>
            <w:r w:rsidRPr="00FA1A19">
              <w:t>Submission Reference</w:t>
            </w:r>
          </w:p>
        </w:tc>
        <w:tc>
          <w:tcPr>
            <w:tcW w:w="6962" w:type="dxa"/>
          </w:tcPr>
          <w:p w14:paraId="11F1F1C3" w14:textId="29B6D757" w:rsidR="003E2887" w:rsidRPr="00FA1A19" w:rsidRDefault="00CF7546" w:rsidP="00F37E87">
            <w:pPr>
              <w:pStyle w:val="TableColumnHeadingLeft"/>
              <w:cnfStyle w:val="100000000000" w:firstRow="1" w:lastRow="0" w:firstColumn="0" w:lastColumn="0" w:oddVBand="0" w:evenVBand="0" w:oddHBand="0" w:evenHBand="0" w:firstRowFirstColumn="0" w:firstRowLastColumn="0" w:lastRowFirstColumn="0" w:lastRowLastColumn="0"/>
            </w:pPr>
            <w:r w:rsidRPr="00FA1A19">
              <w:t xml:space="preserve">Name of party </w:t>
            </w:r>
          </w:p>
        </w:tc>
        <w:tc>
          <w:tcPr>
            <w:tcW w:w="1414" w:type="dxa"/>
          </w:tcPr>
          <w:p w14:paraId="656A5293" w14:textId="61A3F9F4" w:rsidR="00BA56A0" w:rsidRPr="00FA1A19" w:rsidRDefault="00BA56A0" w:rsidP="00F37E87">
            <w:pPr>
              <w:pStyle w:val="TableColumnHeadingLeft"/>
              <w:cnfStyle w:val="100000000000" w:firstRow="1" w:lastRow="0" w:firstColumn="0" w:lastColumn="0" w:oddVBand="0" w:evenVBand="0" w:oddHBand="0" w:evenHBand="0" w:firstRowFirstColumn="0" w:firstRowLastColumn="0" w:lastRowFirstColumn="0" w:lastRowLastColumn="0"/>
              <w:rPr>
                <w:color w:val="auto"/>
              </w:rPr>
            </w:pPr>
            <w:r w:rsidRPr="00FA1A19">
              <w:t>Date received</w:t>
            </w:r>
          </w:p>
        </w:tc>
      </w:tr>
      <w:tr w:rsidR="00786EA4" w:rsidRPr="00FA1A19" w14:paraId="0578361B" w14:textId="408765D8"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0466C9AE" w14:textId="36159E0C" w:rsidR="00786EA4" w:rsidRPr="00FA1A19" w:rsidRDefault="00786EA4" w:rsidP="00F37E87">
            <w:pPr>
              <w:pStyle w:val="TableTextLeft"/>
            </w:pPr>
            <w:r w:rsidRPr="00FA1A19">
              <w:t>A01</w:t>
            </w:r>
          </w:p>
        </w:tc>
        <w:tc>
          <w:tcPr>
            <w:tcW w:w="6962" w:type="dxa"/>
          </w:tcPr>
          <w:p w14:paraId="7653BCA0" w14:textId="765CFE8F" w:rsidR="00786EA4" w:rsidRPr="00FA1A19" w:rsidRDefault="00786EA4"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Darren Gerlach</w:t>
            </w:r>
          </w:p>
        </w:tc>
        <w:tc>
          <w:tcPr>
            <w:tcW w:w="1414" w:type="dxa"/>
          </w:tcPr>
          <w:p w14:paraId="7E62928E" w14:textId="02BA1EE2"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22/08/2022</w:t>
            </w:r>
          </w:p>
        </w:tc>
      </w:tr>
      <w:tr w:rsidR="00261D62" w:rsidRPr="00FA1A19" w14:paraId="5F09F5C9" w14:textId="4285B597"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33E62417" w14:textId="77777777" w:rsidR="00261D62" w:rsidRPr="00FA1A19" w:rsidRDefault="00261D62" w:rsidP="00F37E87">
            <w:pPr>
              <w:pStyle w:val="TableTextLeft"/>
            </w:pPr>
            <w:r w:rsidRPr="00FA1A19">
              <w:t>A02</w:t>
            </w:r>
          </w:p>
        </w:tc>
        <w:tc>
          <w:tcPr>
            <w:tcW w:w="6962" w:type="dxa"/>
          </w:tcPr>
          <w:p w14:paraId="1F035CC0"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Darcy Financial</w:t>
            </w:r>
          </w:p>
        </w:tc>
        <w:tc>
          <w:tcPr>
            <w:tcW w:w="1414" w:type="dxa"/>
          </w:tcPr>
          <w:p w14:paraId="1F52031F" w14:textId="393F6658"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23/08/2022</w:t>
            </w:r>
          </w:p>
        </w:tc>
      </w:tr>
      <w:tr w:rsidR="00261D62" w:rsidRPr="00FA1A19" w14:paraId="6C23428B" w14:textId="3AE520A4"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1C26F72A" w14:textId="77777777" w:rsidR="00261D62" w:rsidRPr="00FA1A19" w:rsidRDefault="00261D62" w:rsidP="00F37E87">
            <w:pPr>
              <w:pStyle w:val="TableTextLeft"/>
            </w:pPr>
            <w:r w:rsidRPr="00FA1A19">
              <w:t>A03</w:t>
            </w:r>
          </w:p>
        </w:tc>
        <w:tc>
          <w:tcPr>
            <w:tcW w:w="6962" w:type="dxa"/>
          </w:tcPr>
          <w:p w14:paraId="1DE4C340"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Tailored Accountants</w:t>
            </w:r>
          </w:p>
        </w:tc>
        <w:tc>
          <w:tcPr>
            <w:tcW w:w="1414" w:type="dxa"/>
          </w:tcPr>
          <w:p w14:paraId="3368DF4A" w14:textId="5046182F"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29/08/2022</w:t>
            </w:r>
          </w:p>
        </w:tc>
      </w:tr>
      <w:tr w:rsidR="00261D62" w:rsidRPr="00FA1A19" w14:paraId="0E156D0C" w14:textId="006E191F"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1FBCB59A" w14:textId="77777777" w:rsidR="00261D62" w:rsidRPr="00FA1A19" w:rsidRDefault="00261D62" w:rsidP="00F37E87">
            <w:pPr>
              <w:pStyle w:val="TableTextLeft"/>
            </w:pPr>
            <w:r w:rsidRPr="00FA1A19">
              <w:t>A04</w:t>
            </w:r>
          </w:p>
        </w:tc>
        <w:tc>
          <w:tcPr>
            <w:tcW w:w="6962" w:type="dxa"/>
          </w:tcPr>
          <w:p w14:paraId="258F8606"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 xml:space="preserve">Darrell James Wood </w:t>
            </w:r>
          </w:p>
        </w:tc>
        <w:tc>
          <w:tcPr>
            <w:tcW w:w="1414" w:type="dxa"/>
          </w:tcPr>
          <w:p w14:paraId="6E1C42E9" w14:textId="2C1AA83B"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26/08/2022</w:t>
            </w:r>
          </w:p>
        </w:tc>
      </w:tr>
      <w:tr w:rsidR="00261D62" w:rsidRPr="00FA1A19" w14:paraId="19CB3711" w14:textId="3D073961"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705292B" w14:textId="77777777" w:rsidR="00261D62" w:rsidRPr="00FA1A19" w:rsidRDefault="00261D62" w:rsidP="00F37E87">
            <w:pPr>
              <w:pStyle w:val="TableTextLeft"/>
            </w:pPr>
            <w:r w:rsidRPr="00FA1A19">
              <w:t>A05</w:t>
            </w:r>
          </w:p>
        </w:tc>
        <w:tc>
          <w:tcPr>
            <w:tcW w:w="6962" w:type="dxa"/>
          </w:tcPr>
          <w:p w14:paraId="4C093F38"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Sam Irwin</w:t>
            </w:r>
          </w:p>
        </w:tc>
        <w:tc>
          <w:tcPr>
            <w:tcW w:w="1414" w:type="dxa"/>
          </w:tcPr>
          <w:p w14:paraId="79DB30D1" w14:textId="15B49B28"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12/09/2022</w:t>
            </w:r>
          </w:p>
        </w:tc>
      </w:tr>
      <w:tr w:rsidR="00261D62" w:rsidRPr="00FA1A19" w14:paraId="59DA14BA" w14:textId="641FDDE4"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240C33FC" w14:textId="77777777" w:rsidR="00261D62" w:rsidRPr="00FA1A19" w:rsidRDefault="00261D62" w:rsidP="00F37E87">
            <w:pPr>
              <w:pStyle w:val="TableTextLeft"/>
            </w:pPr>
            <w:r w:rsidRPr="00FA1A19">
              <w:t>A06</w:t>
            </w:r>
          </w:p>
        </w:tc>
        <w:tc>
          <w:tcPr>
            <w:tcW w:w="6962" w:type="dxa"/>
          </w:tcPr>
          <w:p w14:paraId="033315DB"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Razwina Raihman</w:t>
            </w:r>
          </w:p>
        </w:tc>
        <w:tc>
          <w:tcPr>
            <w:tcW w:w="1414" w:type="dxa"/>
          </w:tcPr>
          <w:p w14:paraId="23FE1B22" w14:textId="4CB0F817"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19/09/2022</w:t>
            </w:r>
          </w:p>
        </w:tc>
      </w:tr>
      <w:tr w:rsidR="00261D62" w:rsidRPr="00FA1A19" w14:paraId="54281B3C" w14:textId="419BF1FC"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1E59F6D2" w14:textId="77777777" w:rsidR="00261D62" w:rsidRPr="00FA1A19" w:rsidRDefault="00261D62" w:rsidP="00F37E87">
            <w:pPr>
              <w:pStyle w:val="TableTextLeft"/>
            </w:pPr>
            <w:r w:rsidRPr="00FA1A19">
              <w:t>A07</w:t>
            </w:r>
          </w:p>
        </w:tc>
        <w:tc>
          <w:tcPr>
            <w:tcW w:w="6962" w:type="dxa"/>
          </w:tcPr>
          <w:p w14:paraId="7C5E9932"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Doxed Capital</w:t>
            </w:r>
          </w:p>
        </w:tc>
        <w:tc>
          <w:tcPr>
            <w:tcW w:w="1414" w:type="dxa"/>
          </w:tcPr>
          <w:p w14:paraId="517FB391" w14:textId="3C2A6ACA"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23/09/2022</w:t>
            </w:r>
          </w:p>
        </w:tc>
      </w:tr>
      <w:tr w:rsidR="00261D62" w:rsidRPr="00FA1A19" w14:paraId="02DDF1BB" w14:textId="6A9378C3"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21A9A13E" w14:textId="77777777" w:rsidR="00261D62" w:rsidRPr="00FA1A19" w:rsidRDefault="00261D62" w:rsidP="00F37E87">
            <w:pPr>
              <w:pStyle w:val="TableTextLeft"/>
            </w:pPr>
            <w:r w:rsidRPr="00FA1A19">
              <w:t>A08</w:t>
            </w:r>
          </w:p>
        </w:tc>
        <w:tc>
          <w:tcPr>
            <w:tcW w:w="6962" w:type="dxa"/>
          </w:tcPr>
          <w:p w14:paraId="039B9634" w14:textId="49040289"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Dr Elizabeth Morton; Ms Lisa Greig; Mr James Carey; Ms</w:t>
            </w:r>
            <w:r w:rsidR="000437AD">
              <w:rPr>
                <w:rFonts w:cs="Calibri"/>
              </w:rPr>
              <w:t> </w:t>
            </w:r>
            <w:r w:rsidRPr="00FA1A19">
              <w:rPr>
                <w:rFonts w:cs="Calibri"/>
              </w:rPr>
              <w:t>Veronika</w:t>
            </w:r>
            <w:r w:rsidR="000437AD">
              <w:rPr>
                <w:rFonts w:cs="Calibri"/>
              </w:rPr>
              <w:t> </w:t>
            </w:r>
            <w:r w:rsidRPr="00FA1A19">
              <w:rPr>
                <w:rFonts w:cs="Calibri"/>
              </w:rPr>
              <w:t xml:space="preserve">Komarenko; Ms Maryna Kovalenko (Members of the </w:t>
            </w:r>
            <w:r w:rsidR="00C0412D" w:rsidRPr="00FA1A19">
              <w:rPr>
                <w:rFonts w:cs="Calibri"/>
              </w:rPr>
              <w:t>Tax Profession</w:t>
            </w:r>
            <w:r w:rsidRPr="00FA1A19">
              <w:rPr>
                <w:rFonts w:cs="Calibri"/>
              </w:rPr>
              <w:t>)</w:t>
            </w:r>
          </w:p>
        </w:tc>
        <w:tc>
          <w:tcPr>
            <w:tcW w:w="1414" w:type="dxa"/>
          </w:tcPr>
          <w:p w14:paraId="7E70611A" w14:textId="424F9875"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27/09/2022</w:t>
            </w:r>
          </w:p>
        </w:tc>
      </w:tr>
      <w:tr w:rsidR="00261D62" w:rsidRPr="00FA1A19" w14:paraId="66D233A5" w14:textId="0BC4E6D0"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178F4630" w14:textId="77777777" w:rsidR="00261D62" w:rsidRPr="00FA1A19" w:rsidRDefault="00261D62" w:rsidP="00F37E87">
            <w:pPr>
              <w:pStyle w:val="TableTextLeft"/>
            </w:pPr>
            <w:r w:rsidRPr="00FA1A19">
              <w:t>A09</w:t>
            </w:r>
          </w:p>
        </w:tc>
        <w:tc>
          <w:tcPr>
            <w:tcW w:w="6962" w:type="dxa"/>
          </w:tcPr>
          <w:p w14:paraId="6E845C34"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Syla</w:t>
            </w:r>
          </w:p>
        </w:tc>
        <w:tc>
          <w:tcPr>
            <w:tcW w:w="1414" w:type="dxa"/>
          </w:tcPr>
          <w:p w14:paraId="59E2CBD8" w14:textId="02988884"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29/09/2022</w:t>
            </w:r>
          </w:p>
        </w:tc>
      </w:tr>
      <w:tr w:rsidR="00261D62" w:rsidRPr="00FA1A19" w14:paraId="72AB0FA1" w14:textId="6C3E39B3"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29142B6B" w14:textId="77777777" w:rsidR="00261D62" w:rsidRPr="00FA1A19" w:rsidRDefault="00261D62" w:rsidP="00F37E87">
            <w:pPr>
              <w:pStyle w:val="TableTextLeft"/>
            </w:pPr>
            <w:r w:rsidRPr="00FA1A19">
              <w:t>A10</w:t>
            </w:r>
          </w:p>
        </w:tc>
        <w:tc>
          <w:tcPr>
            <w:tcW w:w="6962" w:type="dxa"/>
          </w:tcPr>
          <w:p w14:paraId="05D25F9F"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Koinly</w:t>
            </w:r>
          </w:p>
        </w:tc>
        <w:tc>
          <w:tcPr>
            <w:tcW w:w="1414" w:type="dxa"/>
          </w:tcPr>
          <w:p w14:paraId="53F786E4" w14:textId="30B9D26C"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29/09/2022</w:t>
            </w:r>
          </w:p>
        </w:tc>
      </w:tr>
      <w:tr w:rsidR="00261D62" w:rsidRPr="00FA1A19" w14:paraId="6D476521" w14:textId="5AB0E912"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27838E86" w14:textId="77777777" w:rsidR="00261D62" w:rsidRPr="00FA1A19" w:rsidRDefault="00261D62" w:rsidP="00F37E87">
            <w:pPr>
              <w:pStyle w:val="TableTextLeft"/>
            </w:pPr>
            <w:r w:rsidRPr="00FA1A19">
              <w:t>A11</w:t>
            </w:r>
          </w:p>
        </w:tc>
        <w:tc>
          <w:tcPr>
            <w:tcW w:w="6962" w:type="dxa"/>
          </w:tcPr>
          <w:p w14:paraId="7CFF680B"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Vertex Inc</w:t>
            </w:r>
          </w:p>
        </w:tc>
        <w:tc>
          <w:tcPr>
            <w:tcW w:w="1414" w:type="dxa"/>
          </w:tcPr>
          <w:p w14:paraId="2B407E49" w14:textId="63CA41FD"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4C3105B7" w14:textId="5AA2AF59"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6FF9BFF" w14:textId="77777777" w:rsidR="00261D62" w:rsidRPr="00FA1A19" w:rsidRDefault="00261D62" w:rsidP="00F37E87">
            <w:pPr>
              <w:pStyle w:val="TableTextLeft"/>
            </w:pPr>
            <w:r w:rsidRPr="00FA1A19">
              <w:t>A12</w:t>
            </w:r>
          </w:p>
        </w:tc>
        <w:tc>
          <w:tcPr>
            <w:tcW w:w="6962" w:type="dxa"/>
          </w:tcPr>
          <w:p w14:paraId="77106CF6"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Coinbase</w:t>
            </w:r>
          </w:p>
        </w:tc>
        <w:tc>
          <w:tcPr>
            <w:tcW w:w="1414" w:type="dxa"/>
          </w:tcPr>
          <w:p w14:paraId="13D57583" w14:textId="61528610"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30/09/2022</w:t>
            </w:r>
          </w:p>
        </w:tc>
      </w:tr>
      <w:tr w:rsidR="00261D62" w:rsidRPr="00FA1A19" w14:paraId="0D009981" w14:textId="2841720D"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0FB50A23" w14:textId="77777777" w:rsidR="00261D62" w:rsidRPr="00FA1A19" w:rsidRDefault="00261D62" w:rsidP="00F37E87">
            <w:pPr>
              <w:pStyle w:val="TableTextLeft"/>
            </w:pPr>
            <w:r w:rsidRPr="00FA1A19">
              <w:t>A13</w:t>
            </w:r>
          </w:p>
        </w:tc>
        <w:tc>
          <w:tcPr>
            <w:tcW w:w="6962" w:type="dxa"/>
          </w:tcPr>
          <w:p w14:paraId="2F528D39"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Stephen Rider</w:t>
            </w:r>
          </w:p>
        </w:tc>
        <w:tc>
          <w:tcPr>
            <w:tcW w:w="1414" w:type="dxa"/>
          </w:tcPr>
          <w:p w14:paraId="62E409F7" w14:textId="35EDF705"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4A90C476" w14:textId="12D0C0C2"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B0D9C83" w14:textId="77777777" w:rsidR="00261D62" w:rsidRPr="00FA1A19" w:rsidRDefault="00261D62" w:rsidP="00F37E87">
            <w:pPr>
              <w:pStyle w:val="TableTextLeft"/>
            </w:pPr>
            <w:r w:rsidRPr="00FA1A19">
              <w:t>A14</w:t>
            </w:r>
          </w:p>
        </w:tc>
        <w:tc>
          <w:tcPr>
            <w:tcW w:w="6962" w:type="dxa"/>
          </w:tcPr>
          <w:p w14:paraId="043A45B4"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Australian Bankers Association</w:t>
            </w:r>
          </w:p>
        </w:tc>
        <w:tc>
          <w:tcPr>
            <w:tcW w:w="1414" w:type="dxa"/>
          </w:tcPr>
          <w:p w14:paraId="30051411" w14:textId="052A412E"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30/09/2022</w:t>
            </w:r>
          </w:p>
        </w:tc>
      </w:tr>
      <w:tr w:rsidR="00261D62" w:rsidRPr="00FA1A19" w14:paraId="678BF2C7" w14:textId="25C8AF76"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2ECDB3F1" w14:textId="77777777" w:rsidR="00261D62" w:rsidRPr="00FA1A19" w:rsidRDefault="00261D62" w:rsidP="00F37E87">
            <w:pPr>
              <w:pStyle w:val="TableTextLeft"/>
            </w:pPr>
            <w:r w:rsidRPr="00FA1A19">
              <w:t>A15</w:t>
            </w:r>
          </w:p>
        </w:tc>
        <w:tc>
          <w:tcPr>
            <w:tcW w:w="6962" w:type="dxa"/>
          </w:tcPr>
          <w:p w14:paraId="247CEC8F"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Swyftx Pty Ltd</w:t>
            </w:r>
          </w:p>
        </w:tc>
        <w:tc>
          <w:tcPr>
            <w:tcW w:w="1414" w:type="dxa"/>
          </w:tcPr>
          <w:p w14:paraId="1169A8C7" w14:textId="41132454"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69B200AA" w14:textId="3E1A6144"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7EEDAB68" w14:textId="77777777" w:rsidR="00261D62" w:rsidRPr="00FA1A19" w:rsidRDefault="00261D62" w:rsidP="00F37E87">
            <w:pPr>
              <w:pStyle w:val="TableTextLeft"/>
            </w:pPr>
            <w:r w:rsidRPr="00FA1A19">
              <w:t>A16</w:t>
            </w:r>
          </w:p>
        </w:tc>
        <w:tc>
          <w:tcPr>
            <w:tcW w:w="6962" w:type="dxa"/>
          </w:tcPr>
          <w:p w14:paraId="7ED5C34B"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Australian Bitcoin Industry Body</w:t>
            </w:r>
          </w:p>
        </w:tc>
        <w:tc>
          <w:tcPr>
            <w:tcW w:w="1414" w:type="dxa"/>
          </w:tcPr>
          <w:p w14:paraId="0B9B6BBC" w14:textId="16658136"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30/09/2022</w:t>
            </w:r>
          </w:p>
        </w:tc>
      </w:tr>
      <w:tr w:rsidR="00261D62" w:rsidRPr="00FA1A19" w14:paraId="4CFE2E5B" w14:textId="5216C45E"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CD073AA" w14:textId="77777777" w:rsidR="00261D62" w:rsidRPr="00FA1A19" w:rsidRDefault="00261D62" w:rsidP="00F37E87">
            <w:pPr>
              <w:pStyle w:val="TableTextLeft"/>
            </w:pPr>
            <w:r w:rsidRPr="00FA1A19">
              <w:t>A17</w:t>
            </w:r>
          </w:p>
        </w:tc>
        <w:tc>
          <w:tcPr>
            <w:tcW w:w="6962" w:type="dxa"/>
          </w:tcPr>
          <w:p w14:paraId="13F22EE8"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Ashurst</w:t>
            </w:r>
          </w:p>
        </w:tc>
        <w:tc>
          <w:tcPr>
            <w:tcW w:w="1414" w:type="dxa"/>
          </w:tcPr>
          <w:p w14:paraId="290F2230" w14:textId="4F1AAE29"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542C3203" w14:textId="0D023EF4"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4E453C1D" w14:textId="77777777" w:rsidR="00261D62" w:rsidRPr="00FA1A19" w:rsidRDefault="00261D62" w:rsidP="00F37E87">
            <w:pPr>
              <w:pStyle w:val="TableTextLeft"/>
            </w:pPr>
            <w:r w:rsidRPr="00FA1A19">
              <w:t>A18</w:t>
            </w:r>
          </w:p>
        </w:tc>
        <w:tc>
          <w:tcPr>
            <w:tcW w:w="6962" w:type="dxa"/>
          </w:tcPr>
          <w:p w14:paraId="51200352"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Minter Ellison</w:t>
            </w:r>
          </w:p>
        </w:tc>
        <w:tc>
          <w:tcPr>
            <w:tcW w:w="1414" w:type="dxa"/>
          </w:tcPr>
          <w:p w14:paraId="67B76507" w14:textId="4D9847EA"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30/09/2022</w:t>
            </w:r>
          </w:p>
        </w:tc>
      </w:tr>
      <w:tr w:rsidR="00261D62" w:rsidRPr="00FA1A19" w14:paraId="6C43216D" w14:textId="7BF6A896"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3E877308" w14:textId="77777777" w:rsidR="00261D62" w:rsidRPr="00FA1A19" w:rsidRDefault="00261D62" w:rsidP="00F37E87">
            <w:pPr>
              <w:pStyle w:val="TableTextLeft"/>
            </w:pPr>
            <w:r w:rsidRPr="00FA1A19">
              <w:t>A19</w:t>
            </w:r>
          </w:p>
        </w:tc>
        <w:tc>
          <w:tcPr>
            <w:tcW w:w="6962" w:type="dxa"/>
          </w:tcPr>
          <w:p w14:paraId="6D54E0DB"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Cadena Legal</w:t>
            </w:r>
          </w:p>
        </w:tc>
        <w:tc>
          <w:tcPr>
            <w:tcW w:w="1414" w:type="dxa"/>
          </w:tcPr>
          <w:p w14:paraId="736609C3" w14:textId="660BC0DC"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396389F8" w14:textId="351067A1"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66633C7" w14:textId="77777777" w:rsidR="00261D62" w:rsidRPr="00FA1A19" w:rsidRDefault="00261D62" w:rsidP="00F37E87">
            <w:pPr>
              <w:pStyle w:val="TableTextLeft"/>
            </w:pPr>
            <w:r w:rsidRPr="00FA1A19">
              <w:t>A20</w:t>
            </w:r>
          </w:p>
        </w:tc>
        <w:tc>
          <w:tcPr>
            <w:tcW w:w="6962" w:type="dxa"/>
          </w:tcPr>
          <w:p w14:paraId="79DD49C2"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EY</w:t>
            </w:r>
          </w:p>
        </w:tc>
        <w:tc>
          <w:tcPr>
            <w:tcW w:w="1414" w:type="dxa"/>
          </w:tcPr>
          <w:p w14:paraId="1BB2A1E7" w14:textId="6BF2A47E"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30/09/2022</w:t>
            </w:r>
          </w:p>
        </w:tc>
      </w:tr>
      <w:tr w:rsidR="00261D62" w:rsidRPr="00FA1A19" w14:paraId="147BCCE5" w14:textId="57467B5B"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3AB0B78D" w14:textId="77777777" w:rsidR="00261D62" w:rsidRPr="00FA1A19" w:rsidRDefault="00261D62" w:rsidP="00F37E87">
            <w:pPr>
              <w:pStyle w:val="TableTextLeft"/>
            </w:pPr>
            <w:r w:rsidRPr="00FA1A19">
              <w:t>A21</w:t>
            </w:r>
          </w:p>
        </w:tc>
        <w:tc>
          <w:tcPr>
            <w:tcW w:w="6962" w:type="dxa"/>
          </w:tcPr>
          <w:p w14:paraId="287E6880"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CONFIDENTIAL</w:t>
            </w:r>
          </w:p>
        </w:tc>
        <w:tc>
          <w:tcPr>
            <w:tcW w:w="1414" w:type="dxa"/>
          </w:tcPr>
          <w:p w14:paraId="31A2F215" w14:textId="569D572E"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2B5ADC0C" w14:textId="4BBF3691"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C703139" w14:textId="77777777" w:rsidR="00261D62" w:rsidRPr="00FA1A19" w:rsidRDefault="00261D62" w:rsidP="00F37E87">
            <w:pPr>
              <w:pStyle w:val="TableTextLeft"/>
            </w:pPr>
            <w:r w:rsidRPr="00FA1A19">
              <w:t>A22</w:t>
            </w:r>
          </w:p>
        </w:tc>
        <w:tc>
          <w:tcPr>
            <w:tcW w:w="6962" w:type="dxa"/>
          </w:tcPr>
          <w:p w14:paraId="271D5537" w14:textId="70781BBF"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HopgoodGanim Lawyers</w:t>
            </w:r>
          </w:p>
        </w:tc>
        <w:tc>
          <w:tcPr>
            <w:tcW w:w="1414" w:type="dxa"/>
          </w:tcPr>
          <w:p w14:paraId="39B7915C" w14:textId="6D265EA5"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30/09/2022</w:t>
            </w:r>
          </w:p>
        </w:tc>
      </w:tr>
      <w:tr w:rsidR="00261D62" w:rsidRPr="00FA1A19" w14:paraId="3BF5D9D7" w14:textId="58EB0F64"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57B8939F" w14:textId="77777777" w:rsidR="00261D62" w:rsidRPr="00FA1A19" w:rsidRDefault="00261D62" w:rsidP="00F37E87">
            <w:pPr>
              <w:pStyle w:val="TableTextLeft"/>
            </w:pPr>
            <w:r w:rsidRPr="00FA1A19">
              <w:t>A23</w:t>
            </w:r>
          </w:p>
        </w:tc>
        <w:tc>
          <w:tcPr>
            <w:tcW w:w="6962" w:type="dxa"/>
          </w:tcPr>
          <w:p w14:paraId="5F041DBE"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SMSF Association</w:t>
            </w:r>
          </w:p>
        </w:tc>
        <w:tc>
          <w:tcPr>
            <w:tcW w:w="1414" w:type="dxa"/>
          </w:tcPr>
          <w:p w14:paraId="065C862B" w14:textId="7409BF19"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4FD9B971" w14:textId="4BE3A8D1"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1B2E272" w14:textId="77777777" w:rsidR="00261D62" w:rsidRPr="00FA1A19" w:rsidRDefault="00261D62" w:rsidP="00F37E87">
            <w:pPr>
              <w:pStyle w:val="TableTextLeft"/>
            </w:pPr>
            <w:r w:rsidRPr="00FA1A19">
              <w:t>A24</w:t>
            </w:r>
          </w:p>
        </w:tc>
        <w:tc>
          <w:tcPr>
            <w:tcW w:w="6962" w:type="dxa"/>
          </w:tcPr>
          <w:p w14:paraId="26A62B59"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Gilbert + Tobin</w:t>
            </w:r>
          </w:p>
        </w:tc>
        <w:tc>
          <w:tcPr>
            <w:tcW w:w="1414" w:type="dxa"/>
          </w:tcPr>
          <w:p w14:paraId="3869EB2A" w14:textId="34F5164C"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30/09/2022</w:t>
            </w:r>
          </w:p>
        </w:tc>
      </w:tr>
      <w:tr w:rsidR="00261D62" w:rsidRPr="00FA1A19" w14:paraId="2419CCBC" w14:textId="3DCFABC5"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EAC0228" w14:textId="77777777" w:rsidR="00261D62" w:rsidRPr="00FA1A19" w:rsidRDefault="00261D62" w:rsidP="00F37E87">
            <w:pPr>
              <w:pStyle w:val="TableTextLeft"/>
            </w:pPr>
            <w:r w:rsidRPr="00FA1A19">
              <w:t>A25</w:t>
            </w:r>
          </w:p>
        </w:tc>
        <w:tc>
          <w:tcPr>
            <w:tcW w:w="6962" w:type="dxa"/>
          </w:tcPr>
          <w:p w14:paraId="57DBBE21"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 xml:space="preserve">Oracle Accounting </w:t>
            </w:r>
          </w:p>
        </w:tc>
        <w:tc>
          <w:tcPr>
            <w:tcW w:w="1414" w:type="dxa"/>
          </w:tcPr>
          <w:p w14:paraId="1D1420F0" w14:textId="396530F6"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30/09/2022</w:t>
            </w:r>
          </w:p>
        </w:tc>
      </w:tr>
      <w:tr w:rsidR="00261D62" w:rsidRPr="00FA1A19" w14:paraId="3812A6F4" w14:textId="7E0F3971"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0CD00C7C" w14:textId="77777777" w:rsidR="00261D62" w:rsidRPr="00FA1A19" w:rsidRDefault="00261D62" w:rsidP="00F37E87">
            <w:pPr>
              <w:pStyle w:val="TableTextLeft"/>
            </w:pPr>
            <w:r w:rsidRPr="00FA1A19">
              <w:t>A26</w:t>
            </w:r>
          </w:p>
        </w:tc>
        <w:tc>
          <w:tcPr>
            <w:tcW w:w="6962" w:type="dxa"/>
          </w:tcPr>
          <w:p w14:paraId="247BAFC4"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PwC</w:t>
            </w:r>
          </w:p>
        </w:tc>
        <w:tc>
          <w:tcPr>
            <w:tcW w:w="1414" w:type="dxa"/>
          </w:tcPr>
          <w:p w14:paraId="53B1FF5F" w14:textId="7A140E8D"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4/10/2022</w:t>
            </w:r>
          </w:p>
        </w:tc>
      </w:tr>
      <w:tr w:rsidR="00261D62" w:rsidRPr="00FA1A19" w14:paraId="6E75BB71" w14:textId="662133F8"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3E9BB3AF" w14:textId="77777777" w:rsidR="00261D62" w:rsidRPr="00FA1A19" w:rsidRDefault="00261D62" w:rsidP="00F37E87">
            <w:pPr>
              <w:pStyle w:val="TableTextLeft"/>
            </w:pPr>
            <w:r w:rsidRPr="00FA1A19">
              <w:t>A27</w:t>
            </w:r>
          </w:p>
        </w:tc>
        <w:tc>
          <w:tcPr>
            <w:tcW w:w="6962" w:type="dxa"/>
          </w:tcPr>
          <w:p w14:paraId="764920A1" w14:textId="4E176241"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 xml:space="preserve">Blockchain &amp; Digital Assets – Services + Law </w:t>
            </w:r>
          </w:p>
        </w:tc>
        <w:tc>
          <w:tcPr>
            <w:tcW w:w="1414" w:type="dxa"/>
          </w:tcPr>
          <w:p w14:paraId="5C228F68" w14:textId="6E7F3879"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4/10/2022</w:t>
            </w:r>
          </w:p>
        </w:tc>
      </w:tr>
      <w:tr w:rsidR="00261D62" w:rsidRPr="00FA1A19" w14:paraId="2252A2A1" w14:textId="2B711C87"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35A4E11A" w14:textId="77777777" w:rsidR="00261D62" w:rsidRPr="00FA1A19" w:rsidRDefault="00261D62" w:rsidP="00F37E87">
            <w:pPr>
              <w:pStyle w:val="TableTextLeft"/>
            </w:pPr>
            <w:r w:rsidRPr="00FA1A19">
              <w:t>A28</w:t>
            </w:r>
          </w:p>
        </w:tc>
        <w:tc>
          <w:tcPr>
            <w:tcW w:w="6962" w:type="dxa"/>
          </w:tcPr>
          <w:p w14:paraId="115C7073" w14:textId="39246C9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 xml:space="preserve">Cartland Law </w:t>
            </w:r>
          </w:p>
        </w:tc>
        <w:tc>
          <w:tcPr>
            <w:tcW w:w="1414" w:type="dxa"/>
          </w:tcPr>
          <w:p w14:paraId="0338F775" w14:textId="21A66089"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6/10/2022</w:t>
            </w:r>
          </w:p>
        </w:tc>
      </w:tr>
      <w:tr w:rsidR="00261D62" w:rsidRPr="00FA1A19" w14:paraId="713238FE" w14:textId="03BF38F4"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5735AC77" w14:textId="77777777" w:rsidR="00261D62" w:rsidRPr="00FA1A19" w:rsidRDefault="00261D62" w:rsidP="00F37E87">
            <w:pPr>
              <w:pStyle w:val="TableTextLeft"/>
            </w:pPr>
            <w:r w:rsidRPr="00FA1A19">
              <w:t>A29</w:t>
            </w:r>
          </w:p>
        </w:tc>
        <w:tc>
          <w:tcPr>
            <w:tcW w:w="6962" w:type="dxa"/>
          </w:tcPr>
          <w:p w14:paraId="412630FD"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Society of Trust &amp; Estate Practitioners Australia Pty Limited (STEP Australia) (note treat as same and additional to Cartland Law)</w:t>
            </w:r>
          </w:p>
        </w:tc>
        <w:tc>
          <w:tcPr>
            <w:tcW w:w="1414" w:type="dxa"/>
          </w:tcPr>
          <w:p w14:paraId="262ECF64" w14:textId="06D234E0"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7/10/2022</w:t>
            </w:r>
          </w:p>
        </w:tc>
      </w:tr>
      <w:tr w:rsidR="00261D62" w:rsidRPr="00FA1A19" w14:paraId="52B42C8B" w14:textId="4C138B6A"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2EC1555F" w14:textId="77777777" w:rsidR="00261D62" w:rsidRPr="00FA1A19" w:rsidRDefault="00261D62" w:rsidP="00F37E87">
            <w:pPr>
              <w:pStyle w:val="TableTextLeft"/>
            </w:pPr>
            <w:r w:rsidRPr="00FA1A19">
              <w:t>A30</w:t>
            </w:r>
          </w:p>
        </w:tc>
        <w:tc>
          <w:tcPr>
            <w:tcW w:w="6962" w:type="dxa"/>
          </w:tcPr>
          <w:p w14:paraId="49F4E2F8"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KPMG</w:t>
            </w:r>
          </w:p>
        </w:tc>
        <w:tc>
          <w:tcPr>
            <w:tcW w:w="1414" w:type="dxa"/>
          </w:tcPr>
          <w:p w14:paraId="5714C78D" w14:textId="49432554"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7/10/2022</w:t>
            </w:r>
          </w:p>
        </w:tc>
      </w:tr>
      <w:tr w:rsidR="00261D62" w:rsidRPr="00FA1A19" w14:paraId="0E32A0D0" w14:textId="01E6FA50"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651DB247" w14:textId="77777777" w:rsidR="00261D62" w:rsidRPr="00FA1A19" w:rsidRDefault="00261D62" w:rsidP="00F37E87">
            <w:pPr>
              <w:pStyle w:val="TableTextLeft"/>
            </w:pPr>
            <w:r w:rsidRPr="00FA1A19">
              <w:t>A31</w:t>
            </w:r>
          </w:p>
        </w:tc>
        <w:tc>
          <w:tcPr>
            <w:tcW w:w="6962" w:type="dxa"/>
          </w:tcPr>
          <w:p w14:paraId="3F4D2935"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 xml:space="preserve">Tech Council of Australia </w:t>
            </w:r>
          </w:p>
        </w:tc>
        <w:tc>
          <w:tcPr>
            <w:tcW w:w="1414" w:type="dxa"/>
          </w:tcPr>
          <w:p w14:paraId="4B37F7E2" w14:textId="2FFBEAF2"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7/10/2022</w:t>
            </w:r>
          </w:p>
        </w:tc>
      </w:tr>
      <w:tr w:rsidR="00261D62" w:rsidRPr="00FA1A19" w14:paraId="59B582B4" w14:textId="1B442A78"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474FF4C6" w14:textId="77777777" w:rsidR="00261D62" w:rsidRPr="00FA1A19" w:rsidRDefault="00261D62" w:rsidP="00F37E87">
            <w:pPr>
              <w:pStyle w:val="TableTextLeft"/>
            </w:pPr>
            <w:r w:rsidRPr="00FA1A19">
              <w:t>A32</w:t>
            </w:r>
          </w:p>
        </w:tc>
        <w:tc>
          <w:tcPr>
            <w:tcW w:w="6962" w:type="dxa"/>
          </w:tcPr>
          <w:p w14:paraId="616E2605"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Financial Services Council</w:t>
            </w:r>
          </w:p>
        </w:tc>
        <w:tc>
          <w:tcPr>
            <w:tcW w:w="1414" w:type="dxa"/>
          </w:tcPr>
          <w:p w14:paraId="3B28BBE5" w14:textId="6E71212D"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10/10/2022</w:t>
            </w:r>
          </w:p>
        </w:tc>
      </w:tr>
      <w:tr w:rsidR="00261D62" w:rsidRPr="00FA1A19" w14:paraId="45C89B14" w14:textId="215B9AF2"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23641B05" w14:textId="77777777" w:rsidR="00261D62" w:rsidRPr="00FA1A19" w:rsidRDefault="00261D62" w:rsidP="00F37E87">
            <w:pPr>
              <w:pStyle w:val="TableTextLeft"/>
            </w:pPr>
            <w:r w:rsidRPr="00FA1A19">
              <w:t>A33</w:t>
            </w:r>
          </w:p>
        </w:tc>
        <w:tc>
          <w:tcPr>
            <w:tcW w:w="6962" w:type="dxa"/>
          </w:tcPr>
          <w:p w14:paraId="526D4A4F" w14:textId="4566AC0E"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Chartered Accountants Australia and New Zealand (CAANZ), CPA Australia (CPAA), Institute of Public Accountants (IPA), and the Tax Institute</w:t>
            </w:r>
            <w:r w:rsidR="00603E2E" w:rsidRPr="00FA1A19">
              <w:rPr>
                <w:rFonts w:cs="Calibri"/>
              </w:rPr>
              <w:t xml:space="preserve"> (Joint Bodies)</w:t>
            </w:r>
          </w:p>
        </w:tc>
        <w:tc>
          <w:tcPr>
            <w:tcW w:w="1414" w:type="dxa"/>
          </w:tcPr>
          <w:p w14:paraId="3C06D057" w14:textId="05129E55"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11/10/2022</w:t>
            </w:r>
          </w:p>
        </w:tc>
      </w:tr>
      <w:tr w:rsidR="00261D62" w:rsidRPr="00FA1A19" w14:paraId="1D4D9F6A" w14:textId="72739C6E"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3BF23B10" w14:textId="77777777" w:rsidR="00261D62" w:rsidRPr="00FA1A19" w:rsidRDefault="00261D62" w:rsidP="00F37E87">
            <w:pPr>
              <w:pStyle w:val="TableTextLeft"/>
            </w:pPr>
            <w:r w:rsidRPr="00FA1A19">
              <w:t>A34</w:t>
            </w:r>
          </w:p>
        </w:tc>
        <w:tc>
          <w:tcPr>
            <w:tcW w:w="6962" w:type="dxa"/>
          </w:tcPr>
          <w:p w14:paraId="56D0A4C3"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CONFIDENTIAL</w:t>
            </w:r>
          </w:p>
        </w:tc>
        <w:tc>
          <w:tcPr>
            <w:tcW w:w="1414" w:type="dxa"/>
          </w:tcPr>
          <w:p w14:paraId="4B4B8768" w14:textId="3650D468"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31/10/2022</w:t>
            </w:r>
          </w:p>
        </w:tc>
      </w:tr>
      <w:tr w:rsidR="00261D62" w:rsidRPr="00FA1A19" w14:paraId="5C690954" w14:textId="4533A803"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45E95F6D" w14:textId="77777777" w:rsidR="00261D62" w:rsidRPr="00FA1A19" w:rsidRDefault="00261D62" w:rsidP="00F37E87">
            <w:pPr>
              <w:pStyle w:val="TableTextLeft"/>
            </w:pPr>
            <w:r w:rsidRPr="00FA1A19">
              <w:t>A35</w:t>
            </w:r>
          </w:p>
        </w:tc>
        <w:tc>
          <w:tcPr>
            <w:tcW w:w="6962" w:type="dxa"/>
          </w:tcPr>
          <w:p w14:paraId="24FEC219"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 xml:space="preserve">NotCentralised and Australian DeFi Association </w:t>
            </w:r>
          </w:p>
        </w:tc>
        <w:tc>
          <w:tcPr>
            <w:tcW w:w="1414" w:type="dxa"/>
          </w:tcPr>
          <w:p w14:paraId="5A0129BD" w14:textId="55F17618"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26/10/2022</w:t>
            </w:r>
          </w:p>
        </w:tc>
      </w:tr>
      <w:tr w:rsidR="00261D62" w:rsidRPr="00FA1A19" w14:paraId="3D5EE042" w14:textId="31E74A57"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4497C9F6" w14:textId="77777777" w:rsidR="00261D62" w:rsidRPr="00FA1A19" w:rsidRDefault="00261D62" w:rsidP="00F37E87">
            <w:pPr>
              <w:pStyle w:val="TableTextLeft"/>
            </w:pPr>
            <w:r w:rsidRPr="00FA1A19">
              <w:t>A36</w:t>
            </w:r>
          </w:p>
        </w:tc>
        <w:tc>
          <w:tcPr>
            <w:tcW w:w="6962" w:type="dxa"/>
          </w:tcPr>
          <w:p w14:paraId="0E2BB22B"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Blockchain Australia</w:t>
            </w:r>
          </w:p>
        </w:tc>
        <w:tc>
          <w:tcPr>
            <w:tcW w:w="1414" w:type="dxa"/>
          </w:tcPr>
          <w:p w14:paraId="44C9CABB" w14:textId="2B4C482B"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21/10/2022</w:t>
            </w:r>
          </w:p>
        </w:tc>
      </w:tr>
      <w:tr w:rsidR="00261D62" w:rsidRPr="00FA1A19" w14:paraId="6BB18DAB" w14:textId="1A976244"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7BCE0623" w14:textId="77777777" w:rsidR="00261D62" w:rsidRPr="00FA1A19" w:rsidRDefault="00261D62" w:rsidP="00F37E87">
            <w:pPr>
              <w:pStyle w:val="TableTextLeft"/>
            </w:pPr>
            <w:r w:rsidRPr="00FA1A19">
              <w:t>A37</w:t>
            </w:r>
          </w:p>
        </w:tc>
        <w:tc>
          <w:tcPr>
            <w:tcW w:w="6962" w:type="dxa"/>
          </w:tcPr>
          <w:p w14:paraId="29CE5577"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Fintech Australia / King &amp; Wood Mallesons</w:t>
            </w:r>
          </w:p>
        </w:tc>
        <w:tc>
          <w:tcPr>
            <w:tcW w:w="1414" w:type="dxa"/>
          </w:tcPr>
          <w:p w14:paraId="3C513E33" w14:textId="28795E1B"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21/10/2022</w:t>
            </w:r>
          </w:p>
        </w:tc>
      </w:tr>
      <w:tr w:rsidR="00261D62" w:rsidRPr="00FA1A19" w14:paraId="5684D534" w14:textId="29D09C68"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1594D85A" w14:textId="77777777" w:rsidR="00261D62" w:rsidRPr="00FA1A19" w:rsidRDefault="00261D62" w:rsidP="00F37E87">
            <w:pPr>
              <w:pStyle w:val="TableTextLeft"/>
            </w:pPr>
            <w:r w:rsidRPr="00FA1A19">
              <w:t>A38</w:t>
            </w:r>
          </w:p>
        </w:tc>
        <w:tc>
          <w:tcPr>
            <w:tcW w:w="6962" w:type="dxa"/>
          </w:tcPr>
          <w:p w14:paraId="0A3CB8A9"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King &amp; Wood Mallesons</w:t>
            </w:r>
          </w:p>
        </w:tc>
        <w:tc>
          <w:tcPr>
            <w:tcW w:w="1414" w:type="dxa"/>
          </w:tcPr>
          <w:p w14:paraId="1CA118F6" w14:textId="531C0C65"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28/10/2022</w:t>
            </w:r>
          </w:p>
        </w:tc>
      </w:tr>
      <w:tr w:rsidR="00261D62" w:rsidRPr="00FA1A19" w14:paraId="513C63CC" w14:textId="3AC0B799"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40F4135E" w14:textId="77777777" w:rsidR="00261D62" w:rsidRPr="00FA1A19" w:rsidRDefault="00261D62" w:rsidP="00F37E87">
            <w:pPr>
              <w:pStyle w:val="TableTextLeft"/>
            </w:pPr>
            <w:r w:rsidRPr="00FA1A19">
              <w:t>A39</w:t>
            </w:r>
          </w:p>
        </w:tc>
        <w:tc>
          <w:tcPr>
            <w:tcW w:w="6962" w:type="dxa"/>
          </w:tcPr>
          <w:p w14:paraId="6E97D111" w14:textId="73F6B392"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Law Council</w:t>
            </w:r>
            <w:r w:rsidR="008C2A26">
              <w:rPr>
                <w:rFonts w:cs="Calibri"/>
              </w:rPr>
              <w:t xml:space="preserve"> of Australia</w:t>
            </w:r>
          </w:p>
        </w:tc>
        <w:tc>
          <w:tcPr>
            <w:tcW w:w="1414" w:type="dxa"/>
          </w:tcPr>
          <w:p w14:paraId="2F25A5F1" w14:textId="76146FAE"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26/10/2022</w:t>
            </w:r>
          </w:p>
        </w:tc>
      </w:tr>
      <w:tr w:rsidR="00261D62" w:rsidRPr="00FA1A19" w14:paraId="7A8E91FC" w14:textId="56D42CBD" w:rsidTr="00872948">
        <w:trPr>
          <w:trHeight w:val="170"/>
        </w:trPr>
        <w:tc>
          <w:tcPr>
            <w:cnfStyle w:val="001000000000" w:firstRow="0" w:lastRow="0" w:firstColumn="1" w:lastColumn="0" w:oddVBand="0" w:evenVBand="0" w:oddHBand="0" w:evenHBand="0" w:firstRowFirstColumn="0" w:firstRowLastColumn="0" w:lastRowFirstColumn="0" w:lastRowLastColumn="0"/>
            <w:tcW w:w="1255" w:type="dxa"/>
          </w:tcPr>
          <w:p w14:paraId="14CD753C" w14:textId="77777777" w:rsidR="00261D62" w:rsidRPr="00FA1A19" w:rsidRDefault="00261D62" w:rsidP="00F37E87">
            <w:pPr>
              <w:pStyle w:val="TableTextLeft"/>
            </w:pPr>
            <w:r w:rsidRPr="00FA1A19">
              <w:t>A40</w:t>
            </w:r>
          </w:p>
        </w:tc>
        <w:tc>
          <w:tcPr>
            <w:tcW w:w="6962" w:type="dxa"/>
          </w:tcPr>
          <w:p w14:paraId="29173665" w14:textId="77777777" w:rsidR="00261D62" w:rsidRPr="00FA1A19" w:rsidRDefault="00261D62" w:rsidP="00F37E87">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Law Institute of Victoria</w:t>
            </w:r>
          </w:p>
        </w:tc>
        <w:tc>
          <w:tcPr>
            <w:tcW w:w="1414" w:type="dxa"/>
          </w:tcPr>
          <w:p w14:paraId="6292ED8D" w14:textId="090D631F" w:rsidR="00EB2126" w:rsidRPr="00FA1A19" w:rsidRDefault="00B5425D" w:rsidP="00F37E87">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20/10/2022</w:t>
            </w:r>
          </w:p>
        </w:tc>
      </w:tr>
      <w:tr w:rsidR="00261D62" w:rsidRPr="00FA1A19" w14:paraId="69CCC924" w14:textId="1AA0C718" w:rsidTr="0087294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55" w:type="dxa"/>
          </w:tcPr>
          <w:p w14:paraId="4A8373D2" w14:textId="77777777" w:rsidR="00261D62" w:rsidRPr="00FA1A19" w:rsidRDefault="00261D62" w:rsidP="00F37E87">
            <w:pPr>
              <w:pStyle w:val="TableTextLeft"/>
            </w:pPr>
            <w:r w:rsidRPr="00FA1A19">
              <w:t>A41</w:t>
            </w:r>
          </w:p>
        </w:tc>
        <w:tc>
          <w:tcPr>
            <w:tcW w:w="6962" w:type="dxa"/>
          </w:tcPr>
          <w:p w14:paraId="2FFF221F" w14:textId="77777777" w:rsidR="00261D62" w:rsidRPr="00FA1A19" w:rsidRDefault="00261D62" w:rsidP="00F37E87">
            <w:pPr>
              <w:pStyle w:val="TableTextLeft"/>
              <w:cnfStyle w:val="000000100000" w:firstRow="0" w:lastRow="0" w:firstColumn="0" w:lastColumn="0" w:oddVBand="0" w:evenVBand="0" w:oddHBand="1" w:evenHBand="0" w:firstRowFirstColumn="0" w:firstRowLastColumn="0" w:lastRowFirstColumn="0" w:lastRowLastColumn="0"/>
            </w:pPr>
            <w:r w:rsidRPr="00FA1A19">
              <w:rPr>
                <w:rFonts w:cs="Calibri"/>
              </w:rPr>
              <w:t>Coinstash</w:t>
            </w:r>
          </w:p>
        </w:tc>
        <w:tc>
          <w:tcPr>
            <w:tcW w:w="1414" w:type="dxa"/>
          </w:tcPr>
          <w:p w14:paraId="6D9DF0FB" w14:textId="61A047F1" w:rsidR="00EB2126" w:rsidRPr="00FA1A19" w:rsidRDefault="00B5425D"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16/10/2022</w:t>
            </w:r>
          </w:p>
        </w:tc>
      </w:tr>
    </w:tbl>
    <w:p w14:paraId="5B71565B" w14:textId="77777777" w:rsidR="00F37E87" w:rsidRDefault="00F37E87" w:rsidP="00F37E87">
      <w:pPr>
        <w:pStyle w:val="SingleParagraph"/>
        <w:rPr>
          <w:shd w:val="clear" w:color="auto" w:fill="FFFFFF"/>
        </w:rPr>
      </w:pPr>
    </w:p>
    <w:p w14:paraId="54FCFC22" w14:textId="22A2D27A" w:rsidR="00CF7546" w:rsidRPr="00FA1A19" w:rsidRDefault="00CF7546" w:rsidP="0069352C">
      <w:pPr>
        <w:pStyle w:val="Heading2"/>
      </w:pPr>
      <w:bookmarkStart w:id="171" w:name="_Toc159513650"/>
      <w:r w:rsidRPr="00FA1A19">
        <w:t>Public consultation meetings</w:t>
      </w:r>
      <w:bookmarkEnd w:id="171"/>
    </w:p>
    <w:p w14:paraId="5FC31993" w14:textId="2AF60F90" w:rsidR="00261D62" w:rsidRPr="00FA1A19" w:rsidRDefault="00261D62" w:rsidP="00261D62">
      <w:pPr>
        <w:rPr>
          <w:rFonts w:asciiTheme="minorHAnsi" w:hAnsiTheme="minorHAnsi" w:cstheme="minorHAnsi"/>
          <w:shd w:val="clear" w:color="auto" w:fill="FFFFFF"/>
        </w:rPr>
      </w:pPr>
      <w:r w:rsidRPr="00FA1A19">
        <w:rPr>
          <w:rFonts w:asciiTheme="minorHAnsi" w:hAnsiTheme="minorHAnsi" w:cstheme="minorHAnsi"/>
          <w:shd w:val="clear" w:color="auto" w:fill="FFFFFF"/>
        </w:rPr>
        <w:t>The Board held a series of consultations throughout September and October 2022 attended by over</w:t>
      </w:r>
      <w:r w:rsidR="00FF69EA">
        <w:rPr>
          <w:rFonts w:asciiTheme="minorHAnsi" w:hAnsiTheme="minorHAnsi" w:cstheme="minorHAnsi"/>
          <w:shd w:val="clear" w:color="auto" w:fill="FFFFFF"/>
        </w:rPr>
        <w:t> </w:t>
      </w:r>
      <w:r w:rsidRPr="00FA1A19">
        <w:rPr>
          <w:rFonts w:asciiTheme="minorHAnsi" w:hAnsiTheme="minorHAnsi" w:cstheme="minorHAnsi"/>
          <w:shd w:val="clear" w:color="auto" w:fill="FFFFFF"/>
        </w:rPr>
        <w:t>45</w:t>
      </w:r>
      <w:r w:rsidR="000437AD">
        <w:rPr>
          <w:rFonts w:asciiTheme="minorHAnsi" w:hAnsiTheme="minorHAnsi" w:cstheme="minorHAnsi"/>
          <w:shd w:val="clear" w:color="auto" w:fill="FFFFFF"/>
        </w:rPr>
        <w:t> </w:t>
      </w:r>
      <w:r w:rsidRPr="00FA1A19">
        <w:rPr>
          <w:rFonts w:asciiTheme="minorHAnsi" w:hAnsiTheme="minorHAnsi" w:cstheme="minorHAnsi"/>
          <w:shd w:val="clear" w:color="auto" w:fill="FFFFFF"/>
        </w:rPr>
        <w:t>stakeholder groups representing the tax profession, academia, crypto exchanges and platforms, software providers and retail and wholesale investors.</w:t>
      </w:r>
    </w:p>
    <w:p w14:paraId="136161A9" w14:textId="0445BF0B" w:rsidR="00CF7546" w:rsidRPr="00FA1A19" w:rsidRDefault="00CF7546" w:rsidP="0069352C">
      <w:pPr>
        <w:pStyle w:val="Heading2"/>
      </w:pPr>
      <w:bookmarkStart w:id="172" w:name="_Toc159513651"/>
      <w:r w:rsidRPr="00FA1A19">
        <w:t>International consultation</w:t>
      </w:r>
      <w:bookmarkEnd w:id="172"/>
    </w:p>
    <w:p w14:paraId="5AB90DEB" w14:textId="59B566D1" w:rsidR="00261D62" w:rsidRPr="00FA1A19" w:rsidRDefault="00261D62" w:rsidP="00261D62">
      <w:pPr>
        <w:rPr>
          <w:rFonts w:asciiTheme="minorHAnsi" w:hAnsiTheme="minorHAnsi" w:cstheme="minorHAnsi"/>
          <w:shd w:val="clear" w:color="auto" w:fill="FFFFFF"/>
        </w:rPr>
      </w:pPr>
      <w:r w:rsidRPr="00FA1A19">
        <w:rPr>
          <w:rFonts w:asciiTheme="minorHAnsi" w:hAnsiTheme="minorHAnsi" w:cstheme="minorHAnsi"/>
          <w:shd w:val="clear" w:color="auto" w:fill="FFFFFF"/>
        </w:rPr>
        <w:t xml:space="preserve">The Board has consulted extensively with international jurisdictions in accordance with its terms of reference, including targeted engagement with </w:t>
      </w:r>
      <w:r w:rsidR="00650B29" w:rsidRPr="00FA1A19">
        <w:rPr>
          <w:rFonts w:asciiTheme="minorHAnsi" w:hAnsiTheme="minorHAnsi" w:cstheme="minorHAnsi"/>
          <w:shd w:val="clear" w:color="auto" w:fill="FFFFFF"/>
        </w:rPr>
        <w:t xml:space="preserve">Canada, </w:t>
      </w:r>
      <w:r w:rsidR="00D44290">
        <w:rPr>
          <w:rFonts w:asciiTheme="minorHAnsi" w:hAnsiTheme="minorHAnsi" w:cstheme="minorHAnsi"/>
          <w:shd w:val="clear" w:color="auto" w:fill="FFFFFF"/>
        </w:rPr>
        <w:t>NZ</w:t>
      </w:r>
      <w:r w:rsidR="00650B29" w:rsidRPr="00FA1A19">
        <w:rPr>
          <w:rFonts w:asciiTheme="minorHAnsi" w:hAnsiTheme="minorHAnsi" w:cstheme="minorHAnsi"/>
          <w:shd w:val="clear" w:color="auto" w:fill="FFFFFF"/>
        </w:rPr>
        <w:t xml:space="preserve">, </w:t>
      </w:r>
      <w:r w:rsidR="006B438B" w:rsidRPr="00FA1A19">
        <w:rPr>
          <w:rFonts w:asciiTheme="minorHAnsi" w:hAnsiTheme="minorHAnsi" w:cstheme="minorHAnsi"/>
          <w:shd w:val="clear" w:color="auto" w:fill="FFFFFF"/>
        </w:rPr>
        <w:t>Singapore</w:t>
      </w:r>
      <w:r w:rsidR="006B438B">
        <w:rPr>
          <w:rFonts w:asciiTheme="minorHAnsi" w:hAnsiTheme="minorHAnsi" w:cstheme="minorHAnsi"/>
          <w:shd w:val="clear" w:color="auto" w:fill="FFFFFF"/>
        </w:rPr>
        <w:t xml:space="preserve">, </w:t>
      </w:r>
      <w:r w:rsidRPr="00FA1A19">
        <w:rPr>
          <w:rFonts w:asciiTheme="minorHAnsi" w:hAnsiTheme="minorHAnsi" w:cstheme="minorHAnsi"/>
          <w:shd w:val="clear" w:color="auto" w:fill="FFFFFF"/>
        </w:rPr>
        <w:t>U</w:t>
      </w:r>
      <w:r w:rsidR="00650B29" w:rsidRPr="00FA1A19">
        <w:rPr>
          <w:rFonts w:asciiTheme="minorHAnsi" w:hAnsiTheme="minorHAnsi" w:cstheme="minorHAnsi"/>
          <w:shd w:val="clear" w:color="auto" w:fill="FFFFFF"/>
        </w:rPr>
        <w:t>K</w:t>
      </w:r>
      <w:r w:rsidR="006B438B">
        <w:rPr>
          <w:rFonts w:asciiTheme="minorHAnsi" w:hAnsiTheme="minorHAnsi" w:cstheme="minorHAnsi"/>
          <w:shd w:val="clear" w:color="auto" w:fill="FFFFFF"/>
        </w:rPr>
        <w:t xml:space="preserve"> and</w:t>
      </w:r>
      <w:r w:rsidR="00650B29" w:rsidRPr="00FA1A19">
        <w:rPr>
          <w:rFonts w:asciiTheme="minorHAnsi" w:hAnsiTheme="minorHAnsi" w:cstheme="minorHAnsi"/>
          <w:shd w:val="clear" w:color="auto" w:fill="FFFFFF"/>
        </w:rPr>
        <w:t xml:space="preserve"> US. </w:t>
      </w:r>
    </w:p>
    <w:p w14:paraId="1F37DBD8" w14:textId="1EB2A4D1" w:rsidR="002B3028" w:rsidRPr="00FA1A19" w:rsidRDefault="002B3028" w:rsidP="0069352C">
      <w:pPr>
        <w:pStyle w:val="Heading2"/>
      </w:pPr>
      <w:bookmarkStart w:id="173" w:name="_Toc159513652"/>
      <w:r w:rsidRPr="00FA1A19">
        <w:t>Working group</w:t>
      </w:r>
      <w:bookmarkEnd w:id="173"/>
    </w:p>
    <w:p w14:paraId="4BFA6D3F" w14:textId="77777777" w:rsidR="00846308" w:rsidRPr="00FA1A19" w:rsidRDefault="00DC01C7" w:rsidP="00261D62">
      <w:r w:rsidRPr="00FA1A19">
        <w:t xml:space="preserve">The Board was supported by a Working Group to conduct the Review comprising Board members, officials from Treasury and the ATO, and </w:t>
      </w:r>
      <w:r w:rsidR="00846308" w:rsidRPr="00FA1A19">
        <w:t xml:space="preserve">the following </w:t>
      </w:r>
      <w:r w:rsidRPr="00FA1A19">
        <w:t>specialists in taxation and digital assets across academia, the tax profession and the crypto asset industry</w:t>
      </w:r>
      <w:r w:rsidR="00846308" w:rsidRPr="00FA1A19">
        <w:t>:</w:t>
      </w:r>
    </w:p>
    <w:p w14:paraId="21EA2450" w14:textId="6DEEAC7E" w:rsidR="007702E0" w:rsidRPr="00FA1A19" w:rsidRDefault="007702E0" w:rsidP="00F37E87">
      <w:pPr>
        <w:pStyle w:val="SingleParagraph"/>
        <w:rPr>
          <w:shd w:val="clear" w:color="auto" w:fill="FFFFFF"/>
        </w:rPr>
      </w:pPr>
    </w:p>
    <w:tbl>
      <w:tblPr>
        <w:tblStyle w:val="ListTable3-Accent1"/>
        <w:tblW w:w="9634" w:type="dxa"/>
        <w:tblLook w:val="04A0" w:firstRow="1" w:lastRow="0" w:firstColumn="1" w:lastColumn="0" w:noHBand="0" w:noVBand="1"/>
      </w:tblPr>
      <w:tblGrid>
        <w:gridCol w:w="3823"/>
        <w:gridCol w:w="5811"/>
      </w:tblGrid>
      <w:tr w:rsidR="007702E0" w:rsidRPr="00FA1A19" w14:paraId="22C89C5A" w14:textId="77777777" w:rsidTr="00931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tcPr>
          <w:p w14:paraId="1BF5553B" w14:textId="79D45452" w:rsidR="007702E0" w:rsidRPr="00FA1A19" w:rsidRDefault="007702E0" w:rsidP="00261D62">
            <w:pPr>
              <w:rPr>
                <w:b/>
                <w:bCs w:val="0"/>
              </w:rPr>
            </w:pPr>
            <w:r w:rsidRPr="00FA1A19">
              <w:rPr>
                <w:b/>
                <w:bCs w:val="0"/>
              </w:rPr>
              <w:t>Working Group Member</w:t>
            </w:r>
          </w:p>
        </w:tc>
        <w:tc>
          <w:tcPr>
            <w:tcW w:w="5811" w:type="dxa"/>
          </w:tcPr>
          <w:p w14:paraId="2DD36B50" w14:textId="02B7053A" w:rsidR="007702E0" w:rsidRPr="00FA1A19" w:rsidRDefault="007702E0" w:rsidP="00261D62">
            <w:pPr>
              <w:cnfStyle w:val="100000000000" w:firstRow="1" w:lastRow="0" w:firstColumn="0" w:lastColumn="0" w:oddVBand="0" w:evenVBand="0" w:oddHBand="0" w:evenHBand="0" w:firstRowFirstColumn="0" w:firstRowLastColumn="0" w:lastRowFirstColumn="0" w:lastRowLastColumn="0"/>
              <w:rPr>
                <w:b/>
                <w:bCs w:val="0"/>
              </w:rPr>
            </w:pPr>
            <w:r w:rsidRPr="00FA1A19">
              <w:rPr>
                <w:b/>
                <w:bCs w:val="0"/>
              </w:rPr>
              <w:t>Organisation</w:t>
            </w:r>
          </w:p>
        </w:tc>
      </w:tr>
      <w:tr w:rsidR="007702E0" w:rsidRPr="00FA1A19" w14:paraId="2EF36BF8" w14:textId="77777777" w:rsidTr="00931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522FCB2" w14:textId="7ECE4577" w:rsidR="007702E0" w:rsidRPr="00FA1A19" w:rsidRDefault="00163D6E" w:rsidP="00261D62">
            <w:pPr>
              <w:rPr>
                <w:rFonts w:cstheme="minorHAnsi"/>
                <w:shd w:val="clear" w:color="auto" w:fill="FFFFFF"/>
              </w:rPr>
            </w:pPr>
            <w:r w:rsidRPr="00FA1A19">
              <w:t>Shane Brunette</w:t>
            </w:r>
          </w:p>
        </w:tc>
        <w:tc>
          <w:tcPr>
            <w:tcW w:w="5811" w:type="dxa"/>
          </w:tcPr>
          <w:p w14:paraId="2A44DD88" w14:textId="5E59B846" w:rsidR="007702E0" w:rsidRPr="00FA1A19" w:rsidRDefault="00163D6E" w:rsidP="00261D62">
            <w:pPr>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FA1A19">
              <w:rPr>
                <w:rFonts w:cstheme="minorHAnsi"/>
                <w:shd w:val="clear" w:color="auto" w:fill="FFFFFF"/>
              </w:rPr>
              <w:t>Crypto</w:t>
            </w:r>
            <w:r w:rsidR="00232B09">
              <w:rPr>
                <w:rFonts w:cstheme="minorHAnsi"/>
                <w:shd w:val="clear" w:color="auto" w:fill="FFFFFF"/>
              </w:rPr>
              <w:t xml:space="preserve"> T</w:t>
            </w:r>
            <w:r w:rsidRPr="00FA1A19">
              <w:rPr>
                <w:rFonts w:cstheme="minorHAnsi"/>
                <w:shd w:val="clear" w:color="auto" w:fill="FFFFFF"/>
              </w:rPr>
              <w:t>ax Calculator</w:t>
            </w:r>
          </w:p>
        </w:tc>
      </w:tr>
      <w:tr w:rsidR="007702E0" w:rsidRPr="00FA1A19" w14:paraId="47978722" w14:textId="77777777" w:rsidTr="0093181A">
        <w:tc>
          <w:tcPr>
            <w:cnfStyle w:val="001000000000" w:firstRow="0" w:lastRow="0" w:firstColumn="1" w:lastColumn="0" w:oddVBand="0" w:evenVBand="0" w:oddHBand="0" w:evenHBand="0" w:firstRowFirstColumn="0" w:firstRowLastColumn="0" w:lastRowFirstColumn="0" w:lastRowLastColumn="0"/>
            <w:tcW w:w="3823" w:type="dxa"/>
          </w:tcPr>
          <w:p w14:paraId="4B81E076" w14:textId="4A4BEE60" w:rsidR="007702E0" w:rsidRPr="00FA1A19" w:rsidRDefault="00163D6E" w:rsidP="00261D62">
            <w:pPr>
              <w:rPr>
                <w:rFonts w:cstheme="minorHAnsi"/>
                <w:shd w:val="clear" w:color="auto" w:fill="FFFFFF"/>
              </w:rPr>
            </w:pPr>
            <w:r w:rsidRPr="00FA1A19">
              <w:t>Scott Chamberlain</w:t>
            </w:r>
          </w:p>
        </w:tc>
        <w:tc>
          <w:tcPr>
            <w:tcW w:w="5811" w:type="dxa"/>
          </w:tcPr>
          <w:p w14:paraId="508CE0C3" w14:textId="04042B38" w:rsidR="007702E0" w:rsidRPr="00FA1A19" w:rsidRDefault="00163D6E" w:rsidP="00261D62">
            <w:pPr>
              <w:cnfStyle w:val="000000000000" w:firstRow="0" w:lastRow="0" w:firstColumn="0" w:lastColumn="0" w:oddVBand="0" w:evenVBand="0" w:oddHBand="0" w:evenHBand="0" w:firstRowFirstColumn="0" w:firstRowLastColumn="0" w:lastRowFirstColumn="0" w:lastRowLastColumn="0"/>
            </w:pPr>
            <w:r w:rsidRPr="00FA1A19">
              <w:t>A</w:t>
            </w:r>
            <w:r w:rsidR="002B22FD">
              <w:t>ustralian National University</w:t>
            </w:r>
          </w:p>
        </w:tc>
      </w:tr>
      <w:tr w:rsidR="007702E0" w:rsidRPr="00FA1A19" w14:paraId="3F85F05B" w14:textId="77777777" w:rsidTr="00931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B280B94" w14:textId="5E04B45C" w:rsidR="007702E0" w:rsidRPr="00FA1A19" w:rsidRDefault="00163D6E" w:rsidP="00261D62">
            <w:pPr>
              <w:rPr>
                <w:rFonts w:cstheme="minorHAnsi"/>
                <w:shd w:val="clear" w:color="auto" w:fill="FFFFFF"/>
              </w:rPr>
            </w:pPr>
            <w:r w:rsidRPr="00FA1A19">
              <w:t>Tracey Dunn</w:t>
            </w:r>
          </w:p>
        </w:tc>
        <w:tc>
          <w:tcPr>
            <w:tcW w:w="5811" w:type="dxa"/>
          </w:tcPr>
          <w:p w14:paraId="6A50F9A4" w14:textId="5161BA27" w:rsidR="007702E0" w:rsidRPr="00FA1A19" w:rsidRDefault="00163D6E" w:rsidP="00261D62">
            <w:pPr>
              <w:cnfStyle w:val="000000100000" w:firstRow="0" w:lastRow="0" w:firstColumn="0" w:lastColumn="0" w:oddVBand="0" w:evenVBand="0" w:oddHBand="1" w:evenHBand="0" w:firstRowFirstColumn="0" w:firstRowLastColumn="0" w:lastRowFirstColumn="0" w:lastRowLastColumn="0"/>
            </w:pPr>
            <w:r w:rsidRPr="00FA1A19">
              <w:t>E</w:t>
            </w:r>
            <w:r w:rsidR="00C75CFB">
              <w:t xml:space="preserve">rnst &amp; </w:t>
            </w:r>
            <w:r w:rsidRPr="00FA1A19">
              <w:t>Y</w:t>
            </w:r>
            <w:r w:rsidR="00C75CFB">
              <w:t>oung</w:t>
            </w:r>
          </w:p>
        </w:tc>
      </w:tr>
      <w:tr w:rsidR="007702E0" w:rsidRPr="00FA1A19" w14:paraId="7A87B16C" w14:textId="77777777" w:rsidTr="0093181A">
        <w:tc>
          <w:tcPr>
            <w:cnfStyle w:val="001000000000" w:firstRow="0" w:lastRow="0" w:firstColumn="1" w:lastColumn="0" w:oddVBand="0" w:evenVBand="0" w:oddHBand="0" w:evenHBand="0" w:firstRowFirstColumn="0" w:firstRowLastColumn="0" w:lastRowFirstColumn="0" w:lastRowLastColumn="0"/>
            <w:tcW w:w="3823" w:type="dxa"/>
          </w:tcPr>
          <w:p w14:paraId="3677AFB0" w14:textId="55DB083B" w:rsidR="007702E0" w:rsidRPr="00FA1A19" w:rsidRDefault="00163D6E" w:rsidP="00261D62">
            <w:pPr>
              <w:rPr>
                <w:rFonts w:cstheme="minorHAnsi"/>
                <w:shd w:val="clear" w:color="auto" w:fill="FFFFFF"/>
              </w:rPr>
            </w:pPr>
            <w:r w:rsidRPr="00FA1A19">
              <w:t>Julian Humphrey</w:t>
            </w:r>
          </w:p>
        </w:tc>
        <w:tc>
          <w:tcPr>
            <w:tcW w:w="5811" w:type="dxa"/>
          </w:tcPr>
          <w:p w14:paraId="289BC2AA" w14:textId="317D8AC4" w:rsidR="007702E0" w:rsidRPr="00FA1A19" w:rsidRDefault="00163D6E" w:rsidP="00261D62">
            <w:pPr>
              <w:cnfStyle w:val="000000000000" w:firstRow="0" w:lastRow="0" w:firstColumn="0" w:lastColumn="0" w:oddVBand="0" w:evenVBand="0" w:oddHBand="0" w:evenHBand="0" w:firstRowFirstColumn="0" w:firstRowLastColumn="0" w:lastRowFirstColumn="0" w:lastRowLastColumn="0"/>
            </w:pPr>
            <w:r w:rsidRPr="00FA1A19">
              <w:t>KPMG</w:t>
            </w:r>
          </w:p>
        </w:tc>
      </w:tr>
      <w:tr w:rsidR="00163D6E" w:rsidRPr="00FA1A19" w14:paraId="3346F853" w14:textId="77777777" w:rsidTr="00931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983A65" w14:textId="44B14E83" w:rsidR="00163D6E" w:rsidRPr="00FA1A19" w:rsidRDefault="00163D6E" w:rsidP="00163D6E">
            <w:r w:rsidRPr="00FA1A19">
              <w:t>Mark Molesworth</w:t>
            </w:r>
          </w:p>
        </w:tc>
        <w:tc>
          <w:tcPr>
            <w:tcW w:w="5811" w:type="dxa"/>
          </w:tcPr>
          <w:p w14:paraId="7A052AC6" w14:textId="2A8060C5" w:rsidR="00163D6E" w:rsidRPr="00FA1A19" w:rsidRDefault="00163D6E" w:rsidP="00163D6E">
            <w:pPr>
              <w:cnfStyle w:val="000000100000" w:firstRow="0" w:lastRow="0" w:firstColumn="0" w:lastColumn="0" w:oddVBand="0" w:evenVBand="0" w:oddHBand="1" w:evenHBand="0" w:firstRowFirstColumn="0" w:firstRowLastColumn="0" w:lastRowFirstColumn="0" w:lastRowLastColumn="0"/>
            </w:pPr>
            <w:r w:rsidRPr="00FA1A19">
              <w:t>BDO</w:t>
            </w:r>
          </w:p>
        </w:tc>
      </w:tr>
      <w:tr w:rsidR="00163D6E" w:rsidRPr="00FA1A19" w14:paraId="4A52417A" w14:textId="77777777" w:rsidTr="0093181A">
        <w:tc>
          <w:tcPr>
            <w:cnfStyle w:val="001000000000" w:firstRow="0" w:lastRow="0" w:firstColumn="1" w:lastColumn="0" w:oddVBand="0" w:evenVBand="0" w:oddHBand="0" w:evenHBand="0" w:firstRowFirstColumn="0" w:firstRowLastColumn="0" w:lastRowFirstColumn="0" w:lastRowLastColumn="0"/>
            <w:tcW w:w="3823" w:type="dxa"/>
          </w:tcPr>
          <w:p w14:paraId="150B20D8" w14:textId="50A6D1E4" w:rsidR="00163D6E" w:rsidRPr="00FA1A19" w:rsidRDefault="00163D6E" w:rsidP="00163D6E">
            <w:r w:rsidRPr="00FA1A19">
              <w:t>Elizabeth Morton</w:t>
            </w:r>
          </w:p>
        </w:tc>
        <w:tc>
          <w:tcPr>
            <w:tcW w:w="5811" w:type="dxa"/>
          </w:tcPr>
          <w:p w14:paraId="66F7C520" w14:textId="3D22AC72" w:rsidR="00163D6E" w:rsidRPr="00FA1A19" w:rsidRDefault="00163D6E" w:rsidP="00163D6E">
            <w:pPr>
              <w:cnfStyle w:val="000000000000" w:firstRow="0" w:lastRow="0" w:firstColumn="0" w:lastColumn="0" w:oddVBand="0" w:evenVBand="0" w:oddHBand="0" w:evenHBand="0" w:firstRowFirstColumn="0" w:firstRowLastColumn="0" w:lastRowFirstColumn="0" w:lastRowLastColumn="0"/>
            </w:pPr>
            <w:r w:rsidRPr="00FA1A19">
              <w:t>RMIT</w:t>
            </w:r>
            <w:r w:rsidR="000F3036">
              <w:t xml:space="preserve"> University</w:t>
            </w:r>
          </w:p>
        </w:tc>
      </w:tr>
    </w:tbl>
    <w:p w14:paraId="07F57474" w14:textId="3C519C68" w:rsidR="002B3028" w:rsidRPr="00FA1A19" w:rsidRDefault="002B3028" w:rsidP="00F37E87">
      <w:pPr>
        <w:pStyle w:val="SingleParagraph"/>
        <w:rPr>
          <w:shd w:val="clear" w:color="auto" w:fill="FFFFFF"/>
        </w:rPr>
      </w:pPr>
    </w:p>
    <w:p w14:paraId="5704B91A" w14:textId="77777777" w:rsidR="00F37E87" w:rsidRDefault="00F37E87">
      <w:pPr>
        <w:rPr>
          <w:rFonts w:asciiTheme="minorHAnsi" w:hAnsiTheme="minorHAnsi" w:cstheme="minorHAnsi"/>
          <w:shd w:val="clear" w:color="auto" w:fill="FFFFFF"/>
        </w:rPr>
        <w:sectPr w:rsidR="00F37E87" w:rsidSect="00320772">
          <w:pgSz w:w="11909" w:h="16834" w:code="9"/>
          <w:pgMar w:top="1985" w:right="1134" w:bottom="1985" w:left="1134" w:header="1134" w:footer="1134" w:gutter="0"/>
          <w:cols w:space="708"/>
          <w:docGrid w:linePitch="360"/>
        </w:sectPr>
      </w:pPr>
    </w:p>
    <w:p w14:paraId="3D7F595D" w14:textId="7187A6E0" w:rsidR="00416471" w:rsidRPr="00FA1A19" w:rsidRDefault="00266585" w:rsidP="0069352C">
      <w:pPr>
        <w:pStyle w:val="Heading1"/>
      </w:pPr>
      <w:bookmarkStart w:id="174" w:name="_Toc159513653"/>
      <w:r w:rsidRPr="00FA1A19">
        <w:t xml:space="preserve">Appendix B: </w:t>
      </w:r>
      <w:r w:rsidR="00416471" w:rsidRPr="00FA1A19">
        <w:t>Analysis of terms and conditions in pro</w:t>
      </w:r>
      <w:r w:rsidR="00F75232">
        <w:noBreakHyphen/>
      </w:r>
      <w:r w:rsidR="00416471" w:rsidRPr="00FA1A19">
        <w:t xml:space="preserve">forma user contracts with Australian </w:t>
      </w:r>
      <w:r w:rsidR="00670E48" w:rsidRPr="00FA1A19">
        <w:t>digital asset platforms</w:t>
      </w:r>
      <w:bookmarkEnd w:id="174"/>
      <w:r w:rsidR="00670E48" w:rsidRPr="00FA1A19">
        <w:t xml:space="preserve"> </w:t>
      </w:r>
    </w:p>
    <w:p w14:paraId="59940FDD" w14:textId="40ECF011" w:rsidR="00416471" w:rsidRPr="00FA1A19" w:rsidRDefault="00416471" w:rsidP="00416471">
      <w:r w:rsidRPr="00FA1A19">
        <w:t xml:space="preserve">The legal rights (and therefore tax treatment) applying to crypto assets bought, sold and held by </w:t>
      </w:r>
      <w:r w:rsidR="00670E48" w:rsidRPr="00FA1A19">
        <w:t xml:space="preserve">digital asset platforms </w:t>
      </w:r>
      <w:r w:rsidRPr="00FA1A19">
        <w:t>will be affected by the terms of the contract between the particular exchange and their customers.</w:t>
      </w:r>
      <w:r w:rsidRPr="00170ADC">
        <w:rPr>
          <w:rStyle w:val="FootnoteReference"/>
        </w:rPr>
        <w:footnoteReference w:id="724"/>
      </w:r>
      <w:r w:rsidR="004F0A51" w:rsidRPr="00FA1A19">
        <w:t xml:space="preserve"> </w:t>
      </w:r>
      <w:r w:rsidRPr="00FA1A19">
        <w:t>The pro</w:t>
      </w:r>
      <w:r w:rsidR="00F75232">
        <w:noBreakHyphen/>
      </w:r>
      <w:r w:rsidRPr="00FA1A19">
        <w:t xml:space="preserve">forma contracts that Australian </w:t>
      </w:r>
      <w:r w:rsidR="00670E48" w:rsidRPr="00FA1A19">
        <w:t xml:space="preserve">digital asset platforms </w:t>
      </w:r>
      <w:r w:rsidRPr="00FA1A19">
        <w:t>offer to enter into with prospective customers are publicly available on their websites.</w:t>
      </w:r>
      <w:r w:rsidR="004F0A51" w:rsidRPr="00FA1A19">
        <w:t xml:space="preserve"> </w:t>
      </w:r>
      <w:r w:rsidRPr="00FA1A19">
        <w:t xml:space="preserve">The Board has undertaken an analysis of </w:t>
      </w:r>
      <w:r w:rsidR="008A05C0">
        <w:t xml:space="preserve">a selection of </w:t>
      </w:r>
      <w:r w:rsidRPr="00FA1A19">
        <w:t>these publicly</w:t>
      </w:r>
      <w:r w:rsidR="00F75232">
        <w:noBreakHyphen/>
      </w:r>
      <w:r w:rsidRPr="00FA1A19">
        <w:t>available pro</w:t>
      </w:r>
      <w:r w:rsidR="00F75232">
        <w:noBreakHyphen/>
      </w:r>
      <w:r w:rsidRPr="00FA1A19">
        <w:t>forma contracts from which it has prepared the following overview of some general terms of various contracts, to give a general understanding of the rights, liabilities, disclosures and disclaimers involved.</w:t>
      </w:r>
      <w:r w:rsidRPr="00170ADC">
        <w:rPr>
          <w:rStyle w:val="FootnoteReference"/>
        </w:rPr>
        <w:footnoteReference w:id="725"/>
      </w:r>
    </w:p>
    <w:p w14:paraId="20316B47" w14:textId="3DC420E6" w:rsidR="00416471" w:rsidRPr="00FA1A19" w:rsidRDefault="00416471" w:rsidP="00F37E87">
      <w:pPr>
        <w:pStyle w:val="SingleParagraph"/>
      </w:pPr>
    </w:p>
    <w:tbl>
      <w:tblPr>
        <w:tblStyle w:val="ListTable3-Accent1"/>
        <w:tblW w:w="5000" w:type="pct"/>
        <w:tblBorders>
          <w:insideH w:val="single" w:sz="4" w:space="0" w:color="142147" w:themeColor="accent1"/>
        </w:tblBorders>
        <w:tblLook w:val="0420" w:firstRow="1" w:lastRow="0" w:firstColumn="0" w:lastColumn="0" w:noHBand="0" w:noVBand="1"/>
      </w:tblPr>
      <w:tblGrid>
        <w:gridCol w:w="1953"/>
        <w:gridCol w:w="7678"/>
      </w:tblGrid>
      <w:tr w:rsidR="00416471" w:rsidRPr="00FA1A19" w14:paraId="64CDF3A1" w14:textId="77777777" w:rsidTr="0098550D">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14:paraId="02251CC9" w14:textId="4B522994" w:rsidR="00416471" w:rsidRPr="00FA1A19" w:rsidRDefault="00F37E87" w:rsidP="00F37E87">
            <w:pPr>
              <w:pStyle w:val="TableColumnHeadingLeft"/>
            </w:pPr>
            <w:r w:rsidRPr="00FA1A19">
              <w:t xml:space="preserve">Relevant Terms </w:t>
            </w:r>
            <w:r>
              <w:t>a</w:t>
            </w:r>
            <w:r w:rsidRPr="00FA1A19">
              <w:t xml:space="preserve">nd Conditions </w:t>
            </w:r>
            <w:r>
              <w:t>i</w:t>
            </w:r>
            <w:r w:rsidRPr="00FA1A19">
              <w:t>n User Contracts</w:t>
            </w:r>
            <w:r>
              <w:t xml:space="preserve"> w</w:t>
            </w:r>
            <w:r w:rsidRPr="00FA1A19">
              <w:t>ith Digital Asset Platforms</w:t>
            </w:r>
          </w:p>
        </w:tc>
      </w:tr>
      <w:tr w:rsidR="00416471" w:rsidRPr="00FA1A19" w14:paraId="18EC76FB" w14:textId="77777777" w:rsidTr="0098550D">
        <w:trPr>
          <w:cnfStyle w:val="100000000000" w:firstRow="1" w:lastRow="0" w:firstColumn="0" w:lastColumn="0" w:oddVBand="0" w:evenVBand="0" w:oddHBand="0" w:evenHBand="0" w:firstRowFirstColumn="0" w:firstRowLastColumn="0" w:lastRowFirstColumn="0" w:lastRowLastColumn="0"/>
          <w:tblHeader/>
        </w:trPr>
        <w:tc>
          <w:tcPr>
            <w:tcW w:w="1014" w:type="pct"/>
            <w:shd w:val="clear" w:color="auto" w:fill="701F4D" w:themeFill="accent2"/>
          </w:tcPr>
          <w:p w14:paraId="4C085290" w14:textId="77777777" w:rsidR="00416471" w:rsidRPr="00FA1A19" w:rsidRDefault="00416471" w:rsidP="00F37E87">
            <w:pPr>
              <w:pStyle w:val="TableColumnHeadingLeft"/>
            </w:pPr>
            <w:r w:rsidRPr="00FA1A19">
              <w:t>Term</w:t>
            </w:r>
          </w:p>
        </w:tc>
        <w:tc>
          <w:tcPr>
            <w:tcW w:w="3986" w:type="pct"/>
            <w:shd w:val="clear" w:color="auto" w:fill="701F4D" w:themeFill="accent2"/>
          </w:tcPr>
          <w:p w14:paraId="76543E71" w14:textId="77777777" w:rsidR="00416471" w:rsidRPr="00FA1A19" w:rsidRDefault="00416471" w:rsidP="00F37E87">
            <w:pPr>
              <w:pStyle w:val="TableColumnHeadingLeft"/>
              <w:rPr>
                <w:bCs w:val="0"/>
              </w:rPr>
            </w:pPr>
            <w:r w:rsidRPr="00FA1A19">
              <w:t>Detail</w:t>
            </w:r>
          </w:p>
        </w:tc>
      </w:tr>
      <w:tr w:rsidR="00416471" w:rsidRPr="00FA1A19" w14:paraId="1C3929A9" w14:textId="77777777" w:rsidTr="0098550D">
        <w:trPr>
          <w:cnfStyle w:val="000000100000" w:firstRow="0" w:lastRow="0" w:firstColumn="0" w:lastColumn="0" w:oddVBand="0" w:evenVBand="0" w:oddHBand="1" w:evenHBand="0" w:firstRowFirstColumn="0" w:firstRowLastColumn="0" w:lastRowFirstColumn="0" w:lastRowLastColumn="0"/>
        </w:trPr>
        <w:tc>
          <w:tcPr>
            <w:tcW w:w="1014" w:type="pct"/>
          </w:tcPr>
          <w:p w14:paraId="429D2D76" w14:textId="77777777" w:rsidR="00416471" w:rsidRPr="00FA1A19" w:rsidRDefault="00416471" w:rsidP="00F37E87">
            <w:pPr>
              <w:pStyle w:val="TableColumnHeadingLeft"/>
            </w:pPr>
            <w:r w:rsidRPr="00FA1A19">
              <w:t>Definition of crypto asset</w:t>
            </w:r>
          </w:p>
        </w:tc>
        <w:tc>
          <w:tcPr>
            <w:tcW w:w="3986" w:type="pct"/>
          </w:tcPr>
          <w:p w14:paraId="22E5DD23" w14:textId="2E47E0BA" w:rsidR="00416471" w:rsidRPr="00FA1A19" w:rsidRDefault="00416471" w:rsidP="00F37E87">
            <w:pPr>
              <w:pStyle w:val="TableTextLeft"/>
            </w:pPr>
            <w:r w:rsidRPr="00FA1A19">
              <w:t xml:space="preserve">A </w:t>
            </w:r>
            <w:r w:rsidR="00F75232">
              <w:t>‘</w:t>
            </w:r>
            <w:r w:rsidRPr="00FA1A19">
              <w:t>crypto asset</w:t>
            </w:r>
            <w:r w:rsidR="00F75232">
              <w:t>’</w:t>
            </w:r>
            <w:r w:rsidRPr="00FA1A19">
              <w:t xml:space="preserve"> is a type of decentralised digital currency or asset which is not issued by any central bank or issuer. Technological encryption techniques are used to produce units of the currency or asset and verify the transfer of units between owners of the crypto asset.</w:t>
            </w:r>
          </w:p>
          <w:p w14:paraId="67615650" w14:textId="07137206" w:rsidR="00416471" w:rsidRPr="00FA1A19" w:rsidRDefault="00416471" w:rsidP="00F37E87">
            <w:pPr>
              <w:pStyle w:val="TableTextLeft"/>
            </w:pPr>
            <w:r w:rsidRPr="00FA1A19">
              <w:t xml:space="preserve">Crypto Asset means virtual, electronic or cryptographic currency, including tokens or blockchain assets, as may be added to or removed from the Platform from time to time in the </w:t>
            </w:r>
            <w:r w:rsidR="00670E48" w:rsidRPr="00FA1A19">
              <w:t>digital asset platform</w:t>
            </w:r>
            <w:r w:rsidR="00F75232">
              <w:t>’</w:t>
            </w:r>
            <w:r w:rsidR="00670E48" w:rsidRPr="00FA1A19">
              <w:t xml:space="preserve">s </w:t>
            </w:r>
            <w:r w:rsidRPr="00FA1A19">
              <w:t>sole and absolute discretion. For the avoidance of doubt, a Crypto Asset does not include a Fiat Asset.</w:t>
            </w:r>
          </w:p>
        </w:tc>
      </w:tr>
      <w:tr w:rsidR="00416471" w:rsidRPr="00FA1A19" w14:paraId="06C05981" w14:textId="77777777" w:rsidTr="0098550D">
        <w:tc>
          <w:tcPr>
            <w:tcW w:w="1014" w:type="pct"/>
          </w:tcPr>
          <w:p w14:paraId="57FFEFC4" w14:textId="77777777" w:rsidR="00416471" w:rsidRPr="00FA1A19" w:rsidRDefault="00416471" w:rsidP="00F37E87">
            <w:pPr>
              <w:pStyle w:val="TableColumnHeadingLeft"/>
            </w:pPr>
            <w:r w:rsidRPr="00FA1A19">
              <w:t>Investor protection</w:t>
            </w:r>
          </w:p>
        </w:tc>
        <w:tc>
          <w:tcPr>
            <w:tcW w:w="3986" w:type="pct"/>
          </w:tcPr>
          <w:p w14:paraId="109E14F6" w14:textId="2CE88CD2" w:rsidR="00416471" w:rsidRPr="00FA1A19" w:rsidRDefault="00416471" w:rsidP="00F37E87">
            <w:pPr>
              <w:pStyle w:val="TableTextLeft"/>
            </w:pPr>
            <w:r w:rsidRPr="00FA1A19">
              <w:t>Since crypto assets markets are decentralised and non</w:t>
            </w:r>
            <w:r w:rsidR="00F75232">
              <w:noBreakHyphen/>
            </w:r>
            <w:r w:rsidRPr="00FA1A19">
              <w:t>regulated, crypto assets trading service is an unregulated service which is not governed by certain Australian regulatory frameworks. This means that there is no central bank that can issue more currency or take corrective measures to protect the value of crypto assets in a crisis.</w:t>
            </w:r>
          </w:p>
          <w:p w14:paraId="1B96E448" w14:textId="6C5D68A4" w:rsidR="00416471" w:rsidRPr="00FA1A19" w:rsidRDefault="00416471" w:rsidP="00F37E87">
            <w:pPr>
              <w:pStyle w:val="TableTextLeft"/>
            </w:pPr>
            <w:r w:rsidRPr="00FA1A19">
              <w:t xml:space="preserve">As crypto assets are unregulated, when you use the </w:t>
            </w:r>
            <w:r w:rsidR="00670E48" w:rsidRPr="00FA1A19">
              <w:t>digital asset platform</w:t>
            </w:r>
            <w:r w:rsidR="00F75232">
              <w:t>’</w:t>
            </w:r>
            <w:r w:rsidR="00670E48" w:rsidRPr="00FA1A19">
              <w:t xml:space="preserve">s </w:t>
            </w:r>
            <w:r w:rsidRPr="00FA1A19">
              <w:t>assets trading service you will not benefit from the protections available to clients receiving regulated investment services. For example, you may not have access to Australian Financial Complaints Authority for dispute resolution.</w:t>
            </w:r>
          </w:p>
        </w:tc>
      </w:tr>
      <w:tr w:rsidR="00416471" w:rsidRPr="00FA1A19" w14:paraId="7288490D" w14:textId="77777777" w:rsidTr="0098550D">
        <w:trPr>
          <w:cnfStyle w:val="000000100000" w:firstRow="0" w:lastRow="0" w:firstColumn="0" w:lastColumn="0" w:oddVBand="0" w:evenVBand="0" w:oddHBand="1" w:evenHBand="0" w:firstRowFirstColumn="0" w:firstRowLastColumn="0" w:lastRowFirstColumn="0" w:lastRowLastColumn="0"/>
        </w:trPr>
        <w:tc>
          <w:tcPr>
            <w:tcW w:w="1014" w:type="pct"/>
          </w:tcPr>
          <w:p w14:paraId="1C3657F2" w14:textId="77777777" w:rsidR="00416471" w:rsidRPr="00FA1A19" w:rsidRDefault="00416471" w:rsidP="00F37E87">
            <w:pPr>
              <w:pStyle w:val="TableColumnHeadingLeft"/>
            </w:pPr>
            <w:r w:rsidRPr="00FA1A19">
              <w:t>Limitations to crypto assets trading service</w:t>
            </w:r>
          </w:p>
        </w:tc>
        <w:tc>
          <w:tcPr>
            <w:tcW w:w="3986" w:type="pct"/>
          </w:tcPr>
          <w:p w14:paraId="6BD8AD96" w14:textId="2265F0DF" w:rsidR="00416471" w:rsidRPr="00FA1A19" w:rsidRDefault="00416471" w:rsidP="00F37E87">
            <w:pPr>
              <w:pStyle w:val="TableTextLeft"/>
            </w:pPr>
            <w:r w:rsidRPr="00FA1A19">
              <w:t xml:space="preserve">This trading platform is not an exchange or a market. This means that you can only enter into crypto asset trades with us on the platform, and not with third parties. You will also not have the right to vote, stake (unless otherwise stated by us in accordance with </w:t>
            </w:r>
            <w:r w:rsidR="00F75232">
              <w:t>‘</w:t>
            </w:r>
            <w:r w:rsidRPr="00FA1A19">
              <w:t>Staking</w:t>
            </w:r>
            <w:r w:rsidR="00F75232">
              <w:t>’</w:t>
            </w:r>
            <w:r w:rsidRPr="00FA1A19">
              <w:t>), or otherwise participate in any events or actions that may occur in relation to the crypto asset. Therefore, services are limited to the customer buying and selling crypto assets on the platform.</w:t>
            </w:r>
          </w:p>
        </w:tc>
      </w:tr>
      <w:tr w:rsidR="00416471" w:rsidRPr="00FA1A19" w14:paraId="01E4BB20" w14:textId="77777777" w:rsidTr="0098550D">
        <w:tc>
          <w:tcPr>
            <w:tcW w:w="1014" w:type="pct"/>
          </w:tcPr>
          <w:p w14:paraId="716777C6" w14:textId="77777777" w:rsidR="00416471" w:rsidRPr="00FA1A19" w:rsidRDefault="00416471" w:rsidP="00F37E87">
            <w:pPr>
              <w:pStyle w:val="TableColumnHeadingLeft"/>
            </w:pPr>
            <w:r w:rsidRPr="00FA1A19">
              <w:t>Transfer of crypto assets</w:t>
            </w:r>
          </w:p>
        </w:tc>
        <w:tc>
          <w:tcPr>
            <w:tcW w:w="3986" w:type="pct"/>
          </w:tcPr>
          <w:p w14:paraId="296AD11B" w14:textId="5F470A08" w:rsidR="00416471" w:rsidRPr="00FA1A19" w:rsidRDefault="00416471" w:rsidP="00F37E87">
            <w:pPr>
              <w:pStyle w:val="TableTextLeft"/>
            </w:pPr>
            <w:r w:rsidRPr="00FA1A19">
              <w:t>The crypto assets that are transferred to the customer</w:t>
            </w:r>
            <w:r w:rsidR="00F75232">
              <w:t>’</w:t>
            </w:r>
            <w:r w:rsidRPr="00FA1A19">
              <w:t>s Wallet may not be transferred back to the customer</w:t>
            </w:r>
            <w:r w:rsidR="00F75232">
              <w:t>’</w:t>
            </w:r>
            <w:r w:rsidRPr="00FA1A19">
              <w:t>s account, and the customer cannot exchange them for actual currencies (such as Australian Dollars, US Dollars or Sterling).</w:t>
            </w:r>
          </w:p>
        </w:tc>
      </w:tr>
      <w:tr w:rsidR="00416471" w:rsidRPr="00FA1A19" w14:paraId="56CF60A7" w14:textId="77777777" w:rsidTr="0098550D">
        <w:trPr>
          <w:cnfStyle w:val="000000100000" w:firstRow="0" w:lastRow="0" w:firstColumn="0" w:lastColumn="0" w:oddVBand="0" w:evenVBand="0" w:oddHBand="1" w:evenHBand="0" w:firstRowFirstColumn="0" w:firstRowLastColumn="0" w:lastRowFirstColumn="0" w:lastRowLastColumn="0"/>
        </w:trPr>
        <w:tc>
          <w:tcPr>
            <w:tcW w:w="1014" w:type="pct"/>
          </w:tcPr>
          <w:p w14:paraId="3EEB6496" w14:textId="77777777" w:rsidR="00416471" w:rsidRPr="00FA1A19" w:rsidRDefault="00416471" w:rsidP="00F37E87">
            <w:pPr>
              <w:pStyle w:val="TableColumnHeadingLeft"/>
            </w:pPr>
            <w:r w:rsidRPr="00FA1A19">
              <w:t>Risks of trading crypto assets</w:t>
            </w:r>
          </w:p>
        </w:tc>
        <w:tc>
          <w:tcPr>
            <w:tcW w:w="3986" w:type="pct"/>
          </w:tcPr>
          <w:p w14:paraId="677E9D8B" w14:textId="3DEC7346" w:rsidR="00416471" w:rsidRPr="00FA1A19" w:rsidRDefault="00416471" w:rsidP="00F37E87">
            <w:pPr>
              <w:pStyle w:val="TableTextLeft"/>
            </w:pPr>
            <w:r w:rsidRPr="00FA1A19">
              <w:t>Crypto assets are volatile virtual products and come with a high risk of losing money quickly. Prices can and do fluctuate significantly on any given day. Due to these price fluctuations, the customer</w:t>
            </w:r>
            <w:r w:rsidR="00F75232">
              <w:t>’</w:t>
            </w:r>
            <w:r w:rsidRPr="00FA1A19">
              <w:t>s holdings may significantly increase or decrease in value at any given moment, and this may result in a loss of all the capital you have invested in a transaction.</w:t>
            </w:r>
          </w:p>
          <w:p w14:paraId="7F6EC02C" w14:textId="5A9EB558" w:rsidR="00416471" w:rsidRPr="00FA1A19" w:rsidRDefault="00416471" w:rsidP="00F37E87">
            <w:pPr>
              <w:pStyle w:val="TableTextLeft"/>
            </w:pPr>
            <w:r w:rsidRPr="00FA1A19">
              <w:t>Crypto assets are often traded using independent blockchain technology. The customer</w:t>
            </w:r>
            <w:r w:rsidR="00F75232">
              <w:t>’</w:t>
            </w:r>
            <w:r w:rsidRPr="00FA1A19">
              <w:t>s use of blockchain and other third</w:t>
            </w:r>
            <w:r w:rsidR="007272E9">
              <w:t>-</w:t>
            </w:r>
            <w:r w:rsidRPr="00FA1A19">
              <w:t>party networks will be subject to any changes and/or amendments in their systems and to any Applicable Law which may apply to them. We are not responsible for any failure, mistake, error, or breach of third</w:t>
            </w:r>
            <w:r w:rsidR="007272E9">
              <w:t>-</w:t>
            </w:r>
            <w:r w:rsidRPr="00FA1A19">
              <w:t>party networks.</w:t>
            </w:r>
          </w:p>
        </w:tc>
      </w:tr>
      <w:tr w:rsidR="00416471" w:rsidRPr="00FA1A19" w14:paraId="771B6E65" w14:textId="77777777" w:rsidTr="0098550D">
        <w:tc>
          <w:tcPr>
            <w:tcW w:w="1014" w:type="pct"/>
          </w:tcPr>
          <w:p w14:paraId="6CBBCC7E" w14:textId="77777777" w:rsidR="00416471" w:rsidRPr="00FA1A19" w:rsidRDefault="00416471" w:rsidP="00F37E87">
            <w:pPr>
              <w:pStyle w:val="TableColumnHeadingLeft"/>
            </w:pPr>
            <w:r w:rsidRPr="00FA1A19">
              <w:t>Staking</w:t>
            </w:r>
          </w:p>
        </w:tc>
        <w:tc>
          <w:tcPr>
            <w:tcW w:w="3986" w:type="pct"/>
          </w:tcPr>
          <w:p w14:paraId="7BA0F834" w14:textId="12334B2C" w:rsidR="00416471" w:rsidRPr="00FA1A19" w:rsidRDefault="00416471" w:rsidP="00F37E87">
            <w:pPr>
              <w:pStyle w:val="TableTextLeft"/>
            </w:pPr>
            <w:r w:rsidRPr="00FA1A19">
              <w:t>As part of the Staking Service, we or any third</w:t>
            </w:r>
            <w:r w:rsidR="00CC10E8">
              <w:t>-</w:t>
            </w:r>
            <w:r w:rsidRPr="00FA1A19">
              <w:t xml:space="preserve">party appointed by us will stake certain Staked Crypto assets on the customers behalf, acting as a transaction validator on the applicable network. If we or anyone on the </w:t>
            </w:r>
            <w:r w:rsidR="00670E48" w:rsidRPr="00FA1A19">
              <w:t>digital asset platform</w:t>
            </w:r>
            <w:r w:rsidR="00F75232">
              <w:t>’</w:t>
            </w:r>
            <w:r w:rsidR="00670E48" w:rsidRPr="00FA1A19">
              <w:t xml:space="preserve">s </w:t>
            </w:r>
            <w:r w:rsidRPr="00FA1A19">
              <w:t>behalf successfully validates a block of transactions using that Staked Crypto asset, a reward is granted by that crypto assets</w:t>
            </w:r>
            <w:r w:rsidR="00F75232">
              <w:t>’</w:t>
            </w:r>
            <w:r w:rsidRPr="00FA1A19">
              <w:t xml:space="preserve"> network.</w:t>
            </w:r>
          </w:p>
          <w:p w14:paraId="695EDB99" w14:textId="3EFF44AD" w:rsidR="00416471" w:rsidRPr="00FA1A19" w:rsidRDefault="00416471" w:rsidP="00F37E87">
            <w:pPr>
              <w:pStyle w:val="TableTextLeft"/>
            </w:pPr>
            <w:r w:rsidRPr="00FA1A19">
              <w:t xml:space="preserve">You agree that we do not guarantee that we will distribute Staking Rewards to you, and that where we do so, the applicable percentage of Staking Rewards is set out at the </w:t>
            </w:r>
            <w:r w:rsidR="00670E48" w:rsidRPr="00FA1A19">
              <w:t>digital asset platform</w:t>
            </w:r>
            <w:r w:rsidR="00F75232">
              <w:t>’</w:t>
            </w:r>
            <w:r w:rsidR="00670E48" w:rsidRPr="00FA1A19">
              <w:t xml:space="preserve">s </w:t>
            </w:r>
            <w:r w:rsidRPr="00FA1A19">
              <w:t>staking information page.</w:t>
            </w:r>
          </w:p>
        </w:tc>
      </w:tr>
      <w:tr w:rsidR="00416471" w:rsidRPr="00FA1A19" w14:paraId="6FA84C69" w14:textId="77777777" w:rsidTr="0098550D">
        <w:trPr>
          <w:cnfStyle w:val="000000100000" w:firstRow="0" w:lastRow="0" w:firstColumn="0" w:lastColumn="0" w:oddVBand="0" w:evenVBand="0" w:oddHBand="1" w:evenHBand="0" w:firstRowFirstColumn="0" w:firstRowLastColumn="0" w:lastRowFirstColumn="0" w:lastRowLastColumn="0"/>
        </w:trPr>
        <w:tc>
          <w:tcPr>
            <w:tcW w:w="1014" w:type="pct"/>
          </w:tcPr>
          <w:p w14:paraId="72671585" w14:textId="77777777" w:rsidR="00416471" w:rsidRPr="00FA1A19" w:rsidRDefault="00416471" w:rsidP="00F37E87">
            <w:pPr>
              <w:pStyle w:val="TableColumnHeadingLeft"/>
            </w:pPr>
            <w:r w:rsidRPr="00FA1A19">
              <w:t>Taxation</w:t>
            </w:r>
          </w:p>
        </w:tc>
        <w:tc>
          <w:tcPr>
            <w:tcW w:w="3986" w:type="pct"/>
          </w:tcPr>
          <w:p w14:paraId="77B180D4" w14:textId="2FC153D1" w:rsidR="00416471" w:rsidRPr="00FA1A19" w:rsidRDefault="00416471" w:rsidP="00F37E87">
            <w:pPr>
              <w:pStyle w:val="TableTextLeft"/>
            </w:pPr>
            <w:r w:rsidRPr="00FA1A19">
              <w:t>All amounts extracted from the customer</w:t>
            </w:r>
            <w:r w:rsidR="00F75232">
              <w:t>’</w:t>
            </w:r>
            <w:r w:rsidRPr="00FA1A19">
              <w:t>s account are gross amounts, meaning that we have not collected, deducted, or paid any taxes for the customer or on the customer</w:t>
            </w:r>
            <w:r w:rsidR="00F75232">
              <w:t>’</w:t>
            </w:r>
            <w:r w:rsidRPr="00FA1A19">
              <w:t>s behalf. It is the customer</w:t>
            </w:r>
            <w:r w:rsidR="00F75232">
              <w:t>’</w:t>
            </w:r>
            <w:r w:rsidRPr="00FA1A19">
              <w:t>s responsibility to calculate and pay all applicable taxes that you owe as a result of the customer</w:t>
            </w:r>
            <w:r w:rsidR="00F75232">
              <w:t>’</w:t>
            </w:r>
            <w:r w:rsidRPr="00FA1A19">
              <w:t xml:space="preserve">s trading activity on the platform. However, the </w:t>
            </w:r>
            <w:r w:rsidR="00670E48" w:rsidRPr="00FA1A19">
              <w:t xml:space="preserve">digital asset platform </w:t>
            </w:r>
            <w:r w:rsidRPr="00FA1A19">
              <w:t xml:space="preserve">may withhold and deduct at source any taxes due under Applicable Law at the </w:t>
            </w:r>
            <w:r w:rsidR="00670E48" w:rsidRPr="00FA1A19">
              <w:t>digital asset platform</w:t>
            </w:r>
            <w:r w:rsidR="00F75232">
              <w:t>’</w:t>
            </w:r>
            <w:r w:rsidR="00670E48" w:rsidRPr="00FA1A19">
              <w:t xml:space="preserve">s </w:t>
            </w:r>
            <w:r w:rsidRPr="00FA1A19">
              <w:t>sole discretion.</w:t>
            </w:r>
          </w:p>
        </w:tc>
      </w:tr>
      <w:tr w:rsidR="00416471" w:rsidRPr="00FA1A19" w14:paraId="5299B2EC" w14:textId="77777777" w:rsidTr="0098550D">
        <w:tc>
          <w:tcPr>
            <w:tcW w:w="1014" w:type="pct"/>
          </w:tcPr>
          <w:p w14:paraId="26883AAD" w14:textId="77777777" w:rsidR="00416471" w:rsidRPr="00FA1A19" w:rsidRDefault="00416471" w:rsidP="00F37E87">
            <w:pPr>
              <w:pStyle w:val="TableColumnHeadingLeft"/>
            </w:pPr>
            <w:r w:rsidRPr="00FA1A19">
              <w:t>Custody</w:t>
            </w:r>
          </w:p>
        </w:tc>
        <w:tc>
          <w:tcPr>
            <w:tcW w:w="3986" w:type="pct"/>
          </w:tcPr>
          <w:p w14:paraId="533FD34A" w14:textId="77777777" w:rsidR="00416471" w:rsidRPr="00FA1A19" w:rsidRDefault="00416471" w:rsidP="00F37E87">
            <w:pPr>
              <w:pStyle w:val="TableTextLeft"/>
            </w:pPr>
            <w:r w:rsidRPr="00FA1A19">
              <w:t>Crypto assets are not regulated products and, therefore, trades or copy trades related to crypto assets are not subject to Applicable Law on custody. Any interest held by us in the crypto assets is hereby declared to be held on trust for the clients entitled to those crypto assets under these terms and is to be applied and dealt with by us in accordance with these terms.</w:t>
            </w:r>
          </w:p>
        </w:tc>
      </w:tr>
    </w:tbl>
    <w:p w14:paraId="6D71D6EE" w14:textId="77777777" w:rsidR="00416471" w:rsidRPr="00FA1A19" w:rsidRDefault="00416471" w:rsidP="00416471"/>
    <w:p w14:paraId="49AF2193" w14:textId="77777777" w:rsidR="0098550D" w:rsidRDefault="0098550D" w:rsidP="00416471">
      <w:pPr>
        <w:sectPr w:rsidR="0098550D" w:rsidSect="00320772">
          <w:footerReference w:type="default" r:id="rId76"/>
          <w:pgSz w:w="11909" w:h="16834" w:code="9"/>
          <w:pgMar w:top="1985" w:right="1134" w:bottom="1985" w:left="1134" w:header="1134" w:footer="1134" w:gutter="0"/>
          <w:cols w:space="708"/>
          <w:docGrid w:linePitch="360"/>
        </w:sectPr>
      </w:pPr>
    </w:p>
    <w:p w14:paraId="457D5FA2" w14:textId="55666E2B" w:rsidR="00F01890" w:rsidRPr="00FA1A19" w:rsidRDefault="00F01890" w:rsidP="0069352C">
      <w:pPr>
        <w:pStyle w:val="Heading1"/>
      </w:pPr>
      <w:bookmarkStart w:id="175" w:name="_Toc159513654"/>
      <w:r w:rsidRPr="00FA1A19">
        <w:t xml:space="preserve">Appendix </w:t>
      </w:r>
      <w:r w:rsidR="00266585" w:rsidRPr="00FA1A19">
        <w:t>C</w:t>
      </w:r>
      <w:r w:rsidRPr="00FA1A19">
        <w:t xml:space="preserve">: ATO </w:t>
      </w:r>
      <w:r w:rsidR="009E361C" w:rsidRPr="00FA1A19">
        <w:t>guidance products</w:t>
      </w:r>
      <w:bookmarkEnd w:id="175"/>
    </w:p>
    <w:p w14:paraId="084A18E9" w14:textId="29B1EFB2" w:rsidR="009E361C" w:rsidRPr="00FA1A19" w:rsidRDefault="009E361C" w:rsidP="009E361C">
      <w:r w:rsidRPr="00FA1A19">
        <w:t>The Board notes that the ATO have continued to develop new and refine existing guidance products</w:t>
      </w:r>
      <w:r w:rsidR="007A032A" w:rsidRPr="00FA1A19">
        <w:t>, including throughout the period of the Board</w:t>
      </w:r>
      <w:r w:rsidR="00F75232">
        <w:t>’</w:t>
      </w:r>
      <w:r w:rsidR="007A032A" w:rsidRPr="00FA1A19">
        <w:t>s Review. For the purposes of the Board</w:t>
      </w:r>
      <w:r w:rsidR="00F75232">
        <w:t>’</w:t>
      </w:r>
      <w:r w:rsidR="007A032A" w:rsidRPr="00FA1A19">
        <w:t>s Report, the following</w:t>
      </w:r>
      <w:r w:rsidR="00A35326" w:rsidRPr="00FA1A19">
        <w:t xml:space="preserve"> crypto asset specific</w:t>
      </w:r>
      <w:r w:rsidR="007A032A" w:rsidRPr="00FA1A19">
        <w:t xml:space="preserve"> guidance products have been </w:t>
      </w:r>
      <w:r w:rsidR="007A0BB7" w:rsidRPr="00FA1A19">
        <w:t>considered.</w:t>
      </w:r>
    </w:p>
    <w:p w14:paraId="111C50C1" w14:textId="2D74ACDB" w:rsidR="007A0BB7" w:rsidRPr="00FA1A19" w:rsidRDefault="007A0BB7" w:rsidP="0069352C">
      <w:pPr>
        <w:pStyle w:val="Heading2"/>
      </w:pPr>
      <w:bookmarkStart w:id="176" w:name="_Toc159513655"/>
      <w:r w:rsidRPr="00FA1A19">
        <w:t>Binding public advice and guidance</w:t>
      </w:r>
      <w:bookmarkEnd w:id="176"/>
    </w:p>
    <w:tbl>
      <w:tblPr>
        <w:tblStyle w:val="ListTable3-Accent1"/>
        <w:tblW w:w="5000" w:type="pct"/>
        <w:tblBorders>
          <w:insideH w:val="single" w:sz="4" w:space="0" w:color="142147" w:themeColor="accent1"/>
          <w:insideV w:val="single" w:sz="4" w:space="0" w:color="142147" w:themeColor="accent1"/>
        </w:tblBorders>
        <w:tblLook w:val="04A0" w:firstRow="1" w:lastRow="0" w:firstColumn="1" w:lastColumn="0" w:noHBand="0" w:noVBand="1"/>
      </w:tblPr>
      <w:tblGrid>
        <w:gridCol w:w="1414"/>
        <w:gridCol w:w="6094"/>
        <w:gridCol w:w="2123"/>
      </w:tblGrid>
      <w:tr w:rsidR="00A35326" w:rsidRPr="00FA1A19" w14:paraId="3392FDE4" w14:textId="77777777" w:rsidTr="009855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4" w:type="pct"/>
          </w:tcPr>
          <w:p w14:paraId="207D9552" w14:textId="0043057D" w:rsidR="00A35326" w:rsidRPr="00FA1A19" w:rsidRDefault="00A35326" w:rsidP="00F37E87">
            <w:pPr>
              <w:pStyle w:val="TableColumnHeadingLeft"/>
            </w:pPr>
            <w:r w:rsidRPr="00FA1A19">
              <w:t>Reference</w:t>
            </w:r>
          </w:p>
        </w:tc>
        <w:tc>
          <w:tcPr>
            <w:tcW w:w="3164" w:type="pct"/>
          </w:tcPr>
          <w:p w14:paraId="2C1B3D1C" w14:textId="710323B4" w:rsidR="00A35326" w:rsidRPr="00FA1A19" w:rsidRDefault="00A35326" w:rsidP="00F37E87">
            <w:pPr>
              <w:pStyle w:val="TableColumnHeadingLeft"/>
              <w:cnfStyle w:val="100000000000" w:firstRow="1" w:lastRow="0" w:firstColumn="0" w:lastColumn="0" w:oddVBand="0" w:evenVBand="0" w:oddHBand="0" w:evenHBand="0" w:firstRowFirstColumn="0" w:firstRowLastColumn="0" w:lastRowFirstColumn="0" w:lastRowLastColumn="0"/>
            </w:pPr>
            <w:r w:rsidRPr="00FA1A19">
              <w:t>Ruling Title</w:t>
            </w:r>
          </w:p>
        </w:tc>
        <w:tc>
          <w:tcPr>
            <w:tcW w:w="1102" w:type="pct"/>
          </w:tcPr>
          <w:p w14:paraId="2C04147E" w14:textId="63497D50" w:rsidR="00A35326" w:rsidRPr="00FA1A19" w:rsidRDefault="00A35326" w:rsidP="00F37E87">
            <w:pPr>
              <w:pStyle w:val="TableColumnHeadingLeft"/>
              <w:cnfStyle w:val="100000000000" w:firstRow="1" w:lastRow="0" w:firstColumn="0" w:lastColumn="0" w:oddVBand="0" w:evenVBand="0" w:oddHBand="0" w:evenHBand="0" w:firstRowFirstColumn="0" w:firstRowLastColumn="0" w:lastRowFirstColumn="0" w:lastRowLastColumn="0"/>
            </w:pPr>
            <w:r w:rsidRPr="00FA1A19">
              <w:t>Issue date</w:t>
            </w:r>
          </w:p>
        </w:tc>
      </w:tr>
      <w:tr w:rsidR="00A35326" w:rsidRPr="00FA1A19" w14:paraId="6E4AAD00"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E98B8AD" w14:textId="0B0B05CD" w:rsidR="00A35326" w:rsidRPr="00FA1A19" w:rsidRDefault="00895C63" w:rsidP="00F37E87">
            <w:pPr>
              <w:pStyle w:val="TableTextLeft"/>
            </w:pPr>
            <w:hyperlink r:id="rId77" w:history="1">
              <w:r w:rsidR="00A35326" w:rsidRPr="00FA1A19">
                <w:rPr>
                  <w:rStyle w:val="Hyperlink"/>
                </w:rPr>
                <w:t>TD 2014/25</w:t>
              </w:r>
            </w:hyperlink>
          </w:p>
        </w:tc>
        <w:tc>
          <w:tcPr>
            <w:tcW w:w="3164" w:type="pct"/>
          </w:tcPr>
          <w:p w14:paraId="2922DEAF" w14:textId="6ABE072C" w:rsidR="00A35326" w:rsidRPr="00FA1A19" w:rsidRDefault="00197651" w:rsidP="00F37E87">
            <w:pPr>
              <w:pStyle w:val="TableTextLeft"/>
              <w:cnfStyle w:val="000000100000" w:firstRow="0" w:lastRow="0" w:firstColumn="0" w:lastColumn="0" w:oddVBand="0" w:evenVBand="0" w:oddHBand="1" w:evenHBand="0" w:firstRowFirstColumn="0" w:firstRowLastColumn="0" w:lastRowFirstColumn="0" w:lastRowLastColumn="0"/>
            </w:pPr>
            <w:r w:rsidRPr="00FA1A19">
              <w:t xml:space="preserve">Income tax: is bitcoin a </w:t>
            </w:r>
            <w:r w:rsidR="00F75232">
              <w:t>‘</w:t>
            </w:r>
            <w:r w:rsidRPr="00FA1A19">
              <w:t>foreign currency</w:t>
            </w:r>
            <w:r w:rsidR="00F75232">
              <w:t>’</w:t>
            </w:r>
            <w:r w:rsidRPr="00FA1A19">
              <w:t xml:space="preserve"> for the purposes of Division 775 of the </w:t>
            </w:r>
            <w:r w:rsidRPr="00813896">
              <w:rPr>
                <w:rStyle w:val="Emphasis"/>
              </w:rPr>
              <w:t>Income Tax Assessment Act 1997</w:t>
            </w:r>
            <w:r w:rsidRPr="00FA1A19">
              <w:t>?</w:t>
            </w:r>
          </w:p>
        </w:tc>
        <w:tc>
          <w:tcPr>
            <w:tcW w:w="1102" w:type="pct"/>
          </w:tcPr>
          <w:p w14:paraId="39C5A4A9" w14:textId="38B661A0" w:rsidR="00A35326" w:rsidRPr="00FA1A19" w:rsidRDefault="000C0E32" w:rsidP="00F37E87">
            <w:pPr>
              <w:pStyle w:val="TableTextLeft"/>
              <w:cnfStyle w:val="000000100000" w:firstRow="0" w:lastRow="0" w:firstColumn="0" w:lastColumn="0" w:oddVBand="0" w:evenVBand="0" w:oddHBand="1" w:evenHBand="0" w:firstRowFirstColumn="0" w:firstRowLastColumn="0" w:lastRowFirstColumn="0" w:lastRowLastColumn="0"/>
            </w:pPr>
            <w:r w:rsidRPr="00FA1A19">
              <w:t>17 December 2014</w:t>
            </w:r>
          </w:p>
        </w:tc>
      </w:tr>
      <w:tr w:rsidR="00A35326" w:rsidRPr="00FA1A19" w14:paraId="7E914B06"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4C314C4B" w14:textId="02A4E50C" w:rsidR="00A35326" w:rsidRPr="00FA1A19" w:rsidRDefault="00895C63" w:rsidP="00F37E87">
            <w:pPr>
              <w:pStyle w:val="TableTextLeft"/>
            </w:pPr>
            <w:hyperlink r:id="rId78" w:history="1">
              <w:r w:rsidR="000C0E32" w:rsidRPr="00FA1A19">
                <w:rPr>
                  <w:rStyle w:val="Hyperlink"/>
                </w:rPr>
                <w:t>TD 2014/26</w:t>
              </w:r>
            </w:hyperlink>
          </w:p>
        </w:tc>
        <w:tc>
          <w:tcPr>
            <w:tcW w:w="3164" w:type="pct"/>
          </w:tcPr>
          <w:p w14:paraId="41DBCF63" w14:textId="7EF8D672" w:rsidR="00A35326" w:rsidRPr="00FA1A19" w:rsidRDefault="00857ACF" w:rsidP="00F37E87">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Income tax: is bitcoin a </w:t>
            </w:r>
            <w:r w:rsidR="00F75232">
              <w:t>‘</w:t>
            </w:r>
            <w:r w:rsidRPr="00FA1A19">
              <w:t>CGT asset</w:t>
            </w:r>
            <w:r w:rsidR="00F75232">
              <w:t>’</w:t>
            </w:r>
            <w:r w:rsidRPr="00FA1A19">
              <w:t xml:space="preserve"> for the purposes of subsection 108</w:t>
            </w:r>
            <w:r w:rsidR="00F75232">
              <w:noBreakHyphen/>
            </w:r>
            <w:r w:rsidRPr="00FA1A19">
              <w:t>5(1) of the </w:t>
            </w:r>
            <w:r w:rsidRPr="00813896">
              <w:rPr>
                <w:rStyle w:val="Emphasis"/>
              </w:rPr>
              <w:t>Income Tax Assessment Act 1997</w:t>
            </w:r>
            <w:r w:rsidRPr="00FA1A19">
              <w:t>?</w:t>
            </w:r>
          </w:p>
        </w:tc>
        <w:tc>
          <w:tcPr>
            <w:tcW w:w="1102" w:type="pct"/>
          </w:tcPr>
          <w:p w14:paraId="28AFE282" w14:textId="7538FAB1" w:rsidR="00A35326" w:rsidRPr="00FA1A19" w:rsidRDefault="008D437E" w:rsidP="00F37E87">
            <w:pPr>
              <w:pStyle w:val="TableTextLeft"/>
              <w:cnfStyle w:val="000000000000" w:firstRow="0" w:lastRow="0" w:firstColumn="0" w:lastColumn="0" w:oddVBand="0" w:evenVBand="0" w:oddHBand="0" w:evenHBand="0" w:firstRowFirstColumn="0" w:firstRowLastColumn="0" w:lastRowFirstColumn="0" w:lastRowLastColumn="0"/>
            </w:pPr>
            <w:r w:rsidRPr="00FA1A19">
              <w:t>17 December 2014</w:t>
            </w:r>
          </w:p>
        </w:tc>
      </w:tr>
      <w:tr w:rsidR="00A35326" w:rsidRPr="00FA1A19" w14:paraId="126CDD46"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D464775" w14:textId="68C9FEED" w:rsidR="00A35326" w:rsidRPr="00FA1A19" w:rsidRDefault="00895C63" w:rsidP="00F37E87">
            <w:pPr>
              <w:pStyle w:val="TableTextLeft"/>
            </w:pPr>
            <w:hyperlink r:id="rId79" w:history="1">
              <w:r w:rsidR="008D437E" w:rsidRPr="00FA1A19">
                <w:rPr>
                  <w:rStyle w:val="Hyperlink"/>
                </w:rPr>
                <w:t>TD 2014/27</w:t>
              </w:r>
            </w:hyperlink>
            <w:r w:rsidR="008D437E" w:rsidRPr="00FA1A19">
              <w:t xml:space="preserve"> </w:t>
            </w:r>
          </w:p>
        </w:tc>
        <w:tc>
          <w:tcPr>
            <w:tcW w:w="3164" w:type="pct"/>
          </w:tcPr>
          <w:p w14:paraId="26F80F0E" w14:textId="1023A49C" w:rsidR="00A35326" w:rsidRPr="00FA1A19" w:rsidRDefault="006B2429" w:rsidP="00F37E87">
            <w:pPr>
              <w:pStyle w:val="TableTextLeft"/>
              <w:cnfStyle w:val="000000100000" w:firstRow="0" w:lastRow="0" w:firstColumn="0" w:lastColumn="0" w:oddVBand="0" w:evenVBand="0" w:oddHBand="1" w:evenHBand="0" w:firstRowFirstColumn="0" w:firstRowLastColumn="0" w:lastRowFirstColumn="0" w:lastRowLastColumn="0"/>
            </w:pPr>
            <w:r w:rsidRPr="00FA1A19">
              <w:t>Income tax: is bitcoin trading stock for the purposes of subsection 70</w:t>
            </w:r>
            <w:r w:rsidR="00F75232">
              <w:noBreakHyphen/>
            </w:r>
            <w:r w:rsidRPr="00FA1A19">
              <w:t>10(1) of the </w:t>
            </w:r>
            <w:r w:rsidRPr="00813896">
              <w:rPr>
                <w:rStyle w:val="Emphasis"/>
              </w:rPr>
              <w:t>Income Tax Assessment Act 1997</w:t>
            </w:r>
            <w:r w:rsidRPr="00FA1A19">
              <w:t>?</w:t>
            </w:r>
          </w:p>
        </w:tc>
        <w:tc>
          <w:tcPr>
            <w:tcW w:w="1102" w:type="pct"/>
          </w:tcPr>
          <w:p w14:paraId="156658E4" w14:textId="26189345" w:rsidR="00A35326" w:rsidRPr="00FA1A19" w:rsidRDefault="006B2429" w:rsidP="00F37E87">
            <w:pPr>
              <w:pStyle w:val="TableTextLeft"/>
              <w:cnfStyle w:val="000000100000" w:firstRow="0" w:lastRow="0" w:firstColumn="0" w:lastColumn="0" w:oddVBand="0" w:evenVBand="0" w:oddHBand="1" w:evenHBand="0" w:firstRowFirstColumn="0" w:firstRowLastColumn="0" w:lastRowFirstColumn="0" w:lastRowLastColumn="0"/>
            </w:pPr>
            <w:r w:rsidRPr="00FA1A19">
              <w:t>17 December 2014</w:t>
            </w:r>
          </w:p>
        </w:tc>
      </w:tr>
      <w:tr w:rsidR="006B2429" w:rsidRPr="00FA1A19" w14:paraId="36BD7E22"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44FDA72B" w14:textId="0276E4E6" w:rsidR="006B2429" w:rsidRPr="00FA1A19" w:rsidRDefault="00895C63" w:rsidP="00F37E87">
            <w:pPr>
              <w:pStyle w:val="TableTextLeft"/>
            </w:pPr>
            <w:hyperlink r:id="rId80" w:history="1">
              <w:r w:rsidR="006B2429" w:rsidRPr="00FA1A19">
                <w:rPr>
                  <w:rStyle w:val="Hyperlink"/>
                </w:rPr>
                <w:t>TD 2014/2</w:t>
              </w:r>
              <w:r w:rsidR="00D52E45" w:rsidRPr="00FA1A19">
                <w:rPr>
                  <w:rStyle w:val="Hyperlink"/>
                </w:rPr>
                <w:t>8</w:t>
              </w:r>
            </w:hyperlink>
            <w:r w:rsidR="006B2429" w:rsidRPr="00FA1A19">
              <w:t xml:space="preserve"> </w:t>
            </w:r>
          </w:p>
        </w:tc>
        <w:tc>
          <w:tcPr>
            <w:tcW w:w="3164" w:type="pct"/>
          </w:tcPr>
          <w:p w14:paraId="757193FA" w14:textId="382BC41D" w:rsidR="006B2429" w:rsidRPr="00FA1A19" w:rsidRDefault="00D039CC" w:rsidP="00F37E87">
            <w:pPr>
              <w:pStyle w:val="TableTextLeft"/>
              <w:cnfStyle w:val="000000000000" w:firstRow="0" w:lastRow="0" w:firstColumn="0" w:lastColumn="0" w:oddVBand="0" w:evenVBand="0" w:oddHBand="0" w:evenHBand="0" w:firstRowFirstColumn="0" w:firstRowLastColumn="0" w:lastRowFirstColumn="0" w:lastRowLastColumn="0"/>
            </w:pPr>
            <w:r w:rsidRPr="00FA1A19">
              <w:t xml:space="preserve">Fringe benefits tax: is the provision of bitcoin by an employer to an employee in respect of their employment a property fringe benefit for the purposes of subsection 136(1) of the </w:t>
            </w:r>
            <w:r w:rsidRPr="00813896">
              <w:rPr>
                <w:rStyle w:val="Emphasis"/>
              </w:rPr>
              <w:t>Fringe Benefits Tax Assessment Act 1986?</w:t>
            </w:r>
          </w:p>
        </w:tc>
        <w:tc>
          <w:tcPr>
            <w:tcW w:w="1102" w:type="pct"/>
          </w:tcPr>
          <w:p w14:paraId="2146DDF3" w14:textId="456CA1E0" w:rsidR="006B2429" w:rsidRPr="00FA1A19" w:rsidRDefault="006B2429" w:rsidP="00F37E87">
            <w:pPr>
              <w:pStyle w:val="TableTextLeft"/>
              <w:cnfStyle w:val="000000000000" w:firstRow="0" w:lastRow="0" w:firstColumn="0" w:lastColumn="0" w:oddVBand="0" w:evenVBand="0" w:oddHBand="0" w:evenHBand="0" w:firstRowFirstColumn="0" w:firstRowLastColumn="0" w:lastRowFirstColumn="0" w:lastRowLastColumn="0"/>
            </w:pPr>
            <w:r w:rsidRPr="00FA1A19">
              <w:t>17 December 2014</w:t>
            </w:r>
          </w:p>
        </w:tc>
      </w:tr>
    </w:tbl>
    <w:p w14:paraId="3BC97C13" w14:textId="1B024A81" w:rsidR="00000659" w:rsidRPr="00FA1A19" w:rsidRDefault="00000659" w:rsidP="000437AD">
      <w:pPr>
        <w:pStyle w:val="Heading2"/>
        <w:spacing w:before="480"/>
      </w:pPr>
      <w:bookmarkStart w:id="177" w:name="_Toc159513656"/>
      <w:r w:rsidRPr="00FA1A19">
        <w:t>Published web guidance</w:t>
      </w:r>
      <w:bookmarkEnd w:id="177"/>
    </w:p>
    <w:tbl>
      <w:tblPr>
        <w:tblStyle w:val="ListTable3-Accent1"/>
        <w:tblW w:w="5000" w:type="pct"/>
        <w:tblBorders>
          <w:insideH w:val="single" w:sz="4" w:space="0" w:color="142147" w:themeColor="accent1"/>
          <w:insideV w:val="single" w:sz="4" w:space="0" w:color="142147" w:themeColor="accent1"/>
        </w:tblBorders>
        <w:tblLook w:val="04A0" w:firstRow="1" w:lastRow="0" w:firstColumn="1" w:lastColumn="0" w:noHBand="0" w:noVBand="1"/>
      </w:tblPr>
      <w:tblGrid>
        <w:gridCol w:w="1414"/>
        <w:gridCol w:w="6094"/>
        <w:gridCol w:w="2123"/>
      </w:tblGrid>
      <w:tr w:rsidR="007126A9" w:rsidRPr="00FA1A19" w14:paraId="115F17BA" w14:textId="77777777" w:rsidTr="009855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4" w:type="pct"/>
          </w:tcPr>
          <w:p w14:paraId="4D4C31DD" w14:textId="77777777" w:rsidR="007126A9" w:rsidRPr="00FA1A19" w:rsidRDefault="007126A9" w:rsidP="00F37E87">
            <w:pPr>
              <w:pStyle w:val="TableColumnHeadingLeft"/>
            </w:pPr>
            <w:r w:rsidRPr="00FA1A19">
              <w:t>Reference</w:t>
            </w:r>
          </w:p>
        </w:tc>
        <w:tc>
          <w:tcPr>
            <w:tcW w:w="3164" w:type="pct"/>
          </w:tcPr>
          <w:p w14:paraId="7F21C4D2" w14:textId="6712F569" w:rsidR="007126A9" w:rsidRPr="00FA1A19" w:rsidRDefault="007126A9" w:rsidP="00F37E87">
            <w:pPr>
              <w:pStyle w:val="TableColumnHeadingLeft"/>
              <w:cnfStyle w:val="100000000000" w:firstRow="1" w:lastRow="0" w:firstColumn="0" w:lastColumn="0" w:oddVBand="0" w:evenVBand="0" w:oddHBand="0" w:evenHBand="0" w:firstRowFirstColumn="0" w:firstRowLastColumn="0" w:lastRowFirstColumn="0" w:lastRowLastColumn="0"/>
            </w:pPr>
            <w:r w:rsidRPr="00FA1A19">
              <w:t>Page title</w:t>
            </w:r>
          </w:p>
        </w:tc>
        <w:tc>
          <w:tcPr>
            <w:tcW w:w="1102" w:type="pct"/>
          </w:tcPr>
          <w:p w14:paraId="4D88BA47" w14:textId="7A184CE2" w:rsidR="007126A9" w:rsidRPr="00FA1A19" w:rsidRDefault="007126A9" w:rsidP="00F37E87">
            <w:pPr>
              <w:pStyle w:val="TableColumnHeadingLeft"/>
              <w:cnfStyle w:val="100000000000" w:firstRow="1" w:lastRow="0" w:firstColumn="0" w:lastColumn="0" w:oddVBand="0" w:evenVBand="0" w:oddHBand="0" w:evenHBand="0" w:firstRowFirstColumn="0" w:firstRowLastColumn="0" w:lastRowFirstColumn="0" w:lastRowLastColumn="0"/>
            </w:pPr>
            <w:r w:rsidRPr="00FA1A19">
              <w:t>Last updated</w:t>
            </w:r>
          </w:p>
        </w:tc>
      </w:tr>
      <w:tr w:rsidR="00CC7D49" w:rsidRPr="00FA1A19" w14:paraId="4F551BCF"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81DFD8F" w14:textId="16804FF7" w:rsidR="00CC7D49" w:rsidRPr="00FA1A19" w:rsidRDefault="00895C63" w:rsidP="00F37E87">
            <w:pPr>
              <w:pStyle w:val="TableTextLeft"/>
              <w:rPr>
                <w:b w:val="0"/>
                <w:bCs w:val="0"/>
              </w:rPr>
            </w:pPr>
            <w:hyperlink r:id="rId81" w:history="1">
              <w:r w:rsidR="00CC7D49" w:rsidRPr="00FA1A19">
                <w:rPr>
                  <w:rStyle w:val="Hyperlink"/>
                  <w:rFonts w:cs="Calibri"/>
                </w:rPr>
                <w:t>QC 69945</w:t>
              </w:r>
            </w:hyperlink>
          </w:p>
        </w:tc>
        <w:tc>
          <w:tcPr>
            <w:tcW w:w="3164" w:type="pct"/>
          </w:tcPr>
          <w:p w14:paraId="01951944" w14:textId="2F2E2B6C" w:rsidR="00CC7D49" w:rsidRPr="00F37E87" w:rsidRDefault="00CC7D49" w:rsidP="00F37E87">
            <w:pPr>
              <w:pStyle w:val="TableTextLeft"/>
              <w:cnfStyle w:val="000000100000" w:firstRow="0" w:lastRow="0" w:firstColumn="0" w:lastColumn="0" w:oddVBand="0" w:evenVBand="0" w:oddHBand="1" w:evenHBand="0" w:firstRowFirstColumn="0" w:firstRowLastColumn="0" w:lastRowFirstColumn="0" w:lastRowLastColumn="0"/>
              <w:rPr>
                <w:rStyle w:val="Strong"/>
              </w:rPr>
            </w:pPr>
            <w:r w:rsidRPr="00F37E87">
              <w:rPr>
                <w:rStyle w:val="Strong"/>
              </w:rPr>
              <w:t>Crypto asset investments</w:t>
            </w:r>
          </w:p>
        </w:tc>
        <w:tc>
          <w:tcPr>
            <w:tcW w:w="1102" w:type="pct"/>
          </w:tcPr>
          <w:p w14:paraId="4FF6EFAA" w14:textId="144AE330" w:rsidR="00CC7D49" w:rsidRPr="00FA1A19" w:rsidRDefault="00CC7D49" w:rsidP="00F37E87">
            <w:pPr>
              <w:pStyle w:val="TableTextLeft"/>
              <w:cnfStyle w:val="000000100000" w:firstRow="0" w:lastRow="0" w:firstColumn="0" w:lastColumn="0" w:oddVBand="0" w:evenVBand="0" w:oddHBand="1" w:evenHBand="0" w:firstRowFirstColumn="0" w:firstRowLastColumn="0" w:lastRowFirstColumn="0" w:lastRowLastColumn="0"/>
            </w:pPr>
          </w:p>
        </w:tc>
      </w:tr>
      <w:tr w:rsidR="00CC7D49" w:rsidRPr="00FA1A19" w14:paraId="5D232A7F"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0F18AB58" w14:textId="0CEA7EF8" w:rsidR="00CC7D49" w:rsidRPr="00FA1A19" w:rsidRDefault="00895C63" w:rsidP="00F37E87">
            <w:pPr>
              <w:pStyle w:val="TableTextLeft"/>
            </w:pPr>
            <w:hyperlink r:id="rId82" w:history="1">
              <w:r w:rsidR="00CC7D49" w:rsidRPr="00FA1A19">
                <w:rPr>
                  <w:rStyle w:val="Hyperlink"/>
                  <w:rFonts w:cs="Calibri"/>
                </w:rPr>
                <w:t>QC 69946</w:t>
              </w:r>
            </w:hyperlink>
          </w:p>
        </w:tc>
        <w:tc>
          <w:tcPr>
            <w:tcW w:w="3164" w:type="pct"/>
          </w:tcPr>
          <w:p w14:paraId="40720BF6" w14:textId="5309FBA5" w:rsidR="00CC7D49" w:rsidRPr="00FA1A19" w:rsidRDefault="00F37E87" w:rsidP="00F37E87">
            <w:pPr>
              <w:pStyle w:val="TableTextLeft"/>
              <w:cnfStyle w:val="000000000000" w:firstRow="0" w:lastRow="0" w:firstColumn="0" w:lastColumn="0" w:oddVBand="0" w:evenVBand="0" w:oddHBand="0" w:evenHBand="0" w:firstRowFirstColumn="0" w:firstRowLastColumn="0" w:lastRowFirstColumn="0" w:lastRowLastColumn="0"/>
            </w:pPr>
            <w:r>
              <w:rPr>
                <w:rFonts w:cs="Calibri"/>
              </w:rPr>
              <w:tab/>
            </w:r>
            <w:r w:rsidR="00CC7D49" w:rsidRPr="00FA1A19">
              <w:rPr>
                <w:rFonts w:cs="Calibri"/>
              </w:rPr>
              <w:t>What are crypto assets?</w:t>
            </w:r>
          </w:p>
        </w:tc>
        <w:tc>
          <w:tcPr>
            <w:tcW w:w="1102" w:type="pct"/>
          </w:tcPr>
          <w:p w14:paraId="7241B0A9" w14:textId="39587F7F" w:rsidR="00CC7D49" w:rsidRPr="00FA1A19" w:rsidRDefault="00955DE0" w:rsidP="00F37E87">
            <w:pPr>
              <w:pStyle w:val="TableTextLeft"/>
              <w:cnfStyle w:val="000000000000" w:firstRow="0" w:lastRow="0" w:firstColumn="0" w:lastColumn="0" w:oddVBand="0" w:evenVBand="0" w:oddHBand="0" w:evenHBand="0" w:firstRowFirstColumn="0" w:firstRowLastColumn="0" w:lastRowFirstColumn="0" w:lastRowLastColumn="0"/>
            </w:pPr>
            <w:r w:rsidRPr="00FA1A19">
              <w:t>30 June 2023</w:t>
            </w:r>
          </w:p>
        </w:tc>
      </w:tr>
      <w:tr w:rsidR="00CC7D49" w:rsidRPr="00FA1A19" w14:paraId="457738FF"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9222194" w14:textId="2A45E29E" w:rsidR="00CC7D49" w:rsidRPr="00FA1A19" w:rsidRDefault="00895C63" w:rsidP="00F37E87">
            <w:pPr>
              <w:pStyle w:val="TableTextLeft"/>
            </w:pPr>
            <w:hyperlink r:id="rId83" w:history="1">
              <w:r w:rsidR="00CC7D49" w:rsidRPr="00813896">
                <w:rPr>
                  <w:rStyle w:val="Hyperlink"/>
                </w:rPr>
                <w:t>QC 69947</w:t>
              </w:r>
            </w:hyperlink>
          </w:p>
        </w:tc>
        <w:tc>
          <w:tcPr>
            <w:tcW w:w="3164" w:type="pct"/>
          </w:tcPr>
          <w:p w14:paraId="1D6F03A2" w14:textId="1B55371B" w:rsidR="00CC7D49" w:rsidRPr="00FA1A19" w:rsidRDefault="00F37E87" w:rsidP="00F37E87">
            <w:pPr>
              <w:pStyle w:val="TableTextLeft"/>
              <w:cnfStyle w:val="000000100000" w:firstRow="0" w:lastRow="0" w:firstColumn="0" w:lastColumn="0" w:oddVBand="0" w:evenVBand="0" w:oddHBand="1" w:evenHBand="0" w:firstRowFirstColumn="0" w:firstRowLastColumn="0" w:lastRowFirstColumn="0" w:lastRowLastColumn="0"/>
            </w:pPr>
            <w:r>
              <w:rPr>
                <w:rFonts w:cs="Calibri"/>
              </w:rPr>
              <w:tab/>
            </w:r>
            <w:r w:rsidR="00CC7D49" w:rsidRPr="00FA1A19">
              <w:rPr>
                <w:rFonts w:cs="Calibri"/>
              </w:rPr>
              <w:t>Transactions – acquiring and disposing of crypto assets</w:t>
            </w:r>
          </w:p>
        </w:tc>
        <w:tc>
          <w:tcPr>
            <w:tcW w:w="1102" w:type="pct"/>
          </w:tcPr>
          <w:p w14:paraId="46EB21A9" w14:textId="2F878DDF" w:rsidR="00CC7D49" w:rsidRPr="00813896" w:rsidRDefault="00CC7D49" w:rsidP="00F37E87">
            <w:pPr>
              <w:pStyle w:val="TableTextLeft"/>
              <w:cnfStyle w:val="000000100000" w:firstRow="0" w:lastRow="0" w:firstColumn="0" w:lastColumn="0" w:oddVBand="0" w:evenVBand="0" w:oddHBand="1" w:evenHBand="0" w:firstRowFirstColumn="0" w:firstRowLastColumn="0" w:lastRowFirstColumn="0" w:lastRowLastColumn="0"/>
            </w:pPr>
          </w:p>
        </w:tc>
      </w:tr>
      <w:tr w:rsidR="00E57AE2" w:rsidRPr="00813896" w14:paraId="67E1A95F"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09D257FF" w14:textId="47B88429" w:rsidR="00E57AE2" w:rsidRPr="00813896" w:rsidRDefault="00895C63" w:rsidP="00F37E87">
            <w:pPr>
              <w:pStyle w:val="TableTextLeft"/>
              <w:rPr>
                <w:rStyle w:val="Hyperlink"/>
              </w:rPr>
            </w:pPr>
            <w:hyperlink r:id="rId84" w:history="1">
              <w:r w:rsidR="00E57AE2" w:rsidRPr="00813896">
                <w:rPr>
                  <w:rStyle w:val="Hyperlink"/>
                </w:rPr>
                <w:t>QC 69948</w:t>
              </w:r>
            </w:hyperlink>
          </w:p>
        </w:tc>
        <w:tc>
          <w:tcPr>
            <w:tcW w:w="3164" w:type="pct"/>
          </w:tcPr>
          <w:p w14:paraId="65867E71" w14:textId="16DFE376" w:rsidR="00E57AE2" w:rsidRPr="00813896" w:rsidRDefault="00F37E87" w:rsidP="00F37E87">
            <w:pPr>
              <w:pStyle w:val="TableTextLeft"/>
              <w:cnfStyle w:val="000000000000" w:firstRow="0" w:lastRow="0" w:firstColumn="0" w:lastColumn="0" w:oddVBand="0" w:evenVBand="0" w:oddHBand="0" w:evenHBand="0" w:firstRowFirstColumn="0" w:firstRowLastColumn="0" w:lastRowFirstColumn="0" w:lastRowLastColumn="0"/>
              <w:rPr>
                <w:rStyle w:val="Emphasis"/>
              </w:rPr>
            </w:pPr>
            <w:r>
              <w:rPr>
                <w:rStyle w:val="Emphasis"/>
              </w:rPr>
              <w:tab/>
            </w:r>
            <w:r>
              <w:rPr>
                <w:rStyle w:val="Emphasis"/>
              </w:rPr>
              <w:tab/>
            </w:r>
            <w:r w:rsidR="00E57AE2" w:rsidRPr="00813896">
              <w:rPr>
                <w:rStyle w:val="Emphasis"/>
              </w:rPr>
              <w:t>Crypto Asset Transactions</w:t>
            </w:r>
          </w:p>
        </w:tc>
        <w:tc>
          <w:tcPr>
            <w:tcW w:w="1102" w:type="pct"/>
          </w:tcPr>
          <w:p w14:paraId="73ADA6B7" w14:textId="250E9557" w:rsidR="00E57AE2" w:rsidRPr="00813896" w:rsidRDefault="005216B2" w:rsidP="00F37E87">
            <w:pPr>
              <w:pStyle w:val="TableTextLeft"/>
              <w:cnfStyle w:val="000000000000" w:firstRow="0" w:lastRow="0" w:firstColumn="0" w:lastColumn="0" w:oddVBand="0" w:evenVBand="0" w:oddHBand="0" w:evenHBand="0" w:firstRowFirstColumn="0" w:firstRowLastColumn="0" w:lastRowFirstColumn="0" w:lastRowLastColumn="0"/>
            </w:pPr>
            <w:r w:rsidRPr="00813896">
              <w:t>30 June 2023</w:t>
            </w:r>
          </w:p>
        </w:tc>
      </w:tr>
      <w:tr w:rsidR="00E57AE2" w:rsidRPr="00813896" w14:paraId="683032C6"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C54C763" w14:textId="1D0444CD" w:rsidR="00E57AE2" w:rsidRPr="00813896" w:rsidRDefault="00895C63" w:rsidP="00F37E87">
            <w:pPr>
              <w:pStyle w:val="TableTextLeft"/>
              <w:rPr>
                <w:rStyle w:val="Hyperlink"/>
              </w:rPr>
            </w:pPr>
            <w:hyperlink r:id="rId85" w:history="1">
              <w:r w:rsidR="00E57AE2" w:rsidRPr="00813896">
                <w:rPr>
                  <w:rStyle w:val="Hyperlink"/>
                </w:rPr>
                <w:t>QC 69949</w:t>
              </w:r>
            </w:hyperlink>
          </w:p>
        </w:tc>
        <w:tc>
          <w:tcPr>
            <w:tcW w:w="3164" w:type="pct"/>
          </w:tcPr>
          <w:p w14:paraId="2B71E0A8" w14:textId="29D1E598" w:rsidR="00E57AE2" w:rsidRPr="00813896" w:rsidRDefault="00F724BA" w:rsidP="00F37E87">
            <w:pPr>
              <w:pStyle w:val="TableTextLeft"/>
              <w:cnfStyle w:val="000000100000" w:firstRow="0" w:lastRow="0" w:firstColumn="0" w:lastColumn="0" w:oddVBand="0" w:evenVBand="0" w:oddHBand="1" w:evenHBand="0" w:firstRowFirstColumn="0" w:firstRowLastColumn="0" w:lastRowFirstColumn="0" w:lastRowLastColumn="0"/>
              <w:rPr>
                <w:rStyle w:val="Emphasis"/>
              </w:rPr>
            </w:pPr>
            <w:r>
              <w:rPr>
                <w:rStyle w:val="Emphasis"/>
              </w:rPr>
              <w:tab/>
            </w:r>
            <w:r>
              <w:rPr>
                <w:rStyle w:val="Emphasis"/>
              </w:rPr>
              <w:tab/>
            </w:r>
            <w:r w:rsidR="00E57AE2" w:rsidRPr="00813896">
              <w:rPr>
                <w:rStyle w:val="Emphasis"/>
              </w:rPr>
              <w:t>Crypto to crypto exchange or swap</w:t>
            </w:r>
          </w:p>
        </w:tc>
        <w:tc>
          <w:tcPr>
            <w:tcW w:w="1102" w:type="pct"/>
          </w:tcPr>
          <w:p w14:paraId="4AC44FA4" w14:textId="7A0AF640" w:rsidR="00E57AE2" w:rsidRPr="00813896" w:rsidRDefault="005216B2" w:rsidP="00F37E87">
            <w:pPr>
              <w:pStyle w:val="TableTextLeft"/>
              <w:cnfStyle w:val="000000100000" w:firstRow="0" w:lastRow="0" w:firstColumn="0" w:lastColumn="0" w:oddVBand="0" w:evenVBand="0" w:oddHBand="1" w:evenHBand="0" w:firstRowFirstColumn="0" w:firstRowLastColumn="0" w:lastRowFirstColumn="0" w:lastRowLastColumn="0"/>
            </w:pPr>
            <w:r w:rsidRPr="00813896">
              <w:t>30 June 2023</w:t>
            </w:r>
          </w:p>
        </w:tc>
      </w:tr>
      <w:tr w:rsidR="00E57AE2" w:rsidRPr="00813896" w14:paraId="2F77F089"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1C18BADC" w14:textId="3E5AB364" w:rsidR="00E57AE2" w:rsidRPr="00813896" w:rsidRDefault="00895C63" w:rsidP="00F37E87">
            <w:pPr>
              <w:pStyle w:val="TableTextLeft"/>
              <w:rPr>
                <w:rStyle w:val="Hyperlink"/>
              </w:rPr>
            </w:pPr>
            <w:hyperlink r:id="rId86" w:history="1">
              <w:r w:rsidR="00E57AE2" w:rsidRPr="00813896">
                <w:rPr>
                  <w:rStyle w:val="Hyperlink"/>
                </w:rPr>
                <w:t>QC 66097</w:t>
              </w:r>
            </w:hyperlink>
          </w:p>
        </w:tc>
        <w:tc>
          <w:tcPr>
            <w:tcW w:w="3164" w:type="pct"/>
          </w:tcPr>
          <w:p w14:paraId="7BC55718" w14:textId="2991B2DA" w:rsidR="00E57AE2" w:rsidRPr="00813896" w:rsidRDefault="00F724BA" w:rsidP="00F37E87">
            <w:pPr>
              <w:pStyle w:val="TableTextLeft"/>
              <w:cnfStyle w:val="000000000000" w:firstRow="0" w:lastRow="0" w:firstColumn="0" w:lastColumn="0" w:oddVBand="0" w:evenVBand="0" w:oddHBand="0" w:evenHBand="0" w:firstRowFirstColumn="0" w:firstRowLastColumn="0" w:lastRowFirstColumn="0" w:lastRowLastColumn="0"/>
              <w:rPr>
                <w:rStyle w:val="Emphasis"/>
              </w:rPr>
            </w:pPr>
            <w:r>
              <w:rPr>
                <w:rStyle w:val="Emphasis"/>
              </w:rPr>
              <w:tab/>
            </w:r>
            <w:r>
              <w:rPr>
                <w:rStyle w:val="Emphasis"/>
              </w:rPr>
              <w:tab/>
            </w:r>
            <w:r w:rsidR="00E57AE2" w:rsidRPr="00813896">
              <w:rPr>
                <w:rStyle w:val="Emphasis"/>
              </w:rPr>
              <w:t>Non</w:t>
            </w:r>
            <w:r w:rsidR="00F75232">
              <w:rPr>
                <w:rStyle w:val="Emphasis"/>
              </w:rPr>
              <w:noBreakHyphen/>
            </w:r>
            <w:r w:rsidR="00E57AE2" w:rsidRPr="00813896">
              <w:rPr>
                <w:rStyle w:val="Emphasis"/>
              </w:rPr>
              <w:t>fungible tokens</w:t>
            </w:r>
          </w:p>
        </w:tc>
        <w:tc>
          <w:tcPr>
            <w:tcW w:w="1102" w:type="pct"/>
          </w:tcPr>
          <w:p w14:paraId="5CAB375E" w14:textId="25AC4033" w:rsidR="00E57AE2" w:rsidRPr="00813896" w:rsidRDefault="005216B2" w:rsidP="00F37E87">
            <w:pPr>
              <w:pStyle w:val="TableTextLeft"/>
              <w:cnfStyle w:val="000000000000" w:firstRow="0" w:lastRow="0" w:firstColumn="0" w:lastColumn="0" w:oddVBand="0" w:evenVBand="0" w:oddHBand="0" w:evenHBand="0" w:firstRowFirstColumn="0" w:firstRowLastColumn="0" w:lastRowFirstColumn="0" w:lastRowLastColumn="0"/>
            </w:pPr>
            <w:r w:rsidRPr="00813896">
              <w:t>30 June 2023</w:t>
            </w:r>
          </w:p>
        </w:tc>
      </w:tr>
      <w:tr w:rsidR="00E57AE2" w:rsidRPr="00FA1A19" w14:paraId="2165338E"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7537404" w14:textId="4D44A7BB" w:rsidR="00E57AE2" w:rsidRPr="00813896" w:rsidRDefault="00895C63" w:rsidP="00F37E87">
            <w:pPr>
              <w:pStyle w:val="TableTextLeft"/>
              <w:rPr>
                <w:rStyle w:val="Hyperlink"/>
              </w:rPr>
            </w:pPr>
            <w:hyperlink r:id="rId87" w:history="1">
              <w:r w:rsidR="00E57AE2" w:rsidRPr="00813896">
                <w:rPr>
                  <w:rStyle w:val="Hyperlink"/>
                </w:rPr>
                <w:t>QC 69950</w:t>
              </w:r>
            </w:hyperlink>
          </w:p>
        </w:tc>
        <w:tc>
          <w:tcPr>
            <w:tcW w:w="3164" w:type="pct"/>
          </w:tcPr>
          <w:p w14:paraId="4796726D" w14:textId="44B3CBE3" w:rsidR="00E57AE2" w:rsidRPr="00813896" w:rsidRDefault="00F724BA" w:rsidP="00F37E87">
            <w:pPr>
              <w:pStyle w:val="TableTextLeft"/>
              <w:cnfStyle w:val="000000100000" w:firstRow="0" w:lastRow="0" w:firstColumn="0" w:lastColumn="0" w:oddVBand="0" w:evenVBand="0" w:oddHBand="1" w:evenHBand="0" w:firstRowFirstColumn="0" w:firstRowLastColumn="0" w:lastRowFirstColumn="0" w:lastRowLastColumn="0"/>
              <w:rPr>
                <w:rStyle w:val="Emphasis"/>
              </w:rPr>
            </w:pPr>
            <w:r>
              <w:rPr>
                <w:rStyle w:val="Emphasis"/>
              </w:rPr>
              <w:tab/>
            </w:r>
            <w:r>
              <w:rPr>
                <w:rStyle w:val="Emphasis"/>
              </w:rPr>
              <w:tab/>
            </w:r>
            <w:r w:rsidR="00E57AE2" w:rsidRPr="00813896">
              <w:rPr>
                <w:rStyle w:val="Emphasis"/>
              </w:rPr>
              <w:t>Staking rewards and airdrops</w:t>
            </w:r>
          </w:p>
        </w:tc>
        <w:tc>
          <w:tcPr>
            <w:tcW w:w="1102" w:type="pct"/>
          </w:tcPr>
          <w:p w14:paraId="71B0A98B" w14:textId="3754950D" w:rsidR="00E57AE2" w:rsidRPr="00813896" w:rsidRDefault="005216B2" w:rsidP="00F37E87">
            <w:pPr>
              <w:pStyle w:val="TableTextLeft"/>
              <w:cnfStyle w:val="000000100000" w:firstRow="0" w:lastRow="0" w:firstColumn="0" w:lastColumn="0" w:oddVBand="0" w:evenVBand="0" w:oddHBand="1" w:evenHBand="0" w:firstRowFirstColumn="0" w:firstRowLastColumn="0" w:lastRowFirstColumn="0" w:lastRowLastColumn="0"/>
            </w:pPr>
            <w:r w:rsidRPr="00813896">
              <w:t>30 June 2023</w:t>
            </w:r>
          </w:p>
        </w:tc>
      </w:tr>
      <w:tr w:rsidR="00860FCA" w:rsidRPr="00FA1A19" w14:paraId="59D6C2C8"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4277A461" w14:textId="63F8DFE3" w:rsidR="00860FCA" w:rsidRPr="00813896" w:rsidRDefault="00895C63" w:rsidP="00F37E87">
            <w:pPr>
              <w:pStyle w:val="TableTextLeft"/>
              <w:rPr>
                <w:rStyle w:val="Hyperlink"/>
              </w:rPr>
            </w:pPr>
            <w:hyperlink r:id="rId88" w:history="1">
              <w:r w:rsidR="00860FCA" w:rsidRPr="00813896">
                <w:rPr>
                  <w:rStyle w:val="Hyperlink"/>
                </w:rPr>
                <w:t>QC 73646</w:t>
              </w:r>
            </w:hyperlink>
          </w:p>
        </w:tc>
        <w:tc>
          <w:tcPr>
            <w:tcW w:w="3164" w:type="pct"/>
          </w:tcPr>
          <w:p w14:paraId="02E9F642" w14:textId="7D5AAF8A" w:rsidR="00860FCA" w:rsidRPr="00813896" w:rsidRDefault="00F724BA" w:rsidP="00F37E87">
            <w:pPr>
              <w:pStyle w:val="TableTextLeft"/>
              <w:cnfStyle w:val="000000000000" w:firstRow="0" w:lastRow="0" w:firstColumn="0" w:lastColumn="0" w:oddVBand="0" w:evenVBand="0" w:oddHBand="0" w:evenHBand="0" w:firstRowFirstColumn="0" w:firstRowLastColumn="0" w:lastRowFirstColumn="0" w:lastRowLastColumn="0"/>
              <w:rPr>
                <w:rStyle w:val="Emphasis"/>
              </w:rPr>
            </w:pPr>
            <w:r>
              <w:rPr>
                <w:rStyle w:val="Emphasis"/>
              </w:rPr>
              <w:tab/>
            </w:r>
            <w:r>
              <w:rPr>
                <w:rStyle w:val="Emphasis"/>
              </w:rPr>
              <w:tab/>
            </w:r>
            <w:r w:rsidR="00860FCA" w:rsidRPr="00813896">
              <w:rPr>
                <w:rStyle w:val="Emphasis"/>
              </w:rPr>
              <w:t>Crypto asset transactions with gift cards or debit cards</w:t>
            </w:r>
          </w:p>
        </w:tc>
        <w:tc>
          <w:tcPr>
            <w:tcW w:w="1102" w:type="pct"/>
          </w:tcPr>
          <w:p w14:paraId="6498ED5C" w14:textId="66300B39" w:rsidR="00860FCA" w:rsidRPr="00813896" w:rsidRDefault="00A851D2" w:rsidP="00F37E87">
            <w:pPr>
              <w:pStyle w:val="TableTextLeft"/>
              <w:cnfStyle w:val="000000000000" w:firstRow="0" w:lastRow="0" w:firstColumn="0" w:lastColumn="0" w:oddVBand="0" w:evenVBand="0" w:oddHBand="0" w:evenHBand="0" w:firstRowFirstColumn="0" w:firstRowLastColumn="0" w:lastRowFirstColumn="0" w:lastRowLastColumn="0"/>
            </w:pPr>
            <w:r w:rsidRPr="00813896">
              <w:t>9 November 2023</w:t>
            </w:r>
          </w:p>
        </w:tc>
      </w:tr>
      <w:tr w:rsidR="00860FCA" w:rsidRPr="00FA1A19" w14:paraId="41849F78"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C68148B" w14:textId="5FA342A6" w:rsidR="00860FCA" w:rsidRPr="00813896" w:rsidRDefault="00895C63" w:rsidP="00F37E87">
            <w:pPr>
              <w:pStyle w:val="TableTextLeft"/>
              <w:rPr>
                <w:rStyle w:val="Hyperlink"/>
              </w:rPr>
            </w:pPr>
            <w:hyperlink r:id="rId89" w:history="1">
              <w:r w:rsidR="00860FCA" w:rsidRPr="00813896">
                <w:rPr>
                  <w:rStyle w:val="Hyperlink"/>
                </w:rPr>
                <w:t>QC 73647</w:t>
              </w:r>
            </w:hyperlink>
          </w:p>
        </w:tc>
        <w:tc>
          <w:tcPr>
            <w:tcW w:w="3164" w:type="pct"/>
          </w:tcPr>
          <w:p w14:paraId="4FE9036B" w14:textId="6222BD2B" w:rsidR="00860FCA" w:rsidRPr="00813896" w:rsidRDefault="00F724BA" w:rsidP="00F37E87">
            <w:pPr>
              <w:pStyle w:val="TableTextLeft"/>
              <w:cnfStyle w:val="000000100000" w:firstRow="0" w:lastRow="0" w:firstColumn="0" w:lastColumn="0" w:oddVBand="0" w:evenVBand="0" w:oddHBand="1" w:evenHBand="0" w:firstRowFirstColumn="0" w:firstRowLastColumn="0" w:lastRowFirstColumn="0" w:lastRowLastColumn="0"/>
              <w:rPr>
                <w:rStyle w:val="Emphasis"/>
              </w:rPr>
            </w:pPr>
            <w:r>
              <w:rPr>
                <w:rStyle w:val="Emphasis"/>
              </w:rPr>
              <w:tab/>
            </w:r>
            <w:r>
              <w:rPr>
                <w:rStyle w:val="Emphasis"/>
              </w:rPr>
              <w:tab/>
            </w:r>
            <w:r w:rsidR="00860FCA" w:rsidRPr="00813896">
              <w:rPr>
                <w:rStyle w:val="Emphasis"/>
              </w:rPr>
              <w:t>Crypto asset prizes and gambling winnings</w:t>
            </w:r>
          </w:p>
        </w:tc>
        <w:tc>
          <w:tcPr>
            <w:tcW w:w="1102" w:type="pct"/>
          </w:tcPr>
          <w:p w14:paraId="3935016E" w14:textId="146F8766" w:rsidR="00860FCA" w:rsidRPr="00FA1A19" w:rsidRDefault="00A851D2" w:rsidP="00F37E87">
            <w:pPr>
              <w:pStyle w:val="TableTextLeft"/>
              <w:cnfStyle w:val="000000100000" w:firstRow="0" w:lastRow="0" w:firstColumn="0" w:lastColumn="0" w:oddVBand="0" w:evenVBand="0" w:oddHBand="1" w:evenHBand="0" w:firstRowFirstColumn="0" w:firstRowLastColumn="0" w:lastRowFirstColumn="0" w:lastRowLastColumn="0"/>
            </w:pPr>
            <w:r w:rsidRPr="00FA1A19">
              <w:t>9 November 2023</w:t>
            </w:r>
          </w:p>
        </w:tc>
      </w:tr>
      <w:tr w:rsidR="00860FCA" w:rsidRPr="00FA1A19" w14:paraId="4BA1B5DC"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17E69583" w14:textId="2F00F200" w:rsidR="00860FCA" w:rsidRPr="00813896" w:rsidRDefault="00895C63" w:rsidP="00F37E87">
            <w:pPr>
              <w:pStyle w:val="TableTextLeft"/>
              <w:rPr>
                <w:rStyle w:val="Hyperlink"/>
              </w:rPr>
            </w:pPr>
            <w:hyperlink r:id="rId90" w:history="1">
              <w:r w:rsidR="00860FCA" w:rsidRPr="00813896">
                <w:rPr>
                  <w:rStyle w:val="Hyperlink"/>
                </w:rPr>
                <w:t>QC 69687</w:t>
              </w:r>
            </w:hyperlink>
          </w:p>
        </w:tc>
        <w:tc>
          <w:tcPr>
            <w:tcW w:w="3164" w:type="pct"/>
          </w:tcPr>
          <w:p w14:paraId="0402910B" w14:textId="77777777" w:rsidR="00860FCA" w:rsidRPr="00813896" w:rsidRDefault="00F724BA" w:rsidP="00F37E87">
            <w:pPr>
              <w:pStyle w:val="TableTextLeft"/>
              <w:cnfStyle w:val="000000000000" w:firstRow="0" w:lastRow="0" w:firstColumn="0" w:lastColumn="0" w:oddVBand="0" w:evenVBand="0" w:oddHBand="0" w:evenHBand="0" w:firstRowFirstColumn="0" w:firstRowLastColumn="0" w:lastRowFirstColumn="0" w:lastRowLastColumn="0"/>
              <w:rPr>
                <w:rStyle w:val="Emphasis"/>
              </w:rPr>
            </w:pPr>
            <w:r>
              <w:rPr>
                <w:rStyle w:val="Emphasis"/>
              </w:rPr>
              <w:tab/>
            </w:r>
            <w:r>
              <w:rPr>
                <w:rStyle w:val="Emphasis"/>
              </w:rPr>
              <w:tab/>
            </w:r>
            <w:r w:rsidR="00860FCA" w:rsidRPr="00813896">
              <w:rPr>
                <w:rStyle w:val="Emphasis"/>
              </w:rPr>
              <w:t>Gifts and donations of crypto assets</w:t>
            </w:r>
          </w:p>
        </w:tc>
        <w:tc>
          <w:tcPr>
            <w:tcW w:w="1102" w:type="pct"/>
          </w:tcPr>
          <w:p w14:paraId="71830D4A" w14:textId="4D5997CD" w:rsidR="00860FCA" w:rsidRPr="00FA1A19" w:rsidRDefault="00A851D2" w:rsidP="00F37E87">
            <w:pPr>
              <w:pStyle w:val="TableTextLeft"/>
              <w:cnfStyle w:val="000000000000" w:firstRow="0" w:lastRow="0" w:firstColumn="0" w:lastColumn="0" w:oddVBand="0" w:evenVBand="0" w:oddHBand="0" w:evenHBand="0" w:firstRowFirstColumn="0" w:firstRowLastColumn="0" w:lastRowFirstColumn="0" w:lastRowLastColumn="0"/>
            </w:pPr>
            <w:r w:rsidRPr="00FA1A19">
              <w:t>30 June 2023</w:t>
            </w:r>
          </w:p>
        </w:tc>
      </w:tr>
      <w:tr w:rsidR="00860FCA" w:rsidRPr="00FA1A19" w14:paraId="0B4DE7B7"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5CA9B02" w14:textId="15D25992" w:rsidR="00860FCA" w:rsidRPr="00813896" w:rsidRDefault="00895C63" w:rsidP="00F37E87">
            <w:pPr>
              <w:pStyle w:val="TableTextLeft"/>
              <w:rPr>
                <w:rStyle w:val="Hyperlink"/>
              </w:rPr>
            </w:pPr>
            <w:hyperlink r:id="rId91" w:history="1">
              <w:r w:rsidR="00860FCA" w:rsidRPr="00813896">
                <w:rPr>
                  <w:rStyle w:val="Hyperlink"/>
                </w:rPr>
                <w:t>QC 69951</w:t>
              </w:r>
            </w:hyperlink>
          </w:p>
        </w:tc>
        <w:tc>
          <w:tcPr>
            <w:tcW w:w="3164" w:type="pct"/>
          </w:tcPr>
          <w:p w14:paraId="18A9464A" w14:textId="34A0A1C9" w:rsidR="00860FCA" w:rsidRPr="00813896" w:rsidRDefault="00F724BA" w:rsidP="00F37E87">
            <w:pPr>
              <w:pStyle w:val="TableTextLeft"/>
              <w:cnfStyle w:val="000000100000" w:firstRow="0" w:lastRow="0" w:firstColumn="0" w:lastColumn="0" w:oddVBand="0" w:evenVBand="0" w:oddHBand="1" w:evenHBand="0" w:firstRowFirstColumn="0" w:firstRowLastColumn="0" w:lastRowFirstColumn="0" w:lastRowLastColumn="0"/>
              <w:rPr>
                <w:rStyle w:val="Emphasis"/>
              </w:rPr>
            </w:pPr>
            <w:r>
              <w:rPr>
                <w:rStyle w:val="Emphasis"/>
              </w:rPr>
              <w:tab/>
            </w:r>
            <w:r>
              <w:rPr>
                <w:rStyle w:val="Emphasis"/>
              </w:rPr>
              <w:tab/>
            </w:r>
            <w:r w:rsidR="00860FCA" w:rsidRPr="00813896">
              <w:rPr>
                <w:rStyle w:val="Emphasis"/>
              </w:rPr>
              <w:t>Loss or theft of crypto assets</w:t>
            </w:r>
          </w:p>
        </w:tc>
        <w:tc>
          <w:tcPr>
            <w:tcW w:w="1102" w:type="pct"/>
          </w:tcPr>
          <w:p w14:paraId="30FA3EF4" w14:textId="138EF461" w:rsidR="00860FCA" w:rsidRPr="00FA1A19" w:rsidRDefault="00A851D2" w:rsidP="00F37E87">
            <w:pPr>
              <w:pStyle w:val="TableTextLeft"/>
              <w:cnfStyle w:val="000000100000" w:firstRow="0" w:lastRow="0" w:firstColumn="0" w:lastColumn="0" w:oddVBand="0" w:evenVBand="0" w:oddHBand="1" w:evenHBand="0" w:firstRowFirstColumn="0" w:firstRowLastColumn="0" w:lastRowFirstColumn="0" w:lastRowLastColumn="0"/>
            </w:pPr>
            <w:r w:rsidRPr="00FA1A19">
              <w:t>30 June 2023</w:t>
            </w:r>
          </w:p>
        </w:tc>
      </w:tr>
      <w:tr w:rsidR="00860FCA" w:rsidRPr="00FA1A19" w14:paraId="0414B1F3"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46BF1F7D" w14:textId="09D05889" w:rsidR="00860FCA" w:rsidRPr="00FA1A19" w:rsidRDefault="00895C63" w:rsidP="00F37E87">
            <w:pPr>
              <w:pStyle w:val="TableTextLeft"/>
            </w:pPr>
            <w:hyperlink r:id="rId92" w:history="1">
              <w:r w:rsidR="00860FCA" w:rsidRPr="00FA1A19">
                <w:rPr>
                  <w:rStyle w:val="Hyperlink"/>
                  <w:rFonts w:cs="Calibri"/>
                </w:rPr>
                <w:t>QC 69952</w:t>
              </w:r>
            </w:hyperlink>
          </w:p>
        </w:tc>
        <w:tc>
          <w:tcPr>
            <w:tcW w:w="3164" w:type="pct"/>
          </w:tcPr>
          <w:p w14:paraId="2D27C73E" w14:textId="5E0F96E4" w:rsidR="00860FCA" w:rsidRPr="00FA1A19" w:rsidRDefault="00F724BA" w:rsidP="00F37E87">
            <w:pPr>
              <w:pStyle w:val="TableTextLeft"/>
              <w:cnfStyle w:val="000000000000" w:firstRow="0" w:lastRow="0" w:firstColumn="0" w:lastColumn="0" w:oddVBand="0" w:evenVBand="0" w:oddHBand="0" w:evenHBand="0" w:firstRowFirstColumn="0" w:firstRowLastColumn="0" w:lastRowFirstColumn="0" w:lastRowLastColumn="0"/>
            </w:pPr>
            <w:r>
              <w:rPr>
                <w:rFonts w:cs="Calibri"/>
              </w:rPr>
              <w:tab/>
            </w:r>
            <w:r w:rsidR="00860FCA" w:rsidRPr="00FA1A19">
              <w:rPr>
                <w:rFonts w:cs="Calibri"/>
              </w:rPr>
              <w:t>How to work out and report CGT on crypto</w:t>
            </w:r>
          </w:p>
        </w:tc>
        <w:tc>
          <w:tcPr>
            <w:tcW w:w="1102" w:type="pct"/>
          </w:tcPr>
          <w:p w14:paraId="6A135E47" w14:textId="3528BADC" w:rsidR="00860FCA" w:rsidRPr="00FA1A19" w:rsidRDefault="0013174D" w:rsidP="00F37E87">
            <w:pPr>
              <w:pStyle w:val="TableTextLeft"/>
              <w:cnfStyle w:val="000000000000" w:firstRow="0" w:lastRow="0" w:firstColumn="0" w:lastColumn="0" w:oddVBand="0" w:evenVBand="0" w:oddHBand="0" w:evenHBand="0" w:firstRowFirstColumn="0" w:firstRowLastColumn="0" w:lastRowFirstColumn="0" w:lastRowLastColumn="0"/>
            </w:pPr>
            <w:r w:rsidRPr="00FA1A19">
              <w:t>30 June 2023</w:t>
            </w:r>
          </w:p>
        </w:tc>
      </w:tr>
      <w:tr w:rsidR="00860FCA" w:rsidRPr="00FA1A19" w14:paraId="2A44C36F"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8FB56D3" w14:textId="410BED7F" w:rsidR="00860FCA" w:rsidRPr="00FA1A19" w:rsidRDefault="00895C63" w:rsidP="00F37E87">
            <w:pPr>
              <w:pStyle w:val="TableTextLeft"/>
            </w:pPr>
            <w:hyperlink r:id="rId93" w:history="1">
              <w:r w:rsidR="00860FCA" w:rsidRPr="00FA1A19">
                <w:rPr>
                  <w:rStyle w:val="Hyperlink"/>
                  <w:rFonts w:cs="Calibri"/>
                </w:rPr>
                <w:t>QC 69953</w:t>
              </w:r>
            </w:hyperlink>
          </w:p>
        </w:tc>
        <w:tc>
          <w:tcPr>
            <w:tcW w:w="3164" w:type="pct"/>
          </w:tcPr>
          <w:p w14:paraId="4D3EA22F" w14:textId="08C42FAE" w:rsidR="00860FCA" w:rsidRPr="00FA1A19" w:rsidRDefault="00F724BA" w:rsidP="00F37E87">
            <w:pPr>
              <w:pStyle w:val="TableTextLeft"/>
              <w:cnfStyle w:val="000000100000" w:firstRow="0" w:lastRow="0" w:firstColumn="0" w:lastColumn="0" w:oddVBand="0" w:evenVBand="0" w:oddHBand="1" w:evenHBand="0" w:firstRowFirstColumn="0" w:firstRowLastColumn="0" w:lastRowFirstColumn="0" w:lastRowLastColumn="0"/>
            </w:pPr>
            <w:r>
              <w:rPr>
                <w:rFonts w:cs="Calibri"/>
              </w:rPr>
              <w:tab/>
            </w:r>
            <w:r w:rsidR="00860FCA" w:rsidRPr="00FA1A19">
              <w:rPr>
                <w:rFonts w:cs="Calibri"/>
              </w:rPr>
              <w:t>Crypto chain splits</w:t>
            </w:r>
          </w:p>
        </w:tc>
        <w:tc>
          <w:tcPr>
            <w:tcW w:w="1102" w:type="pct"/>
          </w:tcPr>
          <w:p w14:paraId="76E0D47D" w14:textId="66442ECA" w:rsidR="00860FCA" w:rsidRPr="00FA1A19" w:rsidRDefault="0013174D" w:rsidP="00F37E87">
            <w:pPr>
              <w:pStyle w:val="TableTextLeft"/>
              <w:cnfStyle w:val="000000100000" w:firstRow="0" w:lastRow="0" w:firstColumn="0" w:lastColumn="0" w:oddVBand="0" w:evenVBand="0" w:oddHBand="1" w:evenHBand="0" w:firstRowFirstColumn="0" w:firstRowLastColumn="0" w:lastRowFirstColumn="0" w:lastRowLastColumn="0"/>
            </w:pPr>
            <w:r w:rsidRPr="00FA1A19">
              <w:t>30 June 2023</w:t>
            </w:r>
          </w:p>
        </w:tc>
      </w:tr>
      <w:tr w:rsidR="00860FCA" w:rsidRPr="00FA1A19" w14:paraId="1E50711A"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2B0A5543" w14:textId="310070A5" w:rsidR="00860FCA" w:rsidRPr="00FA1A19" w:rsidRDefault="00895C63" w:rsidP="00F37E87">
            <w:pPr>
              <w:pStyle w:val="TableTextLeft"/>
            </w:pPr>
            <w:hyperlink r:id="rId94" w:history="1">
              <w:r w:rsidR="00860FCA" w:rsidRPr="00FA1A19">
                <w:rPr>
                  <w:rStyle w:val="Hyperlink"/>
                  <w:rFonts w:cs="Calibri"/>
                </w:rPr>
                <w:t>QC 69954</w:t>
              </w:r>
            </w:hyperlink>
          </w:p>
        </w:tc>
        <w:tc>
          <w:tcPr>
            <w:tcW w:w="3164" w:type="pct"/>
          </w:tcPr>
          <w:p w14:paraId="4675C04F" w14:textId="765B0358" w:rsidR="00860FCA" w:rsidRPr="00FA1A19" w:rsidRDefault="00F724BA" w:rsidP="00F37E87">
            <w:pPr>
              <w:pStyle w:val="TableTextLeft"/>
              <w:cnfStyle w:val="000000000000" w:firstRow="0" w:lastRow="0" w:firstColumn="0" w:lastColumn="0" w:oddVBand="0" w:evenVBand="0" w:oddHBand="0" w:evenHBand="0" w:firstRowFirstColumn="0" w:firstRowLastColumn="0" w:lastRowFirstColumn="0" w:lastRowLastColumn="0"/>
            </w:pPr>
            <w:r>
              <w:rPr>
                <w:rFonts w:cs="Calibri"/>
              </w:rPr>
              <w:tab/>
            </w:r>
            <w:r w:rsidR="00860FCA" w:rsidRPr="00FA1A19">
              <w:rPr>
                <w:rFonts w:cs="Calibri"/>
              </w:rPr>
              <w:t>Crypto asset as a personal use asset</w:t>
            </w:r>
          </w:p>
        </w:tc>
        <w:tc>
          <w:tcPr>
            <w:tcW w:w="1102" w:type="pct"/>
          </w:tcPr>
          <w:p w14:paraId="2E5F6FCA" w14:textId="21DF9871" w:rsidR="00860FCA" w:rsidRPr="00FA1A19" w:rsidRDefault="0013174D" w:rsidP="00F37E87">
            <w:pPr>
              <w:pStyle w:val="TableTextLeft"/>
              <w:cnfStyle w:val="000000000000" w:firstRow="0" w:lastRow="0" w:firstColumn="0" w:lastColumn="0" w:oddVBand="0" w:evenVBand="0" w:oddHBand="0" w:evenHBand="0" w:firstRowFirstColumn="0" w:firstRowLastColumn="0" w:lastRowFirstColumn="0" w:lastRowLastColumn="0"/>
            </w:pPr>
            <w:r w:rsidRPr="00FA1A19">
              <w:t>9 November 2023</w:t>
            </w:r>
          </w:p>
        </w:tc>
      </w:tr>
      <w:tr w:rsidR="00860FCA" w:rsidRPr="00FA1A19" w14:paraId="1629DFB3"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F0FA852" w14:textId="77449A4F" w:rsidR="00860FCA" w:rsidRPr="00FA1A19" w:rsidRDefault="00895C63" w:rsidP="00F37E87">
            <w:pPr>
              <w:pStyle w:val="TableTextLeft"/>
            </w:pPr>
            <w:hyperlink r:id="rId95" w:history="1">
              <w:r w:rsidR="00860FCA" w:rsidRPr="00FA1A19">
                <w:rPr>
                  <w:rStyle w:val="Hyperlink"/>
                  <w:rFonts w:cs="Calibri"/>
                </w:rPr>
                <w:t>QC 73649</w:t>
              </w:r>
            </w:hyperlink>
          </w:p>
        </w:tc>
        <w:tc>
          <w:tcPr>
            <w:tcW w:w="3164" w:type="pct"/>
          </w:tcPr>
          <w:p w14:paraId="66B91C44" w14:textId="56BABE0E" w:rsidR="00860FCA" w:rsidRPr="00FA1A19" w:rsidRDefault="00F724BA" w:rsidP="00F37E87">
            <w:pPr>
              <w:pStyle w:val="TableTextLeft"/>
              <w:cnfStyle w:val="000000100000" w:firstRow="0" w:lastRow="0" w:firstColumn="0" w:lastColumn="0" w:oddVBand="0" w:evenVBand="0" w:oddHBand="1" w:evenHBand="0" w:firstRowFirstColumn="0" w:firstRowLastColumn="0" w:lastRowFirstColumn="0" w:lastRowLastColumn="0"/>
            </w:pPr>
            <w:r>
              <w:rPr>
                <w:rFonts w:cs="Calibri"/>
              </w:rPr>
              <w:tab/>
            </w:r>
            <w:r w:rsidR="00860FCA" w:rsidRPr="00FA1A19">
              <w:rPr>
                <w:rFonts w:cs="Calibri"/>
              </w:rPr>
              <w:t>Decentralised finance and wrapping crypto</w:t>
            </w:r>
          </w:p>
        </w:tc>
        <w:tc>
          <w:tcPr>
            <w:tcW w:w="1102" w:type="pct"/>
          </w:tcPr>
          <w:p w14:paraId="667E4BAB" w14:textId="259EC81E" w:rsidR="00860FCA" w:rsidRPr="00FA1A19" w:rsidRDefault="0013174D" w:rsidP="00F37E87">
            <w:pPr>
              <w:pStyle w:val="TableTextLeft"/>
              <w:cnfStyle w:val="000000100000" w:firstRow="0" w:lastRow="0" w:firstColumn="0" w:lastColumn="0" w:oddVBand="0" w:evenVBand="0" w:oddHBand="1" w:evenHBand="0" w:firstRowFirstColumn="0" w:firstRowLastColumn="0" w:lastRowFirstColumn="0" w:lastRowLastColumn="0"/>
            </w:pPr>
            <w:r w:rsidRPr="00FA1A19">
              <w:t>9 November 2023</w:t>
            </w:r>
          </w:p>
        </w:tc>
      </w:tr>
      <w:tr w:rsidR="0067552F" w:rsidRPr="00FA1A19" w14:paraId="0E623B4F"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5F77A42D" w14:textId="642CB669" w:rsidR="0067552F" w:rsidRPr="00FA1A19" w:rsidRDefault="00895C63" w:rsidP="00F37E87">
            <w:pPr>
              <w:pStyle w:val="TableTextLeft"/>
            </w:pPr>
            <w:hyperlink r:id="rId96" w:history="1">
              <w:r w:rsidR="0067552F" w:rsidRPr="00FA1A19">
                <w:rPr>
                  <w:rStyle w:val="Hyperlink"/>
                  <w:rFonts w:cs="Calibri"/>
                </w:rPr>
                <w:t>QC 69955</w:t>
              </w:r>
            </w:hyperlink>
          </w:p>
        </w:tc>
        <w:tc>
          <w:tcPr>
            <w:tcW w:w="3164" w:type="pct"/>
          </w:tcPr>
          <w:p w14:paraId="0BE23D80" w14:textId="6B318AC2" w:rsidR="0067552F" w:rsidRPr="00FA1A19" w:rsidRDefault="00F724BA" w:rsidP="00F37E87">
            <w:pPr>
              <w:pStyle w:val="TableTextLeft"/>
              <w:cnfStyle w:val="000000000000" w:firstRow="0" w:lastRow="0" w:firstColumn="0" w:lastColumn="0" w:oddVBand="0" w:evenVBand="0" w:oddHBand="0" w:evenHBand="0" w:firstRowFirstColumn="0" w:firstRowLastColumn="0" w:lastRowFirstColumn="0" w:lastRowLastColumn="0"/>
            </w:pPr>
            <w:r>
              <w:rPr>
                <w:rFonts w:cs="Calibri"/>
              </w:rPr>
              <w:tab/>
            </w:r>
            <w:r w:rsidR="0067552F" w:rsidRPr="00FA1A19">
              <w:rPr>
                <w:rFonts w:cs="Calibri"/>
              </w:rPr>
              <w:t>Keeping crypto records</w:t>
            </w:r>
          </w:p>
        </w:tc>
        <w:tc>
          <w:tcPr>
            <w:tcW w:w="1102" w:type="pct"/>
          </w:tcPr>
          <w:p w14:paraId="015E013D" w14:textId="1A795B94" w:rsidR="0067552F" w:rsidRPr="00FA1A19" w:rsidRDefault="0067552F" w:rsidP="00F37E87">
            <w:pPr>
              <w:pStyle w:val="TableTextLeft"/>
              <w:cnfStyle w:val="000000000000" w:firstRow="0" w:lastRow="0" w:firstColumn="0" w:lastColumn="0" w:oddVBand="0" w:evenVBand="0" w:oddHBand="0" w:evenHBand="0" w:firstRowFirstColumn="0" w:firstRowLastColumn="0" w:lastRowFirstColumn="0" w:lastRowLastColumn="0"/>
            </w:pPr>
            <w:r w:rsidRPr="00FA1A19">
              <w:t>30 June 2023</w:t>
            </w:r>
          </w:p>
        </w:tc>
      </w:tr>
      <w:tr w:rsidR="0067552F" w:rsidRPr="00FA1A19" w14:paraId="4AFE9AB4"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5AEAA2C" w14:textId="66BDC58E" w:rsidR="0067552F" w:rsidRPr="00FA1A19" w:rsidRDefault="00895C63" w:rsidP="00F37E87">
            <w:pPr>
              <w:pStyle w:val="TableTextLeft"/>
            </w:pPr>
            <w:hyperlink r:id="rId97" w:history="1">
              <w:r w:rsidR="0067552F" w:rsidRPr="00FA1A19">
                <w:rPr>
                  <w:rStyle w:val="Hyperlink"/>
                  <w:rFonts w:cs="Calibri"/>
                </w:rPr>
                <w:t>QC 69956</w:t>
              </w:r>
            </w:hyperlink>
          </w:p>
        </w:tc>
        <w:tc>
          <w:tcPr>
            <w:tcW w:w="3164" w:type="pct"/>
          </w:tcPr>
          <w:p w14:paraId="68C32343" w14:textId="36C9612F" w:rsidR="0067552F" w:rsidRPr="00FA1A19" w:rsidRDefault="00F724BA" w:rsidP="00F37E87">
            <w:pPr>
              <w:pStyle w:val="TableTextLeft"/>
              <w:cnfStyle w:val="000000100000" w:firstRow="0" w:lastRow="0" w:firstColumn="0" w:lastColumn="0" w:oddVBand="0" w:evenVBand="0" w:oddHBand="1" w:evenHBand="0" w:firstRowFirstColumn="0" w:firstRowLastColumn="0" w:lastRowFirstColumn="0" w:lastRowLastColumn="0"/>
            </w:pPr>
            <w:r>
              <w:rPr>
                <w:rFonts w:cs="Calibri"/>
              </w:rPr>
              <w:tab/>
            </w:r>
            <w:r w:rsidR="0067552F" w:rsidRPr="00FA1A19">
              <w:rPr>
                <w:rFonts w:cs="Calibri"/>
              </w:rPr>
              <w:t>Crypto assets glossary</w:t>
            </w:r>
          </w:p>
        </w:tc>
        <w:tc>
          <w:tcPr>
            <w:tcW w:w="1102" w:type="pct"/>
          </w:tcPr>
          <w:p w14:paraId="212CB3E8" w14:textId="69B16087" w:rsidR="0067552F" w:rsidRPr="00FA1A19" w:rsidRDefault="0067552F" w:rsidP="00F37E87">
            <w:pPr>
              <w:pStyle w:val="TableTextLeft"/>
              <w:cnfStyle w:val="000000100000" w:firstRow="0" w:lastRow="0" w:firstColumn="0" w:lastColumn="0" w:oddVBand="0" w:evenVBand="0" w:oddHBand="1" w:evenHBand="0" w:firstRowFirstColumn="0" w:firstRowLastColumn="0" w:lastRowFirstColumn="0" w:lastRowLastColumn="0"/>
            </w:pPr>
            <w:r w:rsidRPr="00FA1A19">
              <w:t>30 June 2023</w:t>
            </w:r>
          </w:p>
        </w:tc>
      </w:tr>
      <w:tr w:rsidR="0067552F" w:rsidRPr="00FA1A19" w14:paraId="50B3A5B7"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2481D9E9" w14:textId="3A583148" w:rsidR="0067552F" w:rsidRPr="00FA1A19" w:rsidRDefault="00895C63" w:rsidP="00F37E87">
            <w:pPr>
              <w:pStyle w:val="TableTextLeft"/>
              <w:rPr>
                <w:b w:val="0"/>
                <w:bCs w:val="0"/>
              </w:rPr>
            </w:pPr>
            <w:hyperlink r:id="rId98" w:history="1">
              <w:r w:rsidR="0067552F" w:rsidRPr="00FA1A19">
                <w:rPr>
                  <w:rStyle w:val="Hyperlink"/>
                  <w:rFonts w:cs="Calibri"/>
                </w:rPr>
                <w:t xml:space="preserve">QC </w:t>
              </w:r>
              <w:r w:rsidR="00FB62B7" w:rsidRPr="00FA1A19">
                <w:rPr>
                  <w:rStyle w:val="Hyperlink"/>
                  <w:rFonts w:cs="Calibri"/>
                </w:rPr>
                <w:t>54800</w:t>
              </w:r>
            </w:hyperlink>
          </w:p>
        </w:tc>
        <w:tc>
          <w:tcPr>
            <w:tcW w:w="3164" w:type="pct"/>
          </w:tcPr>
          <w:p w14:paraId="2491966A" w14:textId="34C0633E" w:rsidR="0067552F" w:rsidRPr="00F37E87" w:rsidRDefault="0067552F" w:rsidP="00F37E87">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F37E87">
              <w:rPr>
                <w:rStyle w:val="Strong"/>
              </w:rPr>
              <w:t>SMSF investing in crypto assets</w:t>
            </w:r>
          </w:p>
        </w:tc>
        <w:tc>
          <w:tcPr>
            <w:tcW w:w="1102" w:type="pct"/>
          </w:tcPr>
          <w:p w14:paraId="00442106" w14:textId="28C58D3A" w:rsidR="0067552F" w:rsidRPr="00FA1A19" w:rsidRDefault="00E10901" w:rsidP="00F37E87">
            <w:pPr>
              <w:pStyle w:val="TableTextLeft"/>
              <w:cnfStyle w:val="000000000000" w:firstRow="0" w:lastRow="0" w:firstColumn="0" w:lastColumn="0" w:oddVBand="0" w:evenVBand="0" w:oddHBand="0" w:evenHBand="0" w:firstRowFirstColumn="0" w:firstRowLastColumn="0" w:lastRowFirstColumn="0" w:lastRowLastColumn="0"/>
            </w:pPr>
            <w:r w:rsidRPr="00FA1A19">
              <w:t>29 June 2022</w:t>
            </w:r>
          </w:p>
        </w:tc>
      </w:tr>
      <w:tr w:rsidR="00E03A16" w:rsidRPr="00FA1A19" w14:paraId="373E4CC5"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82EA30F" w14:textId="5657AF7B" w:rsidR="00E03A16" w:rsidRPr="00FA1A19" w:rsidRDefault="00895C63" w:rsidP="00F37E87">
            <w:pPr>
              <w:pStyle w:val="TableTextLeft"/>
              <w:rPr>
                <w:b w:val="0"/>
                <w:bCs w:val="0"/>
              </w:rPr>
            </w:pPr>
            <w:hyperlink r:id="rId99" w:history="1">
              <w:r w:rsidR="00E03A16" w:rsidRPr="00FA1A19">
                <w:rPr>
                  <w:rStyle w:val="Hyperlink"/>
                </w:rPr>
                <w:t>QC 70925</w:t>
              </w:r>
            </w:hyperlink>
          </w:p>
        </w:tc>
        <w:tc>
          <w:tcPr>
            <w:tcW w:w="3164" w:type="pct"/>
          </w:tcPr>
          <w:p w14:paraId="10324C52" w14:textId="53F34A5E" w:rsidR="00E03A16" w:rsidRPr="00F37E87" w:rsidRDefault="00E03A16" w:rsidP="00F37E87">
            <w:pPr>
              <w:pStyle w:val="TableTextLeft"/>
              <w:cnfStyle w:val="000000100000" w:firstRow="0" w:lastRow="0" w:firstColumn="0" w:lastColumn="0" w:oddVBand="0" w:evenVBand="0" w:oddHBand="1" w:evenHBand="0" w:firstRowFirstColumn="0" w:firstRowLastColumn="0" w:lastRowFirstColumn="0" w:lastRowLastColumn="0"/>
              <w:rPr>
                <w:rStyle w:val="Strong"/>
              </w:rPr>
            </w:pPr>
            <w:r w:rsidRPr="00F37E87">
              <w:rPr>
                <w:rStyle w:val="Strong"/>
              </w:rPr>
              <w:t>Crypto assets and business</w:t>
            </w:r>
          </w:p>
        </w:tc>
        <w:tc>
          <w:tcPr>
            <w:tcW w:w="1102" w:type="pct"/>
          </w:tcPr>
          <w:p w14:paraId="74A69F68" w14:textId="77777777" w:rsidR="00E03A16" w:rsidRPr="00FA1A19" w:rsidRDefault="00E03A16" w:rsidP="00F37E87">
            <w:pPr>
              <w:pStyle w:val="TableTextLeft"/>
              <w:cnfStyle w:val="000000100000" w:firstRow="0" w:lastRow="0" w:firstColumn="0" w:lastColumn="0" w:oddVBand="0" w:evenVBand="0" w:oddHBand="1" w:evenHBand="0" w:firstRowFirstColumn="0" w:firstRowLastColumn="0" w:lastRowFirstColumn="0" w:lastRowLastColumn="0"/>
            </w:pPr>
          </w:p>
        </w:tc>
      </w:tr>
      <w:tr w:rsidR="00A67CB0" w:rsidRPr="00FA1A19" w14:paraId="16A86A08"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16E942B6" w14:textId="6467654E" w:rsidR="00A67CB0" w:rsidRPr="00FA1A19" w:rsidRDefault="00895C63" w:rsidP="00F37E87">
            <w:pPr>
              <w:pStyle w:val="TableTextLeft"/>
            </w:pPr>
            <w:hyperlink r:id="rId100" w:history="1">
              <w:r w:rsidR="00A67CB0" w:rsidRPr="00FA1A19">
                <w:rPr>
                  <w:rStyle w:val="Hyperlink"/>
                  <w:rFonts w:cs="Calibri"/>
                </w:rPr>
                <w:t>QC 69963</w:t>
              </w:r>
            </w:hyperlink>
          </w:p>
        </w:tc>
        <w:tc>
          <w:tcPr>
            <w:tcW w:w="3164" w:type="pct"/>
          </w:tcPr>
          <w:p w14:paraId="0DB11131" w14:textId="55C6844F" w:rsidR="00A67CB0" w:rsidRPr="00FA1A19" w:rsidRDefault="00F724BA" w:rsidP="00F37E87">
            <w:pPr>
              <w:pStyle w:val="TableTextLeft"/>
              <w:cnfStyle w:val="000000000000" w:firstRow="0" w:lastRow="0" w:firstColumn="0" w:lastColumn="0" w:oddVBand="0" w:evenVBand="0" w:oddHBand="0" w:evenHBand="0" w:firstRowFirstColumn="0" w:firstRowLastColumn="0" w:lastRowFirstColumn="0" w:lastRowLastColumn="0"/>
            </w:pPr>
            <w:r>
              <w:rPr>
                <w:rFonts w:cs="Calibri"/>
              </w:rPr>
              <w:tab/>
            </w:r>
            <w:r w:rsidR="00A67CB0" w:rsidRPr="00FA1A19">
              <w:rPr>
                <w:rFonts w:cs="Calibri"/>
              </w:rPr>
              <w:t>Crypto assets used in business</w:t>
            </w:r>
          </w:p>
        </w:tc>
        <w:tc>
          <w:tcPr>
            <w:tcW w:w="1102" w:type="pct"/>
          </w:tcPr>
          <w:p w14:paraId="5CED4CCE" w14:textId="14A9D797" w:rsidR="00A67CB0" w:rsidRPr="00FA1A19" w:rsidRDefault="00A67CB0" w:rsidP="00F37E87">
            <w:pPr>
              <w:pStyle w:val="TableTextLeft"/>
              <w:cnfStyle w:val="000000000000" w:firstRow="0" w:lastRow="0" w:firstColumn="0" w:lastColumn="0" w:oddVBand="0" w:evenVBand="0" w:oddHBand="0" w:evenHBand="0" w:firstRowFirstColumn="0" w:firstRowLastColumn="0" w:lastRowFirstColumn="0" w:lastRowLastColumn="0"/>
            </w:pPr>
            <w:r w:rsidRPr="00FA1A19">
              <w:t>29 June 2022</w:t>
            </w:r>
          </w:p>
        </w:tc>
      </w:tr>
      <w:tr w:rsidR="00E03A16" w:rsidRPr="00FA1A19" w14:paraId="2B9C7341"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7D042AD" w14:textId="34CD0628" w:rsidR="00E03A16" w:rsidRPr="00FA1A19" w:rsidRDefault="00E03A16" w:rsidP="00F37E87">
            <w:pPr>
              <w:pStyle w:val="TableTextLeft"/>
              <w:rPr>
                <w:rFonts w:cs="Calibri"/>
              </w:rPr>
            </w:pPr>
            <w:r w:rsidRPr="00FA1A19">
              <w:rPr>
                <w:rFonts w:cs="Calibri"/>
              </w:rPr>
              <w:t xml:space="preserve">QC </w:t>
            </w:r>
            <w:r w:rsidR="008C2D98" w:rsidRPr="00FA1A19">
              <w:rPr>
                <w:rFonts w:cs="Calibri"/>
              </w:rPr>
              <w:t>70926</w:t>
            </w:r>
          </w:p>
        </w:tc>
        <w:tc>
          <w:tcPr>
            <w:tcW w:w="3164" w:type="pct"/>
          </w:tcPr>
          <w:p w14:paraId="4B9AC8C7" w14:textId="4DB127C8" w:rsidR="00E03A16" w:rsidRPr="00FA1A19" w:rsidRDefault="00F724BA" w:rsidP="00F37E87">
            <w:pPr>
              <w:pStyle w:val="TableTextLeft"/>
              <w:cnfStyle w:val="000000100000" w:firstRow="0" w:lastRow="0" w:firstColumn="0" w:lastColumn="0" w:oddVBand="0" w:evenVBand="0" w:oddHBand="1" w:evenHBand="0" w:firstRowFirstColumn="0" w:firstRowLastColumn="0" w:lastRowFirstColumn="0" w:lastRowLastColumn="0"/>
              <w:rPr>
                <w:rFonts w:cs="Calibri"/>
              </w:rPr>
            </w:pPr>
            <w:r>
              <w:rPr>
                <w:rFonts w:cs="Calibri"/>
              </w:rPr>
              <w:tab/>
            </w:r>
            <w:r w:rsidR="008C2D98" w:rsidRPr="00FA1A19">
              <w:rPr>
                <w:rFonts w:cs="Calibri"/>
              </w:rPr>
              <w:t>Crypto mining</w:t>
            </w:r>
          </w:p>
        </w:tc>
        <w:tc>
          <w:tcPr>
            <w:tcW w:w="1102" w:type="pct"/>
          </w:tcPr>
          <w:p w14:paraId="0C1563A5" w14:textId="682C141A" w:rsidR="00E03A16" w:rsidRPr="00FA1A19" w:rsidRDefault="008C2D98" w:rsidP="00F37E87">
            <w:pPr>
              <w:pStyle w:val="TableTextLeft"/>
              <w:cnfStyle w:val="000000100000" w:firstRow="0" w:lastRow="0" w:firstColumn="0" w:lastColumn="0" w:oddVBand="0" w:evenVBand="0" w:oddHBand="1" w:evenHBand="0" w:firstRowFirstColumn="0" w:firstRowLastColumn="0" w:lastRowFirstColumn="0" w:lastRowLastColumn="0"/>
            </w:pPr>
            <w:r w:rsidRPr="00FA1A19">
              <w:t>18 November 2022</w:t>
            </w:r>
          </w:p>
        </w:tc>
      </w:tr>
      <w:tr w:rsidR="00A67CB0" w:rsidRPr="00FA1A19" w14:paraId="5F02CF19"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55F87DA9" w14:textId="6DA64C7B" w:rsidR="00A67CB0" w:rsidRPr="00FA1A19" w:rsidRDefault="00895C63" w:rsidP="00F37E87">
            <w:pPr>
              <w:pStyle w:val="TableTextLeft"/>
              <w:rPr>
                <w:b w:val="0"/>
                <w:bCs w:val="0"/>
              </w:rPr>
            </w:pPr>
            <w:hyperlink r:id="rId101" w:history="1">
              <w:r w:rsidR="00A67CB0" w:rsidRPr="00FA1A19">
                <w:rPr>
                  <w:rStyle w:val="Hyperlink"/>
                  <w:rFonts w:cs="Calibri"/>
                </w:rPr>
                <w:t>QC 65885</w:t>
              </w:r>
            </w:hyperlink>
          </w:p>
        </w:tc>
        <w:tc>
          <w:tcPr>
            <w:tcW w:w="3164" w:type="pct"/>
          </w:tcPr>
          <w:p w14:paraId="38F9A48C" w14:textId="68D5FD5C" w:rsidR="00A67CB0" w:rsidRPr="00F37E87" w:rsidRDefault="00A67CB0" w:rsidP="00F37E87">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F37E87">
              <w:rPr>
                <w:rStyle w:val="Strong"/>
              </w:rPr>
              <w:t>Crypto assets 2014–15 to 2022</w:t>
            </w:r>
            <w:r w:rsidR="00BC3F14">
              <w:rPr>
                <w:rStyle w:val="Strong"/>
              </w:rPr>
              <w:t>–</w:t>
            </w:r>
            <w:r w:rsidRPr="00F37E87">
              <w:rPr>
                <w:rStyle w:val="Strong"/>
              </w:rPr>
              <w:t>23 data</w:t>
            </w:r>
            <w:r w:rsidR="00F75232">
              <w:rPr>
                <w:rStyle w:val="Strong"/>
              </w:rPr>
              <w:noBreakHyphen/>
            </w:r>
            <w:r w:rsidRPr="00F37E87">
              <w:rPr>
                <w:rStyle w:val="Strong"/>
              </w:rPr>
              <w:t>matching program protocol</w:t>
            </w:r>
          </w:p>
        </w:tc>
        <w:tc>
          <w:tcPr>
            <w:tcW w:w="1102" w:type="pct"/>
          </w:tcPr>
          <w:p w14:paraId="5C2A54C4" w14:textId="17EC6443" w:rsidR="00A67CB0" w:rsidRPr="00FA1A19" w:rsidRDefault="00A67CB0" w:rsidP="00F37E87">
            <w:pPr>
              <w:pStyle w:val="TableTextLeft"/>
              <w:cnfStyle w:val="000000000000" w:firstRow="0" w:lastRow="0" w:firstColumn="0" w:lastColumn="0" w:oddVBand="0" w:evenVBand="0" w:oddHBand="0" w:evenHBand="0" w:firstRowFirstColumn="0" w:firstRowLastColumn="0" w:lastRowFirstColumn="0" w:lastRowLastColumn="0"/>
            </w:pPr>
            <w:r w:rsidRPr="00FA1A19">
              <w:t>29 June 2022</w:t>
            </w:r>
          </w:p>
        </w:tc>
      </w:tr>
      <w:tr w:rsidR="00A67CB0" w:rsidRPr="00FA1A19" w14:paraId="37EAD19B"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9CFE181" w14:textId="1FD10126" w:rsidR="00A67CB0" w:rsidRPr="00FA1A19" w:rsidRDefault="00895C63" w:rsidP="00F37E87">
            <w:pPr>
              <w:pStyle w:val="TableTextLeft"/>
              <w:rPr>
                <w:b w:val="0"/>
                <w:bCs w:val="0"/>
              </w:rPr>
            </w:pPr>
            <w:hyperlink r:id="rId102" w:history="1">
              <w:r w:rsidR="00A67CB0" w:rsidRPr="00FA1A19">
                <w:rPr>
                  <w:rStyle w:val="Hyperlink"/>
                  <w:rFonts w:cs="Calibri"/>
                </w:rPr>
                <w:t>N/A</w:t>
              </w:r>
            </w:hyperlink>
          </w:p>
        </w:tc>
        <w:tc>
          <w:tcPr>
            <w:tcW w:w="3164" w:type="pct"/>
          </w:tcPr>
          <w:p w14:paraId="070AC92A" w14:textId="00287CB5" w:rsidR="00A67CB0" w:rsidRPr="00F37E87" w:rsidRDefault="00A67CB0" w:rsidP="00F37E87">
            <w:pPr>
              <w:pStyle w:val="TableTextLeft"/>
              <w:cnfStyle w:val="000000100000" w:firstRow="0" w:lastRow="0" w:firstColumn="0" w:lastColumn="0" w:oddVBand="0" w:evenVBand="0" w:oddHBand="1" w:evenHBand="0" w:firstRowFirstColumn="0" w:firstRowLastColumn="0" w:lastRowFirstColumn="0" w:lastRowLastColumn="0"/>
              <w:rPr>
                <w:rStyle w:val="Strong"/>
              </w:rPr>
            </w:pPr>
            <w:r w:rsidRPr="00F37E87">
              <w:rPr>
                <w:rStyle w:val="Strong"/>
              </w:rPr>
              <w:t>Tax smart tips for your cryptocurrency investments</w:t>
            </w:r>
          </w:p>
        </w:tc>
        <w:tc>
          <w:tcPr>
            <w:tcW w:w="1102" w:type="pct"/>
          </w:tcPr>
          <w:p w14:paraId="43D405AF" w14:textId="77777777" w:rsidR="00A67CB0" w:rsidRPr="00FA1A19" w:rsidRDefault="00A67CB0" w:rsidP="00F37E87">
            <w:pPr>
              <w:pStyle w:val="TableTextLeft"/>
              <w:cnfStyle w:val="000000100000" w:firstRow="0" w:lastRow="0" w:firstColumn="0" w:lastColumn="0" w:oddVBand="0" w:evenVBand="0" w:oddHBand="1" w:evenHBand="0" w:firstRowFirstColumn="0" w:firstRowLastColumn="0" w:lastRowFirstColumn="0" w:lastRowLastColumn="0"/>
            </w:pPr>
          </w:p>
        </w:tc>
      </w:tr>
      <w:tr w:rsidR="00A67CB0" w:rsidRPr="00FA1A19" w14:paraId="7B8C459E"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467808A4" w14:textId="72468AAE" w:rsidR="00A67CB0" w:rsidRPr="00FA1A19" w:rsidRDefault="00895C63" w:rsidP="00F37E87">
            <w:pPr>
              <w:pStyle w:val="TableTextLeft"/>
              <w:rPr>
                <w:b w:val="0"/>
                <w:bCs w:val="0"/>
              </w:rPr>
            </w:pPr>
            <w:hyperlink r:id="rId103" w:history="1">
              <w:r w:rsidR="00A67CB0" w:rsidRPr="00FA1A19">
                <w:rPr>
                  <w:rStyle w:val="Hyperlink"/>
                  <w:rFonts w:cs="Calibri"/>
                </w:rPr>
                <w:t>QC 72970</w:t>
              </w:r>
            </w:hyperlink>
          </w:p>
        </w:tc>
        <w:tc>
          <w:tcPr>
            <w:tcW w:w="3164" w:type="pct"/>
          </w:tcPr>
          <w:p w14:paraId="05F0538C" w14:textId="67EFDAB8" w:rsidR="00A67CB0" w:rsidRPr="00F37E87" w:rsidRDefault="00A67CB0" w:rsidP="00F37E87">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F37E87">
              <w:rPr>
                <w:rStyle w:val="Strong"/>
              </w:rPr>
              <w:t>GST and crypto assets</w:t>
            </w:r>
          </w:p>
        </w:tc>
        <w:tc>
          <w:tcPr>
            <w:tcW w:w="1102" w:type="pct"/>
          </w:tcPr>
          <w:p w14:paraId="6FC1DEC6" w14:textId="385F2CF6" w:rsidR="00A67CB0" w:rsidRPr="00FA1A19" w:rsidRDefault="00A67CB0" w:rsidP="00F37E87">
            <w:pPr>
              <w:pStyle w:val="TableTextLeft"/>
              <w:cnfStyle w:val="000000000000" w:firstRow="0" w:lastRow="0" w:firstColumn="0" w:lastColumn="0" w:oddVBand="0" w:evenVBand="0" w:oddHBand="0" w:evenHBand="0" w:firstRowFirstColumn="0" w:firstRowLastColumn="0" w:lastRowFirstColumn="0" w:lastRowLastColumn="0"/>
            </w:pPr>
          </w:p>
        </w:tc>
      </w:tr>
      <w:tr w:rsidR="00A67CB0" w:rsidRPr="00FA1A19" w14:paraId="1388F5E0"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F57A99F" w14:textId="4C3731C9" w:rsidR="00A67CB0" w:rsidRPr="00FA1A19" w:rsidRDefault="00895C63" w:rsidP="00F37E87">
            <w:pPr>
              <w:pStyle w:val="TableTextLeft"/>
            </w:pPr>
            <w:hyperlink r:id="rId104" w:history="1">
              <w:r w:rsidR="00A67CB0" w:rsidRPr="00FA1A19">
                <w:rPr>
                  <w:rStyle w:val="Hyperlink"/>
                  <w:rFonts w:cs="Calibri"/>
                </w:rPr>
                <w:t>QC 54048</w:t>
              </w:r>
            </w:hyperlink>
          </w:p>
        </w:tc>
        <w:tc>
          <w:tcPr>
            <w:tcW w:w="3164" w:type="pct"/>
          </w:tcPr>
          <w:p w14:paraId="71130FE7" w14:textId="3AE6199F" w:rsidR="00A67CB0" w:rsidRPr="00FA1A19" w:rsidRDefault="00F724BA" w:rsidP="00F37E87">
            <w:pPr>
              <w:pStyle w:val="TableTextLeft"/>
              <w:cnfStyle w:val="000000100000" w:firstRow="0" w:lastRow="0" w:firstColumn="0" w:lastColumn="0" w:oddVBand="0" w:evenVBand="0" w:oddHBand="1" w:evenHBand="0" w:firstRowFirstColumn="0" w:firstRowLastColumn="0" w:lastRowFirstColumn="0" w:lastRowLastColumn="0"/>
            </w:pPr>
            <w:r>
              <w:rPr>
                <w:rFonts w:cs="Calibri"/>
              </w:rPr>
              <w:tab/>
            </w:r>
            <w:r w:rsidR="00A67CB0" w:rsidRPr="00FA1A19">
              <w:rPr>
                <w:rFonts w:cs="Calibri"/>
              </w:rPr>
              <w:t>GST and digital currency</w:t>
            </w:r>
          </w:p>
        </w:tc>
        <w:tc>
          <w:tcPr>
            <w:tcW w:w="1102" w:type="pct"/>
          </w:tcPr>
          <w:p w14:paraId="0355F447" w14:textId="69A4674D" w:rsidR="00A67CB0" w:rsidRPr="00FA1A19" w:rsidRDefault="00D829BE" w:rsidP="00F37E87">
            <w:pPr>
              <w:pStyle w:val="TableTextLeft"/>
              <w:cnfStyle w:val="000000100000" w:firstRow="0" w:lastRow="0" w:firstColumn="0" w:lastColumn="0" w:oddVBand="0" w:evenVBand="0" w:oddHBand="1" w:evenHBand="0" w:firstRowFirstColumn="0" w:firstRowLastColumn="0" w:lastRowFirstColumn="0" w:lastRowLastColumn="0"/>
            </w:pPr>
            <w:r w:rsidRPr="00FA1A19">
              <w:t>5 July 2023</w:t>
            </w:r>
          </w:p>
        </w:tc>
      </w:tr>
      <w:tr w:rsidR="00892D81" w:rsidRPr="00FA1A19" w14:paraId="5625A276"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084D610E" w14:textId="5123DF4F" w:rsidR="00892D81" w:rsidRPr="00FA1A19" w:rsidRDefault="00895C63" w:rsidP="00F37E87">
            <w:pPr>
              <w:pStyle w:val="TableTextLeft"/>
            </w:pPr>
            <w:hyperlink r:id="rId105" w:history="1">
              <w:r w:rsidR="00892D81" w:rsidRPr="00FA1A19">
                <w:rPr>
                  <w:rStyle w:val="Hyperlink"/>
                  <w:rFonts w:cs="Calibri"/>
                </w:rPr>
                <w:t>QC 72972</w:t>
              </w:r>
            </w:hyperlink>
          </w:p>
        </w:tc>
        <w:tc>
          <w:tcPr>
            <w:tcW w:w="3164" w:type="pct"/>
          </w:tcPr>
          <w:p w14:paraId="1B90FEED" w14:textId="6F03F81D" w:rsidR="00892D81" w:rsidRPr="00FA1A19" w:rsidRDefault="00F724BA" w:rsidP="00F37E87">
            <w:pPr>
              <w:pStyle w:val="TableTextLeft"/>
              <w:cnfStyle w:val="000000000000" w:firstRow="0" w:lastRow="0" w:firstColumn="0" w:lastColumn="0" w:oddVBand="0" w:evenVBand="0" w:oddHBand="0" w:evenHBand="0" w:firstRowFirstColumn="0" w:firstRowLastColumn="0" w:lastRowFirstColumn="0" w:lastRowLastColumn="0"/>
            </w:pPr>
            <w:r>
              <w:rPr>
                <w:rFonts w:cs="Calibri"/>
              </w:rPr>
              <w:tab/>
            </w:r>
            <w:r w:rsidR="00892D81" w:rsidRPr="00FA1A19">
              <w:rPr>
                <w:rFonts w:cs="Calibri"/>
              </w:rPr>
              <w:t>GST and digital currency as payment</w:t>
            </w:r>
          </w:p>
        </w:tc>
        <w:tc>
          <w:tcPr>
            <w:tcW w:w="1102" w:type="pct"/>
          </w:tcPr>
          <w:p w14:paraId="24907D5A" w14:textId="4E38ED81" w:rsidR="00892D81" w:rsidRPr="00FA1A19" w:rsidRDefault="00892D81" w:rsidP="00F37E87">
            <w:pPr>
              <w:pStyle w:val="TableTextLeft"/>
              <w:cnfStyle w:val="000000000000" w:firstRow="0" w:lastRow="0" w:firstColumn="0" w:lastColumn="0" w:oddVBand="0" w:evenVBand="0" w:oddHBand="0" w:evenHBand="0" w:firstRowFirstColumn="0" w:firstRowLastColumn="0" w:lastRowFirstColumn="0" w:lastRowLastColumn="0"/>
            </w:pPr>
            <w:r w:rsidRPr="00FA1A19">
              <w:t>5 July 2023</w:t>
            </w:r>
          </w:p>
        </w:tc>
      </w:tr>
      <w:tr w:rsidR="00892D81" w:rsidRPr="00FA1A19" w14:paraId="2712413F"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CD66E9E" w14:textId="076097DC" w:rsidR="00892D81" w:rsidRPr="00FA1A19" w:rsidRDefault="00895C63" w:rsidP="00F37E87">
            <w:pPr>
              <w:pStyle w:val="TableTextLeft"/>
            </w:pPr>
            <w:hyperlink r:id="rId106" w:history="1">
              <w:r w:rsidR="00892D81" w:rsidRPr="00FA1A19">
                <w:rPr>
                  <w:rStyle w:val="Hyperlink"/>
                  <w:rFonts w:cs="Calibri"/>
                </w:rPr>
                <w:t>QC 72973</w:t>
              </w:r>
            </w:hyperlink>
          </w:p>
        </w:tc>
        <w:tc>
          <w:tcPr>
            <w:tcW w:w="3164" w:type="pct"/>
          </w:tcPr>
          <w:p w14:paraId="495E96DD" w14:textId="17BC56A3" w:rsidR="00892D81" w:rsidRPr="00FA1A19" w:rsidRDefault="00F724BA" w:rsidP="00F37E87">
            <w:pPr>
              <w:pStyle w:val="TableTextLeft"/>
              <w:cnfStyle w:val="000000100000" w:firstRow="0" w:lastRow="0" w:firstColumn="0" w:lastColumn="0" w:oddVBand="0" w:evenVBand="0" w:oddHBand="1" w:evenHBand="0" w:firstRowFirstColumn="0" w:firstRowLastColumn="0" w:lastRowFirstColumn="0" w:lastRowLastColumn="0"/>
            </w:pPr>
            <w:r>
              <w:rPr>
                <w:rFonts w:cs="Calibri"/>
              </w:rPr>
              <w:tab/>
            </w:r>
            <w:r w:rsidR="00892D81" w:rsidRPr="00FA1A19">
              <w:rPr>
                <w:rFonts w:cs="Calibri"/>
              </w:rPr>
              <w:t>GST and trading digital currency</w:t>
            </w:r>
          </w:p>
        </w:tc>
        <w:tc>
          <w:tcPr>
            <w:tcW w:w="1102" w:type="pct"/>
          </w:tcPr>
          <w:p w14:paraId="4CCE72AD" w14:textId="60459EE4" w:rsidR="00892D81" w:rsidRPr="00FA1A19" w:rsidRDefault="00892D81" w:rsidP="00F37E87">
            <w:pPr>
              <w:pStyle w:val="TableTextLeft"/>
              <w:cnfStyle w:val="000000100000" w:firstRow="0" w:lastRow="0" w:firstColumn="0" w:lastColumn="0" w:oddVBand="0" w:evenVBand="0" w:oddHBand="1" w:evenHBand="0" w:firstRowFirstColumn="0" w:firstRowLastColumn="0" w:lastRowFirstColumn="0" w:lastRowLastColumn="0"/>
            </w:pPr>
            <w:r w:rsidRPr="00FA1A19">
              <w:t>5 July 2023</w:t>
            </w:r>
          </w:p>
        </w:tc>
      </w:tr>
      <w:tr w:rsidR="00892D81" w:rsidRPr="00FA1A19" w14:paraId="7E9EE1EF"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025DE508" w14:textId="376C3AA5" w:rsidR="00892D81" w:rsidRPr="00FA1A19" w:rsidRDefault="00895C63" w:rsidP="00F37E87">
            <w:pPr>
              <w:pStyle w:val="TableTextLeft"/>
            </w:pPr>
            <w:hyperlink r:id="rId107" w:history="1">
              <w:r w:rsidR="00892D81" w:rsidRPr="00FA1A19">
                <w:rPr>
                  <w:rStyle w:val="Hyperlink"/>
                  <w:rFonts w:cs="Calibri"/>
                </w:rPr>
                <w:t>QC 72974</w:t>
              </w:r>
            </w:hyperlink>
          </w:p>
        </w:tc>
        <w:tc>
          <w:tcPr>
            <w:tcW w:w="3164" w:type="pct"/>
          </w:tcPr>
          <w:p w14:paraId="672820E5" w14:textId="4A3F34F6" w:rsidR="00892D81" w:rsidRPr="00FA1A19" w:rsidRDefault="00F724BA" w:rsidP="00F37E87">
            <w:pPr>
              <w:pStyle w:val="TableTextLeft"/>
              <w:cnfStyle w:val="000000000000" w:firstRow="0" w:lastRow="0" w:firstColumn="0" w:lastColumn="0" w:oddVBand="0" w:evenVBand="0" w:oddHBand="0" w:evenHBand="0" w:firstRowFirstColumn="0" w:firstRowLastColumn="0" w:lastRowFirstColumn="0" w:lastRowLastColumn="0"/>
            </w:pPr>
            <w:r>
              <w:rPr>
                <w:rFonts w:cs="Calibri"/>
              </w:rPr>
              <w:tab/>
            </w:r>
            <w:r w:rsidR="00892D81" w:rsidRPr="00FA1A19">
              <w:rPr>
                <w:rFonts w:cs="Calibri"/>
              </w:rPr>
              <w:t>GST and digital currency exchanges</w:t>
            </w:r>
          </w:p>
        </w:tc>
        <w:tc>
          <w:tcPr>
            <w:tcW w:w="1102" w:type="pct"/>
          </w:tcPr>
          <w:p w14:paraId="0982EBDB" w14:textId="0B12554A" w:rsidR="00892D81" w:rsidRPr="00FA1A19" w:rsidRDefault="00892D81" w:rsidP="00F37E87">
            <w:pPr>
              <w:pStyle w:val="TableTextLeft"/>
              <w:cnfStyle w:val="000000000000" w:firstRow="0" w:lastRow="0" w:firstColumn="0" w:lastColumn="0" w:oddVBand="0" w:evenVBand="0" w:oddHBand="0" w:evenHBand="0" w:firstRowFirstColumn="0" w:firstRowLastColumn="0" w:lastRowFirstColumn="0" w:lastRowLastColumn="0"/>
            </w:pPr>
            <w:r w:rsidRPr="00FA1A19">
              <w:t>5 July 2023</w:t>
            </w:r>
          </w:p>
        </w:tc>
      </w:tr>
      <w:tr w:rsidR="00892D81" w:rsidRPr="00FA1A19" w14:paraId="6E615E7E"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04E8290" w14:textId="35064F96" w:rsidR="00892D81" w:rsidRPr="00FA1A19" w:rsidRDefault="00895C63" w:rsidP="00F37E87">
            <w:pPr>
              <w:pStyle w:val="TableTextLeft"/>
              <w:rPr>
                <w:b w:val="0"/>
                <w:bCs w:val="0"/>
              </w:rPr>
            </w:pPr>
            <w:hyperlink r:id="rId108" w:history="1">
              <w:r w:rsidR="00892D81" w:rsidRPr="00FA1A19">
                <w:rPr>
                  <w:rStyle w:val="Hyperlink"/>
                  <w:rFonts w:cs="Calibri"/>
                </w:rPr>
                <w:t>QC 67444</w:t>
              </w:r>
            </w:hyperlink>
          </w:p>
        </w:tc>
        <w:tc>
          <w:tcPr>
            <w:tcW w:w="3164" w:type="pct"/>
          </w:tcPr>
          <w:p w14:paraId="4EF3A827" w14:textId="0D75151F" w:rsidR="00892D81" w:rsidRPr="00F37E87" w:rsidRDefault="00892D81" w:rsidP="00F37E87">
            <w:pPr>
              <w:pStyle w:val="TableTextLeft"/>
              <w:cnfStyle w:val="000000100000" w:firstRow="0" w:lastRow="0" w:firstColumn="0" w:lastColumn="0" w:oddVBand="0" w:evenVBand="0" w:oddHBand="1" w:evenHBand="0" w:firstRowFirstColumn="0" w:firstRowLastColumn="0" w:lastRowFirstColumn="0" w:lastRowLastColumn="0"/>
              <w:rPr>
                <w:rStyle w:val="Strong"/>
              </w:rPr>
            </w:pPr>
            <w:r w:rsidRPr="00F37E87">
              <w:rPr>
                <w:rStyle w:val="Strong"/>
              </w:rPr>
              <w:t>Crypto asset investments and tax</w:t>
            </w:r>
          </w:p>
        </w:tc>
        <w:tc>
          <w:tcPr>
            <w:tcW w:w="1102" w:type="pct"/>
          </w:tcPr>
          <w:p w14:paraId="7486B1D6" w14:textId="26944518" w:rsidR="00892D81" w:rsidRPr="00FA1A19" w:rsidRDefault="00892D81" w:rsidP="00F37E87">
            <w:pPr>
              <w:pStyle w:val="TableTextLeft"/>
              <w:cnfStyle w:val="000000100000" w:firstRow="0" w:lastRow="0" w:firstColumn="0" w:lastColumn="0" w:oddVBand="0" w:evenVBand="0" w:oddHBand="1" w:evenHBand="0" w:firstRowFirstColumn="0" w:firstRowLastColumn="0" w:lastRowFirstColumn="0" w:lastRowLastColumn="0"/>
            </w:pPr>
            <w:r w:rsidRPr="00FA1A19">
              <w:t>4 October 2022</w:t>
            </w:r>
          </w:p>
        </w:tc>
      </w:tr>
      <w:tr w:rsidR="00892D81" w:rsidRPr="00FA1A19" w14:paraId="3C13DE26"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2872FC70" w14:textId="657BA66F" w:rsidR="00892D81" w:rsidRPr="00FA1A19" w:rsidRDefault="00895C63" w:rsidP="00F37E87">
            <w:pPr>
              <w:pStyle w:val="TableTextLeft"/>
              <w:rPr>
                <w:b w:val="0"/>
                <w:bCs w:val="0"/>
              </w:rPr>
            </w:pPr>
            <w:hyperlink r:id="rId109" w:anchor="ato-Taxsmarttipsforcryptoassetsinvestments" w:history="1">
              <w:r w:rsidR="00892D81" w:rsidRPr="00FA1A19">
                <w:rPr>
                  <w:rStyle w:val="Hyperlink"/>
                  <w:rFonts w:cs="Calibri"/>
                </w:rPr>
                <w:t>QC 59553</w:t>
              </w:r>
            </w:hyperlink>
          </w:p>
        </w:tc>
        <w:tc>
          <w:tcPr>
            <w:tcW w:w="3164" w:type="pct"/>
          </w:tcPr>
          <w:p w14:paraId="5E4B277B" w14:textId="33055607" w:rsidR="00892D81" w:rsidRPr="00F37E87" w:rsidRDefault="00892D81" w:rsidP="00F37E87">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F37E87">
              <w:rPr>
                <w:rStyle w:val="Strong"/>
              </w:rPr>
              <w:t>Tax time toolkit for investors</w:t>
            </w:r>
          </w:p>
        </w:tc>
        <w:tc>
          <w:tcPr>
            <w:tcW w:w="1102" w:type="pct"/>
          </w:tcPr>
          <w:p w14:paraId="04368EE0" w14:textId="52B5DFF9" w:rsidR="00892D81" w:rsidRPr="00FA1A19" w:rsidRDefault="004D6B1E" w:rsidP="00F37E87">
            <w:pPr>
              <w:pStyle w:val="TableTextLeft"/>
              <w:cnfStyle w:val="000000000000" w:firstRow="0" w:lastRow="0" w:firstColumn="0" w:lastColumn="0" w:oddVBand="0" w:evenVBand="0" w:oddHBand="0" w:evenHBand="0" w:firstRowFirstColumn="0" w:firstRowLastColumn="0" w:lastRowFirstColumn="0" w:lastRowLastColumn="0"/>
            </w:pPr>
            <w:r w:rsidRPr="00FA1A19">
              <w:t>2 June 2023</w:t>
            </w:r>
          </w:p>
        </w:tc>
      </w:tr>
      <w:tr w:rsidR="00892D81" w:rsidRPr="00FA1A19" w14:paraId="057CB4EA"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613E292D" w14:textId="58EA9FEE" w:rsidR="00892D81" w:rsidRPr="00FA1A19" w:rsidRDefault="00895C63" w:rsidP="00F37E87">
            <w:pPr>
              <w:pStyle w:val="TableTextLeft"/>
              <w:rPr>
                <w:b w:val="0"/>
                <w:bCs w:val="0"/>
              </w:rPr>
            </w:pPr>
            <w:hyperlink r:id="rId110" w:history="1">
              <w:r w:rsidR="00892D81" w:rsidRPr="00FA1A19">
                <w:rPr>
                  <w:rStyle w:val="Hyperlink"/>
                  <w:rFonts w:cs="Calibri"/>
                </w:rPr>
                <w:t>QC 70058</w:t>
              </w:r>
            </w:hyperlink>
          </w:p>
        </w:tc>
        <w:tc>
          <w:tcPr>
            <w:tcW w:w="3164" w:type="pct"/>
          </w:tcPr>
          <w:p w14:paraId="28BE873B" w14:textId="27094BA6" w:rsidR="00892D81" w:rsidRPr="00F37E87" w:rsidRDefault="00892D81" w:rsidP="00F37E87">
            <w:pPr>
              <w:pStyle w:val="TableTextLeft"/>
              <w:cnfStyle w:val="000000100000" w:firstRow="0" w:lastRow="0" w:firstColumn="0" w:lastColumn="0" w:oddVBand="0" w:evenVBand="0" w:oddHBand="1" w:evenHBand="0" w:firstRowFirstColumn="0" w:firstRowLastColumn="0" w:lastRowFirstColumn="0" w:lastRowLastColumn="0"/>
              <w:rPr>
                <w:rStyle w:val="Strong"/>
              </w:rPr>
            </w:pPr>
            <w:r w:rsidRPr="00F37E87">
              <w:rPr>
                <w:rStyle w:val="Strong"/>
              </w:rPr>
              <w:t>Taking the cryptic out of crypto this tax time</w:t>
            </w:r>
          </w:p>
        </w:tc>
        <w:tc>
          <w:tcPr>
            <w:tcW w:w="1102" w:type="pct"/>
          </w:tcPr>
          <w:p w14:paraId="30569AC8" w14:textId="7EE58ADB" w:rsidR="00892D81" w:rsidRPr="00FA1A19" w:rsidRDefault="004D6B1E" w:rsidP="00F37E87">
            <w:pPr>
              <w:pStyle w:val="TableTextLeft"/>
              <w:cnfStyle w:val="000000100000" w:firstRow="0" w:lastRow="0" w:firstColumn="0" w:lastColumn="0" w:oddVBand="0" w:evenVBand="0" w:oddHBand="1" w:evenHBand="0" w:firstRowFirstColumn="0" w:firstRowLastColumn="0" w:lastRowFirstColumn="0" w:lastRowLastColumn="0"/>
            </w:pPr>
            <w:r w:rsidRPr="00FA1A19">
              <w:t>13 July 2022</w:t>
            </w:r>
          </w:p>
        </w:tc>
      </w:tr>
      <w:tr w:rsidR="00892D81" w:rsidRPr="00FA1A19" w14:paraId="22F0D6A2" w14:textId="77777777" w:rsidTr="0098550D">
        <w:tc>
          <w:tcPr>
            <w:cnfStyle w:val="001000000000" w:firstRow="0" w:lastRow="0" w:firstColumn="1" w:lastColumn="0" w:oddVBand="0" w:evenVBand="0" w:oddHBand="0" w:evenHBand="0" w:firstRowFirstColumn="0" w:firstRowLastColumn="0" w:lastRowFirstColumn="0" w:lastRowLastColumn="0"/>
            <w:tcW w:w="734" w:type="pct"/>
          </w:tcPr>
          <w:p w14:paraId="1C3528B6" w14:textId="53076758" w:rsidR="00892D81" w:rsidRPr="00FA1A19" w:rsidRDefault="00895C63" w:rsidP="00F37E87">
            <w:pPr>
              <w:pStyle w:val="TableTextLeft"/>
              <w:rPr>
                <w:b w:val="0"/>
                <w:bCs w:val="0"/>
              </w:rPr>
            </w:pPr>
            <w:hyperlink r:id="rId111" w:history="1">
              <w:r w:rsidR="00892D81" w:rsidRPr="00FA1A19">
                <w:rPr>
                  <w:rStyle w:val="Hyperlink"/>
                  <w:rFonts w:cs="Calibri"/>
                </w:rPr>
                <w:t>QC 70025</w:t>
              </w:r>
            </w:hyperlink>
          </w:p>
        </w:tc>
        <w:tc>
          <w:tcPr>
            <w:tcW w:w="3164" w:type="pct"/>
          </w:tcPr>
          <w:p w14:paraId="3E678E55" w14:textId="069B2E4F" w:rsidR="00892D81" w:rsidRPr="00F37E87" w:rsidRDefault="00892D81" w:rsidP="00F37E87">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F37E87">
              <w:rPr>
                <w:rStyle w:val="Strong"/>
              </w:rPr>
              <w:t>Crypto myth busting with Tim Loh – interactive video transcript</w:t>
            </w:r>
          </w:p>
        </w:tc>
        <w:tc>
          <w:tcPr>
            <w:tcW w:w="1102" w:type="pct"/>
          </w:tcPr>
          <w:p w14:paraId="25CC1FE8" w14:textId="1ED15E4A" w:rsidR="00892D81" w:rsidRPr="00FA1A19" w:rsidRDefault="004D6B1E" w:rsidP="00F37E87">
            <w:pPr>
              <w:pStyle w:val="TableTextLeft"/>
              <w:cnfStyle w:val="000000000000" w:firstRow="0" w:lastRow="0" w:firstColumn="0" w:lastColumn="0" w:oddVBand="0" w:evenVBand="0" w:oddHBand="0" w:evenHBand="0" w:firstRowFirstColumn="0" w:firstRowLastColumn="0" w:lastRowFirstColumn="0" w:lastRowLastColumn="0"/>
            </w:pPr>
            <w:r w:rsidRPr="00FA1A19">
              <w:t>7 July 2022</w:t>
            </w:r>
          </w:p>
        </w:tc>
      </w:tr>
    </w:tbl>
    <w:p w14:paraId="1DC21A78" w14:textId="77777777" w:rsidR="000437AD" w:rsidRDefault="000437AD" w:rsidP="000437AD">
      <w:r>
        <w:br w:type="page"/>
      </w:r>
    </w:p>
    <w:p w14:paraId="5E9523BE" w14:textId="2FDBC931" w:rsidR="008C3F38" w:rsidRPr="00FA1A19" w:rsidRDefault="008C3F38" w:rsidP="000437AD">
      <w:pPr>
        <w:pStyle w:val="Heading2"/>
      </w:pPr>
      <w:bookmarkStart w:id="178" w:name="_Toc159513657"/>
      <w:r w:rsidRPr="00FA1A19">
        <w:t xml:space="preserve">Edited private </w:t>
      </w:r>
      <w:r w:rsidR="00F92D8D" w:rsidRPr="00FA1A19">
        <w:t>advice</w:t>
      </w:r>
      <w:bookmarkEnd w:id="178"/>
    </w:p>
    <w:p w14:paraId="7B21E82C" w14:textId="32D04DE7" w:rsidR="004D3144" w:rsidRDefault="004D3144" w:rsidP="004D3144">
      <w:r w:rsidRPr="00FA1A19">
        <w:t>The following list</w:t>
      </w:r>
      <w:r w:rsidR="00F02F60" w:rsidRPr="00FA1A19">
        <w:t xml:space="preserve"> was</w:t>
      </w:r>
      <w:r w:rsidRPr="00FA1A19">
        <w:t xml:space="preserve"> compiled </w:t>
      </w:r>
      <w:r w:rsidR="00BE44CD" w:rsidRPr="00FA1A19">
        <w:t xml:space="preserve">9 January 2024 </w:t>
      </w:r>
      <w:r w:rsidR="00F02F60" w:rsidRPr="00FA1A19">
        <w:t xml:space="preserve">to identify </w:t>
      </w:r>
      <w:r w:rsidR="00193B6A" w:rsidRPr="00FA1A19">
        <w:t xml:space="preserve">edited </w:t>
      </w:r>
      <w:r w:rsidR="00C13588" w:rsidRPr="00FA1A19">
        <w:t>private advice published on</w:t>
      </w:r>
      <w:r w:rsidR="00BE44CD" w:rsidRPr="00FA1A19">
        <w:t xml:space="preserve"> the ATO </w:t>
      </w:r>
      <w:r w:rsidR="005C7579" w:rsidRPr="00FA1A19">
        <w:t>L</w:t>
      </w:r>
      <w:r w:rsidR="00F02F60" w:rsidRPr="00FA1A19">
        <w:t xml:space="preserve">egal </w:t>
      </w:r>
      <w:r w:rsidR="005C7579" w:rsidRPr="00FA1A19">
        <w:t>D</w:t>
      </w:r>
      <w:r w:rsidR="00F02F60" w:rsidRPr="00FA1A19">
        <w:t>atabase</w:t>
      </w:r>
      <w:r w:rsidR="00A27400" w:rsidRPr="00FA1A19">
        <w:t xml:space="preserve"> using the search terms </w:t>
      </w:r>
      <w:r w:rsidR="00F75232">
        <w:t>‘</w:t>
      </w:r>
      <w:r w:rsidR="00A27400" w:rsidRPr="00FA1A19">
        <w:t>crypto</w:t>
      </w:r>
      <w:r w:rsidR="00F75232">
        <w:t>’</w:t>
      </w:r>
      <w:r w:rsidR="00A27400" w:rsidRPr="00FA1A19">
        <w:t xml:space="preserve">, </w:t>
      </w:r>
      <w:r w:rsidR="00F75232">
        <w:t>‘</w:t>
      </w:r>
      <w:r w:rsidR="00A27400" w:rsidRPr="00FA1A19">
        <w:t>bitcoin</w:t>
      </w:r>
      <w:r w:rsidR="00F75232">
        <w:t>’</w:t>
      </w:r>
      <w:r w:rsidR="00A27400" w:rsidRPr="00FA1A19">
        <w:t xml:space="preserve"> and </w:t>
      </w:r>
      <w:r w:rsidR="00F75232">
        <w:t>‘</w:t>
      </w:r>
      <w:r w:rsidR="00A27400" w:rsidRPr="00FA1A19">
        <w:t>cryptocurrency</w:t>
      </w:r>
      <w:r w:rsidR="00F75232">
        <w:t>’</w:t>
      </w:r>
      <w:r w:rsidR="00A27400" w:rsidRPr="00FA1A19">
        <w:t xml:space="preserve">. </w:t>
      </w:r>
      <w:r w:rsidR="00F023FE" w:rsidRPr="00FA1A19">
        <w:t xml:space="preserve">A selection of these rulings have been </w:t>
      </w:r>
      <w:r w:rsidR="005C7579" w:rsidRPr="00FA1A19">
        <w:t>referenced throughout the Report.</w:t>
      </w:r>
    </w:p>
    <w:p w14:paraId="23198789" w14:textId="77777777" w:rsidR="000437AD" w:rsidRPr="00FA1A19" w:rsidRDefault="000437AD" w:rsidP="000437AD">
      <w:pPr>
        <w:pStyle w:val="SingleParagraph"/>
      </w:pPr>
    </w:p>
    <w:tbl>
      <w:tblPr>
        <w:tblStyle w:val="ListTable3-Accent1"/>
        <w:tblW w:w="0" w:type="auto"/>
        <w:tblLayout w:type="fixed"/>
        <w:tblLook w:val="04A0" w:firstRow="1" w:lastRow="0" w:firstColumn="1" w:lastColumn="0" w:noHBand="0" w:noVBand="1"/>
      </w:tblPr>
      <w:tblGrid>
        <w:gridCol w:w="1838"/>
        <w:gridCol w:w="7793"/>
      </w:tblGrid>
      <w:tr w:rsidR="002E7983" w:rsidRPr="00FA1A19" w14:paraId="6484999F" w14:textId="77777777" w:rsidTr="0098550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tcPr>
          <w:p w14:paraId="5CCB7E0E" w14:textId="3FC2DE73" w:rsidR="002E7983" w:rsidRPr="00FA1A19" w:rsidRDefault="002B0E17" w:rsidP="00F724BA">
            <w:pPr>
              <w:pStyle w:val="TableColumnHeadingLeft"/>
            </w:pPr>
            <w:r w:rsidRPr="00FA1A19">
              <w:t>Authorisation Number</w:t>
            </w:r>
          </w:p>
        </w:tc>
        <w:tc>
          <w:tcPr>
            <w:tcW w:w="7793" w:type="dxa"/>
          </w:tcPr>
          <w:p w14:paraId="05AFD075" w14:textId="43A9D66E" w:rsidR="002E7983" w:rsidRPr="00FA1A19" w:rsidRDefault="00904871" w:rsidP="00F724BA">
            <w:pPr>
              <w:pStyle w:val="TableColumnHeadingLeft"/>
              <w:cnfStyle w:val="100000000000" w:firstRow="1" w:lastRow="0" w:firstColumn="0" w:lastColumn="0" w:oddVBand="0" w:evenVBand="0" w:oddHBand="0" w:evenHBand="0" w:firstRowFirstColumn="0" w:firstRowLastColumn="0" w:lastRowFirstColumn="0" w:lastRowLastColumn="0"/>
            </w:pPr>
            <w:r w:rsidRPr="00FA1A19">
              <w:t xml:space="preserve">Edited private advice </w:t>
            </w:r>
            <w:r w:rsidR="00233D3B" w:rsidRPr="00FA1A19">
              <w:t>title</w:t>
            </w:r>
          </w:p>
        </w:tc>
      </w:tr>
      <w:tr w:rsidR="003C47FB" w:rsidRPr="00FA1A19" w14:paraId="30FDA814" w14:textId="77777777" w:rsidTr="00985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582A7B" w14:textId="4F1F5976" w:rsidR="003C47FB" w:rsidRPr="003D093B" w:rsidRDefault="00895C63" w:rsidP="00F724BA">
            <w:pPr>
              <w:pStyle w:val="TableTextLeft"/>
            </w:pPr>
            <w:hyperlink r:id="rId112" w:history="1">
              <w:r w:rsidR="00BE7000" w:rsidRPr="00F63C1F">
                <w:t>5010050065720</w:t>
              </w:r>
            </w:hyperlink>
          </w:p>
        </w:tc>
        <w:tc>
          <w:tcPr>
            <w:tcW w:w="7793" w:type="dxa"/>
          </w:tcPr>
          <w:p w14:paraId="3C62AFC3" w14:textId="6F708833" w:rsidR="003C47FB" w:rsidRPr="00FA1A19" w:rsidRDefault="00340203"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63C1F">
              <w:rPr>
                <w:rFonts w:cs="Calibri"/>
              </w:rPr>
              <w:t>2018 Income tax - assessable income - business and professional income - carrying on a business</w:t>
            </w:r>
          </w:p>
        </w:tc>
      </w:tr>
      <w:tr w:rsidR="00233D3B" w:rsidRPr="00FA1A19" w14:paraId="37F2AFB1" w14:textId="77777777" w:rsidTr="0098550D">
        <w:tc>
          <w:tcPr>
            <w:cnfStyle w:val="001000000000" w:firstRow="0" w:lastRow="0" w:firstColumn="1" w:lastColumn="0" w:oddVBand="0" w:evenVBand="0" w:oddHBand="0" w:evenHBand="0" w:firstRowFirstColumn="0" w:firstRowLastColumn="0" w:lastRowFirstColumn="0" w:lastRowLastColumn="0"/>
            <w:tcW w:w="1838" w:type="dxa"/>
          </w:tcPr>
          <w:p w14:paraId="0AF45C21" w14:textId="5C66DF7E" w:rsidR="00233D3B" w:rsidRPr="00FA1A19" w:rsidRDefault="00620DDC" w:rsidP="00F724BA">
            <w:pPr>
              <w:pStyle w:val="TableTextLeft"/>
              <w:rPr>
                <w:b w:val="0"/>
                <w:bCs w:val="0"/>
              </w:rPr>
            </w:pPr>
            <w:r w:rsidRPr="003D093B">
              <w:t>1051458965822</w:t>
            </w:r>
          </w:p>
        </w:tc>
        <w:tc>
          <w:tcPr>
            <w:tcW w:w="7793" w:type="dxa"/>
          </w:tcPr>
          <w:p w14:paraId="5B7F2671" w14:textId="2B8C3592" w:rsidR="00233D3B"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pPr>
            <w:r w:rsidRPr="00FA1A19">
              <w:rPr>
                <w:rFonts w:cs="Calibri"/>
              </w:rPr>
              <w:t>2019 Application of Division 775 of the Income Tax Assessment Act 1997 (ITAA 1997) to</w:t>
            </w:r>
            <w:r w:rsidR="004D3144" w:rsidRPr="00FA1A19">
              <w:rPr>
                <w:rFonts w:cs="Calibri"/>
              </w:rPr>
              <w:t xml:space="preserve"> a related party loan from an overseas company</w:t>
            </w:r>
          </w:p>
        </w:tc>
      </w:tr>
      <w:tr w:rsidR="00C11CE6" w:rsidRPr="00FA1A19" w14:paraId="52CFD572"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1E382CB1" w14:textId="7198C91A" w:rsidR="00C11CE6" w:rsidRPr="00FA1A19" w:rsidRDefault="00620DDC" w:rsidP="00F724BA">
            <w:pPr>
              <w:pStyle w:val="TableTextLeft"/>
              <w:rPr>
                <w:rFonts w:cs="Calibri"/>
                <w:color w:val="0563C1"/>
                <w:u w:val="single"/>
              </w:rPr>
            </w:pPr>
            <w:r w:rsidRPr="003D093B">
              <w:t>5010056207480</w:t>
            </w:r>
          </w:p>
        </w:tc>
        <w:tc>
          <w:tcPr>
            <w:tcW w:w="7793" w:type="dxa"/>
            <w:noWrap/>
            <w:hideMark/>
          </w:tcPr>
          <w:p w14:paraId="6C173EC4" w14:textId="349DCA31"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Capital gain on the sale of NewCoin</w:t>
            </w:r>
          </w:p>
        </w:tc>
      </w:tr>
      <w:tr w:rsidR="00C11CE6" w:rsidRPr="00FA1A19" w14:paraId="723C0F3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A3C5427" w14:textId="0D67CC9B" w:rsidR="00C11CE6" w:rsidRPr="00FA1A19" w:rsidRDefault="00620DDC" w:rsidP="00F724BA">
            <w:pPr>
              <w:pStyle w:val="TableTextLeft"/>
              <w:rPr>
                <w:rFonts w:cs="Calibri"/>
                <w:color w:val="0563C1"/>
                <w:u w:val="single"/>
              </w:rPr>
            </w:pPr>
            <w:r w:rsidRPr="003D093B">
              <w:t>1051460118873</w:t>
            </w:r>
          </w:p>
        </w:tc>
        <w:tc>
          <w:tcPr>
            <w:tcW w:w="7793" w:type="dxa"/>
            <w:hideMark/>
          </w:tcPr>
          <w:p w14:paraId="4775188F" w14:textId="21DE9AB1"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Crypto currency and share investments</w:t>
            </w:r>
          </w:p>
        </w:tc>
      </w:tr>
      <w:tr w:rsidR="00C11CE6" w:rsidRPr="00FA1A19" w14:paraId="64159450"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520DF6B" w14:textId="622107FC" w:rsidR="00C11CE6" w:rsidRPr="00FA1A19" w:rsidRDefault="00620DDC" w:rsidP="00F724BA">
            <w:pPr>
              <w:pStyle w:val="TableTextLeft"/>
              <w:rPr>
                <w:rFonts w:cs="Calibri"/>
                <w:color w:val="0563C1"/>
                <w:u w:val="single"/>
              </w:rPr>
            </w:pPr>
            <w:r w:rsidRPr="003D093B">
              <w:t>1051496792450</w:t>
            </w:r>
          </w:p>
        </w:tc>
        <w:tc>
          <w:tcPr>
            <w:tcW w:w="7793" w:type="dxa"/>
            <w:hideMark/>
          </w:tcPr>
          <w:p w14:paraId="5927B9F3" w14:textId="71C68A48"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Cryptocurrency</w:t>
            </w:r>
          </w:p>
        </w:tc>
      </w:tr>
      <w:tr w:rsidR="00C11CE6" w:rsidRPr="00FA1A19" w14:paraId="7A27C2C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AE7B6A0" w14:textId="283C38CC" w:rsidR="00C11CE6" w:rsidRPr="00FA1A19" w:rsidRDefault="00620DDC" w:rsidP="00F724BA">
            <w:pPr>
              <w:pStyle w:val="TableTextLeft"/>
              <w:rPr>
                <w:rFonts w:cs="Calibri"/>
                <w:color w:val="0563C1"/>
                <w:u w:val="single"/>
              </w:rPr>
            </w:pPr>
            <w:r w:rsidRPr="003D093B">
              <w:t>1051497886035</w:t>
            </w:r>
          </w:p>
        </w:tc>
        <w:tc>
          <w:tcPr>
            <w:tcW w:w="7793" w:type="dxa"/>
            <w:hideMark/>
          </w:tcPr>
          <w:p w14:paraId="1655F1BE" w14:textId="56C39F91"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Cryptocurrency</w:t>
            </w:r>
          </w:p>
        </w:tc>
      </w:tr>
      <w:tr w:rsidR="00C11CE6" w:rsidRPr="00FA1A19" w14:paraId="3F5C73FC"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268A522" w14:textId="295BB351" w:rsidR="00C11CE6" w:rsidRPr="00FA1A19" w:rsidRDefault="00620DDC" w:rsidP="00F724BA">
            <w:pPr>
              <w:pStyle w:val="TableTextLeft"/>
              <w:rPr>
                <w:rFonts w:cs="Calibri"/>
                <w:color w:val="0563C1"/>
                <w:u w:val="single"/>
              </w:rPr>
            </w:pPr>
            <w:r w:rsidRPr="003D093B">
              <w:t>1051532082955</w:t>
            </w:r>
          </w:p>
        </w:tc>
        <w:tc>
          <w:tcPr>
            <w:tcW w:w="7793" w:type="dxa"/>
            <w:noWrap/>
            <w:hideMark/>
          </w:tcPr>
          <w:p w14:paraId="6393FCF7" w14:textId="4871D44B" w:rsidR="00C11CE6" w:rsidRPr="00FA1A19" w:rsidRDefault="00C11CE6"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Cryptocurrency</w:t>
            </w:r>
          </w:p>
        </w:tc>
      </w:tr>
      <w:tr w:rsidR="00C11CE6" w:rsidRPr="00FA1A19" w14:paraId="6B3AE7A2"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8DA65BC" w14:textId="3DFAEFA9" w:rsidR="00C11CE6" w:rsidRPr="00FA1A19" w:rsidRDefault="00620DDC" w:rsidP="00F724BA">
            <w:pPr>
              <w:pStyle w:val="TableTextLeft"/>
              <w:rPr>
                <w:rFonts w:cs="Calibri"/>
                <w:color w:val="0563C1"/>
                <w:u w:val="single"/>
              </w:rPr>
            </w:pPr>
            <w:r w:rsidRPr="003D093B">
              <w:t>1051545007826</w:t>
            </w:r>
          </w:p>
        </w:tc>
        <w:tc>
          <w:tcPr>
            <w:tcW w:w="7793" w:type="dxa"/>
            <w:hideMark/>
          </w:tcPr>
          <w:p w14:paraId="4D7DB94F" w14:textId="6AC12FB6" w:rsidR="00C11CE6" w:rsidRPr="00FA1A19" w:rsidRDefault="00C11CE6"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Cryptocurrency</w:t>
            </w:r>
          </w:p>
        </w:tc>
      </w:tr>
      <w:tr w:rsidR="00C11CE6" w:rsidRPr="00FA1A19" w14:paraId="76C40CB6"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DD52D2F" w14:textId="5EC8F9F0" w:rsidR="00C11CE6" w:rsidRPr="00FA1A19" w:rsidRDefault="00620DDC" w:rsidP="00F724BA">
            <w:pPr>
              <w:pStyle w:val="TableTextLeft"/>
              <w:rPr>
                <w:rFonts w:cs="Calibri"/>
                <w:color w:val="0563C1"/>
                <w:u w:val="single"/>
              </w:rPr>
            </w:pPr>
            <w:r w:rsidRPr="003D093B">
              <w:t>1051490734976</w:t>
            </w:r>
          </w:p>
        </w:tc>
        <w:tc>
          <w:tcPr>
            <w:tcW w:w="7793" w:type="dxa"/>
            <w:hideMark/>
          </w:tcPr>
          <w:p w14:paraId="06333D51" w14:textId="0C9959B1"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Cryptocurrency</w:t>
            </w:r>
            <w:r w:rsidR="00DD7E85">
              <w:rPr>
                <w:rFonts w:cs="Calibri"/>
              </w:rPr>
              <w:t xml:space="preserve"> – </w:t>
            </w:r>
            <w:r w:rsidRPr="00FA1A19">
              <w:rPr>
                <w:rFonts w:cs="Calibri"/>
              </w:rPr>
              <w:t>chainsplits</w:t>
            </w:r>
            <w:r w:rsidR="00DD7E85">
              <w:rPr>
                <w:rFonts w:cs="Calibri"/>
              </w:rPr>
              <w:t xml:space="preserve"> – </w:t>
            </w:r>
            <w:r w:rsidRPr="00FA1A19">
              <w:rPr>
                <w:rFonts w:cs="Calibri"/>
              </w:rPr>
              <w:t>personal use asset</w:t>
            </w:r>
          </w:p>
        </w:tc>
      </w:tr>
      <w:tr w:rsidR="00C11CE6" w:rsidRPr="00FA1A19" w14:paraId="3B4F25A8"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A289C79" w14:textId="5F295A55" w:rsidR="00C11CE6" w:rsidRPr="00FA1A19" w:rsidRDefault="00620DDC" w:rsidP="00F724BA">
            <w:pPr>
              <w:pStyle w:val="TableTextLeft"/>
              <w:rPr>
                <w:rFonts w:cs="Calibri"/>
                <w:color w:val="0563C1"/>
                <w:u w:val="single"/>
              </w:rPr>
            </w:pPr>
            <w:r w:rsidRPr="003D093B">
              <w:t>1051537413985</w:t>
            </w:r>
          </w:p>
        </w:tc>
        <w:tc>
          <w:tcPr>
            <w:tcW w:w="7793" w:type="dxa"/>
            <w:hideMark/>
          </w:tcPr>
          <w:p w14:paraId="6307BF9F" w14:textId="4B38EE45"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Cryptocurrency</w:t>
            </w:r>
            <w:r w:rsidR="00DD7E85">
              <w:rPr>
                <w:rFonts w:cs="Calibri"/>
              </w:rPr>
              <w:t xml:space="preserve"> – </w:t>
            </w:r>
            <w:r w:rsidRPr="00FA1A19">
              <w:rPr>
                <w:rFonts w:cs="Calibri"/>
              </w:rPr>
              <w:t>personal use</w:t>
            </w:r>
          </w:p>
        </w:tc>
      </w:tr>
      <w:tr w:rsidR="00C11CE6" w:rsidRPr="00FA1A19" w14:paraId="4962E796"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6647146" w14:textId="507B492B" w:rsidR="00C11CE6" w:rsidRPr="00FA1A19" w:rsidRDefault="00620DDC" w:rsidP="00F724BA">
            <w:pPr>
              <w:pStyle w:val="TableTextLeft"/>
              <w:rPr>
                <w:rFonts w:cs="Calibri"/>
                <w:color w:val="0563C1"/>
                <w:u w:val="single"/>
              </w:rPr>
            </w:pPr>
            <w:r w:rsidRPr="003D093B">
              <w:t>1051581160813</w:t>
            </w:r>
          </w:p>
        </w:tc>
        <w:tc>
          <w:tcPr>
            <w:tcW w:w="7793" w:type="dxa"/>
            <w:hideMark/>
          </w:tcPr>
          <w:p w14:paraId="365A8311" w14:textId="0C502D87" w:rsidR="00C11CE6" w:rsidRPr="00FA1A19" w:rsidRDefault="00C11CE6"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Cryptocurrency</w:t>
            </w:r>
            <w:r w:rsidR="00DD7E85">
              <w:rPr>
                <w:rFonts w:cs="Calibri"/>
              </w:rPr>
              <w:t xml:space="preserve"> – </w:t>
            </w:r>
            <w:r w:rsidRPr="00FA1A19">
              <w:rPr>
                <w:rFonts w:cs="Calibri"/>
              </w:rPr>
              <w:t>personal use</w:t>
            </w:r>
          </w:p>
        </w:tc>
      </w:tr>
      <w:tr w:rsidR="00C11CE6" w:rsidRPr="00FA1A19" w14:paraId="25D1B2C4"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25B391C" w14:textId="24B2CBBE" w:rsidR="00C11CE6" w:rsidRPr="00FA1A19" w:rsidRDefault="00620DDC" w:rsidP="00F724BA">
            <w:pPr>
              <w:pStyle w:val="TableTextLeft"/>
              <w:rPr>
                <w:rFonts w:cs="Calibri"/>
                <w:color w:val="0563C1"/>
                <w:u w:val="single"/>
              </w:rPr>
            </w:pPr>
            <w:r w:rsidRPr="003D093B">
              <w:t>5010060075585</w:t>
            </w:r>
          </w:p>
        </w:tc>
        <w:tc>
          <w:tcPr>
            <w:tcW w:w="7793" w:type="dxa"/>
            <w:hideMark/>
          </w:tcPr>
          <w:p w14:paraId="30AADC49" w14:textId="483B8F20" w:rsidR="00C11CE6" w:rsidRPr="00FA1A19" w:rsidRDefault="00C11CE6"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Cryptocurrency</w:t>
            </w:r>
            <w:r w:rsidR="00DD7E85">
              <w:rPr>
                <w:rFonts w:cs="Calibri"/>
              </w:rPr>
              <w:t xml:space="preserve"> – </w:t>
            </w:r>
            <w:r w:rsidRPr="00FA1A19">
              <w:rPr>
                <w:rFonts w:cs="Calibri"/>
              </w:rPr>
              <w:t>personal use</w:t>
            </w:r>
          </w:p>
        </w:tc>
      </w:tr>
      <w:tr w:rsidR="00C11CE6" w:rsidRPr="00FA1A19" w14:paraId="6942A1BD"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8C3BF4C" w14:textId="7A3EF8AF" w:rsidR="00C11CE6" w:rsidRPr="00FA1A19" w:rsidRDefault="00620DDC" w:rsidP="00F724BA">
            <w:pPr>
              <w:pStyle w:val="TableTextLeft"/>
              <w:rPr>
                <w:rFonts w:cs="Calibri"/>
                <w:color w:val="0563C1"/>
                <w:u w:val="single"/>
              </w:rPr>
            </w:pPr>
            <w:r w:rsidRPr="003D093B">
              <w:t>1051532101397</w:t>
            </w:r>
          </w:p>
        </w:tc>
        <w:tc>
          <w:tcPr>
            <w:tcW w:w="7793" w:type="dxa"/>
            <w:hideMark/>
          </w:tcPr>
          <w:p w14:paraId="088ECC5C" w14:textId="409D1A9C"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Cryptocurrency</w:t>
            </w:r>
            <w:r w:rsidR="00DD7E85">
              <w:rPr>
                <w:rFonts w:cs="Calibri"/>
              </w:rPr>
              <w:t xml:space="preserve"> – </w:t>
            </w:r>
            <w:r w:rsidRPr="00FA1A19">
              <w:rPr>
                <w:rFonts w:cs="Calibri"/>
              </w:rPr>
              <w:t>personal use</w:t>
            </w:r>
            <w:r w:rsidR="00DD7E85">
              <w:rPr>
                <w:rFonts w:cs="Calibri"/>
              </w:rPr>
              <w:t xml:space="preserve"> – </w:t>
            </w:r>
            <w:r w:rsidRPr="00FA1A19">
              <w:rPr>
                <w:rFonts w:cs="Calibri"/>
              </w:rPr>
              <w:t>chain split</w:t>
            </w:r>
          </w:p>
        </w:tc>
      </w:tr>
      <w:tr w:rsidR="00C11CE6" w:rsidRPr="00FA1A19" w14:paraId="3EACE005"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C43B1F7" w14:textId="5CD74869" w:rsidR="00C11CE6" w:rsidRPr="00FA1A19" w:rsidRDefault="00620DDC" w:rsidP="00F724BA">
            <w:pPr>
              <w:pStyle w:val="TableTextLeft"/>
              <w:rPr>
                <w:rFonts w:cs="Calibri"/>
                <w:color w:val="0563C1"/>
                <w:u w:val="single"/>
              </w:rPr>
            </w:pPr>
            <w:r w:rsidRPr="003D093B">
              <w:t>1051581846123</w:t>
            </w:r>
          </w:p>
        </w:tc>
        <w:tc>
          <w:tcPr>
            <w:tcW w:w="7793" w:type="dxa"/>
            <w:hideMark/>
          </w:tcPr>
          <w:p w14:paraId="0C0F3690" w14:textId="656A31E7"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Cryptocurrency</w:t>
            </w:r>
            <w:r w:rsidR="00DD7E85">
              <w:rPr>
                <w:rFonts w:cs="Calibri"/>
              </w:rPr>
              <w:t xml:space="preserve"> – </w:t>
            </w:r>
            <w:r w:rsidRPr="00FA1A19">
              <w:rPr>
                <w:rFonts w:cs="Calibri"/>
              </w:rPr>
              <w:t>personal use</w:t>
            </w:r>
            <w:r w:rsidR="00DD7E85">
              <w:rPr>
                <w:rFonts w:cs="Calibri"/>
              </w:rPr>
              <w:t xml:space="preserve"> – </w:t>
            </w:r>
            <w:r w:rsidRPr="00FA1A19">
              <w:rPr>
                <w:rFonts w:cs="Calibri"/>
              </w:rPr>
              <w:t>non</w:t>
            </w:r>
            <w:r w:rsidR="00F75232">
              <w:rPr>
                <w:rFonts w:cs="Calibri"/>
              </w:rPr>
              <w:noBreakHyphen/>
            </w:r>
            <w:r w:rsidRPr="00FA1A19">
              <w:rPr>
                <w:rFonts w:cs="Calibri"/>
              </w:rPr>
              <w:t>resident</w:t>
            </w:r>
          </w:p>
        </w:tc>
      </w:tr>
      <w:tr w:rsidR="00C11CE6" w:rsidRPr="00FA1A19" w14:paraId="029D68F0"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91AF204" w14:textId="4A01C148" w:rsidR="00C11CE6" w:rsidRPr="00FA1A19" w:rsidRDefault="00620DDC" w:rsidP="00F724BA">
            <w:pPr>
              <w:pStyle w:val="TableTextLeft"/>
              <w:rPr>
                <w:rFonts w:cs="Calibri"/>
                <w:color w:val="0563C1"/>
                <w:u w:val="single"/>
              </w:rPr>
            </w:pPr>
            <w:r w:rsidRPr="003D093B">
              <w:t>5010056283062</w:t>
            </w:r>
          </w:p>
        </w:tc>
        <w:tc>
          <w:tcPr>
            <w:tcW w:w="7793" w:type="dxa"/>
            <w:hideMark/>
          </w:tcPr>
          <w:p w14:paraId="69C340E4" w14:textId="50D0DE8C"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Cryptocurrency trading</w:t>
            </w:r>
          </w:p>
        </w:tc>
      </w:tr>
      <w:tr w:rsidR="00C11CE6" w:rsidRPr="00FA1A19" w14:paraId="1A1DE416"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BCF6732" w14:textId="4060B887" w:rsidR="00C11CE6" w:rsidRPr="00FA1A19" w:rsidRDefault="00620DDC" w:rsidP="00F724BA">
            <w:pPr>
              <w:pStyle w:val="TableTextLeft"/>
              <w:rPr>
                <w:rFonts w:cs="Calibri"/>
                <w:color w:val="0563C1"/>
                <w:u w:val="single"/>
              </w:rPr>
            </w:pPr>
            <w:r w:rsidRPr="003D093B">
              <w:t>5010055043639</w:t>
            </w:r>
          </w:p>
        </w:tc>
        <w:tc>
          <w:tcPr>
            <w:tcW w:w="7793" w:type="dxa"/>
            <w:noWrap/>
            <w:hideMark/>
          </w:tcPr>
          <w:p w14:paraId="0EB6E939" w14:textId="1028065C"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w:t>
            </w:r>
            <w:r w:rsidR="00F75232">
              <w:rPr>
                <w:rFonts w:cs="Calibri"/>
              </w:rPr>
              <w:t>’</w:t>
            </w:r>
            <w:r w:rsidRPr="00FA1A19">
              <w:rPr>
                <w:rFonts w:cs="Calibri"/>
              </w:rPr>
              <w:t>Foreign currency</w:t>
            </w:r>
            <w:r w:rsidR="00F75232">
              <w:rPr>
                <w:rFonts w:cs="Calibri"/>
              </w:rPr>
              <w:t>’</w:t>
            </w:r>
            <w:r w:rsidRPr="00FA1A19">
              <w:rPr>
                <w:rFonts w:cs="Calibri"/>
              </w:rPr>
              <w:t xml:space="preserve"> for the purposes of section 995</w:t>
            </w:r>
            <w:r w:rsidR="00F75232">
              <w:rPr>
                <w:rFonts w:cs="Calibri"/>
              </w:rPr>
              <w:noBreakHyphen/>
            </w:r>
            <w:r w:rsidRPr="00FA1A19">
              <w:rPr>
                <w:rFonts w:cs="Calibri"/>
              </w:rPr>
              <w:t>1 of the Income Tax Assessment Act 1997?</w:t>
            </w:r>
          </w:p>
        </w:tc>
      </w:tr>
      <w:tr w:rsidR="00C11CE6" w:rsidRPr="00FA1A19" w14:paraId="4D9025F3"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7C3D233" w14:textId="5993F6EC" w:rsidR="00C11CE6" w:rsidRPr="00FA1A19" w:rsidRDefault="00620DDC" w:rsidP="00F724BA">
            <w:pPr>
              <w:pStyle w:val="TableTextLeft"/>
              <w:rPr>
                <w:rFonts w:cs="Calibri"/>
                <w:color w:val="0563C1"/>
                <w:u w:val="single"/>
              </w:rPr>
            </w:pPr>
            <w:r w:rsidRPr="003D093B">
              <w:t>1051510404453</w:t>
            </w:r>
          </w:p>
        </w:tc>
        <w:tc>
          <w:tcPr>
            <w:tcW w:w="7793" w:type="dxa"/>
            <w:hideMark/>
          </w:tcPr>
          <w:p w14:paraId="7E639676" w14:textId="00F9BDE6"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Losses made from buying and selling cryptocurrency</w:t>
            </w:r>
          </w:p>
        </w:tc>
      </w:tr>
      <w:tr w:rsidR="00C11CE6" w:rsidRPr="00FA1A19" w14:paraId="41B869B0"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E0CC980" w14:textId="1C749A72" w:rsidR="00C11CE6" w:rsidRPr="00FA1A19" w:rsidRDefault="00620DDC" w:rsidP="00F724BA">
            <w:pPr>
              <w:pStyle w:val="TableTextLeft"/>
              <w:rPr>
                <w:rFonts w:cs="Calibri"/>
                <w:color w:val="0563C1"/>
                <w:u w:val="single"/>
              </w:rPr>
            </w:pPr>
            <w:r w:rsidRPr="003D093B">
              <w:t>1051427234585</w:t>
            </w:r>
          </w:p>
        </w:tc>
        <w:tc>
          <w:tcPr>
            <w:tcW w:w="7793" w:type="dxa"/>
            <w:noWrap/>
            <w:hideMark/>
          </w:tcPr>
          <w:p w14:paraId="3B9AEE65" w14:textId="21E39795"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P3D Tokens</w:t>
            </w:r>
          </w:p>
        </w:tc>
      </w:tr>
      <w:tr w:rsidR="00C11CE6" w:rsidRPr="00FA1A19" w14:paraId="792CC054"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ABB6C56" w14:textId="4055D1AB" w:rsidR="00C11CE6" w:rsidRPr="00FA1A19" w:rsidRDefault="00620DDC" w:rsidP="00F724BA">
            <w:pPr>
              <w:pStyle w:val="TableTextLeft"/>
              <w:rPr>
                <w:rFonts w:cs="Calibri"/>
                <w:color w:val="0563C1"/>
                <w:u w:val="single"/>
              </w:rPr>
            </w:pPr>
            <w:r w:rsidRPr="003D093B">
              <w:t>5010050043171</w:t>
            </w:r>
          </w:p>
        </w:tc>
        <w:tc>
          <w:tcPr>
            <w:tcW w:w="7793" w:type="dxa"/>
            <w:hideMark/>
          </w:tcPr>
          <w:p w14:paraId="6338128E" w14:textId="537D88A4"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2019 Taxation of cryptocurrency</w:t>
            </w:r>
          </w:p>
        </w:tc>
      </w:tr>
      <w:tr w:rsidR="00C11CE6" w:rsidRPr="00FA1A19" w14:paraId="18FF052D"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4DB4230" w14:textId="37596730" w:rsidR="00C11CE6" w:rsidRPr="00FA1A19" w:rsidRDefault="00D337F6" w:rsidP="00F724BA">
            <w:pPr>
              <w:pStyle w:val="TableTextLeft"/>
              <w:rPr>
                <w:rFonts w:cs="Calibri"/>
                <w:color w:val="0563C1"/>
                <w:u w:val="single"/>
              </w:rPr>
            </w:pPr>
            <w:r w:rsidRPr="003D093B">
              <w:t>7915126463611</w:t>
            </w:r>
          </w:p>
        </w:tc>
        <w:tc>
          <w:tcPr>
            <w:tcW w:w="7793" w:type="dxa"/>
            <w:noWrap/>
            <w:hideMark/>
          </w:tcPr>
          <w:p w14:paraId="2A870607" w14:textId="3B6A9E0F"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2019 Website forums</w:t>
            </w:r>
          </w:p>
        </w:tc>
      </w:tr>
      <w:tr w:rsidR="00C11CE6" w:rsidRPr="00FA1A19" w14:paraId="6257985A"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A763F88" w14:textId="7BD85CA6" w:rsidR="00C11CE6" w:rsidRPr="00FA1A19" w:rsidRDefault="00D337F6" w:rsidP="00F724BA">
            <w:pPr>
              <w:pStyle w:val="TableTextLeft"/>
              <w:rPr>
                <w:rFonts w:cs="Calibri"/>
                <w:color w:val="0563C1"/>
                <w:u w:val="single"/>
              </w:rPr>
            </w:pPr>
            <w:r w:rsidRPr="003D093B">
              <w:t>1051762426252</w:t>
            </w:r>
          </w:p>
        </w:tc>
        <w:tc>
          <w:tcPr>
            <w:tcW w:w="7793" w:type="dxa"/>
            <w:hideMark/>
          </w:tcPr>
          <w:p w14:paraId="756FF003" w14:textId="282A7432"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2020 Am I in business</w:t>
            </w:r>
            <w:r w:rsidR="00DD7E85">
              <w:rPr>
                <w:rFonts w:cs="Calibri"/>
              </w:rPr>
              <w:t xml:space="preserve"> – </w:t>
            </w:r>
            <w:r w:rsidR="00C11CE6" w:rsidRPr="00FA1A19">
              <w:rPr>
                <w:rFonts w:cs="Calibri"/>
              </w:rPr>
              <w:t>cryptocurrency</w:t>
            </w:r>
          </w:p>
        </w:tc>
      </w:tr>
      <w:tr w:rsidR="00C11CE6" w:rsidRPr="00FA1A19" w14:paraId="6107B05A"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57C98E0" w14:textId="36673FB2" w:rsidR="00C11CE6" w:rsidRPr="00FA1A19" w:rsidRDefault="00D337F6" w:rsidP="00F724BA">
            <w:pPr>
              <w:pStyle w:val="TableTextLeft"/>
              <w:rPr>
                <w:rFonts w:cs="Calibri"/>
                <w:color w:val="0563C1"/>
                <w:u w:val="single"/>
              </w:rPr>
            </w:pPr>
            <w:r w:rsidRPr="003D093B">
              <w:t>1051670954247</w:t>
            </w:r>
          </w:p>
        </w:tc>
        <w:tc>
          <w:tcPr>
            <w:tcW w:w="7793" w:type="dxa"/>
            <w:noWrap/>
            <w:hideMark/>
          </w:tcPr>
          <w:p w14:paraId="28019D99" w14:textId="0CB7F2EA"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2020 Cryptocurrency</w:t>
            </w:r>
          </w:p>
        </w:tc>
      </w:tr>
      <w:tr w:rsidR="00C11CE6" w:rsidRPr="00FA1A19" w14:paraId="2B969701"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F054841" w14:textId="32035F04" w:rsidR="00C11CE6" w:rsidRPr="00FA1A19" w:rsidRDefault="00D337F6" w:rsidP="00F724BA">
            <w:pPr>
              <w:pStyle w:val="TableTextLeft"/>
              <w:rPr>
                <w:rFonts w:cs="Calibri"/>
                <w:color w:val="0563C1"/>
                <w:u w:val="single"/>
              </w:rPr>
            </w:pPr>
            <w:r w:rsidRPr="003D093B">
              <w:t>1051694175099</w:t>
            </w:r>
          </w:p>
        </w:tc>
        <w:tc>
          <w:tcPr>
            <w:tcW w:w="7793" w:type="dxa"/>
            <w:noWrap/>
            <w:hideMark/>
          </w:tcPr>
          <w:p w14:paraId="08B1E478" w14:textId="468837C2"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2020 Cryptocurrency</w:t>
            </w:r>
            <w:r w:rsidR="00DD7E85">
              <w:rPr>
                <w:rFonts w:cs="Calibri"/>
              </w:rPr>
              <w:t xml:space="preserve"> – </w:t>
            </w:r>
            <w:r w:rsidRPr="00FA1A19">
              <w:rPr>
                <w:rFonts w:cs="Calibri"/>
              </w:rPr>
              <w:t>non</w:t>
            </w:r>
            <w:r w:rsidR="00F75232">
              <w:rPr>
                <w:rFonts w:cs="Calibri"/>
              </w:rPr>
              <w:noBreakHyphen/>
            </w:r>
            <w:r w:rsidRPr="00FA1A19">
              <w:rPr>
                <w:rFonts w:cs="Calibri"/>
              </w:rPr>
              <w:t>fungible tokens</w:t>
            </w:r>
          </w:p>
        </w:tc>
      </w:tr>
      <w:tr w:rsidR="00C11CE6" w:rsidRPr="00FA1A19" w14:paraId="13A530E4"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B2BB8CF" w14:textId="4660DDA4" w:rsidR="00C11CE6" w:rsidRPr="00FA1A19" w:rsidRDefault="00D337F6" w:rsidP="00F724BA">
            <w:pPr>
              <w:pStyle w:val="TableTextLeft"/>
              <w:rPr>
                <w:rFonts w:cs="Calibri"/>
                <w:color w:val="0563C1"/>
                <w:u w:val="single"/>
              </w:rPr>
            </w:pPr>
            <w:r w:rsidRPr="003D093B">
              <w:t>1051901680634</w:t>
            </w:r>
          </w:p>
        </w:tc>
        <w:tc>
          <w:tcPr>
            <w:tcW w:w="7793" w:type="dxa"/>
            <w:noWrap/>
            <w:hideMark/>
          </w:tcPr>
          <w:p w14:paraId="675DC6EC" w14:textId="29756779"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Am I in business</w:t>
            </w:r>
            <w:r w:rsidR="00DD7E85">
              <w:rPr>
                <w:rFonts w:cs="Calibri"/>
              </w:rPr>
              <w:t xml:space="preserve"> – </w:t>
            </w:r>
            <w:r w:rsidRPr="00FA1A19">
              <w:rPr>
                <w:rFonts w:cs="Calibri"/>
              </w:rPr>
              <w:t>cryptocurrency</w:t>
            </w:r>
          </w:p>
        </w:tc>
      </w:tr>
      <w:tr w:rsidR="00C11CE6" w:rsidRPr="00FA1A19" w14:paraId="0BEE1E18"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351568C" w14:textId="0D23B778" w:rsidR="00C11CE6" w:rsidRPr="00FA1A19" w:rsidRDefault="00D337F6" w:rsidP="00F724BA">
            <w:pPr>
              <w:pStyle w:val="TableTextLeft"/>
              <w:rPr>
                <w:rFonts w:cs="Calibri"/>
                <w:color w:val="0563C1"/>
                <w:u w:val="single"/>
              </w:rPr>
            </w:pPr>
            <w:r w:rsidRPr="003D093B">
              <w:t>1051893989711</w:t>
            </w:r>
          </w:p>
        </w:tc>
        <w:tc>
          <w:tcPr>
            <w:tcW w:w="7793" w:type="dxa"/>
            <w:hideMark/>
          </w:tcPr>
          <w:p w14:paraId="227209C9" w14:textId="44C70356"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2021 Capital gains tax</w:t>
            </w:r>
          </w:p>
        </w:tc>
      </w:tr>
      <w:tr w:rsidR="00C11CE6" w:rsidRPr="00FA1A19" w14:paraId="08177AEE"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905296D" w14:textId="2E4236BC" w:rsidR="00C11CE6" w:rsidRPr="00FA1A19" w:rsidRDefault="00D337F6" w:rsidP="00F724BA">
            <w:pPr>
              <w:pStyle w:val="TableTextLeft"/>
              <w:rPr>
                <w:rFonts w:cs="Calibri"/>
                <w:color w:val="0563C1"/>
                <w:u w:val="single"/>
              </w:rPr>
            </w:pPr>
            <w:r w:rsidRPr="003D093B">
              <w:t>1051829318404</w:t>
            </w:r>
          </w:p>
        </w:tc>
        <w:tc>
          <w:tcPr>
            <w:tcW w:w="7793" w:type="dxa"/>
            <w:noWrap/>
            <w:hideMark/>
          </w:tcPr>
          <w:p w14:paraId="661328F7" w14:textId="20CDBE75"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Capital loss</w:t>
            </w:r>
            <w:r w:rsidR="00DD7E85">
              <w:rPr>
                <w:rFonts w:cs="Calibri"/>
              </w:rPr>
              <w:t xml:space="preserve"> – </w:t>
            </w:r>
            <w:r w:rsidRPr="00FA1A19">
              <w:rPr>
                <w:rFonts w:cs="Calibri"/>
              </w:rPr>
              <w:t>cryptocurrency</w:t>
            </w:r>
          </w:p>
        </w:tc>
      </w:tr>
      <w:tr w:rsidR="00C11CE6" w:rsidRPr="00FA1A19" w14:paraId="0147913F"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7D39EDB" w14:textId="3D3A905B" w:rsidR="00C11CE6" w:rsidRPr="00FA1A19" w:rsidRDefault="00D337F6" w:rsidP="00F724BA">
            <w:pPr>
              <w:pStyle w:val="TableTextLeft"/>
              <w:rPr>
                <w:rFonts w:cs="Calibri"/>
                <w:color w:val="0563C1"/>
                <w:u w:val="single"/>
              </w:rPr>
            </w:pPr>
            <w:r w:rsidRPr="003D093B">
              <w:t>1051843718359</w:t>
            </w:r>
          </w:p>
        </w:tc>
        <w:tc>
          <w:tcPr>
            <w:tcW w:w="7793" w:type="dxa"/>
            <w:hideMark/>
          </w:tcPr>
          <w:p w14:paraId="5C81F958" w14:textId="5DB6E9B6"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2021 CGT</w:t>
            </w:r>
            <w:r w:rsidR="00DD7E85">
              <w:rPr>
                <w:rFonts w:cs="Calibri"/>
              </w:rPr>
              <w:t xml:space="preserve"> – </w:t>
            </w:r>
            <w:r w:rsidRPr="00FA1A19">
              <w:rPr>
                <w:rFonts w:cs="Calibri"/>
              </w:rPr>
              <w:t>calculation of gains and losses</w:t>
            </w:r>
          </w:p>
        </w:tc>
      </w:tr>
      <w:tr w:rsidR="00C11CE6" w:rsidRPr="00FA1A19" w14:paraId="1B968B07"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19BBD0F" w14:textId="0AC0C688" w:rsidR="00C11CE6" w:rsidRPr="00FA1A19" w:rsidRDefault="005F645A" w:rsidP="00F724BA">
            <w:pPr>
              <w:pStyle w:val="TableTextLeft"/>
              <w:rPr>
                <w:rFonts w:cs="Calibri"/>
                <w:color w:val="0563C1"/>
                <w:u w:val="single"/>
              </w:rPr>
            </w:pPr>
            <w:r w:rsidRPr="003D093B">
              <w:t>1051820739965</w:t>
            </w:r>
          </w:p>
        </w:tc>
        <w:tc>
          <w:tcPr>
            <w:tcW w:w="7793" w:type="dxa"/>
            <w:noWrap/>
            <w:hideMark/>
          </w:tcPr>
          <w:p w14:paraId="3EB0B182" w14:textId="40CFDA6D"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CGT and cryptocurrency</w:t>
            </w:r>
          </w:p>
        </w:tc>
      </w:tr>
      <w:tr w:rsidR="00C11CE6" w:rsidRPr="00FA1A19" w14:paraId="017122B7"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9604F93" w14:textId="208D1039" w:rsidR="00C11CE6" w:rsidRPr="00FA1A19" w:rsidRDefault="005F645A" w:rsidP="00F724BA">
            <w:pPr>
              <w:pStyle w:val="TableTextLeft"/>
              <w:rPr>
                <w:rFonts w:cs="Calibri"/>
                <w:color w:val="0563C1"/>
                <w:u w:val="single"/>
              </w:rPr>
            </w:pPr>
            <w:r w:rsidRPr="003D093B">
              <w:t>1051833351244</w:t>
            </w:r>
          </w:p>
        </w:tc>
        <w:tc>
          <w:tcPr>
            <w:tcW w:w="7793" w:type="dxa"/>
            <w:hideMark/>
          </w:tcPr>
          <w:p w14:paraId="7ED9B7E7" w14:textId="573FDEF3"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2021 CGT and temporary resident</w:t>
            </w:r>
          </w:p>
        </w:tc>
      </w:tr>
      <w:tr w:rsidR="00C11CE6" w:rsidRPr="00FA1A19" w14:paraId="75FE8096"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C4D7B74" w14:textId="5EB412C0" w:rsidR="00C11CE6" w:rsidRPr="00FA1A19" w:rsidRDefault="005F645A" w:rsidP="00F724BA">
            <w:pPr>
              <w:pStyle w:val="TableTextLeft"/>
              <w:rPr>
                <w:rFonts w:cs="Calibri"/>
                <w:color w:val="0563C1"/>
                <w:u w:val="single"/>
              </w:rPr>
            </w:pPr>
            <w:r w:rsidRPr="003D093B">
              <w:t>1051895820704</w:t>
            </w:r>
          </w:p>
        </w:tc>
        <w:tc>
          <w:tcPr>
            <w:tcW w:w="7793" w:type="dxa"/>
            <w:noWrap/>
            <w:hideMark/>
          </w:tcPr>
          <w:p w14:paraId="7385FB16" w14:textId="7CCCFC3B"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CGT</w:t>
            </w:r>
            <w:r w:rsidR="00BC3F14">
              <w:rPr>
                <w:rFonts w:cs="Calibri"/>
              </w:rPr>
              <w:t xml:space="preserve"> –</w:t>
            </w:r>
            <w:r w:rsidRPr="00FA1A19">
              <w:rPr>
                <w:rFonts w:cs="Calibri"/>
              </w:rPr>
              <w:t xml:space="preserve"> personal use assets</w:t>
            </w:r>
          </w:p>
        </w:tc>
      </w:tr>
      <w:tr w:rsidR="00C11CE6" w:rsidRPr="00FA1A19" w14:paraId="325A8BF0"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F97F59A" w14:textId="3D404ADC" w:rsidR="00C11CE6" w:rsidRPr="00FA1A19" w:rsidRDefault="005F645A" w:rsidP="00F724BA">
            <w:pPr>
              <w:pStyle w:val="TableTextLeft"/>
              <w:rPr>
                <w:rFonts w:cs="Calibri"/>
                <w:color w:val="0563C1"/>
                <w:u w:val="single"/>
              </w:rPr>
            </w:pPr>
            <w:r w:rsidRPr="003D093B">
              <w:t>1051781223882</w:t>
            </w:r>
          </w:p>
        </w:tc>
        <w:tc>
          <w:tcPr>
            <w:tcW w:w="7793" w:type="dxa"/>
            <w:noWrap/>
            <w:hideMark/>
          </w:tcPr>
          <w:p w14:paraId="43B5D935" w14:textId="082EC4B7"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2021 Cryptocurrency</w:t>
            </w:r>
          </w:p>
        </w:tc>
      </w:tr>
      <w:tr w:rsidR="00C11CE6" w:rsidRPr="00FA1A19" w14:paraId="3B9CD586"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6B74D2E" w14:textId="66849E1B" w:rsidR="00C11CE6" w:rsidRPr="00FA1A19" w:rsidRDefault="005F645A" w:rsidP="00F724BA">
            <w:pPr>
              <w:pStyle w:val="TableTextLeft"/>
              <w:rPr>
                <w:rFonts w:cs="Calibri"/>
                <w:color w:val="0563C1"/>
                <w:u w:val="single"/>
              </w:rPr>
            </w:pPr>
            <w:r w:rsidRPr="003D093B">
              <w:t>1051859191291</w:t>
            </w:r>
          </w:p>
        </w:tc>
        <w:tc>
          <w:tcPr>
            <w:tcW w:w="7793" w:type="dxa"/>
            <w:noWrap/>
            <w:hideMark/>
          </w:tcPr>
          <w:p w14:paraId="5118B321" w14:textId="1DE46301"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Cryptocurrency mining</w:t>
            </w:r>
          </w:p>
        </w:tc>
      </w:tr>
      <w:tr w:rsidR="00C11CE6" w:rsidRPr="00FA1A19" w14:paraId="306A410B"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AB85C09" w14:textId="08B256E4" w:rsidR="00C11CE6" w:rsidRPr="00FA1A19" w:rsidRDefault="005F645A" w:rsidP="00F724BA">
            <w:pPr>
              <w:pStyle w:val="TableTextLeft"/>
              <w:rPr>
                <w:rFonts w:cs="Calibri"/>
                <w:color w:val="0563C1"/>
                <w:u w:val="single"/>
              </w:rPr>
            </w:pPr>
            <w:r w:rsidRPr="003D093B">
              <w:t>1051899952747</w:t>
            </w:r>
          </w:p>
        </w:tc>
        <w:tc>
          <w:tcPr>
            <w:tcW w:w="7793" w:type="dxa"/>
            <w:hideMark/>
          </w:tcPr>
          <w:p w14:paraId="5DAF7D64" w14:textId="0EDFDEE2"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2021 GST and cryptocurrency mining</w:t>
            </w:r>
          </w:p>
        </w:tc>
      </w:tr>
      <w:tr w:rsidR="00C11CE6" w:rsidRPr="00FA1A19" w14:paraId="307EE4A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74E030F" w14:textId="3CBC1D94" w:rsidR="00C11CE6" w:rsidRPr="00FA1A19" w:rsidRDefault="005F645A" w:rsidP="00F724BA">
            <w:pPr>
              <w:pStyle w:val="TableTextLeft"/>
              <w:rPr>
                <w:rFonts w:cs="Calibri"/>
                <w:color w:val="0563C1"/>
                <w:u w:val="single"/>
              </w:rPr>
            </w:pPr>
            <w:r w:rsidRPr="003D093B">
              <w:t>1051882521018</w:t>
            </w:r>
          </w:p>
        </w:tc>
        <w:tc>
          <w:tcPr>
            <w:tcW w:w="7793" w:type="dxa"/>
            <w:noWrap/>
            <w:hideMark/>
          </w:tcPr>
          <w:p w14:paraId="06D83BE8" w14:textId="7B41DA4E"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Investment schemes</w:t>
            </w:r>
          </w:p>
        </w:tc>
      </w:tr>
      <w:tr w:rsidR="00C11CE6" w:rsidRPr="00FA1A19" w14:paraId="5A7C87B6"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F16F5C6" w14:textId="17C78BD0" w:rsidR="00C11CE6" w:rsidRPr="00FA1A19" w:rsidRDefault="005F645A" w:rsidP="00F724BA">
            <w:pPr>
              <w:pStyle w:val="TableTextLeft"/>
              <w:rPr>
                <w:rFonts w:cs="Calibri"/>
                <w:color w:val="0563C1"/>
                <w:u w:val="single"/>
              </w:rPr>
            </w:pPr>
            <w:r w:rsidRPr="003D093B">
              <w:t>1051818971620</w:t>
            </w:r>
          </w:p>
        </w:tc>
        <w:tc>
          <w:tcPr>
            <w:tcW w:w="7793" w:type="dxa"/>
            <w:noWrap/>
            <w:hideMark/>
          </w:tcPr>
          <w:p w14:paraId="7EDF6041" w14:textId="273041D8"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2021 Residency</w:t>
            </w:r>
          </w:p>
        </w:tc>
      </w:tr>
      <w:tr w:rsidR="00C11CE6" w:rsidRPr="00FA1A19" w14:paraId="083A2D05"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66F32BF" w14:textId="5D4B6441" w:rsidR="00C11CE6" w:rsidRPr="00FA1A19" w:rsidRDefault="005F645A" w:rsidP="00F724BA">
            <w:pPr>
              <w:pStyle w:val="TableTextLeft"/>
              <w:rPr>
                <w:rFonts w:cs="Calibri"/>
                <w:color w:val="0563C1"/>
                <w:u w:val="single"/>
              </w:rPr>
            </w:pPr>
            <w:r w:rsidRPr="003D093B">
              <w:t>1051830752403</w:t>
            </w:r>
          </w:p>
        </w:tc>
        <w:tc>
          <w:tcPr>
            <w:tcW w:w="7793" w:type="dxa"/>
            <w:noWrap/>
            <w:hideMark/>
          </w:tcPr>
          <w:p w14:paraId="22FABD3A" w14:textId="14292FB6"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Residency</w:t>
            </w:r>
          </w:p>
        </w:tc>
      </w:tr>
      <w:tr w:rsidR="00C11CE6" w:rsidRPr="00FA1A19" w14:paraId="7D7C747E"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ADDCF37" w14:textId="30520C92" w:rsidR="00C11CE6" w:rsidRPr="00FA1A19" w:rsidRDefault="005F645A" w:rsidP="00F724BA">
            <w:pPr>
              <w:pStyle w:val="TableTextLeft"/>
              <w:rPr>
                <w:rFonts w:cs="Calibri"/>
                <w:color w:val="0563C1"/>
                <w:u w:val="single"/>
              </w:rPr>
            </w:pPr>
            <w:r w:rsidRPr="003D093B">
              <w:t>1051896004231</w:t>
            </w:r>
          </w:p>
        </w:tc>
        <w:tc>
          <w:tcPr>
            <w:tcW w:w="7793" w:type="dxa"/>
            <w:noWrap/>
            <w:hideMark/>
          </w:tcPr>
          <w:p w14:paraId="6A6345DF" w14:textId="361ACFB6"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2021 Residency</w:t>
            </w:r>
          </w:p>
        </w:tc>
      </w:tr>
      <w:tr w:rsidR="00C11CE6" w:rsidRPr="00FA1A19" w14:paraId="2C4A3BA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A8E08F9" w14:textId="56B919A6" w:rsidR="00C11CE6" w:rsidRPr="00FA1A19" w:rsidRDefault="005F645A" w:rsidP="00F724BA">
            <w:pPr>
              <w:pStyle w:val="TableTextLeft"/>
              <w:rPr>
                <w:rFonts w:cs="Calibri"/>
                <w:color w:val="0563C1"/>
                <w:u w:val="single"/>
              </w:rPr>
            </w:pPr>
            <w:r w:rsidRPr="003D093B">
              <w:t>5010072631584</w:t>
            </w:r>
          </w:p>
        </w:tc>
        <w:tc>
          <w:tcPr>
            <w:tcW w:w="7793" w:type="dxa"/>
            <w:hideMark/>
          </w:tcPr>
          <w:p w14:paraId="25FB1465" w14:textId="0C54EC96"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2021 Residency for taxation purposes</w:t>
            </w:r>
          </w:p>
        </w:tc>
      </w:tr>
      <w:tr w:rsidR="00C11CE6" w:rsidRPr="00FA1A19" w14:paraId="6FC26113"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6DF9B7C" w14:textId="1619E2A1" w:rsidR="00C11CE6" w:rsidRPr="00FA1A19" w:rsidRDefault="005F645A" w:rsidP="00F724BA">
            <w:pPr>
              <w:pStyle w:val="TableTextLeft"/>
              <w:rPr>
                <w:rFonts w:cs="Calibri"/>
                <w:color w:val="0563C1"/>
                <w:u w:val="single"/>
              </w:rPr>
            </w:pPr>
            <w:r w:rsidRPr="003D093B">
              <w:t>1051908361187</w:t>
            </w:r>
          </w:p>
        </w:tc>
        <w:tc>
          <w:tcPr>
            <w:tcW w:w="7793" w:type="dxa"/>
            <w:hideMark/>
          </w:tcPr>
          <w:p w14:paraId="3B5CBCC3" w14:textId="6F530CFA"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Am I carrying on a business of cryptocurrency trading?</w:t>
            </w:r>
          </w:p>
        </w:tc>
      </w:tr>
      <w:tr w:rsidR="00C11CE6" w:rsidRPr="00FA1A19" w14:paraId="79EACB3A"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F1306BF" w14:textId="7A17EE7C" w:rsidR="00C11CE6" w:rsidRPr="00FA1A19" w:rsidRDefault="005F645A" w:rsidP="00F724BA">
            <w:pPr>
              <w:pStyle w:val="TableTextLeft"/>
              <w:rPr>
                <w:rFonts w:cs="Calibri"/>
                <w:color w:val="0563C1"/>
                <w:u w:val="single"/>
              </w:rPr>
            </w:pPr>
            <w:r w:rsidRPr="003D093B">
              <w:t>1051957252991</w:t>
            </w:r>
          </w:p>
        </w:tc>
        <w:tc>
          <w:tcPr>
            <w:tcW w:w="7793" w:type="dxa"/>
            <w:hideMark/>
          </w:tcPr>
          <w:p w14:paraId="67F69624" w14:textId="7B5ABB5B" w:rsidR="00C11CE6" w:rsidRPr="00FA1A19" w:rsidRDefault="00C11CE6"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Assessable income crypto assets</w:t>
            </w:r>
          </w:p>
        </w:tc>
      </w:tr>
      <w:tr w:rsidR="00C11CE6" w:rsidRPr="00FA1A19" w14:paraId="4AFE3ACA"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F835C58" w14:textId="03250D80" w:rsidR="00C11CE6" w:rsidRPr="00FA1A19" w:rsidRDefault="005F645A" w:rsidP="00F724BA">
            <w:pPr>
              <w:pStyle w:val="TableTextLeft"/>
              <w:rPr>
                <w:rFonts w:cs="Calibri"/>
                <w:color w:val="0563C1"/>
                <w:u w:val="single"/>
              </w:rPr>
            </w:pPr>
            <w:r w:rsidRPr="003D093B">
              <w:t>1051927830974</w:t>
            </w:r>
          </w:p>
        </w:tc>
        <w:tc>
          <w:tcPr>
            <w:tcW w:w="7793" w:type="dxa"/>
            <w:noWrap/>
            <w:hideMark/>
          </w:tcPr>
          <w:p w14:paraId="2D7A6194" w14:textId="40060B55"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Beneficial vs legal ownership</w:t>
            </w:r>
          </w:p>
        </w:tc>
      </w:tr>
      <w:tr w:rsidR="00C11CE6" w:rsidRPr="00FA1A19" w14:paraId="1271A011"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162230ED" w14:textId="3F83A41E" w:rsidR="00C11CE6" w:rsidRPr="00FA1A19" w:rsidRDefault="005F645A" w:rsidP="00F724BA">
            <w:pPr>
              <w:pStyle w:val="TableTextLeft"/>
              <w:rPr>
                <w:rFonts w:cs="Calibri"/>
                <w:color w:val="0563C1"/>
                <w:u w:val="single"/>
              </w:rPr>
            </w:pPr>
            <w:r w:rsidRPr="003D093B">
              <w:t>1051932249952</w:t>
            </w:r>
          </w:p>
        </w:tc>
        <w:tc>
          <w:tcPr>
            <w:tcW w:w="7793" w:type="dxa"/>
            <w:noWrap/>
            <w:hideMark/>
          </w:tcPr>
          <w:p w14:paraId="38BBA9E6" w14:textId="669E5308"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CGT</w:t>
            </w:r>
            <w:r w:rsidR="00DD7E85">
              <w:rPr>
                <w:rFonts w:cs="Calibri"/>
              </w:rPr>
              <w:t xml:space="preserve"> – </w:t>
            </w:r>
            <w:r w:rsidRPr="00FA1A19">
              <w:rPr>
                <w:rFonts w:cs="Calibri"/>
              </w:rPr>
              <w:t>cryptocurrency</w:t>
            </w:r>
          </w:p>
        </w:tc>
      </w:tr>
      <w:tr w:rsidR="00C11CE6" w:rsidRPr="00FA1A19" w14:paraId="434E5726"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C1678E7" w14:textId="383BEAB8" w:rsidR="00C11CE6" w:rsidRPr="00FA1A19" w:rsidRDefault="005F645A" w:rsidP="00F724BA">
            <w:pPr>
              <w:pStyle w:val="TableTextLeft"/>
              <w:rPr>
                <w:rFonts w:cs="Calibri"/>
                <w:color w:val="0563C1"/>
                <w:u w:val="single"/>
              </w:rPr>
            </w:pPr>
            <w:r w:rsidRPr="003D093B">
              <w:t>1051918765366</w:t>
            </w:r>
          </w:p>
        </w:tc>
        <w:tc>
          <w:tcPr>
            <w:tcW w:w="7793" w:type="dxa"/>
            <w:hideMark/>
          </w:tcPr>
          <w:p w14:paraId="75290FC1" w14:textId="69EC5DAD"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CGT</w:t>
            </w:r>
            <w:r w:rsidR="00DD7E85">
              <w:rPr>
                <w:rFonts w:cs="Calibri"/>
              </w:rPr>
              <w:t xml:space="preserve"> – </w:t>
            </w:r>
            <w:r w:rsidRPr="00FA1A19">
              <w:rPr>
                <w:rFonts w:cs="Calibri"/>
              </w:rPr>
              <w:t>legal and beneficial ownership</w:t>
            </w:r>
          </w:p>
        </w:tc>
      </w:tr>
      <w:tr w:rsidR="00C11CE6" w:rsidRPr="00FA1A19" w14:paraId="31FE0DDD"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F722658" w14:textId="6DA85AD3" w:rsidR="00C11CE6" w:rsidRPr="00FA1A19" w:rsidRDefault="005F645A" w:rsidP="00F724BA">
            <w:pPr>
              <w:pStyle w:val="TableTextLeft"/>
              <w:rPr>
                <w:rFonts w:cs="Calibri"/>
                <w:color w:val="0563C1"/>
                <w:u w:val="single"/>
              </w:rPr>
            </w:pPr>
            <w:r w:rsidRPr="003D093B">
              <w:t>1051961953605</w:t>
            </w:r>
          </w:p>
        </w:tc>
        <w:tc>
          <w:tcPr>
            <w:tcW w:w="7793" w:type="dxa"/>
            <w:hideMark/>
          </w:tcPr>
          <w:p w14:paraId="4935DA21" w14:textId="484C5FB2"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CGT</w:t>
            </w:r>
            <w:r w:rsidR="00DD7E85">
              <w:rPr>
                <w:rFonts w:cs="Calibri"/>
              </w:rPr>
              <w:t xml:space="preserve"> – </w:t>
            </w:r>
            <w:r w:rsidRPr="00FA1A19">
              <w:rPr>
                <w:rFonts w:cs="Calibri"/>
              </w:rPr>
              <w:t>lending Ethereum (cryptocurrency) to a partnership</w:t>
            </w:r>
          </w:p>
        </w:tc>
      </w:tr>
      <w:tr w:rsidR="00C11CE6" w:rsidRPr="00FA1A19" w14:paraId="25F7DC36"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A66A402" w14:textId="6EB14384" w:rsidR="00C11CE6" w:rsidRPr="00FA1A19" w:rsidRDefault="005F645A" w:rsidP="00F724BA">
            <w:pPr>
              <w:pStyle w:val="TableTextLeft"/>
              <w:rPr>
                <w:rFonts w:cs="Calibri"/>
                <w:color w:val="0563C1"/>
                <w:u w:val="single"/>
              </w:rPr>
            </w:pPr>
            <w:r w:rsidRPr="003D093B">
              <w:t>1051987284405</w:t>
            </w:r>
          </w:p>
        </w:tc>
        <w:tc>
          <w:tcPr>
            <w:tcW w:w="7793" w:type="dxa"/>
            <w:hideMark/>
          </w:tcPr>
          <w:p w14:paraId="4EAEE0EE" w14:textId="484657B4" w:rsidR="00C11CE6" w:rsidRPr="00FA1A19" w:rsidRDefault="00C11CE6"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Contracts for difference gains and losses</w:t>
            </w:r>
          </w:p>
        </w:tc>
      </w:tr>
      <w:tr w:rsidR="00C11CE6" w:rsidRPr="00FA1A19" w14:paraId="21A60335"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0C7BD9D" w14:textId="21780A54" w:rsidR="00C11CE6" w:rsidRPr="00FA1A19" w:rsidRDefault="005F645A" w:rsidP="00F724BA">
            <w:pPr>
              <w:pStyle w:val="TableTextLeft"/>
              <w:rPr>
                <w:rFonts w:cs="Calibri"/>
                <w:color w:val="0563C1"/>
                <w:u w:val="single"/>
              </w:rPr>
            </w:pPr>
            <w:r w:rsidRPr="003D093B">
              <w:t>1051976096088</w:t>
            </w:r>
          </w:p>
        </w:tc>
        <w:tc>
          <w:tcPr>
            <w:tcW w:w="7793" w:type="dxa"/>
            <w:hideMark/>
          </w:tcPr>
          <w:p w14:paraId="79C1FA23" w14:textId="5CEF71BE"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Crypto assets</w:t>
            </w:r>
            <w:r w:rsidR="00DD7E85">
              <w:rPr>
                <w:rFonts w:cs="Calibri"/>
              </w:rPr>
              <w:t xml:space="preserve"> – </w:t>
            </w:r>
            <w:r w:rsidRPr="00FA1A19">
              <w:rPr>
                <w:rFonts w:cs="Calibri"/>
              </w:rPr>
              <w:t>personal use</w:t>
            </w:r>
          </w:p>
        </w:tc>
      </w:tr>
      <w:tr w:rsidR="00C11CE6" w:rsidRPr="00FA1A19" w14:paraId="55C6D33C"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8D5D0B5" w14:textId="1530F73C" w:rsidR="00C11CE6" w:rsidRPr="00FA1A19" w:rsidRDefault="005F645A" w:rsidP="00F724BA">
            <w:pPr>
              <w:pStyle w:val="TableTextLeft"/>
              <w:rPr>
                <w:rFonts w:cs="Calibri"/>
                <w:color w:val="0563C1"/>
                <w:u w:val="single"/>
              </w:rPr>
            </w:pPr>
            <w:r w:rsidRPr="003D093B">
              <w:t>1052014880581</w:t>
            </w:r>
          </w:p>
        </w:tc>
        <w:tc>
          <w:tcPr>
            <w:tcW w:w="7793" w:type="dxa"/>
            <w:hideMark/>
          </w:tcPr>
          <w:p w14:paraId="3DB4A265" w14:textId="27FBDBC4"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Crypto mining and digital currency</w:t>
            </w:r>
          </w:p>
        </w:tc>
      </w:tr>
      <w:tr w:rsidR="00C11CE6" w:rsidRPr="00FA1A19" w14:paraId="7BA3E355"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7A276C5" w14:textId="12896D8D" w:rsidR="00C11CE6" w:rsidRPr="00FA1A19" w:rsidRDefault="005F645A" w:rsidP="00F724BA">
            <w:pPr>
              <w:pStyle w:val="TableTextLeft"/>
              <w:rPr>
                <w:rFonts w:cs="Calibri"/>
                <w:color w:val="0563C1"/>
                <w:u w:val="single"/>
              </w:rPr>
            </w:pPr>
            <w:r w:rsidRPr="003D093B">
              <w:t>1052016303269</w:t>
            </w:r>
          </w:p>
        </w:tc>
        <w:tc>
          <w:tcPr>
            <w:tcW w:w="7793" w:type="dxa"/>
            <w:hideMark/>
          </w:tcPr>
          <w:p w14:paraId="3EB33277" w14:textId="6557494E"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Crypto mining and digital currency</w:t>
            </w:r>
          </w:p>
        </w:tc>
      </w:tr>
      <w:tr w:rsidR="00C11CE6" w:rsidRPr="00FA1A19" w14:paraId="47A6549A"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955277E" w14:textId="3D3C68E7" w:rsidR="00C11CE6" w:rsidRPr="00FA1A19" w:rsidRDefault="005F645A" w:rsidP="00F724BA">
            <w:pPr>
              <w:pStyle w:val="TableTextLeft"/>
              <w:rPr>
                <w:rFonts w:cs="Calibri"/>
                <w:color w:val="0563C1"/>
                <w:u w:val="single"/>
              </w:rPr>
            </w:pPr>
            <w:r w:rsidRPr="003D093B">
              <w:t>1052040568030</w:t>
            </w:r>
          </w:p>
        </w:tc>
        <w:tc>
          <w:tcPr>
            <w:tcW w:w="7793" w:type="dxa"/>
            <w:hideMark/>
          </w:tcPr>
          <w:p w14:paraId="32D8F11B" w14:textId="299E2963"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Cryptocurrency</w:t>
            </w:r>
            <w:r w:rsidR="00DD7E85">
              <w:rPr>
                <w:rFonts w:cs="Calibri"/>
              </w:rPr>
              <w:t xml:space="preserve"> – </w:t>
            </w:r>
            <w:r w:rsidRPr="00FA1A19">
              <w:rPr>
                <w:rFonts w:cs="Calibri"/>
              </w:rPr>
              <w:t>capital losses</w:t>
            </w:r>
          </w:p>
        </w:tc>
      </w:tr>
      <w:tr w:rsidR="00C11CE6" w:rsidRPr="00FA1A19" w14:paraId="62478788"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3086FD6" w14:textId="519145FA" w:rsidR="00C11CE6" w:rsidRPr="00FA1A19" w:rsidRDefault="005F645A" w:rsidP="00F724BA">
            <w:pPr>
              <w:pStyle w:val="TableTextLeft"/>
              <w:rPr>
                <w:rFonts w:cs="Calibri"/>
                <w:color w:val="0563C1"/>
                <w:u w:val="single"/>
              </w:rPr>
            </w:pPr>
            <w:r w:rsidRPr="003D093B">
              <w:t>1052012493751</w:t>
            </w:r>
          </w:p>
        </w:tc>
        <w:tc>
          <w:tcPr>
            <w:tcW w:w="7793" w:type="dxa"/>
            <w:hideMark/>
          </w:tcPr>
          <w:p w14:paraId="05B7410F" w14:textId="18E0F1ED"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Cryptocurrency</w:t>
            </w:r>
            <w:r w:rsidR="00DD7E85">
              <w:rPr>
                <w:rFonts w:cs="Calibri"/>
              </w:rPr>
              <w:t xml:space="preserve"> – </w:t>
            </w:r>
            <w:r w:rsidRPr="00FA1A19">
              <w:rPr>
                <w:rFonts w:cs="Calibri"/>
              </w:rPr>
              <w:t>disposal and acquisition</w:t>
            </w:r>
          </w:p>
        </w:tc>
      </w:tr>
      <w:tr w:rsidR="00C11CE6" w:rsidRPr="00FA1A19" w14:paraId="74F81C97"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D275740" w14:textId="4D365C6A" w:rsidR="00C11CE6" w:rsidRPr="00FA1A19" w:rsidRDefault="005F645A" w:rsidP="00F724BA">
            <w:pPr>
              <w:pStyle w:val="TableTextLeft"/>
              <w:rPr>
                <w:rFonts w:cs="Calibri"/>
                <w:color w:val="0563C1"/>
                <w:u w:val="single"/>
              </w:rPr>
            </w:pPr>
            <w:r w:rsidRPr="003D093B">
              <w:t>1052030474609</w:t>
            </w:r>
          </w:p>
        </w:tc>
        <w:tc>
          <w:tcPr>
            <w:tcW w:w="7793" w:type="dxa"/>
            <w:hideMark/>
          </w:tcPr>
          <w:p w14:paraId="194B3334" w14:textId="0C6F57AF"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Cryptocurrency</w:t>
            </w:r>
            <w:r w:rsidR="00DD7E85">
              <w:rPr>
                <w:rFonts w:cs="Calibri"/>
              </w:rPr>
              <w:t xml:space="preserve"> – </w:t>
            </w:r>
            <w:r w:rsidRPr="00FA1A19">
              <w:rPr>
                <w:rFonts w:cs="Calibri"/>
              </w:rPr>
              <w:t>isolated transaction</w:t>
            </w:r>
          </w:p>
        </w:tc>
      </w:tr>
      <w:tr w:rsidR="00C11CE6" w:rsidRPr="00FA1A19" w14:paraId="3619E55F"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D6DD0BA" w14:textId="39842B1F" w:rsidR="00C11CE6" w:rsidRPr="00FA1A19" w:rsidRDefault="005F645A" w:rsidP="00F724BA">
            <w:pPr>
              <w:pStyle w:val="TableTextLeft"/>
              <w:rPr>
                <w:rFonts w:cs="Calibri"/>
                <w:color w:val="0563C1"/>
                <w:u w:val="single"/>
              </w:rPr>
            </w:pPr>
            <w:r w:rsidRPr="003D093B">
              <w:t>1052013920611</w:t>
            </w:r>
          </w:p>
        </w:tc>
        <w:tc>
          <w:tcPr>
            <w:tcW w:w="7793" w:type="dxa"/>
            <w:hideMark/>
          </w:tcPr>
          <w:p w14:paraId="28ED63C9" w14:textId="1DDC39D9"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Cryptocurrency</w:t>
            </w:r>
            <w:r w:rsidR="00DD7E85">
              <w:rPr>
                <w:rFonts w:cs="Calibri"/>
              </w:rPr>
              <w:t xml:space="preserve"> – </w:t>
            </w:r>
            <w:r w:rsidRPr="00FA1A19">
              <w:rPr>
                <w:rFonts w:cs="Calibri"/>
              </w:rPr>
              <w:t>profit making intention</w:t>
            </w:r>
          </w:p>
        </w:tc>
      </w:tr>
      <w:tr w:rsidR="00C11CE6" w:rsidRPr="00FA1A19" w14:paraId="5CAAEE82"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1A812EB4" w14:textId="1E770B39" w:rsidR="00C11CE6" w:rsidRPr="00FA1A19" w:rsidRDefault="005F645A" w:rsidP="00F724BA">
            <w:pPr>
              <w:pStyle w:val="TableTextLeft"/>
              <w:rPr>
                <w:rFonts w:cs="Calibri"/>
                <w:color w:val="0563C1"/>
                <w:u w:val="single"/>
              </w:rPr>
            </w:pPr>
            <w:r w:rsidRPr="003D093B">
              <w:t>1052045020286</w:t>
            </w:r>
          </w:p>
        </w:tc>
        <w:tc>
          <w:tcPr>
            <w:tcW w:w="7793" w:type="dxa"/>
            <w:noWrap/>
            <w:hideMark/>
          </w:tcPr>
          <w:p w14:paraId="68E963EA" w14:textId="5A5DFD26"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Cryptocurrency trading</w:t>
            </w:r>
          </w:p>
        </w:tc>
      </w:tr>
      <w:tr w:rsidR="00C11CE6" w:rsidRPr="00FA1A19" w14:paraId="25311F1C"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48CDDA6" w14:textId="57F63DB5" w:rsidR="00C11CE6" w:rsidRPr="00FA1A19" w:rsidRDefault="005F645A" w:rsidP="00F724BA">
            <w:pPr>
              <w:pStyle w:val="TableTextLeft"/>
              <w:rPr>
                <w:rFonts w:cs="Calibri"/>
                <w:color w:val="0563C1"/>
                <w:u w:val="single"/>
              </w:rPr>
            </w:pPr>
            <w:r w:rsidRPr="003D093B">
              <w:t>1051911881194</w:t>
            </w:r>
          </w:p>
        </w:tc>
        <w:tc>
          <w:tcPr>
            <w:tcW w:w="7793" w:type="dxa"/>
            <w:noWrap/>
            <w:hideMark/>
          </w:tcPr>
          <w:p w14:paraId="4B1FFCC6" w14:textId="4FB925D7"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Cryptocurrency trading business</w:t>
            </w:r>
          </w:p>
        </w:tc>
      </w:tr>
      <w:tr w:rsidR="00C11CE6" w:rsidRPr="00FA1A19" w14:paraId="1273408B"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8832D37" w14:textId="1CAA24D8" w:rsidR="00C11CE6" w:rsidRPr="00FA1A19" w:rsidRDefault="005F645A" w:rsidP="00F724BA">
            <w:pPr>
              <w:pStyle w:val="TableTextLeft"/>
              <w:rPr>
                <w:rFonts w:cs="Calibri"/>
                <w:color w:val="0563C1"/>
                <w:u w:val="single"/>
              </w:rPr>
            </w:pPr>
            <w:r w:rsidRPr="003D093B">
              <w:t>1052009342718</w:t>
            </w:r>
          </w:p>
        </w:tc>
        <w:tc>
          <w:tcPr>
            <w:tcW w:w="7793" w:type="dxa"/>
            <w:hideMark/>
          </w:tcPr>
          <w:p w14:paraId="0B6A9217" w14:textId="7186A896"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Gifts of cryptocurrency to a deductible gift recipient via an intermediary</w:t>
            </w:r>
          </w:p>
        </w:tc>
      </w:tr>
      <w:tr w:rsidR="00C11CE6" w:rsidRPr="00FA1A19" w14:paraId="77D46FF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A7FD335" w14:textId="46542F03" w:rsidR="00C11CE6" w:rsidRPr="00FA1A19" w:rsidRDefault="005F645A" w:rsidP="00F724BA">
            <w:pPr>
              <w:pStyle w:val="TableTextLeft"/>
              <w:rPr>
                <w:rFonts w:cs="Calibri"/>
                <w:color w:val="0563C1"/>
                <w:u w:val="single"/>
              </w:rPr>
            </w:pPr>
            <w:r w:rsidRPr="003D093B">
              <w:t>1052019397141</w:t>
            </w:r>
          </w:p>
        </w:tc>
        <w:tc>
          <w:tcPr>
            <w:tcW w:w="7793" w:type="dxa"/>
            <w:hideMark/>
          </w:tcPr>
          <w:p w14:paraId="44D699BB" w14:textId="3E8C1C33"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GST and supply of non</w:t>
            </w:r>
            <w:r w:rsidR="00F75232">
              <w:rPr>
                <w:rFonts w:cs="Calibri"/>
              </w:rPr>
              <w:noBreakHyphen/>
            </w:r>
            <w:r w:rsidRPr="00FA1A19">
              <w:rPr>
                <w:rFonts w:cs="Calibri"/>
              </w:rPr>
              <w:t>fungible token</w:t>
            </w:r>
          </w:p>
        </w:tc>
      </w:tr>
      <w:tr w:rsidR="00C11CE6" w:rsidRPr="00FA1A19" w14:paraId="5CB1E63B"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BD8A9E1" w14:textId="269C56F0" w:rsidR="00C11CE6" w:rsidRPr="00FA1A19" w:rsidRDefault="005F645A" w:rsidP="00F724BA">
            <w:pPr>
              <w:pStyle w:val="TableTextLeft"/>
              <w:rPr>
                <w:rFonts w:cs="Calibri"/>
                <w:color w:val="0563C1"/>
                <w:u w:val="single"/>
              </w:rPr>
            </w:pPr>
            <w:r w:rsidRPr="003D093B">
              <w:t>1052000336361</w:t>
            </w:r>
          </w:p>
        </w:tc>
        <w:tc>
          <w:tcPr>
            <w:tcW w:w="7793" w:type="dxa"/>
            <w:hideMark/>
          </w:tcPr>
          <w:p w14:paraId="31F9F17C" w14:textId="63113A95"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GST consequences of using Tether as payment</w:t>
            </w:r>
          </w:p>
        </w:tc>
      </w:tr>
      <w:tr w:rsidR="00C11CE6" w:rsidRPr="00FA1A19" w14:paraId="3962F46F"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FDA4A83" w14:textId="56C00EA7" w:rsidR="00C11CE6" w:rsidRPr="00FA1A19" w:rsidRDefault="005F645A" w:rsidP="00F724BA">
            <w:pPr>
              <w:pStyle w:val="TableTextLeft"/>
              <w:rPr>
                <w:rFonts w:cs="Calibri"/>
                <w:color w:val="0563C1"/>
                <w:u w:val="single"/>
              </w:rPr>
            </w:pPr>
            <w:r w:rsidRPr="003D093B">
              <w:t>1051934343575</w:t>
            </w:r>
          </w:p>
        </w:tc>
        <w:tc>
          <w:tcPr>
            <w:tcW w:w="7793" w:type="dxa"/>
            <w:hideMark/>
          </w:tcPr>
          <w:p w14:paraId="64695EB3" w14:textId="13790879"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Income and capital</w:t>
            </w:r>
          </w:p>
        </w:tc>
      </w:tr>
      <w:tr w:rsidR="00C11CE6" w:rsidRPr="00FA1A19" w14:paraId="245F24C7"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4482662" w14:textId="20FEF1DD" w:rsidR="00C11CE6" w:rsidRPr="00FA1A19" w:rsidRDefault="005F645A" w:rsidP="00F724BA">
            <w:pPr>
              <w:pStyle w:val="TableTextLeft"/>
              <w:rPr>
                <w:rFonts w:cs="Calibri"/>
                <w:color w:val="0563C1"/>
                <w:u w:val="single"/>
              </w:rPr>
            </w:pPr>
            <w:r w:rsidRPr="003D093B">
              <w:t>1052013877453</w:t>
            </w:r>
          </w:p>
        </w:tc>
        <w:tc>
          <w:tcPr>
            <w:tcW w:w="7793" w:type="dxa"/>
            <w:hideMark/>
          </w:tcPr>
          <w:p w14:paraId="7EF55231" w14:textId="40BF76C4"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Investment scam</w:t>
            </w:r>
            <w:r w:rsidR="00DD7E85">
              <w:rPr>
                <w:rFonts w:cs="Calibri"/>
              </w:rPr>
              <w:t xml:space="preserve"> – </w:t>
            </w:r>
            <w:r w:rsidRPr="00FA1A19">
              <w:rPr>
                <w:rFonts w:cs="Calibri"/>
              </w:rPr>
              <w:t>capital loss</w:t>
            </w:r>
          </w:p>
        </w:tc>
      </w:tr>
      <w:tr w:rsidR="00C11CE6" w:rsidRPr="00FA1A19" w14:paraId="6B744545"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112AD3F" w14:textId="6F9172EA" w:rsidR="00C11CE6" w:rsidRPr="00FA1A19" w:rsidRDefault="005F645A" w:rsidP="00F724BA">
            <w:pPr>
              <w:pStyle w:val="TableTextLeft"/>
              <w:rPr>
                <w:rFonts w:cs="Calibri"/>
                <w:color w:val="0563C1"/>
                <w:u w:val="single"/>
              </w:rPr>
            </w:pPr>
            <w:r w:rsidRPr="003D093B">
              <w:t>1051950624284</w:t>
            </w:r>
          </w:p>
        </w:tc>
        <w:tc>
          <w:tcPr>
            <w:tcW w:w="7793" w:type="dxa"/>
            <w:noWrap/>
            <w:hideMark/>
          </w:tcPr>
          <w:p w14:paraId="748D4A9C" w14:textId="6E4D5A0A"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Non</w:t>
            </w:r>
            <w:r w:rsidR="00F75232">
              <w:rPr>
                <w:rFonts w:cs="Calibri"/>
              </w:rPr>
              <w:noBreakHyphen/>
            </w:r>
            <w:r w:rsidRPr="00FA1A19">
              <w:rPr>
                <w:rFonts w:cs="Calibri"/>
              </w:rPr>
              <w:t>commercial losses</w:t>
            </w:r>
            <w:r w:rsidR="00DD7E85">
              <w:rPr>
                <w:rFonts w:cs="Calibri"/>
              </w:rPr>
              <w:t xml:space="preserve"> – </w:t>
            </w:r>
            <w:r w:rsidRPr="00FA1A19">
              <w:rPr>
                <w:rFonts w:cs="Calibri"/>
              </w:rPr>
              <w:t>special circumstances</w:t>
            </w:r>
          </w:p>
        </w:tc>
      </w:tr>
      <w:tr w:rsidR="00C11CE6" w:rsidRPr="00FA1A19" w14:paraId="3A24DA3A"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69258FB" w14:textId="39F26DB9" w:rsidR="00C11CE6" w:rsidRPr="00FA1A19" w:rsidRDefault="005F645A" w:rsidP="00F724BA">
            <w:pPr>
              <w:pStyle w:val="TableTextLeft"/>
              <w:rPr>
                <w:rFonts w:cs="Calibri"/>
                <w:color w:val="0563C1"/>
                <w:u w:val="single"/>
              </w:rPr>
            </w:pPr>
            <w:r w:rsidRPr="003D093B">
              <w:t>1051970191251</w:t>
            </w:r>
          </w:p>
        </w:tc>
        <w:tc>
          <w:tcPr>
            <w:tcW w:w="7793" w:type="dxa"/>
            <w:noWrap/>
            <w:hideMark/>
          </w:tcPr>
          <w:p w14:paraId="176C8B33" w14:textId="2D6A14D3"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Residency</w:t>
            </w:r>
          </w:p>
        </w:tc>
      </w:tr>
      <w:tr w:rsidR="00C11CE6" w:rsidRPr="00FA1A19" w14:paraId="1082AF58"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2D4AD7A" w14:textId="24682FA5" w:rsidR="00C11CE6" w:rsidRPr="00FA1A19" w:rsidRDefault="005F645A" w:rsidP="00F724BA">
            <w:pPr>
              <w:pStyle w:val="TableTextLeft"/>
              <w:rPr>
                <w:rFonts w:cs="Calibri"/>
                <w:color w:val="0563C1"/>
                <w:u w:val="single"/>
              </w:rPr>
            </w:pPr>
            <w:r w:rsidRPr="003D093B">
              <w:t>1052019585347</w:t>
            </w:r>
          </w:p>
        </w:tc>
        <w:tc>
          <w:tcPr>
            <w:tcW w:w="7793" w:type="dxa"/>
            <w:noWrap/>
            <w:hideMark/>
          </w:tcPr>
          <w:p w14:paraId="240FE2F6" w14:textId="71CC383F"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2022 Self</w:t>
            </w:r>
            <w:r w:rsidR="00F75232">
              <w:rPr>
                <w:rFonts w:cs="Calibri"/>
              </w:rPr>
              <w:noBreakHyphen/>
            </w:r>
            <w:r w:rsidRPr="00FA1A19">
              <w:rPr>
                <w:rFonts w:cs="Calibri"/>
              </w:rPr>
              <w:t>education expenses</w:t>
            </w:r>
          </w:p>
        </w:tc>
      </w:tr>
      <w:tr w:rsidR="00C11CE6" w:rsidRPr="00FA1A19" w14:paraId="741E1DFC"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08D6A63" w14:textId="4BF893D3" w:rsidR="00C11CE6" w:rsidRPr="00FA1A19" w:rsidRDefault="005F645A" w:rsidP="00F724BA">
            <w:pPr>
              <w:pStyle w:val="TableTextLeft"/>
              <w:rPr>
                <w:rFonts w:cs="Calibri"/>
                <w:color w:val="0563C1"/>
                <w:u w:val="single"/>
              </w:rPr>
            </w:pPr>
            <w:r w:rsidRPr="003D093B">
              <w:t>1051972615838</w:t>
            </w:r>
          </w:p>
        </w:tc>
        <w:tc>
          <w:tcPr>
            <w:tcW w:w="7793" w:type="dxa"/>
            <w:noWrap/>
            <w:hideMark/>
          </w:tcPr>
          <w:p w14:paraId="4C36F9E8" w14:textId="3969D379"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2022 TOFA</w:t>
            </w:r>
            <w:r w:rsidR="00DD7E85">
              <w:rPr>
                <w:rFonts w:cs="Calibri"/>
              </w:rPr>
              <w:t xml:space="preserve"> – </w:t>
            </w:r>
            <w:r w:rsidRPr="00FA1A19">
              <w:rPr>
                <w:rFonts w:cs="Calibri"/>
              </w:rPr>
              <w:t>Division 230 ITAA1997</w:t>
            </w:r>
            <w:r w:rsidR="00DD7E85">
              <w:rPr>
                <w:rFonts w:cs="Calibri"/>
              </w:rPr>
              <w:t xml:space="preserve"> – </w:t>
            </w:r>
            <w:r w:rsidRPr="00FA1A19">
              <w:rPr>
                <w:rFonts w:cs="Calibri"/>
              </w:rPr>
              <w:t>cryptocurrency arbitrage function and investments and bullion investments</w:t>
            </w:r>
          </w:p>
        </w:tc>
      </w:tr>
      <w:tr w:rsidR="00C11CE6" w:rsidRPr="00FA1A19" w14:paraId="168F89E2"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27136A5" w14:textId="1A4BD90D" w:rsidR="00C11CE6" w:rsidRPr="00FA1A19" w:rsidRDefault="005F645A" w:rsidP="00F724BA">
            <w:pPr>
              <w:pStyle w:val="TableTextLeft"/>
              <w:rPr>
                <w:rFonts w:cs="Calibri"/>
                <w:color w:val="0563C1"/>
                <w:u w:val="single"/>
              </w:rPr>
            </w:pPr>
            <w:r w:rsidRPr="003D093B">
              <w:t>1052076027839</w:t>
            </w:r>
          </w:p>
        </w:tc>
        <w:tc>
          <w:tcPr>
            <w:tcW w:w="7793" w:type="dxa"/>
            <w:hideMark/>
          </w:tcPr>
          <w:p w14:paraId="0C4A3994" w14:textId="2EBD729B" w:rsidR="00C11CE6" w:rsidRPr="00FA1A19" w:rsidRDefault="00C11CE6"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Am I in business</w:t>
            </w:r>
            <w:r w:rsidR="00DD7E85">
              <w:rPr>
                <w:rFonts w:cs="Calibri"/>
              </w:rPr>
              <w:t xml:space="preserve"> – </w:t>
            </w:r>
            <w:r w:rsidRPr="00FA1A19">
              <w:rPr>
                <w:rFonts w:cs="Calibri"/>
              </w:rPr>
              <w:t>hobby</w:t>
            </w:r>
          </w:p>
        </w:tc>
      </w:tr>
      <w:tr w:rsidR="00C11CE6" w:rsidRPr="00FA1A19" w14:paraId="1145E95C"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1BA94F89" w14:textId="6AD28191" w:rsidR="00C11CE6" w:rsidRPr="00FA1A19" w:rsidRDefault="005F645A" w:rsidP="00F724BA">
            <w:pPr>
              <w:pStyle w:val="TableTextLeft"/>
              <w:rPr>
                <w:rFonts w:cs="Calibri"/>
                <w:color w:val="0563C1"/>
                <w:u w:val="single"/>
              </w:rPr>
            </w:pPr>
            <w:r w:rsidRPr="003D093B">
              <w:t>1052153837920</w:t>
            </w:r>
          </w:p>
        </w:tc>
        <w:tc>
          <w:tcPr>
            <w:tcW w:w="7793" w:type="dxa"/>
            <w:noWrap/>
            <w:hideMark/>
          </w:tcPr>
          <w:p w14:paraId="495D0998" w14:textId="6BEF58F0"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Am I in business?</w:t>
            </w:r>
            <w:r w:rsidR="00DD7E85">
              <w:rPr>
                <w:rFonts w:cs="Calibri"/>
              </w:rPr>
              <w:t xml:space="preserve"> – </w:t>
            </w:r>
            <w:r w:rsidRPr="00FA1A19">
              <w:rPr>
                <w:rFonts w:cs="Calibri"/>
              </w:rPr>
              <w:t>cryptocurrency trading</w:t>
            </w:r>
          </w:p>
        </w:tc>
      </w:tr>
      <w:tr w:rsidR="00C11CE6" w:rsidRPr="00FA1A19" w14:paraId="2BC13AD1"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216196E" w14:textId="28C17A35" w:rsidR="00C11CE6" w:rsidRPr="00FA1A19" w:rsidRDefault="005F645A" w:rsidP="00F724BA">
            <w:pPr>
              <w:pStyle w:val="TableTextLeft"/>
              <w:rPr>
                <w:rFonts w:cs="Calibri"/>
                <w:color w:val="0563C1"/>
                <w:u w:val="single"/>
              </w:rPr>
            </w:pPr>
            <w:r w:rsidRPr="003D093B">
              <w:t>1052190496758</w:t>
            </w:r>
          </w:p>
        </w:tc>
        <w:tc>
          <w:tcPr>
            <w:tcW w:w="7793" w:type="dxa"/>
            <w:noWrap/>
            <w:hideMark/>
          </w:tcPr>
          <w:p w14:paraId="64DA74D7" w14:textId="58126813"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Assessable income</w:t>
            </w:r>
            <w:r w:rsidR="00DD7E85">
              <w:rPr>
                <w:rFonts w:cs="Calibri"/>
              </w:rPr>
              <w:t xml:space="preserve"> – </w:t>
            </w:r>
            <w:r w:rsidR="00C11CE6" w:rsidRPr="00FA1A19">
              <w:rPr>
                <w:rFonts w:cs="Calibri"/>
              </w:rPr>
              <w:t>cryptocurrency</w:t>
            </w:r>
          </w:p>
        </w:tc>
      </w:tr>
      <w:tr w:rsidR="00C11CE6" w:rsidRPr="00FA1A19" w14:paraId="47EEB682"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EFA2E2E" w14:textId="217A17B3" w:rsidR="00C11CE6" w:rsidRPr="00FA1A19" w:rsidRDefault="005F645A" w:rsidP="00F724BA">
            <w:pPr>
              <w:pStyle w:val="TableTextLeft"/>
              <w:rPr>
                <w:rFonts w:cs="Calibri"/>
                <w:color w:val="0563C1"/>
                <w:u w:val="single"/>
              </w:rPr>
            </w:pPr>
            <w:r w:rsidRPr="003D093B">
              <w:t>1052174024483</w:t>
            </w:r>
          </w:p>
        </w:tc>
        <w:tc>
          <w:tcPr>
            <w:tcW w:w="7793" w:type="dxa"/>
            <w:hideMark/>
          </w:tcPr>
          <w:p w14:paraId="4ECA74C6" w14:textId="59C3A7A0"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Capital loss on cryptocurrency transactions</w:t>
            </w:r>
          </w:p>
        </w:tc>
      </w:tr>
      <w:tr w:rsidR="00C11CE6" w:rsidRPr="00FA1A19" w14:paraId="0C84B6EC"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BDC6641" w14:textId="63EBFCB3" w:rsidR="00C11CE6" w:rsidRPr="00FA1A19" w:rsidRDefault="005F645A" w:rsidP="00F724BA">
            <w:pPr>
              <w:pStyle w:val="TableTextLeft"/>
              <w:rPr>
                <w:rFonts w:cs="Calibri"/>
                <w:color w:val="0563C1"/>
                <w:u w:val="single"/>
              </w:rPr>
            </w:pPr>
            <w:r w:rsidRPr="003D093B">
              <w:t>1052083464039</w:t>
            </w:r>
          </w:p>
        </w:tc>
        <w:tc>
          <w:tcPr>
            <w:tcW w:w="7793" w:type="dxa"/>
            <w:noWrap/>
            <w:hideMark/>
          </w:tcPr>
          <w:p w14:paraId="414B9AF6" w14:textId="1D758F4E"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CGT</w:t>
            </w:r>
            <w:r w:rsidR="00DD7E85">
              <w:rPr>
                <w:rFonts w:cs="Calibri"/>
              </w:rPr>
              <w:t xml:space="preserve"> – </w:t>
            </w:r>
            <w:r w:rsidRPr="00FA1A19">
              <w:rPr>
                <w:rFonts w:cs="Calibri"/>
              </w:rPr>
              <w:t>cryptocurrency</w:t>
            </w:r>
          </w:p>
        </w:tc>
      </w:tr>
      <w:tr w:rsidR="00C11CE6" w:rsidRPr="00FA1A19" w14:paraId="073246BF"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A6A3042" w14:textId="6F4A5496" w:rsidR="00C11CE6" w:rsidRPr="00FA1A19" w:rsidRDefault="005F645A" w:rsidP="00F724BA">
            <w:pPr>
              <w:pStyle w:val="TableTextLeft"/>
              <w:rPr>
                <w:rFonts w:cs="Calibri"/>
                <w:color w:val="0563C1"/>
                <w:u w:val="single"/>
              </w:rPr>
            </w:pPr>
            <w:r w:rsidRPr="003D093B">
              <w:t>1052041759482</w:t>
            </w:r>
          </w:p>
        </w:tc>
        <w:tc>
          <w:tcPr>
            <w:tcW w:w="7793" w:type="dxa"/>
            <w:hideMark/>
          </w:tcPr>
          <w:p w14:paraId="36CA3A7B" w14:textId="07CDDB11"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CGT</w:t>
            </w:r>
            <w:r w:rsidR="00DD7E85">
              <w:rPr>
                <w:rFonts w:cs="Calibri"/>
              </w:rPr>
              <w:t xml:space="preserve"> – </w:t>
            </w:r>
            <w:r w:rsidRPr="00FA1A19">
              <w:rPr>
                <w:rFonts w:cs="Calibri"/>
              </w:rPr>
              <w:t>cryptocurrency</w:t>
            </w:r>
            <w:r w:rsidR="00DD7E85">
              <w:rPr>
                <w:rFonts w:cs="Calibri"/>
              </w:rPr>
              <w:t xml:space="preserve"> – </w:t>
            </w:r>
            <w:r w:rsidRPr="00FA1A19">
              <w:rPr>
                <w:rFonts w:cs="Calibri"/>
              </w:rPr>
              <w:t>wrapped tokens</w:t>
            </w:r>
          </w:p>
        </w:tc>
      </w:tr>
      <w:tr w:rsidR="00C11CE6" w:rsidRPr="00FA1A19" w14:paraId="4EA0FAB0"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ED0BA7F" w14:textId="119BFE79" w:rsidR="00C11CE6" w:rsidRPr="00FA1A19" w:rsidRDefault="005F645A" w:rsidP="00F724BA">
            <w:pPr>
              <w:pStyle w:val="TableTextLeft"/>
              <w:rPr>
                <w:rFonts w:cs="Calibri"/>
                <w:color w:val="0563C1"/>
                <w:u w:val="single"/>
              </w:rPr>
            </w:pPr>
            <w:r w:rsidRPr="003D093B">
              <w:t>1052103982176</w:t>
            </w:r>
          </w:p>
        </w:tc>
        <w:tc>
          <w:tcPr>
            <w:tcW w:w="7793" w:type="dxa"/>
            <w:hideMark/>
          </w:tcPr>
          <w:p w14:paraId="188F5AF4" w14:textId="3533F901"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CGT</w:t>
            </w:r>
            <w:r w:rsidR="00DD7E85">
              <w:rPr>
                <w:rFonts w:cs="Calibri"/>
              </w:rPr>
              <w:t xml:space="preserve"> – </w:t>
            </w:r>
            <w:r w:rsidRPr="00FA1A19">
              <w:rPr>
                <w:rFonts w:cs="Calibri"/>
              </w:rPr>
              <w:t>small business concessions</w:t>
            </w:r>
          </w:p>
        </w:tc>
      </w:tr>
      <w:tr w:rsidR="00C11CE6" w:rsidRPr="00FA1A19" w14:paraId="2B82968E"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10BE06AF" w14:textId="287E24BA" w:rsidR="00C11CE6" w:rsidRPr="00FA1A19" w:rsidRDefault="005F645A" w:rsidP="00F724BA">
            <w:pPr>
              <w:pStyle w:val="TableTextLeft"/>
              <w:rPr>
                <w:rFonts w:cs="Calibri"/>
                <w:color w:val="0563C1"/>
                <w:u w:val="single"/>
              </w:rPr>
            </w:pPr>
            <w:r w:rsidRPr="003D093B">
              <w:t>1052178008218</w:t>
            </w:r>
          </w:p>
        </w:tc>
        <w:tc>
          <w:tcPr>
            <w:tcW w:w="7793" w:type="dxa"/>
            <w:hideMark/>
          </w:tcPr>
          <w:p w14:paraId="65132BC2" w14:textId="44384E30"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CGT</w:t>
            </w:r>
            <w:r w:rsidR="00DD7E85">
              <w:rPr>
                <w:rFonts w:cs="Calibri"/>
              </w:rPr>
              <w:t xml:space="preserve"> – </w:t>
            </w:r>
            <w:r w:rsidRPr="00FA1A19">
              <w:rPr>
                <w:rFonts w:cs="Calibri"/>
              </w:rPr>
              <w:t>trust variations</w:t>
            </w:r>
          </w:p>
        </w:tc>
      </w:tr>
      <w:tr w:rsidR="00C11CE6" w:rsidRPr="00FA1A19" w14:paraId="3B0B3A9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BD6A0B3" w14:textId="0A53B2F7" w:rsidR="00C11CE6" w:rsidRPr="00FA1A19" w:rsidRDefault="005F645A" w:rsidP="00F724BA">
            <w:pPr>
              <w:pStyle w:val="TableTextLeft"/>
              <w:rPr>
                <w:rFonts w:cs="Calibri"/>
                <w:color w:val="0563C1"/>
                <w:u w:val="single"/>
              </w:rPr>
            </w:pPr>
            <w:r w:rsidRPr="003D093B">
              <w:t>1052180358143</w:t>
            </w:r>
          </w:p>
        </w:tc>
        <w:tc>
          <w:tcPr>
            <w:tcW w:w="7793" w:type="dxa"/>
            <w:noWrap/>
            <w:hideMark/>
          </w:tcPr>
          <w:p w14:paraId="03DFC813" w14:textId="40FA5960"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CGT asset</w:t>
            </w:r>
            <w:r w:rsidR="00DD7E85">
              <w:rPr>
                <w:rFonts w:cs="Calibri"/>
              </w:rPr>
              <w:t xml:space="preserve"> – </w:t>
            </w:r>
            <w:r w:rsidRPr="00FA1A19">
              <w:rPr>
                <w:rFonts w:cs="Calibri"/>
              </w:rPr>
              <w:t>cryptocurrency</w:t>
            </w:r>
          </w:p>
        </w:tc>
      </w:tr>
      <w:tr w:rsidR="00C11CE6" w:rsidRPr="00FA1A19" w14:paraId="08020A54"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8D3D42D" w14:textId="48055478" w:rsidR="00C11CE6" w:rsidRPr="00FA1A19" w:rsidRDefault="005F645A" w:rsidP="00F724BA">
            <w:pPr>
              <w:pStyle w:val="TableTextLeft"/>
              <w:rPr>
                <w:rFonts w:cs="Calibri"/>
                <w:color w:val="0563C1"/>
                <w:u w:val="single"/>
              </w:rPr>
            </w:pPr>
            <w:r w:rsidRPr="003D093B">
              <w:t>1052189290864</w:t>
            </w:r>
          </w:p>
        </w:tc>
        <w:tc>
          <w:tcPr>
            <w:tcW w:w="7793" w:type="dxa"/>
            <w:noWrap/>
            <w:hideMark/>
          </w:tcPr>
          <w:p w14:paraId="317F9EF6" w14:textId="72CC0D7A"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CGT consequences for satisfying an unpaid present entitlement by converting it into a loan</w:t>
            </w:r>
          </w:p>
        </w:tc>
      </w:tr>
      <w:tr w:rsidR="00C11CE6" w:rsidRPr="00FA1A19" w14:paraId="7499428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152EC84" w14:textId="0F8655EA" w:rsidR="00C11CE6" w:rsidRPr="00FA1A19" w:rsidRDefault="005F645A" w:rsidP="00F724BA">
            <w:pPr>
              <w:pStyle w:val="TableTextLeft"/>
              <w:rPr>
                <w:rFonts w:cs="Calibri"/>
                <w:color w:val="0563C1"/>
                <w:u w:val="single"/>
              </w:rPr>
            </w:pPr>
            <w:r w:rsidRPr="003D093B">
              <w:t>1052036844823</w:t>
            </w:r>
          </w:p>
        </w:tc>
        <w:tc>
          <w:tcPr>
            <w:tcW w:w="7793" w:type="dxa"/>
            <w:noWrap/>
            <w:hideMark/>
          </w:tcPr>
          <w:p w14:paraId="75486009" w14:textId="2B7702A8"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CGT event C1</w:t>
            </w:r>
            <w:r w:rsidR="00DD7E85">
              <w:rPr>
                <w:rFonts w:cs="Calibri"/>
              </w:rPr>
              <w:t xml:space="preserve"> – </w:t>
            </w:r>
            <w:r w:rsidRPr="00FA1A19">
              <w:rPr>
                <w:rFonts w:cs="Calibri"/>
              </w:rPr>
              <w:t>events giving rise to a roll</w:t>
            </w:r>
            <w:r w:rsidR="00F75232">
              <w:rPr>
                <w:rFonts w:cs="Calibri"/>
              </w:rPr>
              <w:noBreakHyphen/>
            </w:r>
            <w:r w:rsidRPr="00FA1A19">
              <w:rPr>
                <w:rFonts w:cs="Calibri"/>
              </w:rPr>
              <w:t>over</w:t>
            </w:r>
            <w:r w:rsidR="00DD7E85">
              <w:rPr>
                <w:rFonts w:cs="Calibri"/>
              </w:rPr>
              <w:t xml:space="preserve"> – </w:t>
            </w:r>
            <w:r w:rsidRPr="00FA1A19">
              <w:rPr>
                <w:rFonts w:cs="Calibri"/>
              </w:rPr>
              <w:t>cryptocurrency</w:t>
            </w:r>
          </w:p>
        </w:tc>
      </w:tr>
      <w:tr w:rsidR="00C11CE6" w:rsidRPr="00FA1A19" w14:paraId="6BE1AB5E"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69A78FB" w14:textId="2F9AAF13" w:rsidR="00C11CE6" w:rsidRPr="00FA1A19" w:rsidRDefault="005F645A" w:rsidP="00F724BA">
            <w:pPr>
              <w:pStyle w:val="TableTextLeft"/>
              <w:rPr>
                <w:rFonts w:cs="Calibri"/>
                <w:color w:val="0563C1"/>
                <w:u w:val="single"/>
              </w:rPr>
            </w:pPr>
            <w:r w:rsidRPr="003D093B">
              <w:t>1052044328016</w:t>
            </w:r>
          </w:p>
        </w:tc>
        <w:tc>
          <w:tcPr>
            <w:tcW w:w="7793" w:type="dxa"/>
            <w:noWrap/>
            <w:hideMark/>
          </w:tcPr>
          <w:p w14:paraId="5F200EB9" w14:textId="18C902F4"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Commissioner</w:t>
            </w:r>
            <w:r w:rsidR="00F75232">
              <w:rPr>
                <w:rFonts w:cs="Calibri"/>
              </w:rPr>
              <w:t>’</w:t>
            </w:r>
            <w:r w:rsidRPr="00FA1A19">
              <w:rPr>
                <w:rFonts w:cs="Calibri"/>
              </w:rPr>
              <w:t>s discretion</w:t>
            </w:r>
            <w:r w:rsidR="00DD7E85">
              <w:rPr>
                <w:rFonts w:cs="Calibri"/>
              </w:rPr>
              <w:t xml:space="preserve"> – </w:t>
            </w:r>
            <w:r w:rsidRPr="00FA1A19">
              <w:rPr>
                <w:rFonts w:cs="Calibri"/>
              </w:rPr>
              <w:t>crypto trading</w:t>
            </w:r>
          </w:p>
        </w:tc>
      </w:tr>
      <w:tr w:rsidR="00C11CE6" w:rsidRPr="00054A40" w14:paraId="08CB7EFF"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B781F06" w14:textId="5C3B472A" w:rsidR="00C11CE6" w:rsidRPr="00FA1A19" w:rsidRDefault="005F645A" w:rsidP="00F724BA">
            <w:pPr>
              <w:pStyle w:val="TableTextLeft"/>
              <w:rPr>
                <w:rFonts w:cs="Calibri"/>
                <w:color w:val="0563C1"/>
                <w:u w:val="single"/>
              </w:rPr>
            </w:pPr>
            <w:r w:rsidRPr="003D093B">
              <w:t>1052159589356</w:t>
            </w:r>
          </w:p>
        </w:tc>
        <w:tc>
          <w:tcPr>
            <w:tcW w:w="7793" w:type="dxa"/>
            <w:noWrap/>
            <w:hideMark/>
          </w:tcPr>
          <w:p w14:paraId="5A4AF5FB" w14:textId="27024F12" w:rsidR="00C11CE6" w:rsidRPr="001D7787"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lang w:val="it-IT"/>
              </w:rPr>
            </w:pPr>
            <w:r w:rsidRPr="001D7787">
              <w:rPr>
                <w:rFonts w:cs="Calibri"/>
                <w:lang w:val="it-IT"/>
              </w:rPr>
              <w:t>2023 Commissioner</w:t>
            </w:r>
            <w:r w:rsidR="00F75232">
              <w:rPr>
                <w:rFonts w:cs="Calibri"/>
                <w:lang w:val="it-IT"/>
              </w:rPr>
              <w:t>’</w:t>
            </w:r>
            <w:r w:rsidRPr="001D7787">
              <w:rPr>
                <w:rFonts w:cs="Calibri"/>
                <w:lang w:val="it-IT"/>
              </w:rPr>
              <w:t>s discretion</w:t>
            </w:r>
            <w:r w:rsidR="00DD7E85" w:rsidRPr="001D7787">
              <w:rPr>
                <w:rFonts w:cs="Calibri"/>
                <w:lang w:val="it-IT"/>
              </w:rPr>
              <w:t xml:space="preserve"> – </w:t>
            </w:r>
            <w:r w:rsidRPr="001D7787">
              <w:rPr>
                <w:rFonts w:cs="Calibri"/>
                <w:lang w:val="it-IT"/>
              </w:rPr>
              <w:t>non</w:t>
            </w:r>
            <w:r w:rsidR="00F75232">
              <w:rPr>
                <w:rFonts w:cs="Calibri"/>
                <w:lang w:val="it-IT"/>
              </w:rPr>
              <w:noBreakHyphen/>
            </w:r>
            <w:r w:rsidRPr="001D7787">
              <w:rPr>
                <w:rFonts w:cs="Calibri"/>
                <w:lang w:val="it-IT"/>
              </w:rPr>
              <w:t>commercial loss</w:t>
            </w:r>
          </w:p>
        </w:tc>
      </w:tr>
      <w:tr w:rsidR="00C11CE6" w:rsidRPr="00FA1A19" w14:paraId="5F966693"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1D3A3D4" w14:textId="6925F93C" w:rsidR="00C11CE6" w:rsidRPr="00FA1A19" w:rsidRDefault="005F645A" w:rsidP="00F724BA">
            <w:pPr>
              <w:pStyle w:val="TableTextLeft"/>
              <w:rPr>
                <w:rFonts w:cs="Calibri"/>
                <w:color w:val="0563C1"/>
                <w:u w:val="single"/>
              </w:rPr>
            </w:pPr>
            <w:r w:rsidRPr="003D093B">
              <w:t>1052129517448</w:t>
            </w:r>
          </w:p>
        </w:tc>
        <w:tc>
          <w:tcPr>
            <w:tcW w:w="7793" w:type="dxa"/>
            <w:hideMark/>
          </w:tcPr>
          <w:p w14:paraId="2F40AF6B" w14:textId="05A2F34A" w:rsidR="00C11CE6" w:rsidRPr="00FA1A19" w:rsidRDefault="00C11CE6"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Cryptocurrency</w:t>
            </w:r>
          </w:p>
        </w:tc>
      </w:tr>
      <w:tr w:rsidR="00C11CE6" w:rsidRPr="00FA1A19" w14:paraId="714F6BA0"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7EA09EB" w14:textId="70D770F9" w:rsidR="00C11CE6" w:rsidRPr="00FA1A19" w:rsidRDefault="005F645A" w:rsidP="00F724BA">
            <w:pPr>
              <w:pStyle w:val="TableTextLeft"/>
              <w:rPr>
                <w:rFonts w:cs="Calibri"/>
                <w:color w:val="0563C1"/>
                <w:u w:val="single"/>
              </w:rPr>
            </w:pPr>
            <w:r w:rsidRPr="003D093B">
              <w:t>1052132552326</w:t>
            </w:r>
          </w:p>
        </w:tc>
        <w:tc>
          <w:tcPr>
            <w:tcW w:w="7793" w:type="dxa"/>
            <w:hideMark/>
          </w:tcPr>
          <w:p w14:paraId="588B4127" w14:textId="05EDB605" w:rsidR="00C11CE6" w:rsidRPr="00FA1A19" w:rsidRDefault="00C11CE6"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Cryptocurrency</w:t>
            </w:r>
          </w:p>
        </w:tc>
      </w:tr>
      <w:tr w:rsidR="00C11CE6" w:rsidRPr="00FA1A19" w14:paraId="24F90419"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EE0E000" w14:textId="1415FC2B" w:rsidR="00C11CE6" w:rsidRPr="00FA1A19" w:rsidRDefault="005F645A" w:rsidP="00F724BA">
            <w:pPr>
              <w:pStyle w:val="TableTextLeft"/>
              <w:rPr>
                <w:rFonts w:cs="Calibri"/>
                <w:color w:val="0563C1"/>
                <w:u w:val="single"/>
              </w:rPr>
            </w:pPr>
            <w:r w:rsidRPr="003D093B">
              <w:t>1052161070600</w:t>
            </w:r>
          </w:p>
        </w:tc>
        <w:tc>
          <w:tcPr>
            <w:tcW w:w="7793" w:type="dxa"/>
            <w:hideMark/>
          </w:tcPr>
          <w:p w14:paraId="63FE11AD" w14:textId="73E10A90" w:rsidR="00C11CE6" w:rsidRPr="00FA1A19" w:rsidRDefault="00C11CE6"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Cryptocurrency</w:t>
            </w:r>
          </w:p>
        </w:tc>
      </w:tr>
      <w:tr w:rsidR="00C11CE6" w:rsidRPr="00FA1A19" w14:paraId="79C41A71"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01EFC4B" w14:textId="2A77ACE7" w:rsidR="00C11CE6" w:rsidRPr="00FA1A19" w:rsidRDefault="005F645A" w:rsidP="00F724BA">
            <w:pPr>
              <w:pStyle w:val="TableTextLeft"/>
              <w:rPr>
                <w:rFonts w:cs="Calibri"/>
                <w:color w:val="0563C1"/>
                <w:u w:val="single"/>
              </w:rPr>
            </w:pPr>
            <w:r w:rsidRPr="003D093B">
              <w:t>1052089379537</w:t>
            </w:r>
          </w:p>
        </w:tc>
        <w:tc>
          <w:tcPr>
            <w:tcW w:w="7793" w:type="dxa"/>
            <w:hideMark/>
          </w:tcPr>
          <w:p w14:paraId="3FC1681E" w14:textId="40FED73D"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Cryptocurrency</w:t>
            </w:r>
            <w:r w:rsidR="00DD7E85">
              <w:rPr>
                <w:rFonts w:cs="Calibri"/>
              </w:rPr>
              <w:t xml:space="preserve"> – </w:t>
            </w:r>
            <w:r w:rsidRPr="00FA1A19">
              <w:rPr>
                <w:rFonts w:cs="Calibri"/>
              </w:rPr>
              <w:t>disposal and acquisition</w:t>
            </w:r>
          </w:p>
        </w:tc>
      </w:tr>
      <w:tr w:rsidR="00C11CE6" w:rsidRPr="00FA1A19" w14:paraId="68276115"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3375D94" w14:textId="4C30E4FF" w:rsidR="00C11CE6" w:rsidRPr="00FA1A19" w:rsidRDefault="005F645A" w:rsidP="00F724BA">
            <w:pPr>
              <w:pStyle w:val="TableTextLeft"/>
              <w:rPr>
                <w:rFonts w:cs="Calibri"/>
                <w:color w:val="0563C1"/>
                <w:u w:val="single"/>
              </w:rPr>
            </w:pPr>
            <w:r w:rsidRPr="003D093B">
              <w:t>1052069378645</w:t>
            </w:r>
          </w:p>
        </w:tc>
        <w:tc>
          <w:tcPr>
            <w:tcW w:w="7793" w:type="dxa"/>
            <w:hideMark/>
          </w:tcPr>
          <w:p w14:paraId="2E0DF2C6" w14:textId="4A3F95CD"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Cryptocurrency</w:t>
            </w:r>
            <w:r w:rsidR="00DD7E85">
              <w:rPr>
                <w:rFonts w:cs="Calibri"/>
              </w:rPr>
              <w:t xml:space="preserve"> – </w:t>
            </w:r>
            <w:r w:rsidRPr="00FA1A19">
              <w:rPr>
                <w:rFonts w:cs="Calibri"/>
              </w:rPr>
              <w:t xml:space="preserve">investor v </w:t>
            </w:r>
            <w:r w:rsidR="00C11CE6" w:rsidRPr="00FA1A19">
              <w:rPr>
                <w:rFonts w:cs="Calibri"/>
              </w:rPr>
              <w:t>trader</w:t>
            </w:r>
          </w:p>
        </w:tc>
      </w:tr>
      <w:tr w:rsidR="00C11CE6" w:rsidRPr="00FA1A19" w14:paraId="0335EAB6"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9C44396" w14:textId="0ACDE4A1" w:rsidR="00C11CE6" w:rsidRPr="00FA1A19" w:rsidRDefault="005F645A" w:rsidP="00F724BA">
            <w:pPr>
              <w:pStyle w:val="TableTextLeft"/>
              <w:rPr>
                <w:rFonts w:cs="Calibri"/>
                <w:color w:val="0563C1"/>
                <w:u w:val="single"/>
              </w:rPr>
            </w:pPr>
            <w:r w:rsidRPr="003D093B">
              <w:t>1052152626256</w:t>
            </w:r>
          </w:p>
        </w:tc>
        <w:tc>
          <w:tcPr>
            <w:tcW w:w="7793" w:type="dxa"/>
            <w:noWrap/>
            <w:hideMark/>
          </w:tcPr>
          <w:p w14:paraId="0961ACFC" w14:textId="5CB910E0"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Cryptocurrency</w:t>
            </w:r>
            <w:r w:rsidR="00DD7E85">
              <w:rPr>
                <w:rFonts w:cs="Calibri"/>
              </w:rPr>
              <w:t xml:space="preserve"> – </w:t>
            </w:r>
            <w:r w:rsidRPr="00FA1A19">
              <w:rPr>
                <w:rFonts w:cs="Calibri"/>
              </w:rPr>
              <w:t>trader or investor</w:t>
            </w:r>
          </w:p>
        </w:tc>
      </w:tr>
      <w:tr w:rsidR="00C11CE6" w:rsidRPr="00FA1A19" w14:paraId="33F2FB37"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679ED35" w14:textId="17C8ADBC" w:rsidR="00C11CE6" w:rsidRPr="00FA1A19" w:rsidRDefault="005F645A" w:rsidP="00F724BA">
            <w:pPr>
              <w:pStyle w:val="TableTextLeft"/>
              <w:rPr>
                <w:rFonts w:cs="Calibri"/>
                <w:color w:val="0563C1"/>
                <w:u w:val="single"/>
              </w:rPr>
            </w:pPr>
            <w:r w:rsidRPr="003D093B">
              <w:t>1052116033924</w:t>
            </w:r>
          </w:p>
        </w:tc>
        <w:tc>
          <w:tcPr>
            <w:tcW w:w="7793" w:type="dxa"/>
            <w:hideMark/>
          </w:tcPr>
          <w:p w14:paraId="4E8DE0B9" w14:textId="4B97CB4F"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Cryptocurrency and temporary resident</w:t>
            </w:r>
          </w:p>
        </w:tc>
      </w:tr>
      <w:tr w:rsidR="00C11CE6" w:rsidRPr="00FA1A19" w14:paraId="722F80EF"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B9C36F0" w14:textId="08BDD673" w:rsidR="00C11CE6" w:rsidRPr="00FA1A19" w:rsidRDefault="005F645A" w:rsidP="00F724BA">
            <w:pPr>
              <w:pStyle w:val="TableTextLeft"/>
              <w:rPr>
                <w:rFonts w:cs="Calibri"/>
                <w:color w:val="0563C1"/>
                <w:u w:val="single"/>
              </w:rPr>
            </w:pPr>
            <w:r w:rsidRPr="003D093B">
              <w:t>1052095598784</w:t>
            </w:r>
          </w:p>
        </w:tc>
        <w:tc>
          <w:tcPr>
            <w:tcW w:w="7793" w:type="dxa"/>
            <w:noWrap/>
            <w:hideMark/>
          </w:tcPr>
          <w:p w14:paraId="02F45362" w14:textId="7D946F4F"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Cryptocurrency investment</w:t>
            </w:r>
          </w:p>
        </w:tc>
      </w:tr>
      <w:tr w:rsidR="00C11CE6" w:rsidRPr="00FA1A19" w14:paraId="648DAD6B"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37242B8" w14:textId="75D8A263" w:rsidR="00C11CE6" w:rsidRPr="00FA1A19" w:rsidRDefault="005F645A" w:rsidP="00F724BA">
            <w:pPr>
              <w:pStyle w:val="TableTextLeft"/>
              <w:rPr>
                <w:rFonts w:cs="Calibri"/>
                <w:color w:val="0563C1"/>
                <w:u w:val="single"/>
              </w:rPr>
            </w:pPr>
            <w:r w:rsidRPr="003D093B">
              <w:t>1052108328158</w:t>
            </w:r>
          </w:p>
        </w:tc>
        <w:tc>
          <w:tcPr>
            <w:tcW w:w="7793" w:type="dxa"/>
            <w:hideMark/>
          </w:tcPr>
          <w:p w14:paraId="71765AFE" w14:textId="16559B54"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Cryptocurrency investment gains</w:t>
            </w:r>
          </w:p>
        </w:tc>
      </w:tr>
      <w:tr w:rsidR="00C11CE6" w:rsidRPr="00FA1A19" w14:paraId="4D3822C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A42D87C" w14:textId="12DA9B0A" w:rsidR="00C11CE6" w:rsidRPr="00FA1A19" w:rsidRDefault="005F645A" w:rsidP="00F724BA">
            <w:pPr>
              <w:pStyle w:val="TableTextLeft"/>
              <w:rPr>
                <w:rFonts w:cs="Calibri"/>
                <w:color w:val="0563C1"/>
                <w:u w:val="single"/>
              </w:rPr>
            </w:pPr>
            <w:r w:rsidRPr="003D093B">
              <w:t>1052126535535</w:t>
            </w:r>
          </w:p>
        </w:tc>
        <w:tc>
          <w:tcPr>
            <w:tcW w:w="7793" w:type="dxa"/>
            <w:hideMark/>
          </w:tcPr>
          <w:p w14:paraId="6177D520" w14:textId="2BD726A7"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Cryptocurrency trading</w:t>
            </w:r>
          </w:p>
        </w:tc>
      </w:tr>
      <w:tr w:rsidR="00C11CE6" w:rsidRPr="00FA1A19" w14:paraId="6415C0A5"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D9B6404" w14:textId="677A97D6" w:rsidR="00C11CE6" w:rsidRPr="00FA1A19" w:rsidRDefault="005F645A" w:rsidP="00F724BA">
            <w:pPr>
              <w:pStyle w:val="TableTextLeft"/>
              <w:rPr>
                <w:rFonts w:cs="Calibri"/>
                <w:color w:val="0563C1"/>
                <w:u w:val="single"/>
              </w:rPr>
            </w:pPr>
            <w:r w:rsidRPr="003D093B">
              <w:t>1052114856163</w:t>
            </w:r>
          </w:p>
        </w:tc>
        <w:tc>
          <w:tcPr>
            <w:tcW w:w="7793" w:type="dxa"/>
            <w:noWrap/>
            <w:hideMark/>
          </w:tcPr>
          <w:p w14:paraId="4D58D5FA" w14:textId="308E4BE5"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Cryptocurrency trading scam</w:t>
            </w:r>
          </w:p>
        </w:tc>
      </w:tr>
      <w:tr w:rsidR="00C11CE6" w:rsidRPr="00FA1A19" w14:paraId="2B4F6475"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18C5834" w14:textId="651FD856" w:rsidR="00C11CE6" w:rsidRPr="00FA1A19" w:rsidRDefault="005F645A" w:rsidP="00F724BA">
            <w:pPr>
              <w:pStyle w:val="TableTextLeft"/>
              <w:rPr>
                <w:rFonts w:cs="Calibri"/>
                <w:color w:val="0563C1"/>
                <w:u w:val="single"/>
              </w:rPr>
            </w:pPr>
            <w:r w:rsidRPr="003D093B">
              <w:t>1052119013740</w:t>
            </w:r>
          </w:p>
        </w:tc>
        <w:tc>
          <w:tcPr>
            <w:tcW w:w="7793" w:type="dxa"/>
            <w:hideMark/>
          </w:tcPr>
          <w:p w14:paraId="702089B2" w14:textId="3F1685F4"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Deduction</w:t>
            </w:r>
            <w:r w:rsidR="00DD7E85">
              <w:rPr>
                <w:rFonts w:cs="Calibri"/>
              </w:rPr>
              <w:t xml:space="preserve"> – </w:t>
            </w:r>
            <w:r w:rsidRPr="00FA1A19">
              <w:rPr>
                <w:rFonts w:cs="Calibri"/>
              </w:rPr>
              <w:t>stolen money</w:t>
            </w:r>
          </w:p>
        </w:tc>
      </w:tr>
      <w:tr w:rsidR="00C11CE6" w:rsidRPr="00FA1A19" w14:paraId="334DD0A4"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1FCD9A79" w14:textId="11BB5527" w:rsidR="00C11CE6" w:rsidRPr="00FA1A19" w:rsidRDefault="005F645A" w:rsidP="00F724BA">
            <w:pPr>
              <w:pStyle w:val="TableTextLeft"/>
              <w:rPr>
                <w:rFonts w:cs="Calibri"/>
                <w:color w:val="0563C1"/>
                <w:u w:val="single"/>
              </w:rPr>
            </w:pPr>
            <w:r w:rsidRPr="003D093B">
              <w:t>1052158518826</w:t>
            </w:r>
          </w:p>
        </w:tc>
        <w:tc>
          <w:tcPr>
            <w:tcW w:w="7793" w:type="dxa"/>
            <w:hideMark/>
          </w:tcPr>
          <w:p w14:paraId="2DABCFC0" w14:textId="32A33267"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Deductions for donations</w:t>
            </w:r>
            <w:r w:rsidR="00DD7E85">
              <w:rPr>
                <w:rFonts w:cs="Calibri"/>
              </w:rPr>
              <w:t xml:space="preserve"> – </w:t>
            </w:r>
            <w:r w:rsidRPr="00FA1A19">
              <w:rPr>
                <w:rFonts w:cs="Calibri"/>
              </w:rPr>
              <w:t>valuing gifted property</w:t>
            </w:r>
          </w:p>
        </w:tc>
      </w:tr>
      <w:tr w:rsidR="00C11CE6" w:rsidRPr="00FA1A19" w14:paraId="73ED2B46"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B49FFE4" w14:textId="5ABE80F3" w:rsidR="00C11CE6" w:rsidRPr="00FA1A19" w:rsidRDefault="005F645A" w:rsidP="00F724BA">
            <w:pPr>
              <w:pStyle w:val="TableTextLeft"/>
              <w:rPr>
                <w:rFonts w:cs="Calibri"/>
                <w:color w:val="0563C1"/>
                <w:u w:val="single"/>
              </w:rPr>
            </w:pPr>
            <w:r w:rsidRPr="003D093B">
              <w:t>1052116711454</w:t>
            </w:r>
          </w:p>
        </w:tc>
        <w:tc>
          <w:tcPr>
            <w:tcW w:w="7793" w:type="dxa"/>
            <w:hideMark/>
          </w:tcPr>
          <w:p w14:paraId="70EA9F46" w14:textId="33D2160E"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Derivative trading</w:t>
            </w:r>
            <w:r w:rsidR="00DD7E85">
              <w:rPr>
                <w:rFonts w:cs="Calibri"/>
              </w:rPr>
              <w:t xml:space="preserve"> – </w:t>
            </w:r>
            <w:r w:rsidRPr="00FA1A19">
              <w:rPr>
                <w:rFonts w:cs="Calibri"/>
              </w:rPr>
              <w:t>deductibility of losses</w:t>
            </w:r>
          </w:p>
        </w:tc>
      </w:tr>
      <w:tr w:rsidR="00C11CE6" w:rsidRPr="00FA1A19" w14:paraId="026E78B5"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CA21D87" w14:textId="5965C491" w:rsidR="00C11CE6" w:rsidRPr="00FA1A19" w:rsidRDefault="005F645A" w:rsidP="00F724BA">
            <w:pPr>
              <w:pStyle w:val="TableTextLeft"/>
              <w:rPr>
                <w:rFonts w:cs="Calibri"/>
                <w:color w:val="0563C1"/>
                <w:u w:val="single"/>
              </w:rPr>
            </w:pPr>
            <w:r w:rsidRPr="003D093B">
              <w:t>1052178107870</w:t>
            </w:r>
          </w:p>
        </w:tc>
        <w:tc>
          <w:tcPr>
            <w:tcW w:w="7793" w:type="dxa"/>
            <w:hideMark/>
          </w:tcPr>
          <w:p w14:paraId="2253C30C" w14:textId="2307B8EC"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Eligible investment business</w:t>
            </w:r>
          </w:p>
        </w:tc>
      </w:tr>
      <w:tr w:rsidR="00C11CE6" w:rsidRPr="00FA1A19" w14:paraId="034BD070"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31966F5" w14:textId="3032C3CC" w:rsidR="00C11CE6" w:rsidRPr="00FA1A19" w:rsidRDefault="005F645A" w:rsidP="00F724BA">
            <w:pPr>
              <w:pStyle w:val="TableTextLeft"/>
              <w:rPr>
                <w:rFonts w:cs="Calibri"/>
                <w:color w:val="0563C1"/>
                <w:u w:val="single"/>
              </w:rPr>
            </w:pPr>
            <w:r w:rsidRPr="003D093B">
              <w:t>1052162005098</w:t>
            </w:r>
          </w:p>
        </w:tc>
        <w:tc>
          <w:tcPr>
            <w:tcW w:w="7793" w:type="dxa"/>
            <w:hideMark/>
          </w:tcPr>
          <w:p w14:paraId="608FAF7A" w14:textId="7120301F"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GST registration and crypto asset trading</w:t>
            </w:r>
          </w:p>
        </w:tc>
      </w:tr>
      <w:tr w:rsidR="00C11CE6" w:rsidRPr="00FA1A19" w14:paraId="797CEE35"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E88087F" w14:textId="268E29C6" w:rsidR="00C11CE6" w:rsidRPr="00FA1A19" w:rsidRDefault="005F645A" w:rsidP="00F724BA">
            <w:pPr>
              <w:pStyle w:val="TableTextLeft"/>
              <w:rPr>
                <w:rFonts w:cs="Calibri"/>
                <w:color w:val="0563C1"/>
                <w:u w:val="single"/>
              </w:rPr>
            </w:pPr>
            <w:r w:rsidRPr="003D093B">
              <w:t>1052057728344</w:t>
            </w:r>
          </w:p>
        </w:tc>
        <w:tc>
          <w:tcPr>
            <w:tcW w:w="7793" w:type="dxa"/>
            <w:noWrap/>
            <w:hideMark/>
          </w:tcPr>
          <w:p w14:paraId="13BA9F46" w14:textId="58EA063B"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Investor</w:t>
            </w:r>
            <w:r w:rsidR="00DD7E85">
              <w:rPr>
                <w:rFonts w:cs="Calibri"/>
              </w:rPr>
              <w:t xml:space="preserve"> – </w:t>
            </w:r>
            <w:r w:rsidR="00C11CE6" w:rsidRPr="00FA1A19">
              <w:rPr>
                <w:rFonts w:cs="Calibri"/>
              </w:rPr>
              <w:t>cryptocurrency</w:t>
            </w:r>
          </w:p>
        </w:tc>
      </w:tr>
      <w:tr w:rsidR="00C11CE6" w:rsidRPr="00FA1A19" w14:paraId="41C12F76"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8CB66C8" w14:textId="36E56167" w:rsidR="00C11CE6" w:rsidRPr="00FA1A19" w:rsidRDefault="005F645A" w:rsidP="00F724BA">
            <w:pPr>
              <w:pStyle w:val="TableTextLeft"/>
              <w:rPr>
                <w:rFonts w:cs="Calibri"/>
                <w:color w:val="0563C1"/>
                <w:u w:val="single"/>
              </w:rPr>
            </w:pPr>
            <w:r w:rsidRPr="003D093B">
              <w:t>1052070629264</w:t>
            </w:r>
          </w:p>
        </w:tc>
        <w:tc>
          <w:tcPr>
            <w:tcW w:w="7793" w:type="dxa"/>
            <w:noWrap/>
            <w:hideMark/>
          </w:tcPr>
          <w:p w14:paraId="3E32E67D" w14:textId="19D33578"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Non</w:t>
            </w:r>
            <w:r w:rsidR="00F75232">
              <w:rPr>
                <w:rFonts w:cs="Calibri"/>
              </w:rPr>
              <w:noBreakHyphen/>
            </w:r>
            <w:r w:rsidRPr="00FA1A19">
              <w:rPr>
                <w:rFonts w:cs="Calibri"/>
              </w:rPr>
              <w:t>commercial business losses</w:t>
            </w:r>
          </w:p>
        </w:tc>
      </w:tr>
      <w:tr w:rsidR="00C11CE6" w:rsidRPr="00FA1A19" w14:paraId="29D3FCE7"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B46AAD8" w14:textId="18D68968" w:rsidR="00C11CE6" w:rsidRPr="00FA1A19" w:rsidRDefault="005F645A" w:rsidP="00F724BA">
            <w:pPr>
              <w:pStyle w:val="TableTextLeft"/>
              <w:rPr>
                <w:rFonts w:cs="Calibri"/>
                <w:color w:val="0563C1"/>
                <w:u w:val="single"/>
              </w:rPr>
            </w:pPr>
            <w:r w:rsidRPr="003D093B">
              <w:t>1052121287701</w:t>
            </w:r>
          </w:p>
        </w:tc>
        <w:tc>
          <w:tcPr>
            <w:tcW w:w="7793" w:type="dxa"/>
            <w:noWrap/>
            <w:hideMark/>
          </w:tcPr>
          <w:p w14:paraId="5114E64D" w14:textId="7EAA4A86"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Residency and GST</w:t>
            </w:r>
          </w:p>
        </w:tc>
      </w:tr>
      <w:tr w:rsidR="00C11CE6" w:rsidRPr="00FA1A19" w14:paraId="32C9D2AC"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499F718" w14:textId="79621E37" w:rsidR="00C11CE6" w:rsidRPr="00FA1A19" w:rsidRDefault="005F645A" w:rsidP="00F724BA">
            <w:pPr>
              <w:pStyle w:val="TableTextLeft"/>
              <w:rPr>
                <w:rFonts w:cs="Calibri"/>
                <w:color w:val="0563C1"/>
                <w:u w:val="single"/>
              </w:rPr>
            </w:pPr>
            <w:r w:rsidRPr="003D093B">
              <w:t>1052144901537</w:t>
            </w:r>
          </w:p>
        </w:tc>
        <w:tc>
          <w:tcPr>
            <w:tcW w:w="7793" w:type="dxa"/>
            <w:noWrap/>
            <w:hideMark/>
          </w:tcPr>
          <w:p w14:paraId="61A93101" w14:textId="40CED5DE"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Share and cryptocurrency trading</w:t>
            </w:r>
          </w:p>
        </w:tc>
      </w:tr>
      <w:tr w:rsidR="00C11CE6" w:rsidRPr="00FA1A19" w14:paraId="7F0DBC6A"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3A3EC20" w14:textId="442E101A" w:rsidR="00C11CE6" w:rsidRPr="00FA1A19" w:rsidRDefault="005F645A" w:rsidP="00F724BA">
            <w:pPr>
              <w:pStyle w:val="TableTextLeft"/>
              <w:rPr>
                <w:rFonts w:cs="Calibri"/>
                <w:color w:val="0563C1"/>
                <w:u w:val="single"/>
              </w:rPr>
            </w:pPr>
            <w:r w:rsidRPr="003D093B">
              <w:t>1052125946976</w:t>
            </w:r>
          </w:p>
        </w:tc>
        <w:tc>
          <w:tcPr>
            <w:tcW w:w="7793" w:type="dxa"/>
            <w:hideMark/>
          </w:tcPr>
          <w:p w14:paraId="42A640B8" w14:textId="5953F288"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2023 Share trading</w:t>
            </w:r>
          </w:p>
        </w:tc>
      </w:tr>
      <w:tr w:rsidR="00C11CE6" w:rsidRPr="00FA1A19" w14:paraId="3D311D99"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D022C16" w14:textId="362C937B" w:rsidR="00C11CE6" w:rsidRPr="00FA1A19" w:rsidRDefault="005F645A" w:rsidP="00F724BA">
            <w:pPr>
              <w:pStyle w:val="TableTextLeft"/>
              <w:rPr>
                <w:rFonts w:cs="Calibri"/>
                <w:color w:val="0563C1"/>
                <w:u w:val="single"/>
              </w:rPr>
            </w:pPr>
            <w:r w:rsidRPr="003D093B">
              <w:t>1052081360052</w:t>
            </w:r>
          </w:p>
        </w:tc>
        <w:tc>
          <w:tcPr>
            <w:tcW w:w="7793" w:type="dxa"/>
            <w:noWrap/>
            <w:hideMark/>
          </w:tcPr>
          <w:p w14:paraId="67623250" w14:textId="3A237556"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2023 Shares and cryptocurrency</w:t>
            </w:r>
            <w:r w:rsidR="00DD7E85">
              <w:rPr>
                <w:rFonts w:cs="Calibri"/>
              </w:rPr>
              <w:t xml:space="preserve"> – </w:t>
            </w:r>
            <w:r w:rsidRPr="00FA1A19">
              <w:rPr>
                <w:rFonts w:cs="Calibri"/>
              </w:rPr>
              <w:t>trader or investor</w:t>
            </w:r>
          </w:p>
        </w:tc>
      </w:tr>
      <w:tr w:rsidR="00C11CE6" w:rsidRPr="00FA1A19" w14:paraId="5267B5C5"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0495E0F" w14:textId="6722ADF2" w:rsidR="00C11CE6" w:rsidRPr="00FA1A19" w:rsidRDefault="005F645A" w:rsidP="00F724BA">
            <w:pPr>
              <w:pStyle w:val="TableTextLeft"/>
              <w:rPr>
                <w:rFonts w:cs="Calibri"/>
                <w:color w:val="0563C1"/>
                <w:u w:val="single"/>
              </w:rPr>
            </w:pPr>
            <w:r w:rsidRPr="003D093B">
              <w:t>1052193368728</w:t>
            </w:r>
          </w:p>
        </w:tc>
        <w:tc>
          <w:tcPr>
            <w:tcW w:w="7793" w:type="dxa"/>
            <w:hideMark/>
          </w:tcPr>
          <w:p w14:paraId="39AA395F" w14:textId="61CF72E5"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2024 CGT</w:t>
            </w:r>
            <w:r w:rsidR="00DD7E85">
              <w:rPr>
                <w:rFonts w:cs="Calibri"/>
              </w:rPr>
              <w:t xml:space="preserve"> – </w:t>
            </w:r>
            <w:r w:rsidRPr="00FA1A19">
              <w:rPr>
                <w:rFonts w:cs="Calibri"/>
              </w:rPr>
              <w:t>cryptocurrency</w:t>
            </w:r>
          </w:p>
        </w:tc>
      </w:tr>
      <w:tr w:rsidR="00C11CE6" w:rsidRPr="00FA1A19" w14:paraId="26664A0A"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FB5329C" w14:textId="38781C11" w:rsidR="00C11CE6" w:rsidRPr="00FA1A19" w:rsidRDefault="005F645A" w:rsidP="00F724BA">
            <w:pPr>
              <w:pStyle w:val="TableTextLeft"/>
              <w:rPr>
                <w:rFonts w:cs="Calibri"/>
                <w:color w:val="0563C1"/>
                <w:u w:val="single"/>
              </w:rPr>
            </w:pPr>
            <w:r w:rsidRPr="003D093B">
              <w:t>1052194347965</w:t>
            </w:r>
          </w:p>
        </w:tc>
        <w:tc>
          <w:tcPr>
            <w:tcW w:w="7793" w:type="dxa"/>
            <w:noWrap/>
            <w:hideMark/>
          </w:tcPr>
          <w:p w14:paraId="15638808" w14:textId="092E4F5B"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2024 Residency</w:t>
            </w:r>
          </w:p>
        </w:tc>
      </w:tr>
      <w:tr w:rsidR="00C11CE6" w:rsidRPr="00FA1A19" w14:paraId="76E527C0" w14:textId="77777777" w:rsidTr="009855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3D331EC6" w14:textId="72D99B61" w:rsidR="00C11CE6" w:rsidRPr="00FA1A19" w:rsidRDefault="005F645A" w:rsidP="00F724BA">
            <w:pPr>
              <w:pStyle w:val="TableTextLeft"/>
              <w:rPr>
                <w:rFonts w:cs="Calibri"/>
                <w:color w:val="0563C1"/>
                <w:u w:val="single"/>
              </w:rPr>
            </w:pPr>
            <w:r w:rsidRPr="003D093B">
              <w:t>1052194374222</w:t>
            </w:r>
          </w:p>
        </w:tc>
        <w:tc>
          <w:tcPr>
            <w:tcW w:w="7793" w:type="dxa"/>
            <w:hideMark/>
          </w:tcPr>
          <w:p w14:paraId="6D307429" w14:textId="3FA69F5B" w:rsidR="00C11CE6" w:rsidRPr="00FA1A19" w:rsidRDefault="002B4F9A" w:rsidP="00F724BA">
            <w:pPr>
              <w:pStyle w:val="TableTextLeft"/>
              <w:cnfStyle w:val="000000100000" w:firstRow="0" w:lastRow="0" w:firstColumn="0" w:lastColumn="0" w:oddVBand="0" w:evenVBand="0" w:oddHBand="1" w:evenHBand="0" w:firstRowFirstColumn="0" w:firstRowLastColumn="0" w:lastRowFirstColumn="0" w:lastRowLastColumn="0"/>
              <w:rPr>
                <w:rFonts w:cs="Calibri"/>
              </w:rPr>
            </w:pPr>
            <w:r w:rsidRPr="00FA1A19">
              <w:rPr>
                <w:rFonts w:cs="Calibri"/>
              </w:rPr>
              <w:t>2024 Residency</w:t>
            </w:r>
          </w:p>
        </w:tc>
      </w:tr>
      <w:tr w:rsidR="00C11CE6" w:rsidRPr="00FA1A19" w14:paraId="56467A82" w14:textId="77777777" w:rsidTr="0098550D">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5032EF74" w14:textId="212AC4F6" w:rsidR="00C11CE6" w:rsidRPr="00FA1A19" w:rsidRDefault="005F645A" w:rsidP="00F724BA">
            <w:pPr>
              <w:pStyle w:val="TableTextLeft"/>
              <w:rPr>
                <w:rFonts w:cs="Calibri"/>
                <w:color w:val="0563C1"/>
                <w:u w:val="single"/>
              </w:rPr>
            </w:pPr>
            <w:r w:rsidRPr="003D093B">
              <w:t>1052164031483</w:t>
            </w:r>
          </w:p>
        </w:tc>
        <w:tc>
          <w:tcPr>
            <w:tcW w:w="7793" w:type="dxa"/>
            <w:noWrap/>
            <w:hideMark/>
          </w:tcPr>
          <w:p w14:paraId="4D1914F9" w14:textId="0077ABB7" w:rsidR="00C11CE6" w:rsidRPr="00FA1A19" w:rsidRDefault="002B4F9A" w:rsidP="00F724BA">
            <w:pPr>
              <w:pStyle w:val="TableTextLeft"/>
              <w:cnfStyle w:val="000000000000" w:firstRow="0" w:lastRow="0" w:firstColumn="0" w:lastColumn="0" w:oddVBand="0" w:evenVBand="0" w:oddHBand="0" w:evenHBand="0" w:firstRowFirstColumn="0" w:firstRowLastColumn="0" w:lastRowFirstColumn="0" w:lastRowLastColumn="0"/>
              <w:rPr>
                <w:rFonts w:cs="Calibri"/>
              </w:rPr>
            </w:pPr>
            <w:r w:rsidRPr="00FA1A19">
              <w:rPr>
                <w:rFonts w:cs="Calibri"/>
              </w:rPr>
              <w:t>2024 Residency for taxation purposes and source of income</w:t>
            </w:r>
          </w:p>
        </w:tc>
      </w:tr>
    </w:tbl>
    <w:p w14:paraId="0857D155" w14:textId="1C09EADA" w:rsidR="00261D62" w:rsidRPr="00FA1A19" w:rsidRDefault="00261D62" w:rsidP="00261D62">
      <w:pPr>
        <w:rPr>
          <w:rFonts w:asciiTheme="minorHAnsi" w:hAnsiTheme="minorHAnsi" w:cstheme="minorHAnsi"/>
        </w:rPr>
      </w:pPr>
    </w:p>
    <w:p w14:paraId="50CCBAB7" w14:textId="77777777" w:rsidR="000779B4" w:rsidRPr="00FA1A19" w:rsidRDefault="000779B4" w:rsidP="00E65C6E">
      <w:pPr>
        <w:spacing w:after="0"/>
        <w:sectPr w:rsidR="000779B4" w:rsidRPr="00FA1A19" w:rsidSect="00320772">
          <w:footerReference w:type="default" r:id="rId113"/>
          <w:pgSz w:w="11909" w:h="16834" w:code="9"/>
          <w:pgMar w:top="1985" w:right="1134" w:bottom="1985" w:left="1134" w:header="1134" w:footer="1134" w:gutter="0"/>
          <w:cols w:space="708"/>
          <w:docGrid w:linePitch="360"/>
        </w:sectPr>
      </w:pPr>
    </w:p>
    <w:p w14:paraId="2A079B3A" w14:textId="0347CDF3" w:rsidR="00E65C6E" w:rsidRPr="00FA1A19" w:rsidRDefault="009B6D12" w:rsidP="0069352C">
      <w:pPr>
        <w:pStyle w:val="Heading1"/>
      </w:pPr>
      <w:bookmarkStart w:id="179" w:name="_Toc159513658"/>
      <w:r w:rsidRPr="00FA1A19">
        <w:t>Appendix D: International jurisdiction responses to the Board</w:t>
      </w:r>
      <w:r w:rsidR="00F75232">
        <w:t>’</w:t>
      </w:r>
      <w:r w:rsidRPr="00FA1A19">
        <w:t>s questions</w:t>
      </w:r>
      <w:bookmarkEnd w:id="179"/>
    </w:p>
    <w:p w14:paraId="1BEFB83D" w14:textId="66B82D8F" w:rsidR="009B6D12" w:rsidRDefault="009B6D12" w:rsidP="00F724BA">
      <w:r w:rsidRPr="00FA1A19">
        <w:t xml:space="preserve">The Board asked a set of ten questions to the revenue authorities of each of Canada, New Zealand, </w:t>
      </w:r>
      <w:r w:rsidR="006B438B" w:rsidRPr="00FA1A19">
        <w:t>Singapore</w:t>
      </w:r>
      <w:r w:rsidR="006B438B">
        <w:t>,</w:t>
      </w:r>
      <w:r w:rsidR="006B438B" w:rsidRPr="00FA1A19">
        <w:t xml:space="preserve"> </w:t>
      </w:r>
      <w:r w:rsidR="005C3BA4" w:rsidRPr="00FA1A19">
        <w:t>United Kingdom</w:t>
      </w:r>
      <w:r w:rsidR="006B438B">
        <w:t xml:space="preserve"> and</w:t>
      </w:r>
      <w:r w:rsidR="006B438B" w:rsidRPr="00FA1A19">
        <w:t xml:space="preserve"> </w:t>
      </w:r>
      <w:r w:rsidR="005C3BA4" w:rsidRPr="00FA1A19">
        <w:t>United States</w:t>
      </w:r>
      <w:r w:rsidRPr="00FA1A19">
        <w:t>.</w:t>
      </w:r>
      <w:r w:rsidR="004F0A51" w:rsidRPr="00FA1A19">
        <w:t xml:space="preserve"> </w:t>
      </w:r>
      <w:r w:rsidRPr="00FA1A19">
        <w:t>The following table summarises their responses.</w:t>
      </w:r>
    </w:p>
    <w:p w14:paraId="78335289" w14:textId="77777777" w:rsidR="00F724BA" w:rsidRPr="00F724BA" w:rsidRDefault="00F724BA" w:rsidP="00F724BA">
      <w:pPr>
        <w:pStyle w:val="SingleParagraph"/>
      </w:pPr>
    </w:p>
    <w:tbl>
      <w:tblPr>
        <w:tblStyle w:val="ListTable3-Accent1"/>
        <w:tblW w:w="5000" w:type="pct"/>
        <w:tblLook w:val="0020" w:firstRow="1" w:lastRow="0" w:firstColumn="0" w:lastColumn="0" w:noHBand="0" w:noVBand="0"/>
      </w:tblPr>
      <w:tblGrid>
        <w:gridCol w:w="2547"/>
        <w:gridCol w:w="2409"/>
        <w:gridCol w:w="2977"/>
        <w:gridCol w:w="2409"/>
        <w:gridCol w:w="2512"/>
      </w:tblGrid>
      <w:tr w:rsidR="009B6D12" w:rsidRPr="00FA1A19" w14:paraId="62C009DE" w14:textId="77777777" w:rsidTr="0098550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567BB448" w14:textId="156E1E0B" w:rsidR="00D5245B" w:rsidRPr="00D5245B" w:rsidRDefault="00F724BA" w:rsidP="00D5245B">
            <w:pPr>
              <w:pStyle w:val="TableColumnHeadingLeft"/>
              <w:rPr>
                <w:b w:val="0"/>
                <w:color w:val="000000"/>
                <w:kern w:val="16"/>
                <w:sz w:val="18"/>
                <w:szCs w:val="14"/>
                <w:lang w:val="en-CA"/>
              </w:rPr>
            </w:pPr>
            <w:r w:rsidRPr="006A3F90">
              <w:t xml:space="preserve">1. </w:t>
            </w:r>
            <w:r w:rsidR="009B6D12" w:rsidRPr="006A3F90">
              <w:t>Do entities which carry on a business in relation to crypto assets or accept crypto assets as a form of payment, have a comprehensive awareness of the current (jurisdiction</w:t>
            </w:r>
            <w:r w:rsidR="00F75232">
              <w:t>’</w:t>
            </w:r>
            <w:r w:rsidR="009B6D12" w:rsidRPr="006A3F90">
              <w:t>s) tax treatment of crypto assets and their tax obligations?</w:t>
            </w:r>
          </w:p>
        </w:tc>
      </w:tr>
      <w:tr w:rsidR="00F714ED" w:rsidRPr="00FA1A19" w14:paraId="3E2D646A"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7C477012" w14:textId="4BC53FB4" w:rsidR="00F714ED" w:rsidRPr="00FA1A19" w:rsidDel="00B24058" w:rsidRDefault="00F714ED" w:rsidP="00F714ED">
            <w:pPr>
              <w:pStyle w:val="TableColumnHeadingLeft"/>
              <w:keepNext/>
            </w:pPr>
            <w:r w:rsidRPr="00FA1A19">
              <w:t xml:space="preserve">Canada </w:t>
            </w:r>
          </w:p>
        </w:tc>
        <w:tc>
          <w:tcPr>
            <w:tcW w:w="937" w:type="pct"/>
          </w:tcPr>
          <w:p w14:paraId="5BA36E5B" w14:textId="6929AE83" w:rsidR="00F714ED" w:rsidRPr="00FA1A19" w:rsidRDefault="00F714ED" w:rsidP="00F714ED">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New Zealand</w:t>
            </w:r>
          </w:p>
        </w:tc>
        <w:tc>
          <w:tcPr>
            <w:cnfStyle w:val="000010000000" w:firstRow="0" w:lastRow="0" w:firstColumn="0" w:lastColumn="0" w:oddVBand="1" w:evenVBand="0" w:oddHBand="0" w:evenHBand="0" w:firstRowFirstColumn="0" w:firstRowLastColumn="0" w:lastRowFirstColumn="0" w:lastRowLastColumn="0"/>
            <w:tcW w:w="1158" w:type="pct"/>
          </w:tcPr>
          <w:p w14:paraId="27CD70CD" w14:textId="026DB2AF" w:rsidR="00F714ED" w:rsidRPr="00FA1A19" w:rsidRDefault="00F714ED" w:rsidP="00F714ED">
            <w:pPr>
              <w:pStyle w:val="TableColumnHeadingLeft"/>
              <w:keepNext/>
              <w:rPr>
                <w:lang w:val="en-CA"/>
              </w:rPr>
            </w:pPr>
            <w:r w:rsidRPr="00FA1A19">
              <w:t>Singapore</w:t>
            </w:r>
          </w:p>
        </w:tc>
        <w:tc>
          <w:tcPr>
            <w:tcW w:w="937" w:type="pct"/>
          </w:tcPr>
          <w:p w14:paraId="0F6D36DA" w14:textId="456C8897" w:rsidR="00F714ED" w:rsidRPr="00FA1A19" w:rsidRDefault="00F714ED" w:rsidP="00F714ED">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6BDDFC85" w14:textId="6FC0D85B" w:rsidR="00F714ED" w:rsidRPr="00FA1A19" w:rsidRDefault="00F714ED" w:rsidP="00F714ED">
            <w:pPr>
              <w:pStyle w:val="TableColumnHeadingLeft"/>
              <w:keepNext/>
            </w:pPr>
            <w:r w:rsidRPr="00FA1A19">
              <w:t xml:space="preserve">United States </w:t>
            </w:r>
          </w:p>
        </w:tc>
      </w:tr>
      <w:tr w:rsidR="00F714ED" w:rsidRPr="00E50B5B" w14:paraId="76B88384"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6E721823" w14:textId="2CCDE5B9" w:rsidR="00F714ED" w:rsidRPr="00D5245B" w:rsidRDefault="00F714ED" w:rsidP="00F714ED">
            <w:pPr>
              <w:pStyle w:val="TableTextLeft"/>
              <w:rPr>
                <w:sz w:val="18"/>
                <w:szCs w:val="14"/>
                <w:lang w:val="en-CA"/>
              </w:rPr>
            </w:pPr>
            <w:r w:rsidRPr="00E50B5B">
              <w:rPr>
                <w:sz w:val="18"/>
                <w:szCs w:val="14"/>
                <w:lang w:val="en-CA"/>
              </w:rPr>
              <w:t xml:space="preserve">The </w:t>
            </w:r>
            <w:r>
              <w:rPr>
                <w:sz w:val="18"/>
                <w:szCs w:val="14"/>
                <w:lang w:val="en-CA"/>
              </w:rPr>
              <w:t xml:space="preserve">CRA </w:t>
            </w:r>
            <w:r w:rsidRPr="00E50B5B">
              <w:rPr>
                <w:sz w:val="18"/>
                <w:szCs w:val="14"/>
                <w:lang w:val="en-CA"/>
              </w:rPr>
              <w:t>has provided clear communication in relation to cryptocurrency not being legal tender and the application of barter transaction rules but cannot comment on the general level of awareness of entities.</w:t>
            </w:r>
            <w:r w:rsidRPr="00E50B5B" w:rsidDel="0028012C">
              <w:rPr>
                <w:sz w:val="18"/>
                <w:szCs w:val="14"/>
                <w:lang w:val="en-CA"/>
              </w:rPr>
              <w:t xml:space="preserve"> </w:t>
            </w:r>
          </w:p>
        </w:tc>
        <w:tc>
          <w:tcPr>
            <w:tcW w:w="937" w:type="pct"/>
          </w:tcPr>
          <w:p w14:paraId="2A14EA8E" w14:textId="209A97BF" w:rsidR="00F714ED" w:rsidRPr="00E50B5B" w:rsidRDefault="00F714ED" w:rsidP="00F714ED">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 NZ IR is not aware of a significant portion of businesses accepting crypto assets as payment and provides specific guidance for businesses on its website to ensure an overall level of taxpayer awareness. </w:t>
            </w:r>
          </w:p>
        </w:tc>
        <w:tc>
          <w:tcPr>
            <w:cnfStyle w:val="000010000000" w:firstRow="0" w:lastRow="0" w:firstColumn="0" w:lastColumn="0" w:oddVBand="1" w:evenVBand="0" w:oddHBand="0" w:evenHBand="0" w:firstRowFirstColumn="0" w:firstRowLastColumn="0" w:lastRowFirstColumn="0" w:lastRowLastColumn="0"/>
            <w:tcW w:w="1158" w:type="pct"/>
          </w:tcPr>
          <w:p w14:paraId="178E6A2C" w14:textId="27597F3D" w:rsidR="00F714ED" w:rsidRPr="00E50B5B" w:rsidRDefault="00F714ED" w:rsidP="00F714ED">
            <w:pPr>
              <w:pStyle w:val="TableTextLeft"/>
              <w:rPr>
                <w:sz w:val="18"/>
                <w:szCs w:val="14"/>
              </w:rPr>
            </w:pPr>
            <w:r w:rsidRPr="00E50B5B">
              <w:rPr>
                <w:sz w:val="18"/>
                <w:szCs w:val="14"/>
              </w:rPr>
              <w:t xml:space="preserve">The </w:t>
            </w:r>
            <w:r>
              <w:rPr>
                <w:sz w:val="18"/>
                <w:szCs w:val="14"/>
              </w:rPr>
              <w:t>IRAS</w:t>
            </w:r>
            <w:r w:rsidRPr="00E50B5B">
              <w:rPr>
                <w:sz w:val="18"/>
                <w:szCs w:val="14"/>
              </w:rPr>
              <w:t xml:space="preserve"> carries out broad</w:t>
            </w:r>
            <w:r w:rsidRPr="00E50B5B">
              <w:rPr>
                <w:sz w:val="18"/>
                <w:szCs w:val="14"/>
              </w:rPr>
              <w:noBreakHyphen/>
              <w:t>based educational efforts including providing e</w:t>
            </w:r>
            <w:r w:rsidRPr="00E50B5B">
              <w:rPr>
                <w:sz w:val="18"/>
                <w:szCs w:val="14"/>
              </w:rPr>
              <w:noBreakHyphen/>
              <w:t>Tax Guides and website guidance that are regularly reviewed and updated on the general income tax and GST treatment and reporting requirements of transactions involving digital tokens.</w:t>
            </w:r>
          </w:p>
        </w:tc>
        <w:tc>
          <w:tcPr>
            <w:tcW w:w="937" w:type="pct"/>
          </w:tcPr>
          <w:p w14:paraId="4D8BC8AA" w14:textId="7A019120" w:rsidR="00F714ED" w:rsidRPr="00E50B5B" w:rsidRDefault="00F714ED" w:rsidP="00F714ED">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Pr>
                <w:sz w:val="18"/>
                <w:szCs w:val="14"/>
              </w:rPr>
              <w:t>HMRC</w:t>
            </w:r>
            <w:r w:rsidRPr="00E50B5B">
              <w:rPr>
                <w:sz w:val="18"/>
                <w:szCs w:val="14"/>
              </w:rPr>
              <w:t xml:space="preserve"> h</w:t>
            </w:r>
            <w:r>
              <w:rPr>
                <w:sz w:val="18"/>
                <w:szCs w:val="14"/>
              </w:rPr>
              <w:t>as</w:t>
            </w:r>
            <w:r w:rsidRPr="00E50B5B">
              <w:rPr>
                <w:sz w:val="18"/>
                <w:szCs w:val="14"/>
              </w:rPr>
              <w:t xml:space="preserve"> limited knowledge on this. No specific research has been undertaken. HMRC h</w:t>
            </w:r>
            <w:r>
              <w:rPr>
                <w:sz w:val="18"/>
                <w:szCs w:val="14"/>
              </w:rPr>
              <w:t>as</w:t>
            </w:r>
            <w:r w:rsidRPr="00E50B5B">
              <w:rPr>
                <w:sz w:val="18"/>
                <w:szCs w:val="14"/>
              </w:rPr>
              <w:t xml:space="preserve"> </w:t>
            </w:r>
            <w:r>
              <w:rPr>
                <w:sz w:val="18"/>
                <w:szCs w:val="14"/>
              </w:rPr>
              <w:t>undertaken</w:t>
            </w:r>
            <w:r w:rsidRPr="00E50B5B">
              <w:rPr>
                <w:sz w:val="18"/>
                <w:szCs w:val="14"/>
              </w:rPr>
              <w:t xml:space="preserve"> some evidence gathering on behalf of the OECD, but it was focusing on their operations and the extent of crypto assets being used for payment.</w:t>
            </w:r>
          </w:p>
        </w:tc>
        <w:tc>
          <w:tcPr>
            <w:cnfStyle w:val="000010000000" w:firstRow="0" w:lastRow="0" w:firstColumn="0" w:lastColumn="0" w:oddVBand="1" w:evenVBand="0" w:oddHBand="0" w:evenHBand="0" w:firstRowFirstColumn="0" w:firstRowLastColumn="0" w:lastRowFirstColumn="0" w:lastRowLastColumn="0"/>
            <w:tcW w:w="977" w:type="pct"/>
          </w:tcPr>
          <w:p w14:paraId="069E01D2" w14:textId="58E0054D" w:rsidR="00F714ED" w:rsidRPr="00E50B5B" w:rsidRDefault="00F714ED" w:rsidP="00F714ED">
            <w:pPr>
              <w:pStyle w:val="TableTextLeft"/>
              <w:rPr>
                <w:sz w:val="18"/>
                <w:szCs w:val="14"/>
              </w:rPr>
            </w:pPr>
            <w:r>
              <w:rPr>
                <w:sz w:val="18"/>
                <w:szCs w:val="14"/>
              </w:rPr>
              <w:t>The IRS</w:t>
            </w:r>
            <w:r w:rsidRPr="00E50B5B">
              <w:rPr>
                <w:sz w:val="18"/>
                <w:szCs w:val="14"/>
              </w:rPr>
              <w:t xml:space="preserve"> provides guidance </w:t>
            </w:r>
            <w:r>
              <w:rPr>
                <w:sz w:val="18"/>
                <w:szCs w:val="14"/>
              </w:rPr>
              <w:t>for businesses on its</w:t>
            </w:r>
            <w:r w:rsidRPr="00E50B5B">
              <w:rPr>
                <w:sz w:val="18"/>
                <w:szCs w:val="14"/>
              </w:rPr>
              <w:t xml:space="preserve"> website. </w:t>
            </w:r>
            <w:r>
              <w:rPr>
                <w:sz w:val="18"/>
                <w:szCs w:val="14"/>
              </w:rPr>
              <w:t>It</w:t>
            </w:r>
            <w:r w:rsidRPr="00E50B5B">
              <w:rPr>
                <w:sz w:val="18"/>
                <w:szCs w:val="14"/>
              </w:rPr>
              <w:t xml:space="preserve"> is difficult for the IRS to gauge exactly the level of taxpayers’ understanding regarding treatment and taxation of transactions in relation to crypto assets.</w:t>
            </w:r>
          </w:p>
        </w:tc>
      </w:tr>
      <w:tr w:rsidR="00543BE9" w:rsidRPr="00FA1A19" w14:paraId="00ABAE6C"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1F9A61EE" w14:textId="40EB6E6C" w:rsidR="00543BE9" w:rsidRPr="00FA1A19" w:rsidRDefault="00543BE9" w:rsidP="00F724BA">
            <w:pPr>
              <w:pStyle w:val="TableColumnHeadingLeft"/>
              <w:keepNext/>
            </w:pPr>
            <w:r w:rsidRPr="00FA1A19">
              <w:rPr>
                <w:sz w:val="20"/>
                <w:szCs w:val="20"/>
              </w:rPr>
              <w:br w:type="page"/>
            </w:r>
            <w:r w:rsidR="00F724BA">
              <w:rPr>
                <w:sz w:val="20"/>
                <w:szCs w:val="20"/>
              </w:rPr>
              <w:t xml:space="preserve">2. </w:t>
            </w:r>
            <w:r w:rsidRPr="00FA1A19">
              <w:t>Are investors aware of the current (jurisdiction</w:t>
            </w:r>
            <w:r w:rsidR="00F75232">
              <w:t>’</w:t>
            </w:r>
            <w:r w:rsidRPr="00FA1A19">
              <w:t>s) tax treatment of crypto assets? To what extent are they receiving professional tax advice?</w:t>
            </w:r>
            <w:r w:rsidRPr="00FA1A19">
              <w:rPr>
                <w:color w:val="FF0000"/>
              </w:rPr>
              <w:t xml:space="preserve"> </w:t>
            </w:r>
          </w:p>
        </w:tc>
      </w:tr>
      <w:tr w:rsidR="0042615C" w:rsidRPr="00FA1A19" w14:paraId="62D740DD"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554F193C" w14:textId="3F377839" w:rsidR="0042615C" w:rsidRPr="00FA1A19" w:rsidRDefault="0042615C" w:rsidP="0042615C">
            <w:pPr>
              <w:pStyle w:val="TableColumnHeadingLeft"/>
              <w:keepNext/>
            </w:pPr>
            <w:r w:rsidRPr="00FA1A19">
              <w:t>Canada</w:t>
            </w:r>
          </w:p>
        </w:tc>
        <w:tc>
          <w:tcPr>
            <w:tcW w:w="937" w:type="pct"/>
          </w:tcPr>
          <w:p w14:paraId="5687EEE2" w14:textId="4E0BF98C" w:rsidR="0042615C" w:rsidRPr="00FA1A19" w:rsidRDefault="0042615C" w:rsidP="0042615C">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37E44279" w14:textId="7823C32C" w:rsidR="0042615C" w:rsidRPr="00FA1A19" w:rsidRDefault="0042615C" w:rsidP="0042615C">
            <w:pPr>
              <w:pStyle w:val="TableColumnHeadingLeft"/>
              <w:keepNext/>
              <w:rPr>
                <w:lang w:val="en-CA"/>
              </w:rPr>
            </w:pPr>
            <w:r w:rsidRPr="00FA1A19">
              <w:t>Singapore</w:t>
            </w:r>
          </w:p>
        </w:tc>
        <w:tc>
          <w:tcPr>
            <w:tcW w:w="937" w:type="pct"/>
          </w:tcPr>
          <w:p w14:paraId="4AD6E4C9" w14:textId="0F035FD4" w:rsidR="0042615C" w:rsidRPr="00FA1A19" w:rsidRDefault="0042615C" w:rsidP="0042615C">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3113E224" w14:textId="0F8010C6" w:rsidR="0042615C" w:rsidRPr="00FA1A19" w:rsidRDefault="0042615C" w:rsidP="0042615C">
            <w:pPr>
              <w:pStyle w:val="TableColumnHeadingLeft"/>
              <w:keepNext/>
            </w:pPr>
            <w:r w:rsidRPr="00FA1A19">
              <w:t>United States</w:t>
            </w:r>
          </w:p>
        </w:tc>
      </w:tr>
      <w:tr w:rsidR="0042615C" w:rsidRPr="00E50B5B" w14:paraId="403A613F"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5685F598" w14:textId="21AD9924" w:rsidR="0042615C" w:rsidRPr="00E50B5B" w:rsidRDefault="0042615C" w:rsidP="0042615C">
            <w:pPr>
              <w:pStyle w:val="TableTextLeft"/>
              <w:rPr>
                <w:sz w:val="18"/>
                <w:szCs w:val="14"/>
                <w:lang w:val="en-CA"/>
              </w:rPr>
            </w:pPr>
            <w:r w:rsidRPr="00E50B5B">
              <w:rPr>
                <w:sz w:val="18"/>
                <w:szCs w:val="14"/>
                <w:lang w:val="en-CA"/>
              </w:rPr>
              <w:t xml:space="preserve">The CRA has provided clear guidance and communications on the tax consequences of crypto transactions. They are unable to gauge the extent of the use of tax professionals by investors for tax advice. </w:t>
            </w:r>
          </w:p>
        </w:tc>
        <w:tc>
          <w:tcPr>
            <w:tcW w:w="937" w:type="pct"/>
          </w:tcPr>
          <w:p w14:paraId="5D6C1B48" w14:textId="77777777" w:rsidR="0042615C" w:rsidRPr="00E50B5B" w:rsidRDefault="0042615C" w:rsidP="0042615C">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NZ IR provides website guidance on how crypto assets are taxed for individuals. </w:t>
            </w:r>
          </w:p>
          <w:p w14:paraId="6C2BB59D" w14:textId="1C6766CF" w:rsidR="0042615C" w:rsidRPr="00E50B5B" w:rsidRDefault="0042615C" w:rsidP="0042615C">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Due to the complexity in calculating income tax liability on crypto asset disposals, adviser fees can sometimes be greater than the resulting tax liability. </w:t>
            </w:r>
          </w:p>
        </w:tc>
        <w:tc>
          <w:tcPr>
            <w:cnfStyle w:val="000010000000" w:firstRow="0" w:lastRow="0" w:firstColumn="0" w:lastColumn="0" w:oddVBand="1" w:evenVBand="0" w:oddHBand="0" w:evenHBand="0" w:firstRowFirstColumn="0" w:firstRowLastColumn="0" w:lastRowFirstColumn="0" w:lastRowLastColumn="0"/>
            <w:tcW w:w="1158" w:type="pct"/>
          </w:tcPr>
          <w:p w14:paraId="1CB6D331" w14:textId="0E89BC8A" w:rsidR="0042615C" w:rsidRPr="006229B4" w:rsidRDefault="0042615C" w:rsidP="006229B4">
            <w:pPr>
              <w:tabs>
                <w:tab w:val="left" w:pos="4111"/>
              </w:tabs>
              <w:rPr>
                <w:rFonts w:asciiTheme="minorHAnsi" w:hAnsiTheme="minorHAnsi"/>
                <w:color w:val="000000"/>
                <w:kern w:val="16"/>
                <w:sz w:val="18"/>
                <w:szCs w:val="14"/>
              </w:rPr>
            </w:pPr>
            <w:r w:rsidRPr="00E73251">
              <w:rPr>
                <w:rFonts w:asciiTheme="minorHAnsi" w:hAnsiTheme="minorHAnsi"/>
                <w:color w:val="000000"/>
                <w:kern w:val="16"/>
                <w:sz w:val="18"/>
                <w:szCs w:val="14"/>
              </w:rPr>
              <w:t>IRAS’ e-Tax Guides and website guidance contain</w:t>
            </w:r>
            <w:r>
              <w:rPr>
                <w:rFonts w:asciiTheme="minorHAnsi" w:hAnsiTheme="minorHAnsi"/>
                <w:color w:val="000000"/>
                <w:kern w:val="16"/>
                <w:sz w:val="18"/>
                <w:szCs w:val="14"/>
              </w:rPr>
              <w:t>s</w:t>
            </w:r>
            <w:r w:rsidRPr="00E73251">
              <w:rPr>
                <w:rFonts w:asciiTheme="minorHAnsi" w:hAnsiTheme="minorHAnsi"/>
                <w:color w:val="000000"/>
                <w:kern w:val="16"/>
                <w:sz w:val="18"/>
                <w:szCs w:val="14"/>
              </w:rPr>
              <w:t xml:space="preserve"> information for investors. IRAS does not track the extent to which investors in crypto assets receive professional tax advice. They have observed that some of the more complex queries and private ruling requests received from businesses in relation to crypto assets are represented by tax agents.</w:t>
            </w:r>
          </w:p>
        </w:tc>
        <w:tc>
          <w:tcPr>
            <w:tcW w:w="937" w:type="pct"/>
          </w:tcPr>
          <w:p w14:paraId="5163149B" w14:textId="77777777" w:rsidR="0042615C" w:rsidRPr="00E50B5B" w:rsidRDefault="0042615C" w:rsidP="0042615C">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HMRC h</w:t>
            </w:r>
            <w:r>
              <w:rPr>
                <w:sz w:val="18"/>
                <w:szCs w:val="14"/>
              </w:rPr>
              <w:t>as</w:t>
            </w:r>
            <w:r w:rsidRPr="00E50B5B">
              <w:rPr>
                <w:sz w:val="18"/>
                <w:szCs w:val="14"/>
              </w:rPr>
              <w:t xml:space="preserve"> issued guidance detailing the tax treatment for individuals and businesses in relation crypto assets.</w:t>
            </w:r>
          </w:p>
          <w:p w14:paraId="611A4E55" w14:textId="77777777" w:rsidR="0042615C" w:rsidRDefault="0042615C" w:rsidP="00AA49F0">
            <w:pPr>
              <w:pStyle w:val="TableTextLeftBullet"/>
              <w:numPr>
                <w:ilvl w:val="0"/>
                <w:numId w:val="0"/>
              </w:numPr>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HMRC h</w:t>
            </w:r>
            <w:r>
              <w:rPr>
                <w:sz w:val="18"/>
                <w:szCs w:val="14"/>
              </w:rPr>
              <w:t>as</w:t>
            </w:r>
            <w:r w:rsidRPr="00E50B5B">
              <w:rPr>
                <w:sz w:val="18"/>
                <w:szCs w:val="14"/>
              </w:rPr>
              <w:t xml:space="preserve"> conducted research on individuals holding crypto assets and the results </w:t>
            </w:r>
            <w:r>
              <w:rPr>
                <w:sz w:val="18"/>
                <w:szCs w:val="14"/>
              </w:rPr>
              <w:t>showed</w:t>
            </w:r>
            <w:r w:rsidRPr="00E50B5B">
              <w:rPr>
                <w:sz w:val="18"/>
                <w:szCs w:val="14"/>
              </w:rPr>
              <w:t xml:space="preserve">: </w:t>
            </w:r>
          </w:p>
          <w:p w14:paraId="493BEC6B" w14:textId="23702969" w:rsidR="0042615C" w:rsidRDefault="0042615C" w:rsidP="0042615C">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42% of crypto owners are aware that tax liabilities can arise when purchasing goods/services using crypto </w:t>
            </w:r>
          </w:p>
          <w:p w14:paraId="1AE9A109" w14:textId="20F16D33" w:rsidR="0042615C" w:rsidRDefault="0042615C" w:rsidP="0042615C">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00E24B4B">
              <w:rPr>
                <w:sz w:val="18"/>
                <w:szCs w:val="14"/>
              </w:rPr>
              <w:t>50% are aware that tax liabilities can arise when converting crypto assets into fiat currency</w:t>
            </w:r>
          </w:p>
          <w:p w14:paraId="0FD399C8" w14:textId="68F6FF03" w:rsidR="0042615C" w:rsidRDefault="0042615C" w:rsidP="0042615C">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00E24B4B">
              <w:rPr>
                <w:sz w:val="18"/>
                <w:szCs w:val="14"/>
              </w:rPr>
              <w:t>28% seen HMRC guidance on crypto asset</w:t>
            </w:r>
            <w:r w:rsidR="00587717">
              <w:rPr>
                <w:sz w:val="18"/>
                <w:szCs w:val="14"/>
              </w:rPr>
              <w:t>s</w:t>
            </w:r>
            <w:r w:rsidRPr="00E24B4B">
              <w:rPr>
                <w:sz w:val="18"/>
                <w:szCs w:val="14"/>
              </w:rPr>
              <w:t xml:space="preserve"> </w:t>
            </w:r>
          </w:p>
          <w:p w14:paraId="43BF5A62" w14:textId="66A20CD9" w:rsidR="0042615C" w:rsidRDefault="0042615C" w:rsidP="0042615C">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003776CC">
              <w:rPr>
                <w:sz w:val="18"/>
                <w:szCs w:val="14"/>
              </w:rPr>
              <w:t xml:space="preserve">16% have sought tax advice </w:t>
            </w:r>
          </w:p>
          <w:p w14:paraId="1EFB3B71" w14:textId="77777777" w:rsidR="0042615C" w:rsidRDefault="0042615C" w:rsidP="0042615C">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59% of crypto asset owners know little or nothing about CGT. </w:t>
            </w:r>
          </w:p>
          <w:p w14:paraId="558487AD" w14:textId="3D03C998" w:rsidR="0042615C" w:rsidRPr="00E50B5B" w:rsidRDefault="0042615C" w:rsidP="0042615C">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HMRC ha</w:t>
            </w:r>
            <w:r>
              <w:rPr>
                <w:sz w:val="18"/>
                <w:szCs w:val="14"/>
              </w:rPr>
              <w:t>s</w:t>
            </w:r>
            <w:r w:rsidRPr="00E50B5B">
              <w:rPr>
                <w:sz w:val="18"/>
                <w:szCs w:val="14"/>
              </w:rPr>
              <w:t xml:space="preserve"> also conducted some face</w:t>
            </w:r>
            <w:r w:rsidRPr="00E50B5B">
              <w:rPr>
                <w:sz w:val="18"/>
                <w:szCs w:val="14"/>
              </w:rPr>
              <w:noBreakHyphen/>
              <w:t>to</w:t>
            </w:r>
            <w:r w:rsidRPr="00E50B5B">
              <w:rPr>
                <w:sz w:val="18"/>
                <w:szCs w:val="14"/>
              </w:rPr>
              <w:noBreakHyphen/>
              <w:t>face interviews.</w:t>
            </w:r>
          </w:p>
        </w:tc>
        <w:tc>
          <w:tcPr>
            <w:cnfStyle w:val="000010000000" w:firstRow="0" w:lastRow="0" w:firstColumn="0" w:lastColumn="0" w:oddVBand="1" w:evenVBand="0" w:oddHBand="0" w:evenHBand="0" w:firstRowFirstColumn="0" w:firstRowLastColumn="0" w:lastRowFirstColumn="0" w:lastRowLastColumn="0"/>
            <w:tcW w:w="977" w:type="pct"/>
          </w:tcPr>
          <w:p w14:paraId="6E68A978" w14:textId="00A04D04" w:rsidR="0042615C" w:rsidRPr="00D5245B" w:rsidRDefault="0042615C" w:rsidP="0042615C">
            <w:pPr>
              <w:tabs>
                <w:tab w:val="left" w:pos="4111"/>
              </w:tabs>
              <w:rPr>
                <w:rFonts w:asciiTheme="minorHAnsi" w:hAnsiTheme="minorHAnsi"/>
                <w:color w:val="000000"/>
                <w:kern w:val="16"/>
                <w:sz w:val="18"/>
                <w:szCs w:val="14"/>
              </w:rPr>
            </w:pPr>
            <w:r w:rsidRPr="00E50B5B">
              <w:rPr>
                <w:sz w:val="18"/>
                <w:szCs w:val="14"/>
              </w:rPr>
              <w:t>The IRS provides guidance applicable for investors</w:t>
            </w:r>
            <w:r>
              <w:rPr>
                <w:sz w:val="18"/>
                <w:szCs w:val="14"/>
              </w:rPr>
              <w:t xml:space="preserve"> on its website</w:t>
            </w:r>
            <w:r w:rsidRPr="00E50B5B">
              <w:rPr>
                <w:sz w:val="18"/>
                <w:szCs w:val="14"/>
              </w:rPr>
              <w:t>. The extent of taxpayer awareness or use of professional tax advice is unknown.</w:t>
            </w:r>
          </w:p>
        </w:tc>
      </w:tr>
      <w:tr w:rsidR="00543BE9" w:rsidRPr="00FA1A19" w14:paraId="26FE8443" w14:textId="77777777" w:rsidTr="0098550D">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1AB18315" w14:textId="50E7828A" w:rsidR="00543BE9" w:rsidRPr="006A3F90" w:rsidRDefault="00543BE9" w:rsidP="006A3F90">
            <w:pPr>
              <w:pStyle w:val="TableColumnHeadingLeft"/>
              <w:keepNext/>
            </w:pPr>
            <w:r w:rsidRPr="006A3F90">
              <w:br w:type="page"/>
            </w:r>
            <w:r w:rsidR="00F724BA" w:rsidRPr="006A3F90">
              <w:t xml:space="preserve">3. </w:t>
            </w:r>
            <w:r w:rsidRPr="006A3F90">
              <w:t>How should the tax transparency of crypto assets be improved, including what information tax administrators need to know about transactions for purposes of compliance and enforcement?</w:t>
            </w:r>
          </w:p>
        </w:tc>
      </w:tr>
      <w:tr w:rsidR="008A6E9B" w:rsidRPr="00FA1A19" w14:paraId="4C96EB6F"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0D24CAB2" w14:textId="20B74DF3" w:rsidR="008A6E9B" w:rsidRPr="00FA1A19" w:rsidRDefault="008A6E9B" w:rsidP="008A6E9B">
            <w:pPr>
              <w:pStyle w:val="TableColumnHeadingLeft"/>
              <w:keepNext/>
            </w:pPr>
            <w:r w:rsidRPr="00FA1A19">
              <w:t>Canada</w:t>
            </w:r>
          </w:p>
        </w:tc>
        <w:tc>
          <w:tcPr>
            <w:tcW w:w="937" w:type="pct"/>
          </w:tcPr>
          <w:p w14:paraId="5780C5A9" w14:textId="33361F4C" w:rsidR="008A6E9B" w:rsidRPr="00FA1A19" w:rsidRDefault="008A6E9B" w:rsidP="008A6E9B">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022BCAAD" w14:textId="3E5B788B" w:rsidR="008A6E9B" w:rsidRPr="00FA1A19" w:rsidRDefault="008A6E9B" w:rsidP="008A6E9B">
            <w:pPr>
              <w:pStyle w:val="TableColumnHeadingLeft"/>
              <w:keepNext/>
              <w:rPr>
                <w:lang w:val="en-CA"/>
              </w:rPr>
            </w:pPr>
            <w:r w:rsidRPr="00FA1A19">
              <w:t>Singapore</w:t>
            </w:r>
          </w:p>
        </w:tc>
        <w:tc>
          <w:tcPr>
            <w:tcW w:w="937" w:type="pct"/>
          </w:tcPr>
          <w:p w14:paraId="650B0000" w14:textId="7C49AABC" w:rsidR="008A6E9B" w:rsidRPr="00FA1A19" w:rsidRDefault="008A6E9B" w:rsidP="008A6E9B">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720BDFD5" w14:textId="3127F864" w:rsidR="008A6E9B" w:rsidRPr="00FA1A19" w:rsidDel="00A73032" w:rsidRDefault="008A6E9B" w:rsidP="008A6E9B">
            <w:pPr>
              <w:pStyle w:val="TableColumnHeadingLeft"/>
              <w:keepNext/>
            </w:pPr>
            <w:r w:rsidRPr="00FA1A19">
              <w:t>United States</w:t>
            </w:r>
          </w:p>
        </w:tc>
      </w:tr>
      <w:tr w:rsidR="008A6E9B" w:rsidRPr="00E50B5B" w14:paraId="44EDA543"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54D2E14E" w14:textId="511EE21B" w:rsidR="008A6E9B" w:rsidRPr="00E50B5B" w:rsidRDefault="008A6E9B" w:rsidP="008A6E9B">
            <w:pPr>
              <w:pStyle w:val="TableTextLeft"/>
              <w:rPr>
                <w:sz w:val="18"/>
                <w:szCs w:val="14"/>
                <w:lang w:val="en-CA"/>
              </w:rPr>
            </w:pPr>
            <w:r w:rsidRPr="00E50B5B">
              <w:rPr>
                <w:sz w:val="18"/>
                <w:szCs w:val="14"/>
                <w:lang w:val="en-CA"/>
              </w:rPr>
              <w:t>The CRA uses international engagement to share best practices with respect to stakeholder engagement and application of tax policy and strive to keep external guidance up to date. They are exploring options to improve reporting obligations of taxpayers and registrants.</w:t>
            </w:r>
          </w:p>
        </w:tc>
        <w:tc>
          <w:tcPr>
            <w:tcW w:w="937" w:type="pct"/>
          </w:tcPr>
          <w:p w14:paraId="391A6153" w14:textId="63BD4E9F" w:rsidR="008A6E9B" w:rsidRPr="00E50B5B" w:rsidRDefault="008A6E9B" w:rsidP="008A6E9B">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80% of crypto asset activity undertaken by New Zealanders is carried out through offshore exchanges. NZ IR consider</w:t>
            </w:r>
            <w:r w:rsidR="00EF06DB">
              <w:rPr>
                <w:sz w:val="18"/>
                <w:szCs w:val="14"/>
              </w:rPr>
              <w:t>s</w:t>
            </w:r>
            <w:r w:rsidRPr="00E50B5B">
              <w:rPr>
                <w:sz w:val="18"/>
                <w:szCs w:val="14"/>
              </w:rPr>
              <w:t xml:space="preserve"> a multilateral solution to be the most effective way to improve visibility, particularly with reference to the information that will be gathered under the OECD’s Crypto Asset Reporting Framework (CARF) requirements. </w:t>
            </w:r>
          </w:p>
        </w:tc>
        <w:tc>
          <w:tcPr>
            <w:cnfStyle w:val="000010000000" w:firstRow="0" w:lastRow="0" w:firstColumn="0" w:lastColumn="0" w:oddVBand="1" w:evenVBand="0" w:oddHBand="0" w:evenHBand="0" w:firstRowFirstColumn="0" w:firstRowLastColumn="0" w:lastRowFirstColumn="0" w:lastRowLastColumn="0"/>
            <w:tcW w:w="1158" w:type="pct"/>
          </w:tcPr>
          <w:p w14:paraId="6394040C" w14:textId="0604B22D" w:rsidR="008A6E9B" w:rsidRPr="00E50B5B" w:rsidRDefault="008A6E9B" w:rsidP="008A6E9B">
            <w:pPr>
              <w:pStyle w:val="TableTextLeft"/>
              <w:rPr>
                <w:sz w:val="18"/>
                <w:szCs w:val="14"/>
              </w:rPr>
            </w:pPr>
            <w:r w:rsidRPr="00E50B5B">
              <w:rPr>
                <w:sz w:val="18"/>
                <w:szCs w:val="14"/>
              </w:rPr>
              <w:t>Taxpayers are required to keep proper records of transactions involving crypto</w:t>
            </w:r>
            <w:r>
              <w:rPr>
                <w:sz w:val="18"/>
                <w:szCs w:val="14"/>
              </w:rPr>
              <w:t xml:space="preserve"> </w:t>
            </w:r>
            <w:r w:rsidRPr="00E50B5B">
              <w:rPr>
                <w:sz w:val="18"/>
                <w:szCs w:val="14"/>
              </w:rPr>
              <w:t>assets and provide them to IRAS upon request. These records should include information such as the number of units of digital tokens received or sold, the value of the digital token, purpose of the transaction, details of customers and suppliers and receipts / invoices, amongst others. IRAS has published e</w:t>
            </w:r>
            <w:r w:rsidRPr="00E50B5B">
              <w:rPr>
                <w:sz w:val="18"/>
                <w:szCs w:val="14"/>
              </w:rPr>
              <w:noBreakHyphen/>
              <w:t>Tax Guides which details the record keeping requirements for taxpayers.</w:t>
            </w:r>
          </w:p>
        </w:tc>
        <w:tc>
          <w:tcPr>
            <w:tcW w:w="937" w:type="pct"/>
          </w:tcPr>
          <w:p w14:paraId="22BAF86C" w14:textId="77777777" w:rsidR="008A6E9B" w:rsidRPr="00E50B5B" w:rsidRDefault="008A6E9B" w:rsidP="008A6E9B">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The UK Government announced in the Spring Budget on 15 March 2023 that a new section will be introduced to the Self</w:t>
            </w:r>
            <w:r w:rsidRPr="00E50B5B">
              <w:rPr>
                <w:sz w:val="18"/>
                <w:szCs w:val="14"/>
              </w:rPr>
              <w:noBreakHyphen/>
              <w:t>Assessment forms from 2024/2025 tax year so that gains from crypto assets will be identified separately on the forms.</w:t>
            </w:r>
          </w:p>
          <w:p w14:paraId="79D91994" w14:textId="77777777" w:rsidR="008A6E9B" w:rsidRPr="00E50B5B" w:rsidRDefault="008A6E9B" w:rsidP="008A6E9B">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The OECD CARF will obligate reporting crypto asset service providers to report information regarding the transactions undertaken by crypto asset users to its relevant jurisdiction. Exchange of information also occurs through existing means.</w:t>
            </w:r>
          </w:p>
          <w:p w14:paraId="406C1E3F" w14:textId="73C83398" w:rsidR="008A6E9B" w:rsidRPr="00E50B5B" w:rsidRDefault="008A6E9B" w:rsidP="008A6E9B">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HMRC also has statutory information gathering powers which enables the collection of data from third parties.</w:t>
            </w:r>
          </w:p>
        </w:tc>
        <w:tc>
          <w:tcPr>
            <w:cnfStyle w:val="000010000000" w:firstRow="0" w:lastRow="0" w:firstColumn="0" w:lastColumn="0" w:oddVBand="1" w:evenVBand="0" w:oddHBand="0" w:evenHBand="0" w:firstRowFirstColumn="0" w:firstRowLastColumn="0" w:lastRowFirstColumn="0" w:lastRowLastColumn="0"/>
            <w:tcW w:w="977" w:type="pct"/>
          </w:tcPr>
          <w:p w14:paraId="3AE3818C" w14:textId="676E8888" w:rsidR="008A6E9B" w:rsidRPr="00E50B5B" w:rsidRDefault="008A6E9B" w:rsidP="008A6E9B">
            <w:pPr>
              <w:pStyle w:val="TableTextLeft"/>
              <w:rPr>
                <w:sz w:val="18"/>
                <w:szCs w:val="14"/>
              </w:rPr>
            </w:pPr>
            <w:r w:rsidRPr="00E50B5B">
              <w:rPr>
                <w:rFonts w:eastAsia="Calibri"/>
                <w:sz w:val="18"/>
                <w:szCs w:val="14"/>
              </w:rPr>
              <w:t>The</w:t>
            </w:r>
            <w:r>
              <w:rPr>
                <w:rFonts w:eastAsia="Calibri"/>
                <w:sz w:val="18"/>
                <w:szCs w:val="14"/>
              </w:rPr>
              <w:t xml:space="preserve"> IRS uses</w:t>
            </w:r>
            <w:r w:rsidRPr="00E50B5B">
              <w:rPr>
                <w:rFonts w:eastAsia="Calibri"/>
                <w:sz w:val="18"/>
                <w:szCs w:val="14"/>
              </w:rPr>
              <w:t xml:space="preserve"> third</w:t>
            </w:r>
            <w:r w:rsidRPr="00E50B5B">
              <w:rPr>
                <w:rFonts w:eastAsia="Calibri"/>
                <w:sz w:val="18"/>
                <w:szCs w:val="14"/>
              </w:rPr>
              <w:noBreakHyphen/>
              <w:t xml:space="preserve">party information reporting which generally leads to higher levels of taxpayer compliance as it is transparent to both the IRS and taxpayers and allows the IRS to identify taxpayers with digital asset transactions that </w:t>
            </w:r>
            <w:r>
              <w:rPr>
                <w:rFonts w:eastAsia="Calibri"/>
                <w:sz w:val="18"/>
                <w:szCs w:val="14"/>
              </w:rPr>
              <w:t>may</w:t>
            </w:r>
            <w:r w:rsidRPr="00E50B5B">
              <w:rPr>
                <w:rFonts w:eastAsia="Calibri"/>
                <w:sz w:val="18"/>
                <w:szCs w:val="14"/>
              </w:rPr>
              <w:t xml:space="preserve"> otherwise </w:t>
            </w:r>
            <w:r>
              <w:rPr>
                <w:rFonts w:eastAsia="Calibri"/>
                <w:sz w:val="18"/>
                <w:szCs w:val="14"/>
              </w:rPr>
              <w:t>be</w:t>
            </w:r>
            <w:r w:rsidRPr="00E50B5B">
              <w:rPr>
                <w:rFonts w:eastAsia="Calibri"/>
                <w:sz w:val="18"/>
                <w:szCs w:val="14"/>
              </w:rPr>
              <w:t xml:space="preserve"> difficult to discover.</w:t>
            </w:r>
          </w:p>
        </w:tc>
      </w:tr>
      <w:tr w:rsidR="00543BE9" w:rsidRPr="00FA1A19" w14:paraId="028A8F92"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6BE9C72A" w14:textId="3EF07BFF" w:rsidR="00543BE9" w:rsidRPr="00FA1A19" w:rsidRDefault="00F724BA" w:rsidP="00F724BA">
            <w:pPr>
              <w:pStyle w:val="TableColumnHeadingLeft"/>
              <w:keepNext/>
            </w:pPr>
            <w:r>
              <w:t xml:space="preserve">4. </w:t>
            </w:r>
            <w:r w:rsidR="00543BE9" w:rsidRPr="00FA1A19">
              <w:t>What data sources does the jurisdiction</w:t>
            </w:r>
            <w:r w:rsidR="00F75232">
              <w:t>’</w:t>
            </w:r>
            <w:r w:rsidR="00543BE9" w:rsidRPr="00FA1A19">
              <w:t xml:space="preserve">s revenue agency currently utilise to assist in compliance activities in relation to crypto transactions? </w:t>
            </w:r>
          </w:p>
        </w:tc>
      </w:tr>
      <w:tr w:rsidR="00BA52E4" w:rsidRPr="00FA1A19" w14:paraId="3A61DC96"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18B28A84" w14:textId="1678C651" w:rsidR="00BA52E4" w:rsidRPr="00FA1A19" w:rsidRDefault="00BA52E4" w:rsidP="00BA52E4">
            <w:pPr>
              <w:pStyle w:val="TableColumnHeadingLeft"/>
              <w:keepNext/>
            </w:pPr>
            <w:r w:rsidRPr="00FA1A19">
              <w:t>Canada</w:t>
            </w:r>
          </w:p>
        </w:tc>
        <w:tc>
          <w:tcPr>
            <w:tcW w:w="937" w:type="pct"/>
          </w:tcPr>
          <w:p w14:paraId="14789F75" w14:textId="325CBD09" w:rsidR="00BA52E4" w:rsidRPr="00FA1A19" w:rsidRDefault="00BA52E4" w:rsidP="00BA52E4">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728A0A24" w14:textId="2ACCD12C" w:rsidR="00BA52E4" w:rsidRPr="00FA1A19" w:rsidRDefault="00BA52E4" w:rsidP="00BA52E4">
            <w:pPr>
              <w:pStyle w:val="TableColumnHeadingLeft"/>
              <w:keepNext/>
              <w:rPr>
                <w:lang w:val="en-CA"/>
              </w:rPr>
            </w:pPr>
            <w:r w:rsidRPr="00FA1A19">
              <w:t>Singapore</w:t>
            </w:r>
          </w:p>
        </w:tc>
        <w:tc>
          <w:tcPr>
            <w:tcW w:w="937" w:type="pct"/>
          </w:tcPr>
          <w:p w14:paraId="34B40196" w14:textId="0E8142BB" w:rsidR="00BA52E4" w:rsidRPr="00FA1A19" w:rsidRDefault="00BA52E4" w:rsidP="00BA52E4">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78ADB0BB" w14:textId="11B1AA8C" w:rsidR="00BA52E4" w:rsidRPr="00FA1A19" w:rsidRDefault="00BA52E4" w:rsidP="00BA52E4">
            <w:pPr>
              <w:pStyle w:val="TableColumnHeadingLeft"/>
              <w:keepNext/>
            </w:pPr>
            <w:r w:rsidRPr="00FA1A19">
              <w:t>United States</w:t>
            </w:r>
          </w:p>
        </w:tc>
      </w:tr>
      <w:tr w:rsidR="00BA52E4" w:rsidRPr="00E50B5B" w14:paraId="333E0D7B"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010201B6" w14:textId="77777777" w:rsidR="00BA52E4" w:rsidRPr="00E50B5B" w:rsidRDefault="00BA52E4" w:rsidP="00BA52E4">
            <w:pPr>
              <w:pStyle w:val="TableTextLeft"/>
              <w:rPr>
                <w:sz w:val="18"/>
                <w:szCs w:val="14"/>
                <w:lang w:val="en-CA"/>
              </w:rPr>
            </w:pPr>
            <w:r w:rsidRPr="00E50B5B">
              <w:rPr>
                <w:sz w:val="18"/>
                <w:szCs w:val="14"/>
                <w:lang w:val="en-CA"/>
              </w:rPr>
              <w:t>The CRA relies on a number of tools and numerous internal and external data sources to detect crypto</w:t>
            </w:r>
            <w:r>
              <w:rPr>
                <w:sz w:val="18"/>
                <w:szCs w:val="14"/>
                <w:lang w:val="en-CA"/>
              </w:rPr>
              <w:t xml:space="preserve"> </w:t>
            </w:r>
            <w:r w:rsidRPr="00E50B5B">
              <w:rPr>
                <w:sz w:val="18"/>
                <w:szCs w:val="14"/>
                <w:lang w:val="en-CA"/>
              </w:rPr>
              <w:t>asset activity and is used with other submitted data to determine a taxpayer’s overall compliance profile.</w:t>
            </w:r>
          </w:p>
          <w:p w14:paraId="77490EE6" w14:textId="06B04389" w:rsidR="00BA52E4" w:rsidRPr="00E50B5B" w:rsidRDefault="00BA52E4" w:rsidP="00BA52E4">
            <w:pPr>
              <w:pStyle w:val="TableTextLeft"/>
              <w:rPr>
                <w:sz w:val="18"/>
                <w:szCs w:val="14"/>
              </w:rPr>
            </w:pPr>
            <w:r w:rsidRPr="00E50B5B">
              <w:rPr>
                <w:sz w:val="18"/>
                <w:szCs w:val="14"/>
                <w:lang w:val="en-CA"/>
              </w:rPr>
              <w:t>The CRA has increased its use of third</w:t>
            </w:r>
            <w:r w:rsidRPr="00E50B5B">
              <w:rPr>
                <w:sz w:val="18"/>
                <w:szCs w:val="14"/>
                <w:lang w:val="en-CA"/>
              </w:rPr>
              <w:noBreakHyphen/>
              <w:t>party information to address compliance in the crypto</w:t>
            </w:r>
            <w:r w:rsidRPr="00E50B5B">
              <w:rPr>
                <w:sz w:val="18"/>
                <w:szCs w:val="14"/>
                <w:lang w:val="en-CA"/>
              </w:rPr>
              <w:noBreakHyphen/>
              <w:t>asset sector. For example, the CRA utili</w:t>
            </w:r>
            <w:r>
              <w:rPr>
                <w:sz w:val="18"/>
                <w:szCs w:val="14"/>
                <w:lang w:val="en-CA"/>
              </w:rPr>
              <w:t>s</w:t>
            </w:r>
            <w:r w:rsidRPr="00E50B5B">
              <w:rPr>
                <w:sz w:val="18"/>
                <w:szCs w:val="14"/>
                <w:lang w:val="en-CA"/>
              </w:rPr>
              <w:t>es third</w:t>
            </w:r>
            <w:r w:rsidRPr="00E50B5B">
              <w:rPr>
                <w:sz w:val="18"/>
                <w:szCs w:val="14"/>
                <w:lang w:val="en-CA"/>
              </w:rPr>
              <w:noBreakHyphen/>
              <w:t>party requests (</w:t>
            </w:r>
            <w:r w:rsidRPr="00E50B5B">
              <w:rPr>
                <w:sz w:val="18"/>
                <w:szCs w:val="14"/>
              </w:rPr>
              <w:t>Unnamed Persons Requirements – UPRs) and has utilised these to require an exchange to identify users and their transactions.</w:t>
            </w:r>
            <w:r w:rsidRPr="00E50B5B" w:rsidDel="00C42C7D">
              <w:rPr>
                <w:sz w:val="18"/>
                <w:szCs w:val="14"/>
                <w:lang w:val="en-CA"/>
              </w:rPr>
              <w:t xml:space="preserve"> </w:t>
            </w:r>
          </w:p>
        </w:tc>
        <w:tc>
          <w:tcPr>
            <w:tcW w:w="937" w:type="pct"/>
          </w:tcPr>
          <w:p w14:paraId="61B3A68D" w14:textId="77777777" w:rsidR="00BA52E4" w:rsidRPr="00E50B5B" w:rsidRDefault="00BA52E4" w:rsidP="00BA52E4">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NZ IR requests crypto asset data from the NZ</w:t>
            </w:r>
            <w:r w:rsidRPr="00E50B5B">
              <w:rPr>
                <w:sz w:val="18"/>
                <w:szCs w:val="14"/>
              </w:rPr>
              <w:noBreakHyphen/>
              <w:t xml:space="preserve">based exchanges/brokers and is in the process of refreshing these information requests. This data is used to identify customers that are not compliant with their taxation obligations. </w:t>
            </w:r>
          </w:p>
          <w:p w14:paraId="48CD80CB" w14:textId="15947BB5" w:rsidR="00BA52E4" w:rsidRPr="00E50B5B" w:rsidRDefault="00BA52E4" w:rsidP="00BA52E4">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Pr>
                <w:sz w:val="18"/>
                <w:szCs w:val="14"/>
              </w:rPr>
              <w:t>NZ IR</w:t>
            </w:r>
            <w:r w:rsidRPr="00E50B5B">
              <w:rPr>
                <w:sz w:val="18"/>
                <w:szCs w:val="14"/>
              </w:rPr>
              <w:t xml:space="preserve"> has also received data from other jurisdictions under exchange of information.</w:t>
            </w:r>
          </w:p>
        </w:tc>
        <w:tc>
          <w:tcPr>
            <w:cnfStyle w:val="000010000000" w:firstRow="0" w:lastRow="0" w:firstColumn="0" w:lastColumn="0" w:oddVBand="1" w:evenVBand="0" w:oddHBand="0" w:evenHBand="0" w:firstRowFirstColumn="0" w:firstRowLastColumn="0" w:lastRowFirstColumn="0" w:lastRowLastColumn="0"/>
            <w:tcW w:w="1158" w:type="pct"/>
          </w:tcPr>
          <w:p w14:paraId="69D13117" w14:textId="2B598760" w:rsidR="00BA52E4" w:rsidRPr="00E50B5B" w:rsidRDefault="00BA52E4" w:rsidP="00BA52E4">
            <w:pPr>
              <w:pStyle w:val="TableTextLeft"/>
              <w:rPr>
                <w:sz w:val="18"/>
                <w:szCs w:val="14"/>
              </w:rPr>
            </w:pPr>
            <w:r w:rsidRPr="00E50B5B">
              <w:rPr>
                <w:sz w:val="18"/>
                <w:szCs w:val="14"/>
              </w:rPr>
              <w:t>IRAS currently relies mainly on publicly available information and information available to the government to identify taxpayers that may have derived taxable crypto transaction gains/profits. An educational approach is applied to GST crypto risks including publishing and engaging businesses and tax advisers on the common crypto transactions; and reviewing the GST treatment of complex transactions by way of private rulings.</w:t>
            </w:r>
          </w:p>
        </w:tc>
        <w:tc>
          <w:tcPr>
            <w:tcW w:w="937" w:type="pct"/>
          </w:tcPr>
          <w:p w14:paraId="0510DC91" w14:textId="77777777" w:rsidR="00BA52E4" w:rsidRPr="00E50B5B" w:rsidRDefault="00BA52E4" w:rsidP="00BA52E4">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Schedule 23 of the </w:t>
            </w:r>
            <w:r w:rsidRPr="00952893">
              <w:rPr>
                <w:i/>
                <w:sz w:val="18"/>
                <w:szCs w:val="14"/>
              </w:rPr>
              <w:t>Finance Act 2011</w:t>
            </w:r>
            <w:r w:rsidRPr="00E50B5B">
              <w:rPr>
                <w:sz w:val="18"/>
                <w:szCs w:val="14"/>
              </w:rPr>
              <w:t xml:space="preserve"> </w:t>
            </w:r>
            <w:r>
              <w:rPr>
                <w:sz w:val="18"/>
                <w:szCs w:val="14"/>
              </w:rPr>
              <w:t>can be</w:t>
            </w:r>
            <w:r w:rsidRPr="00E50B5B">
              <w:rPr>
                <w:sz w:val="18"/>
                <w:szCs w:val="14"/>
              </w:rPr>
              <w:t xml:space="preserve"> utilised to gather bulk information from crypto asset service providers. </w:t>
            </w:r>
          </w:p>
          <w:p w14:paraId="73C52187" w14:textId="470A5C9C" w:rsidR="00BA52E4" w:rsidRPr="00E50B5B" w:rsidRDefault="00BA52E4" w:rsidP="00BA52E4">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Pr>
                <w:sz w:val="18"/>
                <w:szCs w:val="14"/>
              </w:rPr>
              <w:t>HMRC</w:t>
            </w:r>
            <w:r w:rsidRPr="00E50B5B">
              <w:rPr>
                <w:sz w:val="18"/>
                <w:szCs w:val="14"/>
              </w:rPr>
              <w:t xml:space="preserve"> also ha</w:t>
            </w:r>
            <w:r>
              <w:rPr>
                <w:sz w:val="18"/>
                <w:szCs w:val="14"/>
              </w:rPr>
              <w:t>s</w:t>
            </w:r>
            <w:r w:rsidRPr="00E50B5B">
              <w:rPr>
                <w:sz w:val="18"/>
                <w:szCs w:val="14"/>
              </w:rPr>
              <w:t xml:space="preserve"> information </w:t>
            </w:r>
            <w:r>
              <w:rPr>
                <w:sz w:val="18"/>
                <w:szCs w:val="14"/>
              </w:rPr>
              <w:t xml:space="preserve">gathering </w:t>
            </w:r>
            <w:r w:rsidRPr="00E50B5B">
              <w:rPr>
                <w:sz w:val="18"/>
                <w:szCs w:val="14"/>
              </w:rPr>
              <w:t>power</w:t>
            </w:r>
            <w:r>
              <w:rPr>
                <w:sz w:val="18"/>
                <w:szCs w:val="14"/>
              </w:rPr>
              <w:t>s</w:t>
            </w:r>
            <w:r w:rsidRPr="00E50B5B">
              <w:rPr>
                <w:sz w:val="18"/>
                <w:szCs w:val="14"/>
              </w:rPr>
              <w:t xml:space="preserve"> under the Schedule 36 </w:t>
            </w:r>
            <w:r w:rsidRPr="004F7DEF">
              <w:rPr>
                <w:i/>
                <w:iCs/>
                <w:sz w:val="18"/>
                <w:szCs w:val="14"/>
              </w:rPr>
              <w:t>Finance Act</w:t>
            </w:r>
            <w:r w:rsidRPr="00E50B5B">
              <w:rPr>
                <w:sz w:val="18"/>
                <w:szCs w:val="14"/>
              </w:rPr>
              <w:t xml:space="preserve"> </w:t>
            </w:r>
            <w:r w:rsidRPr="004F7DEF">
              <w:rPr>
                <w:i/>
                <w:iCs/>
                <w:sz w:val="18"/>
                <w:szCs w:val="14"/>
              </w:rPr>
              <w:t>2008</w:t>
            </w:r>
            <w:r w:rsidRPr="00E50B5B">
              <w:rPr>
                <w:sz w:val="18"/>
                <w:szCs w:val="14"/>
              </w:rPr>
              <w:t xml:space="preserve"> which enables them to gather bulk data from a data holder should there be a significant tax risk. Schedule 36 also allows more detailed information gathering where there is an individual tax risk.</w:t>
            </w:r>
          </w:p>
        </w:tc>
        <w:tc>
          <w:tcPr>
            <w:cnfStyle w:val="000010000000" w:firstRow="0" w:lastRow="0" w:firstColumn="0" w:lastColumn="0" w:oddVBand="1" w:evenVBand="0" w:oddHBand="0" w:evenHBand="0" w:firstRowFirstColumn="0" w:firstRowLastColumn="0" w:lastRowFirstColumn="0" w:lastRowLastColumn="0"/>
            <w:tcW w:w="977" w:type="pct"/>
          </w:tcPr>
          <w:p w14:paraId="41FD49F6" w14:textId="77777777" w:rsidR="00BA52E4" w:rsidRPr="00E50B5B" w:rsidRDefault="00BA52E4" w:rsidP="00BA52E4">
            <w:pPr>
              <w:pStyle w:val="TableTextLeft"/>
              <w:rPr>
                <w:rFonts w:eastAsia="Calibri"/>
                <w:sz w:val="18"/>
                <w:szCs w:val="14"/>
              </w:rPr>
            </w:pPr>
            <w:r w:rsidRPr="00E50B5B">
              <w:rPr>
                <w:rFonts w:eastAsia="Calibri"/>
                <w:sz w:val="18"/>
                <w:szCs w:val="14"/>
              </w:rPr>
              <w:t>The IRS widely uses various data sources in general compliance activities which are applied to crypto asset compliance, including: federal, state and local interagency intelligence; information sharing with tax treaty partners</w:t>
            </w:r>
            <w:r>
              <w:rPr>
                <w:rFonts w:eastAsia="Calibri"/>
                <w:sz w:val="18"/>
                <w:szCs w:val="14"/>
              </w:rPr>
              <w:t>,</w:t>
            </w:r>
            <w:r w:rsidRPr="00E50B5B">
              <w:rPr>
                <w:rFonts w:eastAsia="Calibri"/>
                <w:sz w:val="18"/>
                <w:szCs w:val="14"/>
              </w:rPr>
              <w:t xml:space="preserve"> whistle</w:t>
            </w:r>
            <w:r w:rsidRPr="00E50B5B">
              <w:rPr>
                <w:rFonts w:eastAsia="Calibri"/>
                <w:sz w:val="18"/>
                <w:szCs w:val="14"/>
              </w:rPr>
              <w:noBreakHyphen/>
              <w:t>blowers and informants</w:t>
            </w:r>
            <w:r>
              <w:rPr>
                <w:rFonts w:eastAsia="Calibri"/>
                <w:sz w:val="18"/>
                <w:szCs w:val="14"/>
              </w:rPr>
              <w:t>,</w:t>
            </w:r>
            <w:r w:rsidRPr="00E50B5B">
              <w:rPr>
                <w:rFonts w:eastAsia="Calibri"/>
                <w:sz w:val="18"/>
                <w:szCs w:val="14"/>
              </w:rPr>
              <w:t xml:space="preserve"> Suspicious Activity Reports</w:t>
            </w:r>
            <w:r>
              <w:rPr>
                <w:rFonts w:eastAsia="Calibri"/>
                <w:sz w:val="18"/>
                <w:szCs w:val="14"/>
              </w:rPr>
              <w:t xml:space="preserve">, </w:t>
            </w:r>
            <w:r w:rsidRPr="00E50B5B">
              <w:rPr>
                <w:rFonts w:eastAsia="Calibri"/>
                <w:sz w:val="18"/>
                <w:szCs w:val="14"/>
              </w:rPr>
              <w:t>and voluntary third</w:t>
            </w:r>
            <w:r w:rsidRPr="00E50B5B">
              <w:rPr>
                <w:rFonts w:eastAsia="Calibri"/>
                <w:sz w:val="18"/>
                <w:szCs w:val="14"/>
              </w:rPr>
              <w:noBreakHyphen/>
              <w:t xml:space="preserve">party reporting information. </w:t>
            </w:r>
          </w:p>
          <w:p w14:paraId="0CBC6A13" w14:textId="652214EA" w:rsidR="00BA52E4" w:rsidRPr="00E50B5B" w:rsidRDefault="00BA52E4" w:rsidP="00BA52E4">
            <w:pPr>
              <w:pStyle w:val="TableTextLeft"/>
              <w:rPr>
                <w:sz w:val="18"/>
                <w:szCs w:val="14"/>
                <w:lang w:val="en-CA"/>
              </w:rPr>
            </w:pPr>
            <w:r w:rsidRPr="00E50B5B">
              <w:rPr>
                <w:rFonts w:eastAsia="Calibri"/>
                <w:sz w:val="18"/>
                <w:szCs w:val="14"/>
              </w:rPr>
              <w:t>Additionally, other data sources are of particular use in digital asset transactions: yK1/CKGE</w:t>
            </w:r>
            <w:r>
              <w:rPr>
                <w:rStyle w:val="FootnoteReference"/>
                <w:rFonts w:eastAsia="Calibri"/>
              </w:rPr>
              <w:footnoteReference w:id="726"/>
            </w:r>
            <w:r w:rsidRPr="00E50B5B">
              <w:rPr>
                <w:rFonts w:eastAsia="Calibri"/>
                <w:sz w:val="18"/>
                <w:szCs w:val="14"/>
              </w:rPr>
              <w:t>; geolocation tools; and blockchain intelligence.</w:t>
            </w:r>
          </w:p>
        </w:tc>
      </w:tr>
      <w:tr w:rsidR="00543BE9" w:rsidRPr="00FA1A19" w14:paraId="563D7D58" w14:textId="77777777" w:rsidTr="0098550D">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6E97F276" w14:textId="1C961625" w:rsidR="00543BE9" w:rsidRPr="00FA1A19" w:rsidRDefault="00543BE9" w:rsidP="00F724BA">
            <w:pPr>
              <w:pStyle w:val="TableColumnHeadingLeft"/>
              <w:keepNext/>
            </w:pPr>
            <w:r w:rsidRPr="00FA1A19">
              <w:br w:type="page"/>
            </w:r>
            <w:r w:rsidR="00F724BA">
              <w:t xml:space="preserve">5. </w:t>
            </w:r>
            <w:r w:rsidRPr="00FA1A19">
              <w:t>Are there intermediaries (such as exchanges) or data sources that play a role in the revenue agency</w:t>
            </w:r>
            <w:r w:rsidR="00F75232">
              <w:t>’</w:t>
            </w:r>
            <w:r w:rsidRPr="00FA1A19">
              <w:t>s administration of the jurisdiction</w:t>
            </w:r>
            <w:r w:rsidR="00F75232">
              <w:t>’</w:t>
            </w:r>
            <w:r w:rsidRPr="00FA1A19">
              <w:t>s taxation laws?</w:t>
            </w:r>
          </w:p>
        </w:tc>
      </w:tr>
      <w:tr w:rsidR="00E34EE4" w:rsidRPr="00FA1A19" w14:paraId="66F824C2"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0FFE8924" w14:textId="678941A7" w:rsidR="00E34EE4" w:rsidRPr="00FA1A19" w:rsidRDefault="00E34EE4" w:rsidP="00E34EE4">
            <w:pPr>
              <w:pStyle w:val="TableColumnHeadingLeft"/>
              <w:keepNext/>
            </w:pPr>
            <w:r w:rsidRPr="00FA1A19">
              <w:t>Canada</w:t>
            </w:r>
          </w:p>
        </w:tc>
        <w:tc>
          <w:tcPr>
            <w:tcW w:w="937" w:type="pct"/>
          </w:tcPr>
          <w:p w14:paraId="32DFDA55" w14:textId="17A88C0C" w:rsidR="00E34EE4" w:rsidRPr="00FA1A19" w:rsidRDefault="00E34EE4" w:rsidP="00E34EE4">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50C7C7D1" w14:textId="38115CCF" w:rsidR="00E34EE4" w:rsidRPr="00FA1A19" w:rsidRDefault="00E34EE4" w:rsidP="00E34EE4">
            <w:pPr>
              <w:pStyle w:val="TableColumnHeadingLeft"/>
              <w:keepNext/>
              <w:rPr>
                <w:lang w:val="en-CA"/>
              </w:rPr>
            </w:pPr>
            <w:r w:rsidRPr="00FA1A19">
              <w:t>Singapore</w:t>
            </w:r>
          </w:p>
        </w:tc>
        <w:tc>
          <w:tcPr>
            <w:tcW w:w="937" w:type="pct"/>
          </w:tcPr>
          <w:p w14:paraId="1B498E12" w14:textId="0D2250BC" w:rsidR="00E34EE4" w:rsidRPr="00FA1A19" w:rsidDel="00BE70D5" w:rsidRDefault="00E34EE4" w:rsidP="00E34EE4">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6FDC06A7" w14:textId="78800679" w:rsidR="00E34EE4" w:rsidRPr="00FA1A19" w:rsidDel="00DC2792" w:rsidRDefault="00E34EE4" w:rsidP="00E34EE4">
            <w:pPr>
              <w:pStyle w:val="TableColumnHeadingLeft"/>
              <w:keepNext/>
            </w:pPr>
            <w:r w:rsidRPr="00FA1A19">
              <w:t>United States</w:t>
            </w:r>
          </w:p>
        </w:tc>
      </w:tr>
      <w:tr w:rsidR="00E34EE4" w:rsidRPr="00E50B5B" w14:paraId="3312F85C"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050A205D" w14:textId="5EA74B25" w:rsidR="00E34EE4" w:rsidRPr="00E50B5B" w:rsidRDefault="00E34EE4" w:rsidP="00E34EE4">
            <w:pPr>
              <w:pStyle w:val="TableTextLeft"/>
              <w:rPr>
                <w:rFonts w:eastAsia="Calibri"/>
                <w:sz w:val="18"/>
                <w:szCs w:val="14"/>
              </w:rPr>
            </w:pPr>
            <w:r w:rsidRPr="00E50B5B">
              <w:rPr>
                <w:sz w:val="18"/>
                <w:szCs w:val="14"/>
                <w:lang w:val="en-CA"/>
              </w:rPr>
              <w:t>Taxpayers have record keeping requirements for transactions with exchanges and other intermediaries. The CRA is also able to make requests for account information to intermediaries, such as crypto</w:t>
            </w:r>
            <w:r>
              <w:rPr>
                <w:sz w:val="18"/>
                <w:szCs w:val="14"/>
                <w:lang w:val="en-CA"/>
              </w:rPr>
              <w:t xml:space="preserve"> </w:t>
            </w:r>
            <w:r w:rsidRPr="00E50B5B">
              <w:rPr>
                <w:sz w:val="18"/>
                <w:szCs w:val="14"/>
                <w:lang w:val="en-CA"/>
              </w:rPr>
              <w:t>asset exchanges (pursuant to tax legislation and treaties) and is able to issue UPRs on intermediaries located in Canada.</w:t>
            </w:r>
          </w:p>
        </w:tc>
        <w:tc>
          <w:tcPr>
            <w:tcW w:w="937" w:type="pct"/>
          </w:tcPr>
          <w:p w14:paraId="38A87A92" w14:textId="56158081" w:rsidR="00E34EE4" w:rsidRPr="00E50B5B" w:rsidRDefault="00E34EE4" w:rsidP="00E34EE4">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NZ IR engages with the crypto asset exchanges that operate in </w:t>
            </w:r>
            <w:r>
              <w:rPr>
                <w:sz w:val="18"/>
                <w:szCs w:val="14"/>
              </w:rPr>
              <w:t>NZ</w:t>
            </w:r>
            <w:r w:rsidRPr="00E50B5B">
              <w:rPr>
                <w:sz w:val="18"/>
                <w:szCs w:val="14"/>
              </w:rPr>
              <w:t xml:space="preserve"> and requests data from those exchanges.</w:t>
            </w:r>
          </w:p>
        </w:tc>
        <w:tc>
          <w:tcPr>
            <w:cnfStyle w:val="000010000000" w:firstRow="0" w:lastRow="0" w:firstColumn="0" w:lastColumn="0" w:oddVBand="1" w:evenVBand="0" w:oddHBand="0" w:evenHBand="0" w:firstRowFirstColumn="0" w:firstRowLastColumn="0" w:lastRowFirstColumn="0" w:lastRowLastColumn="0"/>
            <w:tcW w:w="1158" w:type="pct"/>
          </w:tcPr>
          <w:p w14:paraId="2363A65A" w14:textId="77777777" w:rsidR="00E34EE4" w:rsidRPr="00E50B5B" w:rsidRDefault="00E34EE4" w:rsidP="00E34EE4">
            <w:pPr>
              <w:pStyle w:val="TableTextLeft"/>
              <w:rPr>
                <w:sz w:val="18"/>
                <w:szCs w:val="14"/>
              </w:rPr>
            </w:pPr>
            <w:r w:rsidRPr="00E50B5B">
              <w:rPr>
                <w:sz w:val="18"/>
                <w:szCs w:val="14"/>
              </w:rPr>
              <w:t xml:space="preserve">Licensed digital payment token service providers are required to collect and keep their users’ identification and transaction records and submit them to authorities when requested (regulated by the Monetary Authority of Singapore). </w:t>
            </w:r>
          </w:p>
          <w:p w14:paraId="00F5FA1B" w14:textId="53884C16" w:rsidR="00E34EE4" w:rsidRPr="00E50B5B" w:rsidRDefault="00E34EE4" w:rsidP="00E34EE4">
            <w:pPr>
              <w:pStyle w:val="TableTextLeft"/>
              <w:rPr>
                <w:sz w:val="18"/>
                <w:szCs w:val="14"/>
              </w:rPr>
            </w:pPr>
            <w:r w:rsidRPr="00E50B5B">
              <w:rPr>
                <w:sz w:val="18"/>
                <w:szCs w:val="14"/>
              </w:rPr>
              <w:t>The IRAS conducts regular environmental scanning and engagement with the industry association to understand the developments and update guidance for businesses where applicable.</w:t>
            </w:r>
          </w:p>
        </w:tc>
        <w:tc>
          <w:tcPr>
            <w:tcW w:w="937" w:type="pct"/>
          </w:tcPr>
          <w:p w14:paraId="77889806" w14:textId="12168972" w:rsidR="00E34EE4" w:rsidRPr="00E50B5B" w:rsidRDefault="00E34EE4" w:rsidP="00E34EE4">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As </w:t>
            </w:r>
            <w:r>
              <w:rPr>
                <w:sz w:val="18"/>
                <w:szCs w:val="14"/>
              </w:rPr>
              <w:t>detailed</w:t>
            </w:r>
            <w:r w:rsidRPr="00E50B5B">
              <w:rPr>
                <w:sz w:val="18"/>
                <w:szCs w:val="14"/>
              </w:rPr>
              <w:t xml:space="preserve"> above, HMRC use</w:t>
            </w:r>
            <w:r>
              <w:rPr>
                <w:sz w:val="18"/>
                <w:szCs w:val="14"/>
              </w:rPr>
              <w:t>s</w:t>
            </w:r>
            <w:r w:rsidRPr="00E50B5B">
              <w:rPr>
                <w:sz w:val="18"/>
                <w:szCs w:val="14"/>
              </w:rPr>
              <w:t xml:space="preserve"> statutory information power to request data from third</w:t>
            </w:r>
            <w:r>
              <w:rPr>
                <w:sz w:val="18"/>
                <w:szCs w:val="14"/>
              </w:rPr>
              <w:t>-</w:t>
            </w:r>
            <w:r w:rsidRPr="00E50B5B">
              <w:rPr>
                <w:sz w:val="18"/>
                <w:szCs w:val="14"/>
              </w:rPr>
              <w:t>party including crypto service providers such as exchanges.</w:t>
            </w:r>
          </w:p>
        </w:tc>
        <w:tc>
          <w:tcPr>
            <w:cnfStyle w:val="000010000000" w:firstRow="0" w:lastRow="0" w:firstColumn="0" w:lastColumn="0" w:oddVBand="1" w:evenVBand="0" w:oddHBand="0" w:evenHBand="0" w:firstRowFirstColumn="0" w:firstRowLastColumn="0" w:lastRowFirstColumn="0" w:lastRowLastColumn="0"/>
            <w:tcW w:w="977" w:type="pct"/>
          </w:tcPr>
          <w:p w14:paraId="30A39396" w14:textId="77777777" w:rsidR="00E34EE4" w:rsidRPr="00E50B5B" w:rsidRDefault="00E34EE4" w:rsidP="00E34EE4">
            <w:pPr>
              <w:pStyle w:val="TableTextLeft"/>
              <w:rPr>
                <w:rFonts w:eastAsia="Calibri"/>
                <w:sz w:val="18"/>
                <w:szCs w:val="14"/>
              </w:rPr>
            </w:pPr>
            <w:r w:rsidRPr="00E50B5B">
              <w:rPr>
                <w:rFonts w:eastAsia="Calibri"/>
                <w:sz w:val="18"/>
                <w:szCs w:val="14"/>
              </w:rPr>
              <w:t xml:space="preserve">Businesses are required to file forms when payments of digital assets are made to employees, independent contractors, and others. </w:t>
            </w:r>
          </w:p>
          <w:p w14:paraId="0E61A5D5" w14:textId="77777777" w:rsidR="00E34EE4" w:rsidRPr="00E50B5B" w:rsidRDefault="00E34EE4" w:rsidP="00E34EE4">
            <w:pPr>
              <w:pStyle w:val="TableTextLeft"/>
              <w:rPr>
                <w:rFonts w:eastAsia="Calibri"/>
                <w:sz w:val="18"/>
                <w:szCs w:val="14"/>
              </w:rPr>
            </w:pPr>
            <w:r w:rsidRPr="00E50B5B">
              <w:rPr>
                <w:rFonts w:eastAsia="Calibri"/>
                <w:sz w:val="18"/>
                <w:szCs w:val="14"/>
              </w:rPr>
              <w:t xml:space="preserve">The IRS Is developing rules for reporting of certain digital asset transactions by brokers. </w:t>
            </w:r>
          </w:p>
          <w:p w14:paraId="1A89C9E4" w14:textId="2E461B3E" w:rsidR="00E34EE4" w:rsidRPr="00E50B5B" w:rsidRDefault="00E34EE4" w:rsidP="00E34EE4">
            <w:pPr>
              <w:pStyle w:val="TableTextLeft"/>
              <w:rPr>
                <w:sz w:val="18"/>
                <w:szCs w:val="14"/>
              </w:rPr>
            </w:pPr>
            <w:r w:rsidRPr="00E50B5B">
              <w:rPr>
                <w:rFonts w:eastAsia="Calibri"/>
                <w:sz w:val="18"/>
                <w:szCs w:val="14"/>
              </w:rPr>
              <w:t>Intermediaries, including centrali</w:t>
            </w:r>
            <w:r>
              <w:rPr>
                <w:rFonts w:eastAsia="Calibri"/>
                <w:sz w:val="18"/>
                <w:szCs w:val="14"/>
              </w:rPr>
              <w:t>s</w:t>
            </w:r>
            <w:r w:rsidRPr="00E50B5B">
              <w:rPr>
                <w:rFonts w:eastAsia="Calibri"/>
                <w:sz w:val="18"/>
                <w:szCs w:val="14"/>
              </w:rPr>
              <w:t>ed exchanges, banks, and platforms, also provide the IRS summonsed information when requested.</w:t>
            </w:r>
          </w:p>
        </w:tc>
      </w:tr>
      <w:tr w:rsidR="00543BE9" w:rsidRPr="00FA1A19" w14:paraId="09F5D665"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79CEB4AA" w14:textId="119A8807" w:rsidR="00543BE9" w:rsidRPr="00FA1A19" w:rsidRDefault="00543BE9" w:rsidP="00F724BA">
            <w:pPr>
              <w:pStyle w:val="TableColumnHeadingLeft"/>
              <w:keepNext/>
            </w:pPr>
            <w:r w:rsidRPr="00FA1A19">
              <w:rPr>
                <w:sz w:val="20"/>
                <w:szCs w:val="20"/>
              </w:rPr>
              <w:br w:type="page"/>
            </w:r>
            <w:r w:rsidR="00F724BA">
              <w:rPr>
                <w:sz w:val="20"/>
                <w:szCs w:val="20"/>
              </w:rPr>
              <w:t xml:space="preserve">6. </w:t>
            </w:r>
            <w:r w:rsidRPr="00FA1A19">
              <w:t>What channels and tools does the revenue agency use to engage with the crypto community and their advisers to build awareness in relation to taxation obligations?</w:t>
            </w:r>
          </w:p>
        </w:tc>
      </w:tr>
      <w:tr w:rsidR="00C43CFD" w:rsidRPr="00FA1A19" w14:paraId="43984B7B"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372EA540" w14:textId="528FE833" w:rsidR="00C43CFD" w:rsidRPr="00FA1A19" w:rsidDel="00AB7972" w:rsidRDefault="00C43CFD" w:rsidP="00C43CFD">
            <w:pPr>
              <w:pStyle w:val="TableColumnHeadingLeft"/>
              <w:keepNext/>
            </w:pPr>
            <w:r w:rsidRPr="00FA1A19">
              <w:t>Canada</w:t>
            </w:r>
          </w:p>
        </w:tc>
        <w:tc>
          <w:tcPr>
            <w:tcW w:w="937" w:type="pct"/>
          </w:tcPr>
          <w:p w14:paraId="138669CF" w14:textId="75CBBBB9" w:rsidR="00C43CFD" w:rsidRPr="00FA1A19" w:rsidRDefault="00C43CFD" w:rsidP="00C43CFD">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2695F0B5" w14:textId="23EDA830" w:rsidR="00C43CFD" w:rsidRPr="00FA1A19" w:rsidDel="00AB7972" w:rsidRDefault="00C43CFD" w:rsidP="00C43CFD">
            <w:pPr>
              <w:pStyle w:val="TableColumnHeadingLeft"/>
              <w:keepNext/>
              <w:rPr>
                <w:lang w:val="en-CA"/>
              </w:rPr>
            </w:pPr>
            <w:r w:rsidRPr="00FA1A19">
              <w:t>Singapore</w:t>
            </w:r>
          </w:p>
        </w:tc>
        <w:tc>
          <w:tcPr>
            <w:tcW w:w="937" w:type="pct"/>
          </w:tcPr>
          <w:p w14:paraId="614026AB" w14:textId="6F59F634" w:rsidR="00C43CFD" w:rsidRPr="00FA1A19" w:rsidRDefault="00C43CFD" w:rsidP="00C43CFD">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751862EE" w14:textId="69470EA4" w:rsidR="00C43CFD" w:rsidRPr="00FA1A19" w:rsidRDefault="00C43CFD" w:rsidP="00C43CFD">
            <w:pPr>
              <w:pStyle w:val="TableColumnHeadingLeft"/>
              <w:keepNext/>
            </w:pPr>
            <w:r w:rsidRPr="00FA1A19">
              <w:t>United States</w:t>
            </w:r>
          </w:p>
        </w:tc>
      </w:tr>
      <w:tr w:rsidR="00C43CFD" w:rsidRPr="00E50B5B" w14:paraId="6E309D4C"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449493D0" w14:textId="54FA0CFD" w:rsidR="00C43CFD" w:rsidRPr="00E50B5B" w:rsidRDefault="00C43CFD" w:rsidP="00C43CFD">
            <w:pPr>
              <w:pStyle w:val="TableTextLeft"/>
              <w:rPr>
                <w:rFonts w:eastAsia="Calibri"/>
                <w:sz w:val="18"/>
                <w:szCs w:val="14"/>
              </w:rPr>
            </w:pPr>
            <w:r w:rsidRPr="00E50B5B">
              <w:rPr>
                <w:sz w:val="18"/>
                <w:szCs w:val="14"/>
                <w:lang w:val="en-CA"/>
              </w:rPr>
              <w:t>The CRA utili</w:t>
            </w:r>
            <w:r>
              <w:rPr>
                <w:sz w:val="18"/>
                <w:szCs w:val="14"/>
                <w:lang w:val="en-CA"/>
              </w:rPr>
              <w:t>s</w:t>
            </w:r>
            <w:r w:rsidRPr="00E50B5B">
              <w:rPr>
                <w:sz w:val="18"/>
                <w:szCs w:val="14"/>
                <w:lang w:val="en-CA"/>
              </w:rPr>
              <w:t>es public opinion research, conferences, other direct engagements with the tax community and industry groups, its website on Canada.ca, and social media accounts.</w:t>
            </w:r>
            <w:r w:rsidRPr="00E50B5B" w:rsidDel="00EE28A7">
              <w:rPr>
                <w:sz w:val="18"/>
                <w:szCs w:val="14"/>
                <w:lang w:val="en-CA"/>
              </w:rPr>
              <w:t xml:space="preserve"> </w:t>
            </w:r>
          </w:p>
        </w:tc>
        <w:tc>
          <w:tcPr>
            <w:tcW w:w="937" w:type="pct"/>
          </w:tcPr>
          <w:p w14:paraId="6D742604" w14:textId="77777777" w:rsidR="00C43CFD" w:rsidRPr="00E50B5B" w:rsidRDefault="00C43CFD" w:rsidP="00C43CFD">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NZ IR has regular conversations with the crypto asset exchanges which supports development of website guidance and helps NZ IR in understanding innovation.</w:t>
            </w:r>
          </w:p>
          <w:p w14:paraId="1BE34770" w14:textId="77777777" w:rsidR="00C43CFD" w:rsidRPr="00E50B5B" w:rsidRDefault="00C43CFD" w:rsidP="00C43CFD">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Additionally NZ IR has conversations with key crypto asset advisors which enables the Commissioner to understand compliance difficulties.</w:t>
            </w:r>
          </w:p>
          <w:p w14:paraId="79386163" w14:textId="77777777" w:rsidR="00C43CFD" w:rsidRPr="00E50B5B" w:rsidRDefault="00C43CFD" w:rsidP="00C43CFD">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NZ IR is also engaging with crypto software providers to better understand how those tools work and whether they meet NZ’s taxation requirements.</w:t>
            </w:r>
          </w:p>
          <w:p w14:paraId="3696B928" w14:textId="5F4EA53D" w:rsidR="00C43CFD" w:rsidRPr="00E50B5B" w:rsidRDefault="00C43CFD" w:rsidP="00C43CFD">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NZ IR is part of NZ cross</w:t>
            </w:r>
            <w:r w:rsidRPr="00E50B5B">
              <w:rPr>
                <w:sz w:val="18"/>
                <w:szCs w:val="14"/>
              </w:rPr>
              <w:noBreakHyphen/>
              <w:t xml:space="preserve">government discussion on crypto assets. </w:t>
            </w:r>
          </w:p>
        </w:tc>
        <w:tc>
          <w:tcPr>
            <w:cnfStyle w:val="000010000000" w:firstRow="0" w:lastRow="0" w:firstColumn="0" w:lastColumn="0" w:oddVBand="1" w:evenVBand="0" w:oddHBand="0" w:evenHBand="0" w:firstRowFirstColumn="0" w:firstRowLastColumn="0" w:lastRowFirstColumn="0" w:lastRowLastColumn="0"/>
            <w:tcW w:w="1158" w:type="pct"/>
          </w:tcPr>
          <w:p w14:paraId="4B963DEA" w14:textId="77777777" w:rsidR="00C43CFD" w:rsidRPr="00E50B5B" w:rsidRDefault="00C43CFD" w:rsidP="00C43CFD">
            <w:pPr>
              <w:pStyle w:val="TableTextLeft"/>
              <w:rPr>
                <w:sz w:val="18"/>
                <w:szCs w:val="14"/>
              </w:rPr>
            </w:pPr>
            <w:r w:rsidRPr="00E50B5B">
              <w:rPr>
                <w:sz w:val="18"/>
                <w:szCs w:val="14"/>
              </w:rPr>
              <w:t>IRAS carries out broad</w:t>
            </w:r>
            <w:r w:rsidRPr="00E50B5B">
              <w:rPr>
                <w:sz w:val="18"/>
                <w:szCs w:val="14"/>
              </w:rPr>
              <w:noBreakHyphen/>
              <w:t>based educational efforts by providing e</w:t>
            </w:r>
            <w:r w:rsidRPr="00E50B5B">
              <w:rPr>
                <w:sz w:val="18"/>
                <w:szCs w:val="14"/>
              </w:rPr>
              <w:noBreakHyphen/>
              <w:t>Tax Guides and write</w:t>
            </w:r>
            <w:r w:rsidRPr="00E50B5B">
              <w:rPr>
                <w:sz w:val="18"/>
                <w:szCs w:val="14"/>
              </w:rPr>
              <w:noBreakHyphen/>
              <w:t xml:space="preserve">ups on </w:t>
            </w:r>
            <w:r>
              <w:rPr>
                <w:sz w:val="18"/>
                <w:szCs w:val="14"/>
              </w:rPr>
              <w:t xml:space="preserve">its </w:t>
            </w:r>
            <w:r w:rsidRPr="00E50B5B">
              <w:rPr>
                <w:sz w:val="18"/>
                <w:szCs w:val="14"/>
              </w:rPr>
              <w:t>website.</w:t>
            </w:r>
          </w:p>
          <w:p w14:paraId="62E7D59C" w14:textId="0F075AD9" w:rsidR="00C43CFD" w:rsidRPr="00E50B5B" w:rsidRDefault="00C43CFD" w:rsidP="00AA49F0">
            <w:pPr>
              <w:pStyle w:val="TableTextLeftBullet"/>
              <w:numPr>
                <w:ilvl w:val="0"/>
                <w:numId w:val="0"/>
              </w:numPr>
              <w:rPr>
                <w:sz w:val="18"/>
                <w:szCs w:val="14"/>
              </w:rPr>
            </w:pPr>
            <w:r w:rsidRPr="00E50B5B">
              <w:rPr>
                <w:sz w:val="18"/>
                <w:szCs w:val="14"/>
              </w:rPr>
              <w:t>IRAS maintains regular communication channels with tax advisers and will consult industry players in the course of developing updated guidance for specific industries and IRAS’</w:t>
            </w:r>
            <w:r>
              <w:rPr>
                <w:sz w:val="18"/>
                <w:szCs w:val="14"/>
              </w:rPr>
              <w:t>s</w:t>
            </w:r>
            <w:r w:rsidRPr="00E50B5B">
              <w:rPr>
                <w:sz w:val="18"/>
                <w:szCs w:val="14"/>
              </w:rPr>
              <w:t xml:space="preserve"> review on relevant tax treatments, if required.</w:t>
            </w:r>
          </w:p>
        </w:tc>
        <w:tc>
          <w:tcPr>
            <w:tcW w:w="937" w:type="pct"/>
          </w:tcPr>
          <w:p w14:paraId="6EEF6371" w14:textId="77777777" w:rsidR="00C43CFD" w:rsidRPr="00E50B5B" w:rsidRDefault="00C43CFD" w:rsidP="00C43CFD">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HMRC has a range of mechanisms such as the following: </w:t>
            </w:r>
          </w:p>
          <w:p w14:paraId="70C6E31A" w14:textId="77777777" w:rsidR="00C43CFD" w:rsidRPr="00E50B5B" w:rsidRDefault="00C43CFD" w:rsidP="00C43CFD">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M</w:t>
            </w:r>
            <w:r w:rsidRPr="00E50B5B">
              <w:rPr>
                <w:sz w:val="18"/>
                <w:szCs w:val="18"/>
              </w:rPr>
              <w:t>essages to tax agents/advisers and other comm</w:t>
            </w:r>
            <w:r w:rsidRPr="72F4777C">
              <w:rPr>
                <w:sz w:val="18"/>
                <w:szCs w:val="18"/>
              </w:rPr>
              <w:t>unications</w:t>
            </w:r>
            <w:r w:rsidRPr="00E50B5B">
              <w:rPr>
                <w:sz w:val="18"/>
                <w:szCs w:val="18"/>
              </w:rPr>
              <w:t xml:space="preserve"> campaign</w:t>
            </w:r>
            <w:r w:rsidRPr="72F4777C">
              <w:rPr>
                <w:sz w:val="18"/>
                <w:szCs w:val="18"/>
              </w:rPr>
              <w:t>s</w:t>
            </w:r>
            <w:r w:rsidRPr="00E50B5B">
              <w:rPr>
                <w:sz w:val="18"/>
                <w:szCs w:val="18"/>
              </w:rPr>
              <w:t>. Crypto asset</w:t>
            </w:r>
            <w:r w:rsidRPr="72F4777C">
              <w:rPr>
                <w:sz w:val="18"/>
                <w:szCs w:val="18"/>
              </w:rPr>
              <w:t>s</w:t>
            </w:r>
            <w:r w:rsidRPr="00E50B5B">
              <w:rPr>
                <w:sz w:val="18"/>
                <w:szCs w:val="18"/>
              </w:rPr>
              <w:t xml:space="preserve"> ha</w:t>
            </w:r>
            <w:r w:rsidRPr="72F4777C">
              <w:rPr>
                <w:sz w:val="18"/>
                <w:szCs w:val="18"/>
              </w:rPr>
              <w:t>ve</w:t>
            </w:r>
            <w:r w:rsidRPr="00E50B5B">
              <w:rPr>
                <w:sz w:val="18"/>
                <w:szCs w:val="18"/>
              </w:rPr>
              <w:t xml:space="preserve"> featured in newsletters to tax agents and advisory bodies</w:t>
            </w:r>
            <w:r w:rsidRPr="72F4777C">
              <w:rPr>
                <w:sz w:val="18"/>
                <w:szCs w:val="18"/>
              </w:rPr>
              <w:t>, as well as in</w:t>
            </w:r>
            <w:r w:rsidRPr="00E50B5B">
              <w:rPr>
                <w:sz w:val="18"/>
                <w:szCs w:val="18"/>
              </w:rPr>
              <w:t xml:space="preserve"> </w:t>
            </w:r>
            <w:r w:rsidRPr="72F4777C">
              <w:rPr>
                <w:sz w:val="18"/>
                <w:szCs w:val="18"/>
              </w:rPr>
              <w:t xml:space="preserve">a </w:t>
            </w:r>
            <w:r w:rsidRPr="00E50B5B">
              <w:rPr>
                <w:sz w:val="18"/>
                <w:szCs w:val="18"/>
              </w:rPr>
              <w:t>general comm</w:t>
            </w:r>
            <w:r w:rsidRPr="72F4777C">
              <w:rPr>
                <w:sz w:val="18"/>
                <w:szCs w:val="18"/>
              </w:rPr>
              <w:t>unication</w:t>
            </w:r>
            <w:r w:rsidRPr="00E50B5B">
              <w:rPr>
                <w:sz w:val="18"/>
                <w:szCs w:val="18"/>
              </w:rPr>
              <w:t>s campaign HMRC carried out to raise awareness of Self</w:t>
            </w:r>
            <w:r w:rsidRPr="00E50B5B">
              <w:rPr>
                <w:sz w:val="18"/>
                <w:szCs w:val="14"/>
              </w:rPr>
              <w:noBreakHyphen/>
            </w:r>
            <w:r w:rsidRPr="00E50B5B">
              <w:rPr>
                <w:sz w:val="18"/>
                <w:szCs w:val="18"/>
              </w:rPr>
              <w:t>Assessment obligations.</w:t>
            </w:r>
          </w:p>
          <w:p w14:paraId="190362CB" w14:textId="77777777" w:rsidR="00C43CFD" w:rsidRPr="00E50B5B" w:rsidRDefault="00C43CFD" w:rsidP="00C43CFD">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Issue of educational nudge letters to individuals who HMRC believe may own crypto assets. </w:t>
            </w:r>
          </w:p>
          <w:p w14:paraId="31F1D373" w14:textId="77777777" w:rsidR="00C43CFD" w:rsidRPr="00E50B5B" w:rsidRDefault="00C43CFD" w:rsidP="00C43CFD">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Engagement with external stakeholders (industry, tax advisers, and rep bodies) through working group and industry roundtables.</w:t>
            </w:r>
          </w:p>
          <w:p w14:paraId="2549A41E" w14:textId="77777777" w:rsidR="00C43CFD" w:rsidRPr="00E50B5B" w:rsidRDefault="00C43CFD" w:rsidP="00C43CFD">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Publication of detailed guidance setting out tax treatment for cryptoassets. </w:t>
            </w:r>
          </w:p>
          <w:p w14:paraId="54E92669" w14:textId="1EC3BE41" w:rsidR="00C43CFD" w:rsidRPr="00E50B5B" w:rsidRDefault="00C43CFD" w:rsidP="00AA49F0">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Launch of a crypto disclosure facility to encourage people to come forward on any unpaid crypto taxes. </w:t>
            </w:r>
          </w:p>
        </w:tc>
        <w:tc>
          <w:tcPr>
            <w:cnfStyle w:val="000010000000" w:firstRow="0" w:lastRow="0" w:firstColumn="0" w:lastColumn="0" w:oddVBand="1" w:evenVBand="0" w:oddHBand="0" w:evenHBand="0" w:firstRowFirstColumn="0" w:firstRowLastColumn="0" w:lastRowFirstColumn="0" w:lastRowLastColumn="0"/>
            <w:tcW w:w="977" w:type="pct"/>
          </w:tcPr>
          <w:p w14:paraId="2D67478C" w14:textId="28F7B6A4" w:rsidR="00C43CFD" w:rsidRPr="00E50B5B" w:rsidRDefault="00C43CFD" w:rsidP="00C43CFD">
            <w:pPr>
              <w:pStyle w:val="TableTextLeft"/>
              <w:rPr>
                <w:sz w:val="18"/>
                <w:szCs w:val="14"/>
              </w:rPr>
            </w:pPr>
            <w:r w:rsidRPr="00E50B5B">
              <w:rPr>
                <w:sz w:val="18"/>
                <w:szCs w:val="14"/>
              </w:rPr>
              <w:t>The IRS uses website, press releases/ communication notices, attends speaking engagements, and presents at national tax conferences on issues regarding taxation of certain digital asset transactions.</w:t>
            </w:r>
          </w:p>
        </w:tc>
      </w:tr>
      <w:tr w:rsidR="00CA0C83" w:rsidRPr="00FA1A19" w14:paraId="1CA8DB11" w14:textId="77777777" w:rsidTr="0098550D">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5A0F6BD6" w14:textId="4925630E" w:rsidR="00CA0C83" w:rsidRPr="00FA1A19" w:rsidRDefault="00CA0C83" w:rsidP="00F724BA">
            <w:pPr>
              <w:pStyle w:val="TableColumnHeadingLeft"/>
              <w:keepNext/>
            </w:pPr>
            <w:r w:rsidRPr="00FA1A19">
              <w:br w:type="page"/>
            </w:r>
            <w:r w:rsidR="00F724BA">
              <w:t xml:space="preserve">7. </w:t>
            </w:r>
            <w:r w:rsidRPr="00FA1A19">
              <w:t>What additional support can be provided to the tax adviser community to assist them in advising their clients in relation to the tax treatment of crypto assets?</w:t>
            </w:r>
          </w:p>
        </w:tc>
      </w:tr>
      <w:tr w:rsidR="00E462F9" w:rsidRPr="00FA1A19" w14:paraId="5E2602C6"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14E8EB5A" w14:textId="5ADC43C2" w:rsidR="00E462F9" w:rsidRPr="00FA1A19" w:rsidDel="004E51B4" w:rsidRDefault="00E462F9" w:rsidP="00E462F9">
            <w:pPr>
              <w:pStyle w:val="TableColumnHeadingLeft"/>
              <w:keepNext/>
            </w:pPr>
            <w:r w:rsidRPr="00FA1A19">
              <w:t>Canada</w:t>
            </w:r>
          </w:p>
        </w:tc>
        <w:tc>
          <w:tcPr>
            <w:tcW w:w="937" w:type="pct"/>
          </w:tcPr>
          <w:p w14:paraId="46999CCF" w14:textId="4F205586" w:rsidR="00E462F9" w:rsidRPr="00FA1A19" w:rsidRDefault="00E462F9" w:rsidP="00E462F9">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0E21851F" w14:textId="267DCCAC" w:rsidR="00E462F9" w:rsidRPr="00FA1A19" w:rsidDel="00DA35A7" w:rsidRDefault="00E462F9" w:rsidP="00E462F9">
            <w:pPr>
              <w:pStyle w:val="TableColumnHeadingLeft"/>
              <w:keepNext/>
              <w:rPr>
                <w:lang w:val="en-CA"/>
              </w:rPr>
            </w:pPr>
            <w:r w:rsidRPr="00FA1A19">
              <w:t>Singapore</w:t>
            </w:r>
          </w:p>
        </w:tc>
        <w:tc>
          <w:tcPr>
            <w:tcW w:w="937" w:type="pct"/>
          </w:tcPr>
          <w:p w14:paraId="36FCBA86" w14:textId="4321B7E7" w:rsidR="00E462F9" w:rsidRPr="00FA1A19" w:rsidRDefault="00E462F9" w:rsidP="00E462F9">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188C6C5E" w14:textId="7F98F573" w:rsidR="00E462F9" w:rsidRPr="00FA1A19" w:rsidRDefault="00E462F9" w:rsidP="00E462F9">
            <w:pPr>
              <w:pStyle w:val="TableColumnHeadingLeft"/>
              <w:keepNext/>
            </w:pPr>
            <w:r w:rsidRPr="00FA1A19">
              <w:t>United States</w:t>
            </w:r>
          </w:p>
        </w:tc>
      </w:tr>
      <w:tr w:rsidR="00E462F9" w:rsidRPr="00E50B5B" w14:paraId="30495A0B"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7F7770B9" w14:textId="77777777" w:rsidR="00E462F9" w:rsidRPr="00E50B5B" w:rsidRDefault="00E462F9" w:rsidP="00E462F9">
            <w:pPr>
              <w:pStyle w:val="TableTextLeft"/>
              <w:rPr>
                <w:sz w:val="18"/>
                <w:szCs w:val="14"/>
                <w:lang w:val="en-CA"/>
              </w:rPr>
            </w:pPr>
            <w:r w:rsidRPr="00E50B5B">
              <w:rPr>
                <w:sz w:val="18"/>
                <w:szCs w:val="14"/>
                <w:lang w:val="en-CA"/>
              </w:rPr>
              <w:t>The CRA strives to keep open communication channels with the tax community and updates its guides and tax tips in a timely manner in order for the tax community to stay apprised of recent developments.</w:t>
            </w:r>
          </w:p>
          <w:p w14:paraId="242C5FD2" w14:textId="77777777" w:rsidR="00E462F9" w:rsidRPr="00E50B5B" w:rsidRDefault="00E462F9" w:rsidP="00E462F9">
            <w:pPr>
              <w:pStyle w:val="TableTextLeft"/>
              <w:rPr>
                <w:sz w:val="18"/>
                <w:szCs w:val="14"/>
                <w:lang w:val="en-CA"/>
              </w:rPr>
            </w:pPr>
            <w:r w:rsidRPr="00E50B5B">
              <w:rPr>
                <w:sz w:val="18"/>
                <w:szCs w:val="14"/>
                <w:lang w:val="en-CA"/>
              </w:rPr>
              <w:t xml:space="preserve">Taxpayers and tax professionals can seek clarity on the application of the </w:t>
            </w:r>
            <w:r w:rsidRPr="00E50B5B">
              <w:rPr>
                <w:rStyle w:val="Emphasis"/>
                <w:sz w:val="18"/>
                <w:szCs w:val="14"/>
              </w:rPr>
              <w:t>Income Tax Act</w:t>
            </w:r>
            <w:r w:rsidRPr="00E50B5B">
              <w:rPr>
                <w:sz w:val="18"/>
                <w:szCs w:val="14"/>
                <w:lang w:val="en-CA"/>
              </w:rPr>
              <w:t xml:space="preserve"> and its Regulations to transactions involving crypto</w:t>
            </w:r>
            <w:r>
              <w:rPr>
                <w:sz w:val="18"/>
                <w:szCs w:val="14"/>
                <w:lang w:val="en-CA"/>
              </w:rPr>
              <w:t xml:space="preserve"> </w:t>
            </w:r>
            <w:r w:rsidRPr="00E50B5B">
              <w:rPr>
                <w:sz w:val="18"/>
                <w:szCs w:val="14"/>
                <w:lang w:val="en-CA"/>
              </w:rPr>
              <w:t>assets through the Income Tax Rulings Directorate (GST/HST Rulings Directorate for GST issues) or obtain a binding ruling for a fee.</w:t>
            </w:r>
          </w:p>
          <w:p w14:paraId="734561B5" w14:textId="0EB4692D" w:rsidR="00E462F9" w:rsidRPr="00E50B5B" w:rsidRDefault="00E462F9" w:rsidP="00E462F9">
            <w:pPr>
              <w:pStyle w:val="TableTextLeft"/>
              <w:rPr>
                <w:rFonts w:eastAsia="Calibri"/>
                <w:sz w:val="18"/>
                <w:szCs w:val="14"/>
              </w:rPr>
            </w:pPr>
            <w:r w:rsidRPr="00E50B5B">
              <w:rPr>
                <w:sz w:val="18"/>
                <w:szCs w:val="14"/>
                <w:lang w:val="en-CA"/>
              </w:rPr>
              <w:t>The CRA writes non</w:t>
            </w:r>
            <w:r w:rsidRPr="00E50B5B">
              <w:rPr>
                <w:sz w:val="18"/>
                <w:szCs w:val="14"/>
                <w:lang w:val="en-CA"/>
              </w:rPr>
              <w:noBreakHyphen/>
              <w:t>binding technical interpretations that provide general information on Canadian income tax law.</w:t>
            </w:r>
          </w:p>
        </w:tc>
        <w:tc>
          <w:tcPr>
            <w:tcW w:w="937" w:type="pct"/>
          </w:tcPr>
          <w:p w14:paraId="47C25FA7" w14:textId="056E7428" w:rsidR="00E462F9" w:rsidRPr="00E50B5B" w:rsidRDefault="00E462F9" w:rsidP="00E462F9">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NZ IR has been involved in joint training sessions with </w:t>
            </w:r>
            <w:r>
              <w:rPr>
                <w:sz w:val="18"/>
                <w:szCs w:val="14"/>
              </w:rPr>
              <w:t>Chartered Accountants Australia and New Zealand</w:t>
            </w:r>
            <w:r w:rsidRPr="00E50B5B">
              <w:rPr>
                <w:sz w:val="18"/>
                <w:szCs w:val="14"/>
              </w:rPr>
              <w:t xml:space="preserve"> in respect of the taxation of crypto assets. NZ IR considers it very important to provide assistance and guidance to tax practitioners as they seek to upskill themselves in respect of crypto asset tax issues.</w:t>
            </w:r>
          </w:p>
        </w:tc>
        <w:tc>
          <w:tcPr>
            <w:cnfStyle w:val="000010000000" w:firstRow="0" w:lastRow="0" w:firstColumn="0" w:lastColumn="0" w:oddVBand="1" w:evenVBand="0" w:oddHBand="0" w:evenHBand="0" w:firstRowFirstColumn="0" w:firstRowLastColumn="0" w:lastRowFirstColumn="0" w:lastRowLastColumn="0"/>
            <w:tcW w:w="1158" w:type="pct"/>
          </w:tcPr>
          <w:p w14:paraId="6C735F34" w14:textId="642282E6" w:rsidR="00E462F9" w:rsidRPr="00E50B5B" w:rsidRDefault="00E462F9" w:rsidP="00AA49F0">
            <w:pPr>
              <w:pStyle w:val="TableTextLeftBullet"/>
              <w:numPr>
                <w:ilvl w:val="0"/>
                <w:numId w:val="0"/>
              </w:numPr>
              <w:rPr>
                <w:sz w:val="18"/>
                <w:szCs w:val="14"/>
              </w:rPr>
            </w:pPr>
            <w:r w:rsidRPr="00E50B5B">
              <w:rPr>
                <w:sz w:val="18"/>
                <w:szCs w:val="14"/>
              </w:rPr>
              <w:t>IRAS recognises tax agents as partners in administering the tax system and in facilitating tax compliance. IRAS has the Enhanced IRAS</w:t>
            </w:r>
            <w:r w:rsidRPr="00E50B5B">
              <w:rPr>
                <w:sz w:val="18"/>
                <w:szCs w:val="14"/>
              </w:rPr>
              <w:noBreakHyphen/>
              <w:t>Tax Agent Relationship Framework to support closer partnership and collaboration between tax agents and IRAS and partners with the Singapore Chartered Tax Professionals to improve industry standards, such as through regular dialogue sessions with tax advisers to discuss tax policies and issues.</w:t>
            </w:r>
          </w:p>
        </w:tc>
        <w:tc>
          <w:tcPr>
            <w:tcW w:w="937" w:type="pct"/>
          </w:tcPr>
          <w:p w14:paraId="6615BA39" w14:textId="77777777" w:rsidR="00E462F9" w:rsidRPr="00E50B5B" w:rsidRDefault="00E462F9" w:rsidP="00E462F9">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HMRC undertake</w:t>
            </w:r>
            <w:r>
              <w:rPr>
                <w:sz w:val="18"/>
                <w:szCs w:val="14"/>
              </w:rPr>
              <w:t>s</w:t>
            </w:r>
            <w:r w:rsidRPr="00E50B5B">
              <w:rPr>
                <w:sz w:val="18"/>
                <w:szCs w:val="14"/>
              </w:rPr>
              <w:t xml:space="preserve"> the following:</w:t>
            </w:r>
          </w:p>
          <w:p w14:paraId="6A961424" w14:textId="77777777" w:rsidR="00E462F9" w:rsidRPr="00E50B5B" w:rsidRDefault="00E462F9" w:rsidP="00E462F9">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72F4777C">
              <w:rPr>
                <w:sz w:val="18"/>
                <w:szCs w:val="18"/>
              </w:rPr>
              <w:t>Regular engagement with working groups through roundtables. There are two stakeholder groups: one consists of the tax professionals who work in the crypto space and tax/accountancy bodies; and the second consists of industry participants such as software developers and intermediaries.</w:t>
            </w:r>
          </w:p>
          <w:p w14:paraId="1A8F9773" w14:textId="77777777" w:rsidR="00E462F9" w:rsidRPr="00E50B5B" w:rsidRDefault="00E462F9" w:rsidP="00E462F9">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72F4777C">
              <w:rPr>
                <w:sz w:val="18"/>
                <w:szCs w:val="18"/>
              </w:rPr>
              <w:t>Publication of detailed guidance on the GOV.UK website.</w:t>
            </w:r>
          </w:p>
          <w:p w14:paraId="0A45A887" w14:textId="75F3B432" w:rsidR="0048315C" w:rsidRPr="0048315C" w:rsidRDefault="00E462F9" w:rsidP="0048315C">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0048315C">
              <w:rPr>
                <w:sz w:val="18"/>
                <w:szCs w:val="18"/>
              </w:rPr>
              <w:t>Operation of a non</w:t>
            </w:r>
            <w:r w:rsidRPr="0048315C">
              <w:rPr>
                <w:sz w:val="18"/>
                <w:szCs w:val="14"/>
              </w:rPr>
              <w:noBreakHyphen/>
            </w:r>
            <w:r w:rsidRPr="0048315C">
              <w:rPr>
                <w:sz w:val="18"/>
                <w:szCs w:val="18"/>
              </w:rPr>
              <w:t xml:space="preserve">statutory clearance service where taxpayers and their advisers could seek formal written advice from HMRC relating to a specific transaction. </w:t>
            </w:r>
          </w:p>
          <w:p w14:paraId="21182FD3" w14:textId="65DCF79E" w:rsidR="00E462F9" w:rsidRPr="00E50B5B" w:rsidRDefault="00E462F9" w:rsidP="00AA49F0">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0048315C">
              <w:rPr>
                <w:sz w:val="18"/>
                <w:szCs w:val="14"/>
              </w:rPr>
              <w:t>Customers</w:t>
            </w:r>
            <w:r w:rsidRPr="72F4777C">
              <w:rPr>
                <w:sz w:val="18"/>
                <w:szCs w:val="18"/>
              </w:rPr>
              <w:t xml:space="preserve"> and advisers can also contact HMRC via the general helpline and webchat for enquires.</w:t>
            </w:r>
          </w:p>
        </w:tc>
        <w:tc>
          <w:tcPr>
            <w:cnfStyle w:val="000010000000" w:firstRow="0" w:lastRow="0" w:firstColumn="0" w:lastColumn="0" w:oddVBand="1" w:evenVBand="0" w:oddHBand="0" w:evenHBand="0" w:firstRowFirstColumn="0" w:firstRowLastColumn="0" w:lastRowFirstColumn="0" w:lastRowLastColumn="0"/>
            <w:tcW w:w="977" w:type="pct"/>
          </w:tcPr>
          <w:p w14:paraId="57993CEE" w14:textId="77777777" w:rsidR="00E462F9" w:rsidRDefault="00E462F9" w:rsidP="00E462F9">
            <w:pPr>
              <w:pStyle w:val="TableTextLeft"/>
              <w:rPr>
                <w:rFonts w:eastAsia="Calibri"/>
                <w:sz w:val="18"/>
                <w:szCs w:val="14"/>
              </w:rPr>
            </w:pPr>
            <w:r w:rsidRPr="00E50B5B">
              <w:rPr>
                <w:rFonts w:eastAsia="Calibri"/>
                <w:sz w:val="18"/>
                <w:szCs w:val="14"/>
              </w:rPr>
              <w:t xml:space="preserve">The expansion of information reporting for digital assets also benefits taxpayers and tax advisers. </w:t>
            </w:r>
          </w:p>
          <w:p w14:paraId="785D59C2" w14:textId="12213083" w:rsidR="00E462F9" w:rsidRPr="00E50B5B" w:rsidRDefault="00E462F9" w:rsidP="00E462F9">
            <w:pPr>
              <w:pStyle w:val="TableTextLeft"/>
              <w:rPr>
                <w:sz w:val="18"/>
                <w:szCs w:val="14"/>
              </w:rPr>
            </w:pPr>
            <w:r w:rsidRPr="00E50B5B">
              <w:rPr>
                <w:rFonts w:eastAsia="Calibri"/>
                <w:sz w:val="18"/>
                <w:szCs w:val="14"/>
              </w:rPr>
              <w:t>The lack of information reporting makes it difficult for taxpayers to properly track and report their gains or losses. This gap is being filled in part by voluntary tax reporting to customers by some digital asset exchanges, and by digital advisers who charge for the preparation of tax information, illustrating the benefits of information reporting to taxpayers.</w:t>
            </w:r>
          </w:p>
        </w:tc>
      </w:tr>
      <w:tr w:rsidR="00CA0C83" w:rsidRPr="00FA1A19" w14:paraId="4BC80243"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09102780" w14:textId="1BFF34C0" w:rsidR="00CA0C83" w:rsidRPr="00FA1A19" w:rsidRDefault="00CA0C83" w:rsidP="00F724BA">
            <w:pPr>
              <w:pStyle w:val="TableColumnHeadingLeft"/>
              <w:keepNext/>
            </w:pPr>
            <w:r w:rsidRPr="00FA1A19">
              <w:br w:type="page"/>
            </w:r>
            <w:r w:rsidR="00F724BA">
              <w:t xml:space="preserve">8. </w:t>
            </w:r>
            <w:r w:rsidRPr="00FA1A19">
              <w:t>What have been the greatest challenges for the revenue agency in relation to the taxation of crypto assets and their associated transactions?</w:t>
            </w:r>
          </w:p>
        </w:tc>
      </w:tr>
      <w:tr w:rsidR="00D17D1A" w:rsidRPr="00FA1A19" w14:paraId="40788077"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530B96FC" w14:textId="1E4ED122" w:rsidR="00D17D1A" w:rsidRPr="00FA1A19" w:rsidRDefault="00D17D1A" w:rsidP="00D17D1A">
            <w:pPr>
              <w:pStyle w:val="TableColumnHeadingLeft"/>
              <w:keepNext/>
            </w:pPr>
            <w:r w:rsidRPr="00FA1A19">
              <w:t>Canada</w:t>
            </w:r>
          </w:p>
        </w:tc>
        <w:tc>
          <w:tcPr>
            <w:tcW w:w="937" w:type="pct"/>
          </w:tcPr>
          <w:p w14:paraId="7EAC28CB" w14:textId="50B9BA07" w:rsidR="00D17D1A" w:rsidRPr="00FA1A19" w:rsidRDefault="00D17D1A" w:rsidP="00D17D1A">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2DA5FF7D" w14:textId="00226C9F" w:rsidR="00D17D1A" w:rsidRPr="00FA1A19" w:rsidDel="00241FAE" w:rsidRDefault="00D17D1A" w:rsidP="00D17D1A">
            <w:pPr>
              <w:pStyle w:val="TableColumnHeadingLeft"/>
              <w:keepNext/>
              <w:rPr>
                <w:lang w:val="en-CA"/>
              </w:rPr>
            </w:pPr>
            <w:r w:rsidRPr="00FA1A19">
              <w:t>Singapore</w:t>
            </w:r>
          </w:p>
        </w:tc>
        <w:tc>
          <w:tcPr>
            <w:tcW w:w="937" w:type="pct"/>
          </w:tcPr>
          <w:p w14:paraId="54472F1B" w14:textId="7DB47AFC" w:rsidR="00D17D1A" w:rsidRPr="00FA1A19" w:rsidRDefault="00D17D1A" w:rsidP="00D17D1A">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49E710B3" w14:textId="0FDF0412" w:rsidR="00D17D1A" w:rsidRPr="00FA1A19" w:rsidDel="00AB502C" w:rsidRDefault="00D17D1A" w:rsidP="00D17D1A">
            <w:pPr>
              <w:pStyle w:val="TableColumnHeadingLeft"/>
              <w:keepNext/>
            </w:pPr>
            <w:r w:rsidRPr="00FA1A19">
              <w:t>United States</w:t>
            </w:r>
          </w:p>
        </w:tc>
      </w:tr>
      <w:tr w:rsidR="00D17D1A" w:rsidRPr="00E50B5B" w14:paraId="6822B293"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411601C9" w14:textId="77777777" w:rsidR="00D17D1A" w:rsidRPr="00E50B5B" w:rsidRDefault="00D17D1A" w:rsidP="00D17D1A">
            <w:pPr>
              <w:pStyle w:val="TableTextLeft"/>
              <w:rPr>
                <w:sz w:val="18"/>
                <w:szCs w:val="14"/>
                <w:lang w:val="en-CA"/>
              </w:rPr>
            </w:pPr>
            <w:r w:rsidRPr="00E50B5B">
              <w:rPr>
                <w:sz w:val="18"/>
                <w:szCs w:val="14"/>
                <w:lang w:val="en-CA"/>
              </w:rPr>
              <w:t>Factors that create tax compliance risks include:</w:t>
            </w:r>
          </w:p>
          <w:p w14:paraId="044F4A79" w14:textId="77777777" w:rsidR="00D17D1A" w:rsidRPr="00E50B5B" w:rsidRDefault="00D17D1A" w:rsidP="00D17D1A">
            <w:pPr>
              <w:pStyle w:val="TableTextLeftBullet"/>
              <w:rPr>
                <w:sz w:val="18"/>
                <w:szCs w:val="14"/>
              </w:rPr>
            </w:pPr>
            <w:r>
              <w:rPr>
                <w:sz w:val="18"/>
                <w:szCs w:val="18"/>
              </w:rPr>
              <w:t>p</w:t>
            </w:r>
            <w:r w:rsidRPr="72F4777C">
              <w:rPr>
                <w:sz w:val="18"/>
                <w:szCs w:val="18"/>
              </w:rPr>
              <w:t>seudonymity of transactions</w:t>
            </w:r>
            <w:r>
              <w:rPr>
                <w:sz w:val="18"/>
                <w:szCs w:val="18"/>
              </w:rPr>
              <w:t>;</w:t>
            </w:r>
          </w:p>
          <w:p w14:paraId="70E8BE40" w14:textId="77777777" w:rsidR="00D17D1A" w:rsidRPr="00E50B5B" w:rsidRDefault="00D17D1A" w:rsidP="00D17D1A">
            <w:pPr>
              <w:pStyle w:val="TableTextLeftBullet"/>
              <w:rPr>
                <w:i/>
                <w:iCs/>
                <w:sz w:val="18"/>
                <w:szCs w:val="14"/>
              </w:rPr>
            </w:pPr>
            <w:r>
              <w:rPr>
                <w:sz w:val="18"/>
                <w:szCs w:val="18"/>
              </w:rPr>
              <w:t>d</w:t>
            </w:r>
            <w:r w:rsidRPr="00E50B5B">
              <w:rPr>
                <w:sz w:val="18"/>
                <w:szCs w:val="18"/>
              </w:rPr>
              <w:t>ecentrali</w:t>
            </w:r>
            <w:r w:rsidRPr="72F4777C">
              <w:rPr>
                <w:sz w:val="18"/>
                <w:szCs w:val="18"/>
              </w:rPr>
              <w:t>s</w:t>
            </w:r>
            <w:r w:rsidRPr="00E50B5B">
              <w:rPr>
                <w:sz w:val="18"/>
                <w:szCs w:val="18"/>
              </w:rPr>
              <w:t>ed nature of crypto</w:t>
            </w:r>
            <w:r w:rsidRPr="72F4777C">
              <w:rPr>
                <w:sz w:val="18"/>
                <w:szCs w:val="18"/>
              </w:rPr>
              <w:t xml:space="preserve"> </w:t>
            </w:r>
            <w:r w:rsidRPr="00E50B5B">
              <w:rPr>
                <w:sz w:val="18"/>
                <w:szCs w:val="18"/>
              </w:rPr>
              <w:t>assets</w:t>
            </w:r>
            <w:r>
              <w:rPr>
                <w:sz w:val="18"/>
                <w:szCs w:val="18"/>
              </w:rPr>
              <w:t>;</w:t>
            </w:r>
          </w:p>
          <w:p w14:paraId="2BD7833B" w14:textId="77777777" w:rsidR="00D17D1A" w:rsidRPr="00E50B5B" w:rsidRDefault="00D17D1A" w:rsidP="00D17D1A">
            <w:pPr>
              <w:pStyle w:val="TableTextLeftBullet"/>
              <w:rPr>
                <w:sz w:val="18"/>
                <w:szCs w:val="14"/>
              </w:rPr>
            </w:pPr>
            <w:r>
              <w:rPr>
                <w:sz w:val="18"/>
                <w:szCs w:val="18"/>
              </w:rPr>
              <w:t>b</w:t>
            </w:r>
            <w:r w:rsidRPr="00E50B5B">
              <w:rPr>
                <w:sz w:val="18"/>
                <w:szCs w:val="18"/>
              </w:rPr>
              <w:t>orderless nature of crypto</w:t>
            </w:r>
            <w:r w:rsidRPr="72F4777C">
              <w:rPr>
                <w:sz w:val="18"/>
                <w:szCs w:val="18"/>
              </w:rPr>
              <w:t xml:space="preserve"> </w:t>
            </w:r>
            <w:r w:rsidRPr="00E50B5B">
              <w:rPr>
                <w:sz w:val="18"/>
                <w:szCs w:val="18"/>
              </w:rPr>
              <w:t>assets</w:t>
            </w:r>
            <w:r>
              <w:rPr>
                <w:sz w:val="18"/>
                <w:szCs w:val="18"/>
              </w:rPr>
              <w:t>; and</w:t>
            </w:r>
          </w:p>
          <w:p w14:paraId="157457EF" w14:textId="5B725E28" w:rsidR="00D17D1A" w:rsidRPr="00E50B5B" w:rsidRDefault="00D17D1A" w:rsidP="00D17D1A">
            <w:pPr>
              <w:pStyle w:val="TableTextLeftBullet"/>
              <w:rPr>
                <w:rFonts w:eastAsia="Calibri"/>
                <w:sz w:val="18"/>
                <w:szCs w:val="14"/>
              </w:rPr>
            </w:pPr>
            <w:r>
              <w:rPr>
                <w:sz w:val="18"/>
              </w:rPr>
              <w:t>p</w:t>
            </w:r>
            <w:r w:rsidRPr="72F4777C">
              <w:rPr>
                <w:sz w:val="18"/>
              </w:rPr>
              <w:t>ace of innovation</w:t>
            </w:r>
            <w:r w:rsidRPr="72F4777C">
              <w:rPr>
                <w:sz w:val="18"/>
                <w:lang w:val="en-CA"/>
              </w:rPr>
              <w:t>.</w:t>
            </w:r>
          </w:p>
        </w:tc>
        <w:tc>
          <w:tcPr>
            <w:tcW w:w="937" w:type="pct"/>
          </w:tcPr>
          <w:p w14:paraId="60A9B322" w14:textId="77777777" w:rsidR="00D17D1A" w:rsidRPr="00E50B5B" w:rsidRDefault="00D17D1A" w:rsidP="00D17D1A">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From a policy perspective the greatest challenges have been:</w:t>
            </w:r>
          </w:p>
          <w:p w14:paraId="694A14E9" w14:textId="77777777" w:rsidR="00D17D1A" w:rsidRPr="00E50B5B" w:rsidRDefault="00D17D1A" w:rsidP="00D17D1A">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Uncertainty as to how existing categories of law apply to crypto assets. </w:t>
            </w:r>
          </w:p>
          <w:p w14:paraId="5A112E9F" w14:textId="77777777" w:rsidR="00D17D1A" w:rsidRPr="00E50B5B" w:rsidRDefault="00D17D1A" w:rsidP="00D17D1A">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Lack of visibility over incomes derived through crypto assets.</w:t>
            </w:r>
          </w:p>
          <w:p w14:paraId="60366CE4" w14:textId="77777777" w:rsidR="00D17D1A" w:rsidRPr="00E50B5B" w:rsidRDefault="00D17D1A" w:rsidP="00D17D1A">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Compliance costs faced by taxpayers. </w:t>
            </w:r>
          </w:p>
          <w:p w14:paraId="624B59ED" w14:textId="5C1B0D66" w:rsidR="00D17D1A" w:rsidRPr="00E50B5B" w:rsidRDefault="00D17D1A" w:rsidP="00D17D1A">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The primary risk being addressed by </w:t>
            </w:r>
            <w:r>
              <w:rPr>
                <w:sz w:val="18"/>
                <w:szCs w:val="14"/>
              </w:rPr>
              <w:t>NZ IR</w:t>
            </w:r>
            <w:r w:rsidRPr="00E50B5B">
              <w:rPr>
                <w:sz w:val="18"/>
                <w:szCs w:val="14"/>
              </w:rPr>
              <w:t xml:space="preserve"> in respect of crypto asset activities is the underreporting of taxable income in respect of those activities, arising from knowledge, difficulty, visibility and attitude gaps. NZ IR is working through addressing these compliance issues through education, data, interventions (including reviewing compliance tools and case work), upskilling and ensuring NZ IR can adapt the way they work. </w:t>
            </w:r>
          </w:p>
        </w:tc>
        <w:tc>
          <w:tcPr>
            <w:cnfStyle w:val="000010000000" w:firstRow="0" w:lastRow="0" w:firstColumn="0" w:lastColumn="0" w:oddVBand="1" w:evenVBand="0" w:oddHBand="0" w:evenHBand="0" w:firstRowFirstColumn="0" w:firstRowLastColumn="0" w:lastRowFirstColumn="0" w:lastRowLastColumn="0"/>
            <w:tcW w:w="1158" w:type="pct"/>
          </w:tcPr>
          <w:p w14:paraId="4586ACB4" w14:textId="77777777" w:rsidR="00D17D1A" w:rsidRPr="003B7850" w:rsidRDefault="00D17D1A" w:rsidP="00D17D1A">
            <w:pPr>
              <w:rPr>
                <w:rFonts w:cstheme="minorHAnsi"/>
                <w:b/>
                <w:sz w:val="18"/>
                <w:szCs w:val="18"/>
              </w:rPr>
            </w:pPr>
            <w:r w:rsidRPr="003B7850">
              <w:rPr>
                <w:rFonts w:cstheme="minorHAnsi"/>
                <w:sz w:val="18"/>
                <w:szCs w:val="18"/>
              </w:rPr>
              <w:t>One of the biggest challenges is understanding the developments in the industry in a timely matter and ensuring that tax treatments are regularly reviewed and updated.</w:t>
            </w:r>
          </w:p>
          <w:p w14:paraId="5A9C4B1B" w14:textId="77777777" w:rsidR="00D17D1A" w:rsidRPr="003B7850" w:rsidRDefault="00D17D1A" w:rsidP="00D17D1A">
            <w:pPr>
              <w:rPr>
                <w:rFonts w:cstheme="minorHAnsi"/>
                <w:b/>
                <w:sz w:val="18"/>
                <w:szCs w:val="18"/>
              </w:rPr>
            </w:pPr>
            <w:r w:rsidRPr="003B7850">
              <w:rPr>
                <w:rFonts w:cstheme="minorHAnsi"/>
                <w:sz w:val="18"/>
                <w:szCs w:val="18"/>
              </w:rPr>
              <w:t>Specifically in the area of GST, the challenges thus far are:</w:t>
            </w:r>
          </w:p>
          <w:p w14:paraId="38FA4338" w14:textId="14DDE2F1" w:rsidR="00D17D1A" w:rsidRPr="003B7850" w:rsidRDefault="00D17D1A" w:rsidP="00D17D1A">
            <w:pPr>
              <w:pStyle w:val="Bullet"/>
              <w:keepLines w:val="0"/>
              <w:numPr>
                <w:ilvl w:val="0"/>
                <w:numId w:val="28"/>
              </w:numPr>
              <w:tabs>
                <w:tab w:val="clear" w:pos="567"/>
                <w:tab w:val="left" w:pos="202"/>
              </w:tabs>
              <w:spacing w:after="0" w:line="254" w:lineRule="auto"/>
              <w:ind w:left="202" w:hanging="202"/>
              <w:rPr>
                <w:rFonts w:cstheme="minorHAnsi"/>
                <w:b/>
                <w:sz w:val="18"/>
                <w:szCs w:val="18"/>
              </w:rPr>
            </w:pPr>
            <w:r>
              <w:rPr>
                <w:rFonts w:cstheme="minorHAnsi"/>
                <w:sz w:val="18"/>
                <w:szCs w:val="18"/>
              </w:rPr>
              <w:t>d</w:t>
            </w:r>
            <w:r w:rsidRPr="003B7850">
              <w:rPr>
                <w:rFonts w:cstheme="minorHAnsi"/>
                <w:sz w:val="18"/>
                <w:szCs w:val="18"/>
              </w:rPr>
              <w:t>efinitional issues for crypto assets (particularly whether certain assets fall into the definition of digital payment tokens for GST application)</w:t>
            </w:r>
          </w:p>
          <w:p w14:paraId="29516659" w14:textId="5A287AE9" w:rsidR="00D17D1A" w:rsidRPr="006229B4" w:rsidRDefault="00D17D1A" w:rsidP="006229B4">
            <w:pPr>
              <w:pStyle w:val="Bullet"/>
              <w:keepLines w:val="0"/>
              <w:numPr>
                <w:ilvl w:val="0"/>
                <w:numId w:val="28"/>
              </w:numPr>
              <w:tabs>
                <w:tab w:val="clear" w:pos="567"/>
                <w:tab w:val="left" w:pos="202"/>
              </w:tabs>
              <w:spacing w:after="0" w:line="254" w:lineRule="auto"/>
              <w:ind w:left="202" w:hanging="202"/>
              <w:rPr>
                <w:rFonts w:cstheme="minorHAnsi"/>
                <w:b/>
                <w:sz w:val="18"/>
                <w:szCs w:val="18"/>
              </w:rPr>
            </w:pPr>
            <w:r>
              <w:rPr>
                <w:rFonts w:cstheme="minorHAnsi"/>
                <w:sz w:val="18"/>
                <w:szCs w:val="18"/>
              </w:rPr>
              <w:t>a</w:t>
            </w:r>
            <w:r w:rsidRPr="003B7850">
              <w:rPr>
                <w:rFonts w:cstheme="minorHAnsi"/>
                <w:sz w:val="18"/>
                <w:szCs w:val="18"/>
              </w:rPr>
              <w:t>ccurately determining the belonging status (business establishment/ fixed establishment) of customers</w:t>
            </w:r>
            <w:r>
              <w:rPr>
                <w:rFonts w:cstheme="minorHAnsi"/>
                <w:sz w:val="18"/>
                <w:szCs w:val="18"/>
              </w:rPr>
              <w:t>.</w:t>
            </w:r>
          </w:p>
        </w:tc>
        <w:tc>
          <w:tcPr>
            <w:tcW w:w="937" w:type="pct"/>
          </w:tcPr>
          <w:p w14:paraId="7BA0251F" w14:textId="77777777" w:rsidR="00D17D1A" w:rsidRPr="00E50B5B" w:rsidRDefault="00D17D1A" w:rsidP="00D17D1A">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HMRC’s main concerns and drivers at </w:t>
            </w:r>
            <w:r>
              <w:rPr>
                <w:sz w:val="18"/>
                <w:szCs w:val="14"/>
              </w:rPr>
              <w:t>the time</w:t>
            </w:r>
            <w:r w:rsidRPr="00E50B5B">
              <w:rPr>
                <w:sz w:val="18"/>
                <w:szCs w:val="14"/>
              </w:rPr>
              <w:t xml:space="preserve"> </w:t>
            </w:r>
            <w:r>
              <w:rPr>
                <w:sz w:val="18"/>
                <w:szCs w:val="14"/>
              </w:rPr>
              <w:t>of response</w:t>
            </w:r>
            <w:r w:rsidRPr="00E50B5B">
              <w:rPr>
                <w:sz w:val="18"/>
                <w:szCs w:val="14"/>
              </w:rPr>
              <w:t xml:space="preserve"> centre</w:t>
            </w:r>
            <w:r>
              <w:rPr>
                <w:sz w:val="18"/>
                <w:szCs w:val="14"/>
              </w:rPr>
              <w:t>d</w:t>
            </w:r>
            <w:r w:rsidRPr="00E50B5B">
              <w:rPr>
                <w:sz w:val="18"/>
                <w:szCs w:val="14"/>
              </w:rPr>
              <w:t xml:space="preserve"> around knowledge and data. For example: </w:t>
            </w:r>
          </w:p>
          <w:p w14:paraId="49BD08FA" w14:textId="77777777" w:rsidR="00D17D1A" w:rsidRPr="00E50B5B" w:rsidRDefault="00D17D1A" w:rsidP="00D17D1A">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Taxpayers not knowing what their tax obligations are. </w:t>
            </w:r>
          </w:p>
          <w:p w14:paraId="740E3C41" w14:textId="77777777" w:rsidR="00D17D1A" w:rsidRPr="00E50B5B" w:rsidRDefault="00D17D1A" w:rsidP="00D17D1A">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Taxpayers knowing what their obligations are but not complying (either deliberately or through misunderstanding of the rules). </w:t>
            </w:r>
          </w:p>
          <w:p w14:paraId="612A76DB" w14:textId="77777777" w:rsidR="00D17D1A" w:rsidRPr="00E50B5B" w:rsidRDefault="00D17D1A" w:rsidP="00D17D1A">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 xml:space="preserve">Taxpayers trying to comply but getting it wrong (due to complexity or lack of resources). </w:t>
            </w:r>
          </w:p>
          <w:p w14:paraId="333562B1" w14:textId="65AB0512" w:rsidR="00D17D1A" w:rsidRPr="00E50B5B" w:rsidRDefault="00D17D1A" w:rsidP="00D17D1A">
            <w:pPr>
              <w:pStyle w:val="TableTextLeft"/>
              <w:cnfStyle w:val="000000100000" w:firstRow="0" w:lastRow="0" w:firstColumn="0" w:lastColumn="0" w:oddVBand="0" w:evenVBand="0" w:oddHBand="1" w:evenHBand="0" w:firstRowFirstColumn="0" w:firstRowLastColumn="0" w:lastRowFirstColumn="0" w:lastRowLastColumn="0"/>
              <w:rPr>
                <w:rFonts w:eastAsia="Calibri"/>
                <w:sz w:val="18"/>
                <w:szCs w:val="14"/>
              </w:rPr>
            </w:pPr>
            <w:r w:rsidRPr="00E50B5B">
              <w:rPr>
                <w:sz w:val="18"/>
                <w:szCs w:val="14"/>
              </w:rPr>
              <w:t xml:space="preserve">In addition, this can be </w:t>
            </w:r>
            <w:r>
              <w:rPr>
                <w:sz w:val="18"/>
                <w:szCs w:val="14"/>
              </w:rPr>
              <w:t>intensified</w:t>
            </w:r>
            <w:r w:rsidRPr="00E50B5B">
              <w:rPr>
                <w:sz w:val="18"/>
                <w:szCs w:val="14"/>
              </w:rPr>
              <w:t xml:space="preserve"> by the fast evolving nature of the technology and the complexity of the tax rules, making it challenging to apply existing tax rules in certain areas. </w:t>
            </w:r>
          </w:p>
        </w:tc>
        <w:tc>
          <w:tcPr>
            <w:cnfStyle w:val="000010000000" w:firstRow="0" w:lastRow="0" w:firstColumn="0" w:lastColumn="0" w:oddVBand="1" w:evenVBand="0" w:oddHBand="0" w:evenHBand="0" w:firstRowFirstColumn="0" w:firstRowLastColumn="0" w:lastRowFirstColumn="0" w:lastRowLastColumn="0"/>
            <w:tcW w:w="977" w:type="pct"/>
          </w:tcPr>
          <w:p w14:paraId="32F7D13C" w14:textId="0EF916D0" w:rsidR="00D17D1A" w:rsidRPr="00D5245B" w:rsidRDefault="00D17D1A" w:rsidP="00AA49F0">
            <w:pPr>
              <w:pStyle w:val="Bullet"/>
              <w:keepLines w:val="0"/>
              <w:numPr>
                <w:ilvl w:val="0"/>
                <w:numId w:val="0"/>
              </w:numPr>
              <w:tabs>
                <w:tab w:val="clear" w:pos="567"/>
                <w:tab w:val="left" w:pos="0"/>
              </w:tabs>
              <w:spacing w:after="0" w:line="254" w:lineRule="auto"/>
              <w:rPr>
                <w:rFonts w:cstheme="minorHAnsi"/>
                <w:b/>
                <w:sz w:val="18"/>
                <w:szCs w:val="18"/>
              </w:rPr>
            </w:pPr>
            <w:r w:rsidRPr="00E50B5B">
              <w:rPr>
                <w:rFonts w:eastAsia="Calibri"/>
                <w:sz w:val="18"/>
                <w:szCs w:val="14"/>
              </w:rPr>
              <w:t>The greatest challenge for the IRS is that the distributed ledger record of transactions does not include the identity of the parties involved in the transactions. This anonymity creates a significant risk to tax administration.</w:t>
            </w:r>
          </w:p>
        </w:tc>
      </w:tr>
      <w:tr w:rsidR="00CA0C83" w:rsidRPr="00FA1A19" w14:paraId="58A09834" w14:textId="77777777" w:rsidTr="0098550D">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1629B20F" w14:textId="04ECDD58" w:rsidR="00CA0C83" w:rsidRPr="00FA1A19" w:rsidRDefault="00F724BA" w:rsidP="00F724BA">
            <w:pPr>
              <w:pStyle w:val="TableColumnHeadingLeft"/>
              <w:keepNext/>
            </w:pPr>
            <w:r>
              <w:t xml:space="preserve">9. </w:t>
            </w:r>
            <w:r w:rsidR="00CA0C83" w:rsidRPr="00FA1A19">
              <w:t>What steps have been or can be taken to address these challenges?</w:t>
            </w:r>
          </w:p>
        </w:tc>
      </w:tr>
      <w:tr w:rsidR="00C603A9" w:rsidRPr="00FA1A19" w14:paraId="6C08A1A8"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23FBE9EB" w14:textId="0DF419CA" w:rsidR="00C603A9" w:rsidRPr="00FA1A19" w:rsidRDefault="00C603A9" w:rsidP="00C603A9">
            <w:pPr>
              <w:pStyle w:val="TableColumnHeadingLeft"/>
              <w:keepNext/>
            </w:pPr>
            <w:r w:rsidRPr="00FA1A19">
              <w:t>Canada</w:t>
            </w:r>
          </w:p>
        </w:tc>
        <w:tc>
          <w:tcPr>
            <w:tcW w:w="937" w:type="pct"/>
          </w:tcPr>
          <w:p w14:paraId="1249ACD9" w14:textId="688E2349" w:rsidR="00C603A9" w:rsidRPr="00FA1A19" w:rsidRDefault="00C603A9" w:rsidP="00C603A9">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2F78B775" w14:textId="2FEC9D9C" w:rsidR="00C603A9" w:rsidRPr="00FA1A19" w:rsidRDefault="00C603A9" w:rsidP="00C603A9">
            <w:pPr>
              <w:pStyle w:val="TableColumnHeadingLeft"/>
              <w:keepNext/>
              <w:rPr>
                <w:lang w:val="en-CA"/>
              </w:rPr>
            </w:pPr>
            <w:r w:rsidRPr="00FA1A19">
              <w:t>Singapore</w:t>
            </w:r>
          </w:p>
        </w:tc>
        <w:tc>
          <w:tcPr>
            <w:tcW w:w="937" w:type="pct"/>
          </w:tcPr>
          <w:p w14:paraId="4522C6F0" w14:textId="23672757" w:rsidR="00C603A9" w:rsidRPr="00FA1A19" w:rsidDel="008D1EF2" w:rsidRDefault="00C603A9" w:rsidP="00C603A9">
            <w:pPr>
              <w:pStyle w:val="TableColumnHeadingLeft"/>
              <w:keepNext/>
              <w:cnfStyle w:val="000000100000" w:firstRow="0" w:lastRow="0" w:firstColumn="0" w:lastColumn="0" w:oddVBand="0" w:evenVBand="0" w:oddHBand="1"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6236D14F" w14:textId="475CFAE3" w:rsidR="00C603A9" w:rsidRPr="00FA1A19" w:rsidRDefault="00C603A9" w:rsidP="00C603A9">
            <w:pPr>
              <w:pStyle w:val="TableColumnHeadingLeft"/>
              <w:keepNext/>
            </w:pPr>
            <w:r w:rsidRPr="00FA1A19">
              <w:t>United States</w:t>
            </w:r>
          </w:p>
        </w:tc>
      </w:tr>
      <w:tr w:rsidR="00C603A9" w:rsidRPr="00E50B5B" w14:paraId="1197A70B"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1399AA3D" w14:textId="77777777" w:rsidR="00C603A9" w:rsidRPr="00E50B5B" w:rsidRDefault="00C603A9" w:rsidP="00C603A9">
            <w:pPr>
              <w:pStyle w:val="TableTextLeft"/>
              <w:rPr>
                <w:sz w:val="18"/>
                <w:szCs w:val="14"/>
                <w:lang w:val="en-CA"/>
              </w:rPr>
            </w:pPr>
            <w:r w:rsidRPr="00E50B5B">
              <w:rPr>
                <w:sz w:val="18"/>
                <w:szCs w:val="14"/>
                <w:lang w:val="en-CA"/>
              </w:rPr>
              <w:t xml:space="preserve">One aspect of </w:t>
            </w:r>
            <w:r>
              <w:rPr>
                <w:sz w:val="18"/>
                <w:szCs w:val="14"/>
                <w:lang w:val="en-CA"/>
              </w:rPr>
              <w:t>CRA’s</w:t>
            </w:r>
            <w:r w:rsidRPr="00E50B5B">
              <w:rPr>
                <w:sz w:val="18"/>
                <w:szCs w:val="14"/>
                <w:lang w:val="en-CA"/>
              </w:rPr>
              <w:t xml:space="preserve"> compliance strategy is data acquisition, with a focus on third</w:t>
            </w:r>
            <w:r w:rsidRPr="00E50B5B">
              <w:rPr>
                <w:sz w:val="18"/>
                <w:szCs w:val="14"/>
                <w:lang w:val="en-CA"/>
              </w:rPr>
              <w:noBreakHyphen/>
              <w:t xml:space="preserve">party data. </w:t>
            </w:r>
          </w:p>
          <w:p w14:paraId="222EA1B2" w14:textId="19B8C1F6" w:rsidR="00C603A9" w:rsidRPr="00E50B5B" w:rsidRDefault="00C603A9" w:rsidP="00C603A9">
            <w:pPr>
              <w:pStyle w:val="TableTextLeft"/>
              <w:rPr>
                <w:sz w:val="18"/>
                <w:szCs w:val="14"/>
              </w:rPr>
            </w:pPr>
            <w:r w:rsidRPr="00E50B5B">
              <w:rPr>
                <w:sz w:val="18"/>
                <w:szCs w:val="14"/>
                <w:lang w:val="en-CA"/>
              </w:rPr>
              <w:t>The CRA engages with domestic and international stakeholders and continues to develop products in order to keep taxpayers informed of new trends and to establish a comprehensive approach to addressing potential non</w:t>
            </w:r>
            <w:r w:rsidRPr="00E50B5B">
              <w:rPr>
                <w:sz w:val="18"/>
                <w:szCs w:val="14"/>
                <w:lang w:val="en-CA"/>
              </w:rPr>
              <w:noBreakHyphen/>
              <w:t xml:space="preserve">compliance. </w:t>
            </w:r>
          </w:p>
        </w:tc>
        <w:tc>
          <w:tcPr>
            <w:tcW w:w="937" w:type="pct"/>
          </w:tcPr>
          <w:p w14:paraId="5550239E" w14:textId="77777777" w:rsidR="00C603A9" w:rsidRPr="00E50B5B" w:rsidRDefault="00C603A9" w:rsidP="00C603A9">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NZ IR’s policy approach has been to identify the biggest pain points for taxpayers and legislate to provide certainty with respect to the uncertain application of existing laws to crypto assets. An example is the amendments enacted early 2022, retrospective to 2009, to exclude crypto assets from GST and NZ’s financial arrangements rules. </w:t>
            </w:r>
          </w:p>
          <w:p w14:paraId="7E735550" w14:textId="77777777" w:rsidR="00C603A9" w:rsidRDefault="00C603A9" w:rsidP="00C603A9">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The implementation of the CARF will help address the lack of visibility over and support greater tax compliance. </w:t>
            </w:r>
          </w:p>
          <w:p w14:paraId="33923A52" w14:textId="2D2EB268" w:rsidR="00C603A9" w:rsidRPr="00E50B5B" w:rsidRDefault="00C603A9" w:rsidP="00C603A9">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Pr>
                <w:sz w:val="18"/>
                <w:szCs w:val="14"/>
              </w:rPr>
              <w:t>Subject to resourcing and prioritisation as part of NZ IR’s tax policy work programme, NZ IR would like to explore simplified calculation methods for crypto assets or assist taxpayers in utilising software tools. NZ IR considers this would reduce compliance costs.</w:t>
            </w:r>
          </w:p>
        </w:tc>
        <w:tc>
          <w:tcPr>
            <w:cnfStyle w:val="000010000000" w:firstRow="0" w:lastRow="0" w:firstColumn="0" w:lastColumn="0" w:oddVBand="1" w:evenVBand="0" w:oddHBand="0" w:evenHBand="0" w:firstRowFirstColumn="0" w:firstRowLastColumn="0" w:lastRowFirstColumn="0" w:lastRowLastColumn="0"/>
            <w:tcW w:w="1158" w:type="pct"/>
          </w:tcPr>
          <w:p w14:paraId="379ECAC1" w14:textId="77777777" w:rsidR="00C603A9" w:rsidRPr="00E50B5B" w:rsidRDefault="00C603A9" w:rsidP="00C603A9">
            <w:pPr>
              <w:pStyle w:val="TableTextLeft"/>
              <w:rPr>
                <w:sz w:val="18"/>
                <w:szCs w:val="14"/>
              </w:rPr>
            </w:pPr>
            <w:r w:rsidRPr="00E50B5B">
              <w:rPr>
                <w:sz w:val="18"/>
                <w:szCs w:val="14"/>
              </w:rPr>
              <w:t>IRAS conducts regular environmental scanning and engagement with the industry association to understand the developments and update guidance for businesses where applicable.</w:t>
            </w:r>
          </w:p>
          <w:p w14:paraId="0172AA97" w14:textId="7CF81ADB" w:rsidR="00C603A9" w:rsidRPr="00E50B5B" w:rsidRDefault="00C603A9" w:rsidP="00C603A9">
            <w:pPr>
              <w:pStyle w:val="TableTextLeft"/>
              <w:rPr>
                <w:sz w:val="18"/>
                <w:szCs w:val="14"/>
              </w:rPr>
            </w:pPr>
            <w:r w:rsidRPr="00E50B5B">
              <w:rPr>
                <w:sz w:val="18"/>
                <w:szCs w:val="14"/>
              </w:rPr>
              <w:t>At the international level, if there can be guidance on proposed definitions, recommended GST treatment of the different classes of crypto assets and how the belonging status of customers can be accurately determined for crypto transactions, these would be helpful references.</w:t>
            </w:r>
          </w:p>
        </w:tc>
        <w:tc>
          <w:tcPr>
            <w:tcW w:w="937" w:type="pct"/>
          </w:tcPr>
          <w:p w14:paraId="1DC23E9C" w14:textId="77777777" w:rsidR="00C603A9" w:rsidRDefault="00C603A9" w:rsidP="00C603A9">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HMRC is exploring possible ways to address these risks, for example: </w:t>
            </w:r>
          </w:p>
          <w:p w14:paraId="3FE89F78" w14:textId="77777777" w:rsidR="00C603A9" w:rsidRDefault="00C603A9" w:rsidP="00C603A9">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improv</w:t>
            </w:r>
            <w:r>
              <w:rPr>
                <w:sz w:val="18"/>
                <w:szCs w:val="14"/>
              </w:rPr>
              <w:t>ing their</w:t>
            </w:r>
            <w:r w:rsidRPr="00E50B5B">
              <w:rPr>
                <w:sz w:val="18"/>
                <w:szCs w:val="14"/>
              </w:rPr>
              <w:t xml:space="preserve"> understanding of taxpayer’s experience</w:t>
            </w:r>
            <w:r>
              <w:rPr>
                <w:sz w:val="18"/>
                <w:szCs w:val="14"/>
              </w:rPr>
              <w:t>s</w:t>
            </w:r>
            <w:r w:rsidRPr="00E50B5B">
              <w:rPr>
                <w:sz w:val="18"/>
                <w:szCs w:val="14"/>
              </w:rPr>
              <w:t xml:space="preserve"> through research in various forms;</w:t>
            </w:r>
          </w:p>
          <w:p w14:paraId="5A3A8C4B" w14:textId="77777777" w:rsidR="00C603A9" w:rsidRDefault="00C603A9" w:rsidP="00C603A9">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improv</w:t>
            </w:r>
            <w:r>
              <w:rPr>
                <w:sz w:val="18"/>
                <w:szCs w:val="14"/>
              </w:rPr>
              <w:t>ing</w:t>
            </w:r>
            <w:r w:rsidRPr="00E50B5B">
              <w:rPr>
                <w:sz w:val="18"/>
                <w:szCs w:val="14"/>
              </w:rPr>
              <w:t xml:space="preserve"> taxpayer education through updated guidance, communications and working with the private sector to deliver educational pieces;</w:t>
            </w:r>
          </w:p>
          <w:p w14:paraId="132500F3" w14:textId="77777777" w:rsidR="00C603A9" w:rsidRDefault="00C603A9" w:rsidP="00C603A9">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making it easier for taxpayer</w:t>
            </w:r>
            <w:r>
              <w:rPr>
                <w:sz w:val="18"/>
                <w:szCs w:val="14"/>
              </w:rPr>
              <w:t>s</w:t>
            </w:r>
            <w:r w:rsidRPr="00E50B5B">
              <w:rPr>
                <w:sz w:val="18"/>
                <w:szCs w:val="14"/>
              </w:rPr>
              <w:t xml:space="preserve"> to comply with their obligation and harder to evade tax through improved compliance related data; and</w:t>
            </w:r>
          </w:p>
          <w:p w14:paraId="0DA22CBE" w14:textId="77777777" w:rsidR="00C603A9" w:rsidRPr="00E50B5B" w:rsidRDefault="00C603A9" w:rsidP="00C603A9">
            <w:pPr>
              <w:pStyle w:val="TableTextLeftBullet"/>
              <w:cnfStyle w:val="000000000000" w:firstRow="0" w:lastRow="0" w:firstColumn="0" w:lastColumn="0" w:oddVBand="0" w:evenVBand="0" w:oddHBand="0" w:evenHBand="0" w:firstRowFirstColumn="0" w:firstRowLastColumn="0" w:lastRowFirstColumn="0" w:lastRowLastColumn="0"/>
              <w:rPr>
                <w:sz w:val="18"/>
                <w:szCs w:val="14"/>
              </w:rPr>
            </w:pPr>
            <w:r w:rsidRPr="72F4777C">
              <w:rPr>
                <w:sz w:val="18"/>
                <w:szCs w:val="18"/>
              </w:rPr>
              <w:t xml:space="preserve">upskilling staff to be more confident in recognising and dealing with crypto asset related challenges. </w:t>
            </w:r>
          </w:p>
          <w:p w14:paraId="3193D7A2" w14:textId="5F255B57" w:rsidR="00C603A9" w:rsidRPr="00E50B5B" w:rsidRDefault="00C603A9" w:rsidP="00C603A9">
            <w:pPr>
              <w:pStyle w:val="TableTextLeft"/>
              <w:cnfStyle w:val="000000000000" w:firstRow="0" w:lastRow="0" w:firstColumn="0" w:lastColumn="0" w:oddVBand="0" w:evenVBand="0" w:oddHBand="0" w:evenHBand="0" w:firstRowFirstColumn="0" w:firstRowLastColumn="0" w:lastRowFirstColumn="0" w:lastRowLastColumn="0"/>
              <w:rPr>
                <w:sz w:val="18"/>
                <w:szCs w:val="14"/>
              </w:rPr>
            </w:pPr>
            <w:r w:rsidRPr="00E50B5B">
              <w:rPr>
                <w:sz w:val="18"/>
                <w:szCs w:val="14"/>
              </w:rPr>
              <w:t xml:space="preserve">In addition, they also aim to address issues as and when they emerge. For example, HMRC ran </w:t>
            </w:r>
            <w:r>
              <w:rPr>
                <w:sz w:val="18"/>
                <w:szCs w:val="14"/>
              </w:rPr>
              <w:t xml:space="preserve">a </w:t>
            </w:r>
            <w:r w:rsidRPr="00E50B5B">
              <w:rPr>
                <w:sz w:val="18"/>
                <w:szCs w:val="14"/>
              </w:rPr>
              <w:t xml:space="preserve">call for evidence and consultation on the taxation of decentralised finance, with an aim of simplifying the tax rules applicable to these transactions. </w:t>
            </w:r>
          </w:p>
        </w:tc>
        <w:tc>
          <w:tcPr>
            <w:cnfStyle w:val="000010000000" w:firstRow="0" w:lastRow="0" w:firstColumn="0" w:lastColumn="0" w:oddVBand="1" w:evenVBand="0" w:oddHBand="0" w:evenHBand="0" w:firstRowFirstColumn="0" w:firstRowLastColumn="0" w:lastRowFirstColumn="0" w:lastRowLastColumn="0"/>
            <w:tcW w:w="977" w:type="pct"/>
          </w:tcPr>
          <w:p w14:paraId="73334980" w14:textId="354E7418" w:rsidR="00C603A9" w:rsidRPr="00E50B5B" w:rsidRDefault="00C603A9" w:rsidP="00C603A9">
            <w:pPr>
              <w:pStyle w:val="TableTextLeft"/>
              <w:rPr>
                <w:sz w:val="18"/>
                <w:szCs w:val="14"/>
              </w:rPr>
            </w:pPr>
            <w:r>
              <w:rPr>
                <w:sz w:val="18"/>
                <w:szCs w:val="14"/>
              </w:rPr>
              <w:t>The IRS notes that an</w:t>
            </w:r>
            <w:r w:rsidRPr="00E50B5B">
              <w:rPr>
                <w:sz w:val="18"/>
                <w:szCs w:val="14"/>
              </w:rPr>
              <w:t xml:space="preserve"> information reporting regime requiring reporting to the IRS on digital asset transactions by brokers would benefit tax compliance by helping to close the information gap with respect to digital assets. Congress passed the </w:t>
            </w:r>
            <w:r w:rsidRPr="00E50B5B">
              <w:rPr>
                <w:rStyle w:val="Emphasis"/>
                <w:sz w:val="18"/>
                <w:szCs w:val="14"/>
              </w:rPr>
              <w:t>Infrastructure Investment and Jobs Act</w:t>
            </w:r>
            <w:r w:rsidRPr="00E50B5B">
              <w:rPr>
                <w:sz w:val="18"/>
                <w:szCs w:val="14"/>
              </w:rPr>
              <w:t xml:space="preserve"> in November 2021, which – once implementing regulations are finali</w:t>
            </w:r>
            <w:r>
              <w:rPr>
                <w:sz w:val="18"/>
                <w:szCs w:val="14"/>
              </w:rPr>
              <w:t>s</w:t>
            </w:r>
            <w:r w:rsidRPr="00E50B5B">
              <w:rPr>
                <w:sz w:val="18"/>
                <w:szCs w:val="14"/>
              </w:rPr>
              <w:t>ed – will extend the information reporting rules to digital asset brokers. Once separate implementing regulations are proposed and finali</w:t>
            </w:r>
            <w:r>
              <w:rPr>
                <w:sz w:val="18"/>
                <w:szCs w:val="14"/>
              </w:rPr>
              <w:t>s</w:t>
            </w:r>
            <w:r w:rsidRPr="00E50B5B">
              <w:rPr>
                <w:sz w:val="18"/>
                <w:szCs w:val="14"/>
              </w:rPr>
              <w:t xml:space="preserve">ed, this legislation will also require information reporting by persons operating trades or businesses that receive over </w:t>
            </w:r>
            <w:r>
              <w:rPr>
                <w:sz w:val="18"/>
                <w:szCs w:val="14"/>
              </w:rPr>
              <w:t xml:space="preserve">USD </w:t>
            </w:r>
            <w:r w:rsidRPr="00E50B5B">
              <w:rPr>
                <w:sz w:val="18"/>
                <w:szCs w:val="14"/>
              </w:rPr>
              <w:t>10,000 in cash, which for purposes of this rule only, includes digital assets.</w:t>
            </w:r>
            <w:r w:rsidRPr="00E50B5B">
              <w:rPr>
                <w:sz w:val="18"/>
                <w:szCs w:val="14"/>
                <w:lang w:val="en-CA"/>
              </w:rPr>
              <w:t xml:space="preserve"> </w:t>
            </w:r>
          </w:p>
        </w:tc>
      </w:tr>
      <w:tr w:rsidR="00CA0C83" w:rsidRPr="00FA1A19" w14:paraId="7072616B"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142147" w:themeFill="accent1"/>
          </w:tcPr>
          <w:p w14:paraId="01F00813" w14:textId="6F8F7B73" w:rsidR="00CA0C83" w:rsidRPr="00FA1A19" w:rsidRDefault="00CA0C83" w:rsidP="00F724BA">
            <w:pPr>
              <w:pStyle w:val="TableColumnHeadingLeft"/>
              <w:keepNext/>
            </w:pPr>
            <w:r w:rsidRPr="00FA1A19">
              <w:rPr>
                <w:sz w:val="20"/>
                <w:szCs w:val="20"/>
              </w:rPr>
              <w:br w:type="page"/>
            </w:r>
            <w:r w:rsidR="00F724BA">
              <w:rPr>
                <w:sz w:val="20"/>
                <w:szCs w:val="20"/>
              </w:rPr>
              <w:t xml:space="preserve">10. </w:t>
            </w:r>
            <w:r w:rsidRPr="00FA1A19">
              <w:t>What aspects of taxing crypto assets have been managed successfully by the Revenue agency and the jurisdiction</w:t>
            </w:r>
            <w:r w:rsidR="00F75232">
              <w:t>’</w:t>
            </w:r>
            <w:r w:rsidRPr="00FA1A19">
              <w:t>s Federal Government, and are there any particular features of the jurisdiction</w:t>
            </w:r>
            <w:r w:rsidR="00F75232">
              <w:t>’</w:t>
            </w:r>
            <w:r w:rsidRPr="00FA1A19">
              <w:t>s tax system or its administration which have been particularly beneficial in relation to the taxation of crypto assets and their associated transactions?</w:t>
            </w:r>
          </w:p>
        </w:tc>
      </w:tr>
      <w:tr w:rsidR="006930CE" w:rsidRPr="00FA1A19" w14:paraId="3AA0E520" w14:textId="77777777" w:rsidTr="0098550D">
        <w:tc>
          <w:tcPr>
            <w:cnfStyle w:val="000010000000" w:firstRow="0" w:lastRow="0" w:firstColumn="0" w:lastColumn="0" w:oddVBand="1" w:evenVBand="0" w:oddHBand="0" w:evenHBand="0" w:firstRowFirstColumn="0" w:firstRowLastColumn="0" w:lastRowFirstColumn="0" w:lastRowLastColumn="0"/>
            <w:tcW w:w="991" w:type="pct"/>
          </w:tcPr>
          <w:p w14:paraId="6F103FA1" w14:textId="1DC87AE9" w:rsidR="006930CE" w:rsidRPr="00FA1A19" w:rsidRDefault="006930CE" w:rsidP="006930CE">
            <w:pPr>
              <w:pStyle w:val="TableColumnHeadingLeft"/>
              <w:keepNext/>
            </w:pPr>
            <w:r w:rsidRPr="00FA1A19">
              <w:t>Canada</w:t>
            </w:r>
          </w:p>
        </w:tc>
        <w:tc>
          <w:tcPr>
            <w:tcW w:w="937" w:type="pct"/>
          </w:tcPr>
          <w:p w14:paraId="5D65FAB3" w14:textId="2F200D58" w:rsidR="006930CE" w:rsidRPr="00FA1A19" w:rsidRDefault="006930CE" w:rsidP="006930CE">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 xml:space="preserve">New Zealand </w:t>
            </w:r>
          </w:p>
        </w:tc>
        <w:tc>
          <w:tcPr>
            <w:cnfStyle w:val="000010000000" w:firstRow="0" w:lastRow="0" w:firstColumn="0" w:lastColumn="0" w:oddVBand="1" w:evenVBand="0" w:oddHBand="0" w:evenHBand="0" w:firstRowFirstColumn="0" w:firstRowLastColumn="0" w:lastRowFirstColumn="0" w:lastRowLastColumn="0"/>
            <w:tcW w:w="1158" w:type="pct"/>
          </w:tcPr>
          <w:p w14:paraId="2C4F7E91" w14:textId="7BACB47E" w:rsidR="006930CE" w:rsidRPr="00FA1A19" w:rsidDel="002329EE" w:rsidRDefault="006930CE" w:rsidP="006930CE">
            <w:pPr>
              <w:pStyle w:val="TableColumnHeadingLeft"/>
              <w:keepNext/>
              <w:rPr>
                <w:lang w:val="en-CA"/>
              </w:rPr>
            </w:pPr>
            <w:r w:rsidRPr="00FA1A19">
              <w:t>Singapore</w:t>
            </w:r>
          </w:p>
        </w:tc>
        <w:tc>
          <w:tcPr>
            <w:tcW w:w="937" w:type="pct"/>
          </w:tcPr>
          <w:p w14:paraId="00B75CD7" w14:textId="2B954993" w:rsidR="006930CE" w:rsidRPr="00FA1A19" w:rsidRDefault="006930CE" w:rsidP="006930CE">
            <w:pPr>
              <w:pStyle w:val="TableColumnHeadingLeft"/>
              <w:keepNext/>
              <w:cnfStyle w:val="000000000000" w:firstRow="0" w:lastRow="0" w:firstColumn="0" w:lastColumn="0" w:oddVBand="0" w:evenVBand="0" w:oddHBand="0" w:evenHBand="0" w:firstRowFirstColumn="0" w:firstRowLastColumn="0" w:lastRowFirstColumn="0" w:lastRowLastColumn="0"/>
            </w:pPr>
            <w:r w:rsidRPr="00FA1A19">
              <w:t>United Kingdom</w:t>
            </w:r>
          </w:p>
        </w:tc>
        <w:tc>
          <w:tcPr>
            <w:cnfStyle w:val="000010000000" w:firstRow="0" w:lastRow="0" w:firstColumn="0" w:lastColumn="0" w:oddVBand="1" w:evenVBand="0" w:oddHBand="0" w:evenHBand="0" w:firstRowFirstColumn="0" w:firstRowLastColumn="0" w:lastRowFirstColumn="0" w:lastRowLastColumn="0"/>
            <w:tcW w:w="977" w:type="pct"/>
          </w:tcPr>
          <w:p w14:paraId="1571679E" w14:textId="1934535D" w:rsidR="006930CE" w:rsidRPr="00FA1A19" w:rsidRDefault="006930CE" w:rsidP="006930CE">
            <w:pPr>
              <w:pStyle w:val="TableColumnHeadingLeft"/>
              <w:keepNext/>
            </w:pPr>
            <w:r w:rsidRPr="00FA1A19">
              <w:t>United States</w:t>
            </w:r>
          </w:p>
        </w:tc>
      </w:tr>
      <w:tr w:rsidR="006930CE" w:rsidRPr="00E50B5B" w14:paraId="6FBFFB53" w14:textId="77777777" w:rsidTr="00985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1" w:type="pct"/>
          </w:tcPr>
          <w:p w14:paraId="0CCDCA47" w14:textId="77777777" w:rsidR="006930CE" w:rsidRPr="00E50B5B" w:rsidRDefault="006930CE" w:rsidP="006930CE">
            <w:pPr>
              <w:pStyle w:val="TableTextLeft"/>
              <w:rPr>
                <w:sz w:val="18"/>
                <w:szCs w:val="14"/>
                <w:lang w:val="en-CA"/>
              </w:rPr>
            </w:pPr>
            <w:r w:rsidRPr="00E50B5B">
              <w:rPr>
                <w:sz w:val="18"/>
                <w:szCs w:val="14"/>
                <w:lang w:val="en-CA"/>
              </w:rPr>
              <w:t>The CRA has clearly communicated tax positions and developments to the community including that cryptocurrency is not legal tender and if it is used to pay for goods and services</w:t>
            </w:r>
            <w:r>
              <w:rPr>
                <w:sz w:val="18"/>
                <w:szCs w:val="14"/>
                <w:lang w:val="en-CA"/>
              </w:rPr>
              <w:t>,</w:t>
            </w:r>
            <w:r w:rsidRPr="00E50B5B">
              <w:rPr>
                <w:sz w:val="18"/>
                <w:szCs w:val="14"/>
                <w:lang w:val="en-CA"/>
              </w:rPr>
              <w:t xml:space="preserve"> the barter rules apply. Additionally, legislative amendments have addressed the GST/HST application of crypto asset transactions.</w:t>
            </w:r>
          </w:p>
          <w:p w14:paraId="4982E1F7" w14:textId="4D3D701C" w:rsidR="006930CE" w:rsidRPr="00E50B5B" w:rsidRDefault="006930CE" w:rsidP="006930CE">
            <w:pPr>
              <w:pStyle w:val="TableTextLeft"/>
              <w:rPr>
                <w:rFonts w:eastAsia="Calibri"/>
                <w:sz w:val="18"/>
                <w:szCs w:val="14"/>
              </w:rPr>
            </w:pPr>
            <w:r w:rsidRPr="00E50B5B">
              <w:rPr>
                <w:sz w:val="18"/>
                <w:szCs w:val="14"/>
                <w:lang w:val="en-CA"/>
              </w:rPr>
              <w:t>The use of third</w:t>
            </w:r>
            <w:r w:rsidRPr="00E50B5B">
              <w:rPr>
                <w:sz w:val="18"/>
                <w:szCs w:val="14"/>
                <w:lang w:val="en-CA"/>
              </w:rPr>
              <w:noBreakHyphen/>
              <w:t>party requirements and exchange of information has been beneficial to the CRA in identifying potential non</w:t>
            </w:r>
            <w:r w:rsidRPr="00E50B5B">
              <w:rPr>
                <w:sz w:val="18"/>
                <w:szCs w:val="14"/>
                <w:lang w:val="en-CA"/>
              </w:rPr>
              <w:noBreakHyphen/>
              <w:t>compliant taxpayers and in understanding the tax gap in the crypto</w:t>
            </w:r>
            <w:r w:rsidRPr="00E50B5B">
              <w:rPr>
                <w:sz w:val="18"/>
                <w:szCs w:val="14"/>
                <w:lang w:val="en-CA"/>
              </w:rPr>
              <w:noBreakHyphen/>
              <w:t>asset space.</w:t>
            </w:r>
          </w:p>
        </w:tc>
        <w:tc>
          <w:tcPr>
            <w:tcW w:w="937" w:type="pct"/>
          </w:tcPr>
          <w:p w14:paraId="6C146A3C" w14:textId="77777777" w:rsidR="006930CE" w:rsidRPr="00E50B5B" w:rsidRDefault="006930CE" w:rsidP="006930CE">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Pr>
                <w:sz w:val="18"/>
                <w:szCs w:val="14"/>
              </w:rPr>
              <w:t>NZ IR considered that f</w:t>
            </w:r>
            <w:r w:rsidRPr="00E50B5B">
              <w:rPr>
                <w:sz w:val="18"/>
                <w:szCs w:val="14"/>
              </w:rPr>
              <w:t>rom a policy perspective, legislating to exclude crypto assets from GST and the financial arrangements rules</w:t>
            </w:r>
            <w:r>
              <w:rPr>
                <w:sz w:val="18"/>
                <w:szCs w:val="14"/>
              </w:rPr>
              <w:t xml:space="preserve"> was a significant success</w:t>
            </w:r>
            <w:r w:rsidRPr="00E50B5B">
              <w:rPr>
                <w:sz w:val="18"/>
                <w:szCs w:val="14"/>
              </w:rPr>
              <w:t>.</w:t>
            </w:r>
          </w:p>
          <w:p w14:paraId="1AE7B976" w14:textId="0E02D97A" w:rsidR="006930CE" w:rsidRPr="00E50B5B" w:rsidRDefault="006930CE" w:rsidP="006930CE">
            <w:pPr>
              <w:pStyle w:val="TableTextLeft"/>
              <w:cnfStyle w:val="000000100000" w:firstRow="0" w:lastRow="0" w:firstColumn="0" w:lastColumn="0" w:oddVBand="0" w:evenVBand="0" w:oddHBand="1" w:evenHBand="0" w:firstRowFirstColumn="0" w:firstRowLastColumn="0" w:lastRowFirstColumn="0" w:lastRowLastColumn="0"/>
              <w:rPr>
                <w:sz w:val="18"/>
                <w:szCs w:val="14"/>
              </w:rPr>
            </w:pPr>
            <w:r>
              <w:rPr>
                <w:sz w:val="18"/>
                <w:szCs w:val="14"/>
              </w:rPr>
              <w:t>Additionally, e</w:t>
            </w:r>
            <w:r w:rsidRPr="00E50B5B">
              <w:rPr>
                <w:sz w:val="18"/>
                <w:szCs w:val="14"/>
              </w:rPr>
              <w:t>ducation is the key piece of work, which continues to evolve with the crypto asset ecosystem. Education needs to be supported with direct interventions for non</w:t>
            </w:r>
            <w:r w:rsidRPr="00E50B5B">
              <w:rPr>
                <w:sz w:val="18"/>
                <w:szCs w:val="14"/>
              </w:rPr>
              <w:noBreakHyphen/>
              <w:t>compliance and NZ IR is trying to be very targeted with this approach, including identifying a group of top crypto assets users/investors to use as a control group to understand crypto asset compliance and the flow</w:t>
            </w:r>
            <w:r w:rsidRPr="00E50B5B">
              <w:rPr>
                <w:sz w:val="18"/>
                <w:szCs w:val="14"/>
              </w:rPr>
              <w:noBreakHyphen/>
              <w:t>on effects of intervention on the wider crypto asset ecosystem.</w:t>
            </w:r>
          </w:p>
        </w:tc>
        <w:tc>
          <w:tcPr>
            <w:cnfStyle w:val="000010000000" w:firstRow="0" w:lastRow="0" w:firstColumn="0" w:lastColumn="0" w:oddVBand="1" w:evenVBand="0" w:oddHBand="0" w:evenHBand="0" w:firstRowFirstColumn="0" w:firstRowLastColumn="0" w:lastRowFirstColumn="0" w:lastRowLastColumn="0"/>
            <w:tcW w:w="1158" w:type="pct"/>
          </w:tcPr>
          <w:p w14:paraId="5C8605CE" w14:textId="77777777" w:rsidR="006930CE" w:rsidRPr="00E50B5B" w:rsidRDefault="006930CE" w:rsidP="006930CE">
            <w:pPr>
              <w:pStyle w:val="TableTextLeft"/>
              <w:rPr>
                <w:sz w:val="18"/>
                <w:szCs w:val="14"/>
              </w:rPr>
            </w:pPr>
            <w:r w:rsidRPr="00E50B5B">
              <w:rPr>
                <w:sz w:val="18"/>
                <w:szCs w:val="14"/>
              </w:rPr>
              <w:t xml:space="preserve">IRAS regularly monitors and reviews the tax treatment in relation to digital tokens, and issues guidance published on its website. IRAS considers it important to provide certainty and clear rules without imposing onerous compliance burdens and stifling innovation. </w:t>
            </w:r>
          </w:p>
          <w:p w14:paraId="58D20307" w14:textId="5A523549" w:rsidR="006930CE" w:rsidRPr="00E50B5B" w:rsidRDefault="006930CE" w:rsidP="00AA49F0">
            <w:pPr>
              <w:pStyle w:val="TableTextLeftBullet"/>
              <w:numPr>
                <w:ilvl w:val="0"/>
                <w:numId w:val="0"/>
              </w:numPr>
              <w:rPr>
                <w:sz w:val="18"/>
                <w:szCs w:val="14"/>
              </w:rPr>
            </w:pPr>
            <w:r w:rsidRPr="00E50B5B">
              <w:rPr>
                <w:sz w:val="18"/>
                <w:szCs w:val="14"/>
              </w:rPr>
              <w:t>For GST purposes, changes made</w:t>
            </w:r>
            <w:r w:rsidR="00587717">
              <w:rPr>
                <w:sz w:val="18"/>
                <w:szCs w:val="14"/>
              </w:rPr>
              <w:t xml:space="preserve"> </w:t>
            </w:r>
            <w:r w:rsidRPr="00E50B5B">
              <w:rPr>
                <w:sz w:val="18"/>
                <w:szCs w:val="14"/>
              </w:rPr>
              <w:t>from Jan</w:t>
            </w:r>
            <w:r>
              <w:rPr>
                <w:sz w:val="18"/>
                <w:szCs w:val="14"/>
              </w:rPr>
              <w:t>uary</w:t>
            </w:r>
            <w:r w:rsidRPr="00E50B5B">
              <w:rPr>
                <w:sz w:val="18"/>
                <w:szCs w:val="14"/>
              </w:rPr>
              <w:t xml:space="preserve"> 2020 simplified the tax treatment and reduced the compliance burden for digital payment tokens with no GST to be collected on their sale/ use as payment. In addition, business who derive supplies solely from the exchange of digital payment token or use it as payment are exempted from the requirement to register for GST.</w:t>
            </w:r>
          </w:p>
        </w:tc>
        <w:tc>
          <w:tcPr>
            <w:tcW w:w="937" w:type="pct"/>
          </w:tcPr>
          <w:p w14:paraId="4812FBCD" w14:textId="77777777" w:rsidR="006930CE" w:rsidRPr="00A720E1" w:rsidRDefault="006930CE" w:rsidP="006930CE">
            <w:pPr>
              <w:pStyle w:val="TableTextLeftBullet"/>
              <w:numPr>
                <w:ilvl w:val="0"/>
                <w:numId w:val="0"/>
              </w:numPr>
              <w:cnfStyle w:val="000000100000" w:firstRow="0" w:lastRow="0" w:firstColumn="0" w:lastColumn="0" w:oddVBand="0" w:evenVBand="0" w:oddHBand="1" w:evenHBand="0" w:firstRowFirstColumn="0" w:firstRowLastColumn="0" w:lastRowFirstColumn="0" w:lastRowLastColumn="0"/>
              <w:rPr>
                <w:sz w:val="18"/>
                <w:szCs w:val="14"/>
              </w:rPr>
            </w:pPr>
            <w:r w:rsidRPr="00A720E1">
              <w:rPr>
                <w:sz w:val="18"/>
                <w:szCs w:val="14"/>
              </w:rPr>
              <w:t>UK operates a Self</w:t>
            </w:r>
            <w:r w:rsidRPr="00A720E1">
              <w:rPr>
                <w:sz w:val="18"/>
                <w:szCs w:val="14"/>
              </w:rPr>
              <w:noBreakHyphen/>
              <w:t>Assessment</w:t>
            </w:r>
            <w:r>
              <w:rPr>
                <w:sz w:val="18"/>
                <w:szCs w:val="14"/>
              </w:rPr>
              <w:t xml:space="preserve"> </w:t>
            </w:r>
            <w:r w:rsidRPr="00A720E1">
              <w:rPr>
                <w:sz w:val="18"/>
                <w:szCs w:val="14"/>
              </w:rPr>
              <w:t>system for tax collection, such that taxpayers are responsible for completing a tax return each year if they need to, and for paying any tax due for that tax year.</w:t>
            </w:r>
          </w:p>
          <w:p w14:paraId="1B52B33A" w14:textId="77777777" w:rsidR="006930CE" w:rsidRPr="00E50B5B" w:rsidRDefault="006930CE" w:rsidP="006930CE">
            <w:pPr>
              <w:pStyle w:val="TableTextLeftBullet"/>
              <w:numPr>
                <w:ilvl w:val="0"/>
                <w:numId w:val="0"/>
              </w:numPr>
              <w:cnfStyle w:val="000000100000" w:firstRow="0" w:lastRow="0" w:firstColumn="0" w:lastColumn="0" w:oddVBand="0" w:evenVBand="0" w:oddHBand="1" w:evenHBand="0" w:firstRowFirstColumn="0" w:firstRowLastColumn="0" w:lastRowFirstColumn="0" w:lastRowLastColumn="0"/>
              <w:rPr>
                <w:sz w:val="18"/>
                <w:szCs w:val="14"/>
              </w:rPr>
            </w:pPr>
            <w:r w:rsidRPr="00E50B5B">
              <w:rPr>
                <w:sz w:val="18"/>
                <w:szCs w:val="14"/>
              </w:rPr>
              <w:t xml:space="preserve">There have been the following successes and active pieces of work: </w:t>
            </w:r>
          </w:p>
          <w:p w14:paraId="4EB2840C" w14:textId="77777777" w:rsidR="006930CE" w:rsidRPr="00E50B5B" w:rsidRDefault="006930CE" w:rsidP="006930CE">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P</w:t>
            </w:r>
            <w:r w:rsidRPr="00E50629">
              <w:rPr>
                <w:sz w:val="18"/>
                <w:szCs w:val="18"/>
              </w:rPr>
              <w:t>ublication</w:t>
            </w:r>
            <w:r w:rsidRPr="00E50B5B">
              <w:rPr>
                <w:sz w:val="18"/>
                <w:szCs w:val="18"/>
              </w:rPr>
              <w:t xml:space="preserve"> of market research into the crypto asset industry</w:t>
            </w:r>
            <w:r w:rsidRPr="72F4777C">
              <w:rPr>
                <w:sz w:val="18"/>
                <w:szCs w:val="18"/>
              </w:rPr>
              <w:t>.</w:t>
            </w:r>
            <w:r w:rsidRPr="00A720E1">
              <w:rPr>
                <w:sz w:val="18"/>
                <w:szCs w:val="14"/>
                <w:vertAlign w:val="superscript"/>
              </w:rPr>
              <w:footnoteReference w:id="727"/>
            </w:r>
            <w:r w:rsidRPr="00A720E1">
              <w:rPr>
                <w:sz w:val="18"/>
                <w:szCs w:val="18"/>
                <w:vertAlign w:val="superscript"/>
              </w:rPr>
              <w:t xml:space="preserve"> </w:t>
            </w:r>
          </w:p>
          <w:p w14:paraId="3180A13E" w14:textId="77777777" w:rsidR="006930CE" w:rsidRDefault="006930CE" w:rsidP="006930CE">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Pr>
                <w:sz w:val="18"/>
                <w:szCs w:val="14"/>
              </w:rPr>
              <w:t>P</w:t>
            </w:r>
            <w:r w:rsidRPr="00A720E1">
              <w:rPr>
                <w:sz w:val="18"/>
                <w:szCs w:val="14"/>
              </w:rPr>
              <w:t>ublication</w:t>
            </w:r>
            <w:r w:rsidRPr="00E50B5B">
              <w:rPr>
                <w:sz w:val="18"/>
                <w:szCs w:val="14"/>
              </w:rPr>
              <w:t xml:space="preserve"> of guidance, including on Decentralised Finance</w:t>
            </w:r>
            <w:r>
              <w:rPr>
                <w:sz w:val="18"/>
                <w:szCs w:val="14"/>
              </w:rPr>
              <w:t>.</w:t>
            </w:r>
            <w:r w:rsidRPr="00A720E1">
              <w:rPr>
                <w:sz w:val="18"/>
                <w:szCs w:val="14"/>
                <w:vertAlign w:val="superscript"/>
              </w:rPr>
              <w:footnoteReference w:id="728"/>
            </w:r>
          </w:p>
          <w:p w14:paraId="2E99E598" w14:textId="5951B585" w:rsidR="00587717" w:rsidRPr="00587717" w:rsidRDefault="006930CE" w:rsidP="00587717">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A</w:t>
            </w:r>
            <w:r w:rsidRPr="00A720E1">
              <w:rPr>
                <w:sz w:val="18"/>
                <w:szCs w:val="18"/>
              </w:rPr>
              <w:t>nnouncement of Self</w:t>
            </w:r>
            <w:r w:rsidRPr="00A720E1">
              <w:rPr>
                <w:sz w:val="18"/>
                <w:szCs w:val="14"/>
              </w:rPr>
              <w:noBreakHyphen/>
            </w:r>
            <w:r w:rsidRPr="00A720E1">
              <w:rPr>
                <w:sz w:val="18"/>
                <w:szCs w:val="18"/>
              </w:rPr>
              <w:t>Assessment form changes, adding information on crypto assets as a unique asset of consideration</w:t>
            </w:r>
            <w:r w:rsidRPr="72F4777C">
              <w:rPr>
                <w:sz w:val="18"/>
                <w:szCs w:val="18"/>
              </w:rPr>
              <w:t>.</w:t>
            </w:r>
            <w:r>
              <w:rPr>
                <w:rStyle w:val="FootnoteReference"/>
              </w:rPr>
              <w:footnoteReference w:id="729"/>
            </w:r>
          </w:p>
          <w:p w14:paraId="07E2ADB2" w14:textId="26380B96" w:rsidR="006930CE" w:rsidRPr="00E50B5B" w:rsidRDefault="006930CE" w:rsidP="00AA49F0">
            <w:pPr>
              <w:pStyle w:val="TableTextLeftBullet"/>
              <w:cnfStyle w:val="000000100000" w:firstRow="0" w:lastRow="0" w:firstColumn="0" w:lastColumn="0" w:oddVBand="0" w:evenVBand="0" w:oddHBand="1" w:evenHBand="0" w:firstRowFirstColumn="0" w:firstRowLastColumn="0" w:lastRowFirstColumn="0" w:lastRowLastColumn="0"/>
              <w:rPr>
                <w:sz w:val="18"/>
                <w:szCs w:val="14"/>
              </w:rPr>
            </w:pPr>
            <w:r w:rsidRPr="72F4777C">
              <w:rPr>
                <w:sz w:val="18"/>
                <w:szCs w:val="18"/>
              </w:rPr>
              <w:t>Launch of crypto disclosure facility.</w:t>
            </w:r>
          </w:p>
        </w:tc>
        <w:tc>
          <w:tcPr>
            <w:cnfStyle w:val="000010000000" w:firstRow="0" w:lastRow="0" w:firstColumn="0" w:lastColumn="0" w:oddVBand="1" w:evenVBand="0" w:oddHBand="0" w:evenHBand="0" w:firstRowFirstColumn="0" w:firstRowLastColumn="0" w:lastRowFirstColumn="0" w:lastRowLastColumn="0"/>
            <w:tcW w:w="977" w:type="pct"/>
          </w:tcPr>
          <w:p w14:paraId="1E2E42A8" w14:textId="0CE108D3" w:rsidR="006930CE" w:rsidRPr="00E50B5B" w:rsidRDefault="006930CE" w:rsidP="006930CE">
            <w:pPr>
              <w:pStyle w:val="TableTextLeft"/>
              <w:rPr>
                <w:sz w:val="18"/>
                <w:szCs w:val="14"/>
              </w:rPr>
            </w:pPr>
            <w:r w:rsidRPr="00E50B5B">
              <w:rPr>
                <w:sz w:val="18"/>
                <w:szCs w:val="14"/>
              </w:rPr>
              <w:t xml:space="preserve">Successful management of digital asset taxation is yet to be able to be measured as the tax gap relative to digital asset activity is unknown. The IRS has seen an increase in the numbers of individuals who are checking the box on the front of the Form 1040 that was first established on Schedule 1 of 2019 Form 1040 to identify if they received or engaged in any transactions involving digital crypto assets during the year. However, the level of compliance of those who are not checking the box, and whether they have digital asset reportable transactions, is not known at </w:t>
            </w:r>
            <w:r>
              <w:rPr>
                <w:sz w:val="18"/>
                <w:szCs w:val="14"/>
              </w:rPr>
              <w:t>the time of the IRS response</w:t>
            </w:r>
            <w:r w:rsidRPr="00E50B5B">
              <w:rPr>
                <w:sz w:val="18"/>
                <w:szCs w:val="14"/>
              </w:rPr>
              <w:t>.</w:t>
            </w:r>
          </w:p>
        </w:tc>
      </w:tr>
    </w:tbl>
    <w:p w14:paraId="29C72169" w14:textId="77777777" w:rsidR="00E65C6E" w:rsidRDefault="00E65C6E" w:rsidP="00E65C6E">
      <w:pPr>
        <w:spacing w:after="0"/>
      </w:pPr>
    </w:p>
    <w:sectPr w:rsidR="00E65C6E" w:rsidSect="00320772">
      <w:headerReference w:type="default" r:id="rId114"/>
      <w:footerReference w:type="default" r:id="rId115"/>
      <w:pgSz w:w="16834" w:h="11909" w:orient="landscape" w:code="9"/>
      <w:pgMar w:top="1134" w:right="1985" w:bottom="1134" w:left="1985"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260E" w14:textId="77777777" w:rsidR="00E34BE0" w:rsidRDefault="00E34BE0">
      <w:r>
        <w:separator/>
      </w:r>
    </w:p>
  </w:endnote>
  <w:endnote w:type="continuationSeparator" w:id="0">
    <w:p w14:paraId="1E47F28A" w14:textId="77777777" w:rsidR="00E34BE0" w:rsidRDefault="00E34BE0">
      <w:r>
        <w:continuationSeparator/>
      </w:r>
    </w:p>
  </w:endnote>
  <w:endnote w:type="continuationNotice" w:id="1">
    <w:p w14:paraId="5E8EFD4C" w14:textId="77777777" w:rsidR="00E34BE0" w:rsidRDefault="00E34B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Y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3058" w14:textId="77777777" w:rsidR="00D3340C" w:rsidRDefault="00D3340C">
    <w:pPr>
      <w:pStyle w:val="FooterEven"/>
      <w:rPr>
        <w:rStyle w:val="PageNumber"/>
      </w:rPr>
    </w:pPr>
    <w:r>
      <w:t xml:space="preserve">Page </w:t>
    </w:r>
    <w:r w:rsidR="00841199">
      <w:rPr>
        <w:rStyle w:val="PageNumber"/>
      </w:rPr>
      <w:fldChar w:fldCharType="begin"/>
    </w:r>
    <w:r>
      <w:rPr>
        <w:rStyle w:val="PageNumber"/>
      </w:rPr>
      <w:instrText xml:space="preserve"> PAGE </w:instrText>
    </w:r>
    <w:r w:rsidR="00841199">
      <w:rPr>
        <w:rStyle w:val="PageNumber"/>
      </w:rPr>
      <w:fldChar w:fldCharType="separate"/>
    </w:r>
    <w:r w:rsidR="00A43962">
      <w:rPr>
        <w:rStyle w:val="PageNumber"/>
        <w:noProof/>
      </w:rPr>
      <w:t>2</w:t>
    </w:r>
    <w:r w:rsidR="00841199">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9E27" w14:textId="77777777" w:rsidR="001D6A8A" w:rsidRDefault="001D6A8A" w:rsidP="005E0DC1">
    <w:pPr>
      <w:pStyle w:val="FooterOdd"/>
    </w:pPr>
    <w:r w:rsidRPr="00912467">
      <w:t>Page</w:t>
    </w:r>
    <w:r>
      <w:t xml:space="preserve"> </w:t>
    </w:r>
    <w:r>
      <w:fldChar w:fldCharType="begin"/>
    </w:r>
    <w:r>
      <w:instrText xml:space="preserve"> PAGE  \* Arabic </w:instrText>
    </w:r>
    <w:r>
      <w:fldChar w:fldCharType="separate"/>
    </w:r>
    <w:r>
      <w:rPr>
        <w:noProof/>
      </w:rPr>
      <w:t>3</w:t>
    </w:r>
    <w:r>
      <w:fldChar w:fldCharType="end"/>
    </w:r>
  </w:p>
  <w:p w14:paraId="1611D12B" w14:textId="77777777" w:rsidR="009F1E56" w:rsidRDefault="009F1E5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6D04" w14:textId="7FE27F96" w:rsidR="0098550D" w:rsidRPr="00D2761C" w:rsidRDefault="0098550D" w:rsidP="0098550D">
    <w:pPr>
      <w:pStyle w:val="FooterOdd"/>
    </w:pPr>
    <w:r w:rsidRPr="00FA1A19">
      <w:t>Appendix B: Analysis of terms and conditions</w:t>
    </w:r>
    <w:r w:rsidRPr="00111646">
      <w:tab/>
    </w:r>
    <w:r w:rsidRPr="001D6A8A">
      <w:t>Page</w:t>
    </w:r>
    <w:r w:rsidRPr="00111646">
      <w:t xml:space="preserve"> </w:t>
    </w:r>
    <w:r w:rsidRPr="00111646">
      <w:fldChar w:fldCharType="begin"/>
    </w:r>
    <w:r w:rsidRPr="00111646">
      <w:instrText xml:space="preserve"> PAGE   \* MERGEFORMAT </w:instrText>
    </w:r>
    <w:r w:rsidRPr="00111646">
      <w:fldChar w:fldCharType="separate"/>
    </w:r>
    <w:r w:rsidRPr="00111646">
      <w:t>14</w:t>
    </w:r>
    <w:r w:rsidRPr="0011164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4675" w14:textId="181820F7" w:rsidR="00EB09BD" w:rsidRPr="00EB09BD" w:rsidRDefault="00054A40" w:rsidP="00EB09BD">
    <w:pPr>
      <w:pStyle w:val="FooterOdd"/>
    </w:pPr>
    <w:fldSimple w:instr="STYLEREF  &quot;Heading 1&quot;  \* MERGEFORMAT">
      <w:r w:rsidR="00895C63">
        <w:rPr>
          <w:noProof/>
        </w:rPr>
        <w:t>Appendix C: ATO guidance products</w:t>
      </w:r>
    </w:fldSimple>
    <w:r w:rsidR="00EB09BD" w:rsidRPr="00111646">
      <w:tab/>
    </w:r>
    <w:r w:rsidR="00EB09BD" w:rsidRPr="001D6A8A">
      <w:t>Page</w:t>
    </w:r>
    <w:r w:rsidR="00EB09BD" w:rsidRPr="00111646">
      <w:t xml:space="preserve"> </w:t>
    </w:r>
    <w:r w:rsidR="00EB09BD" w:rsidRPr="00111646">
      <w:fldChar w:fldCharType="begin"/>
    </w:r>
    <w:r w:rsidR="00EB09BD" w:rsidRPr="00111646">
      <w:instrText xml:space="preserve"> PAGE   \* MERGEFORMAT </w:instrText>
    </w:r>
    <w:r w:rsidR="00EB09BD" w:rsidRPr="00111646">
      <w:fldChar w:fldCharType="separate"/>
    </w:r>
    <w:r w:rsidR="00EB09BD">
      <w:t>287</w:t>
    </w:r>
    <w:r w:rsidR="00EB09BD" w:rsidRPr="00111646">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110E" w14:textId="476D19FA" w:rsidR="00D2761C" w:rsidRPr="00A07FD8" w:rsidRDefault="00D5245B" w:rsidP="00A07FD8">
    <w:pPr>
      <w:pStyle w:val="Footer"/>
    </w:pPr>
    <w:r>
      <w:rPr>
        <w:noProof/>
      </w:rPr>
      <mc:AlternateContent>
        <mc:Choice Requires="wps">
          <w:drawing>
            <wp:anchor distT="0" distB="0" distL="114300" distR="114300" simplePos="0" relativeHeight="251658243" behindDoc="0" locked="1" layoutInCell="1" allowOverlap="1" wp14:anchorId="19BE7079" wp14:editId="768BCBC4">
              <wp:simplePos x="0" y="0"/>
              <wp:positionH relativeFrom="page">
                <wp:align>left</wp:align>
              </wp:positionH>
              <wp:positionV relativeFrom="page">
                <wp:align>center</wp:align>
              </wp:positionV>
              <wp:extent cx="7560000" cy="1195200"/>
              <wp:effectExtent l="0" t="0" r="6667"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560000" cy="1195200"/>
                      </a:xfrm>
                      <a:prstGeom prst="rect">
                        <a:avLst/>
                      </a:prstGeom>
                      <a:noFill/>
                      <a:ln w="6350">
                        <a:noFill/>
                      </a:ln>
                    </wps:spPr>
                    <wps:txbx>
                      <w:txbxContent>
                        <w:p w14:paraId="16F418AC" w14:textId="22F73620" w:rsidR="00A07FD8" w:rsidRDefault="00054A40" w:rsidP="00A07FD8">
                          <w:pPr>
                            <w:pStyle w:val="FooterOdd"/>
                          </w:pPr>
                          <w:fldSimple w:instr="STYLEREF  &quot;Heading 1&quot;  \* MERGEFORMAT">
                            <w:r w:rsidR="00895C63">
                              <w:rPr>
                                <w:noProof/>
                              </w:rPr>
                              <w:t>Appendix D: International jurisdiction responses to the Board’s questions</w:t>
                            </w:r>
                          </w:fldSimple>
                          <w:r w:rsidR="00A07FD8" w:rsidRPr="00111646">
                            <w:tab/>
                          </w:r>
                          <w:r w:rsidR="00A07FD8" w:rsidRPr="001D6A8A">
                            <w:t>Page</w:t>
                          </w:r>
                          <w:r w:rsidR="00A07FD8" w:rsidRPr="00111646">
                            <w:t xml:space="preserve"> </w:t>
                          </w:r>
                          <w:r w:rsidR="00A07FD8" w:rsidRPr="00111646">
                            <w:fldChar w:fldCharType="begin"/>
                          </w:r>
                          <w:r w:rsidR="00A07FD8" w:rsidRPr="00111646">
                            <w:instrText xml:space="preserve"> PAGE   \* MERGEFORMAT </w:instrText>
                          </w:r>
                          <w:r w:rsidR="00A07FD8" w:rsidRPr="00111646">
                            <w:fldChar w:fldCharType="separate"/>
                          </w:r>
                          <w:r w:rsidR="00A07FD8">
                            <w:t>301</w:t>
                          </w:r>
                          <w:r w:rsidR="00A07FD8" w:rsidRPr="00111646">
                            <w:fldChar w:fldCharType="end"/>
                          </w:r>
                        </w:p>
                      </w:txbxContent>
                    </wps:txbx>
                    <wps:bodyPr rot="0" spcFirstLastPara="0" vertOverflow="overflow" horzOverflow="overflow" vert="horz" wrap="square" lIns="720000" tIns="0" rIns="720000" bIns="72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BE7079" id="_x0000_t202" coordsize="21600,21600" o:spt="202" path="m,l,21600r21600,l21600,xe">
              <v:stroke joinstyle="miter"/>
              <v:path gradientshapeok="t" o:connecttype="rect"/>
            </v:shapetype>
            <v:shape id="Text Box 6" o:spid="_x0000_s1027" type="#_x0000_t202" alt="&quot;&quot;" style="position:absolute;left:0;text-align:left;margin-left:0;margin-top:0;width:595.3pt;height:94.1pt;rotation:90;z-index:251658243;visibility:visible;mso-wrap-style:square;mso-width-percent:0;mso-height-percent:0;mso-wrap-distance-left:9pt;mso-wrap-distance-top:0;mso-wrap-distance-right:9pt;mso-wrap-distance-bottom:0;mso-position-horizontal:left;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" filled="f" stroked="f" strokeweight=".5pt">
              <v:textbox style="mso-fit-shape-to-text:t" inset="20mm,0,20mm,20mm">
                <w:txbxContent>
                  <w:p w14:paraId="16F418AC" w14:textId="22F73620" w:rsidR="00A07FD8" w:rsidRDefault="00054A40" w:rsidP="00A07FD8">
                    <w:pPr>
                      <w:pStyle w:val="FooterOdd"/>
                    </w:pPr>
                    <w:fldSimple w:instr="STYLEREF  &quot;Heading 1&quot;  \* MERGEFORMAT">
                      <w:r w:rsidR="00895C63">
                        <w:rPr>
                          <w:noProof/>
                        </w:rPr>
                        <w:t>Appendix D: International jurisdiction responses to the Board’s questions</w:t>
                      </w:r>
                    </w:fldSimple>
                    <w:r w:rsidR="00A07FD8" w:rsidRPr="00111646">
                      <w:tab/>
                    </w:r>
                    <w:r w:rsidR="00A07FD8" w:rsidRPr="001D6A8A">
                      <w:t>Page</w:t>
                    </w:r>
                    <w:r w:rsidR="00A07FD8" w:rsidRPr="00111646">
                      <w:t xml:space="preserve"> </w:t>
                    </w:r>
                    <w:r w:rsidR="00A07FD8" w:rsidRPr="00111646">
                      <w:fldChar w:fldCharType="begin"/>
                    </w:r>
                    <w:r w:rsidR="00A07FD8" w:rsidRPr="00111646">
                      <w:instrText xml:space="preserve"> PAGE   \* MERGEFORMAT </w:instrText>
                    </w:r>
                    <w:r w:rsidR="00A07FD8" w:rsidRPr="00111646">
                      <w:fldChar w:fldCharType="separate"/>
                    </w:r>
                    <w:r w:rsidR="00A07FD8">
                      <w:t>301</w:t>
                    </w:r>
                    <w:r w:rsidR="00A07FD8" w:rsidRPr="00111646">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F973" w14:textId="77777777" w:rsidR="00D3340C" w:rsidRDefault="00D3340C">
    <w:pPr>
      <w:pStyle w:val="FooterOdd"/>
      <w:rPr>
        <w:rStyle w:val="PageNumber"/>
      </w:rPr>
    </w:pPr>
    <w:r>
      <w:t xml:space="preserve">Page </w:t>
    </w:r>
    <w:r w:rsidR="00841199">
      <w:rPr>
        <w:rStyle w:val="PageNumber"/>
      </w:rPr>
      <w:fldChar w:fldCharType="begin"/>
    </w:r>
    <w:r>
      <w:rPr>
        <w:rStyle w:val="PageNumber"/>
      </w:rPr>
      <w:instrText xml:space="preserve"> PAGE </w:instrText>
    </w:r>
    <w:r w:rsidR="00841199">
      <w:rPr>
        <w:rStyle w:val="PageNumber"/>
      </w:rPr>
      <w:fldChar w:fldCharType="separate"/>
    </w:r>
    <w:r w:rsidR="006256BA">
      <w:rPr>
        <w:rStyle w:val="PageNumber"/>
        <w:noProof/>
      </w:rPr>
      <w:t>3</w:t>
    </w:r>
    <w:r w:rsidR="0084119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B209" w14:textId="067A5EDA" w:rsidR="001E405B" w:rsidRDefault="001E405B">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3C19" w14:textId="605E1B7B" w:rsidR="006256BA" w:rsidRDefault="00111646">
    <w:pPr>
      <w:pStyle w:val="FooterEven"/>
      <w:rPr>
        <w:noProof/>
      </w:rPr>
    </w:pPr>
    <w:r>
      <w:t xml:space="preserve">Page </w:t>
    </w:r>
    <w:r>
      <w:fldChar w:fldCharType="begin"/>
    </w:r>
    <w:r>
      <w:instrText xml:space="preserve"> PAGE  \* Arabic  \* MERGEFORMAT </w:instrText>
    </w:r>
    <w:r>
      <w:fldChar w:fldCharType="separate"/>
    </w:r>
    <w:r>
      <w:rPr>
        <w:noProof/>
      </w:rPr>
      <w:t>2</w:t>
    </w:r>
    <w:r>
      <w:rPr>
        <w:noProof/>
      </w:rPr>
      <w:fldChar w:fldCharType="end"/>
    </w:r>
    <w:r>
      <w:rPr>
        <w:noProof/>
      </w:rPr>
      <w:tab/>
    </w:r>
    <w:fldSimple w:instr="STYLEREF  &quot;Heading 1&quot;  \* MERGEFORMAT">
      <w:r w:rsidR="00054A40">
        <w:rPr>
          <w:noProof/>
        </w:rPr>
        <w:t>Foreword</w:t>
      </w:r>
    </w:fldSimple>
  </w:p>
  <w:p w14:paraId="5D81B6BC" w14:textId="77777777" w:rsidR="00EE7DDF" w:rsidRPr="004605F1" w:rsidRDefault="00EE7DDF" w:rsidP="00EE7DDF">
    <w:pPr>
      <w:pStyle w:val="Header"/>
      <w:jc w:val="center"/>
      <w:rPr>
        <w:b/>
        <w:bCs/>
        <w:color w:val="FF0000"/>
      </w:rPr>
    </w:pPr>
    <w:r w:rsidRPr="003C5443">
      <w:rPr>
        <w:b/>
        <w:bCs/>
        <w:color w:val="FF0000"/>
      </w:rPr>
      <w:t>DRAFT WORKING DOCUMENT – NOT TO BE COPIED OR RELEASED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C17C" w14:textId="6B33B695" w:rsidR="006256BA" w:rsidRDefault="00054A40" w:rsidP="00111646">
    <w:pPr>
      <w:pStyle w:val="FooterOdd"/>
    </w:pPr>
    <w:fldSimple w:instr="STYLEREF  &quot;Heading 1&quot;  \* MERGEFORMAT">
      <w:r w:rsidR="00895C63">
        <w:rPr>
          <w:noProof/>
        </w:rPr>
        <w:t>Foreword</w:t>
      </w:r>
    </w:fldSimple>
    <w:r w:rsidR="00677AAC" w:rsidRPr="00111646">
      <w:tab/>
    </w:r>
    <w:r w:rsidR="006256BA" w:rsidRPr="00111646">
      <w:t xml:space="preserve">Page </w:t>
    </w:r>
    <w:r w:rsidR="006256BA" w:rsidRPr="00111646">
      <w:fldChar w:fldCharType="begin"/>
    </w:r>
    <w:r w:rsidR="006256BA" w:rsidRPr="00111646">
      <w:instrText xml:space="preserve"> PAGE   \* MERGEFORMAT </w:instrText>
    </w:r>
    <w:r w:rsidR="006256BA" w:rsidRPr="00111646">
      <w:fldChar w:fldCharType="separate"/>
    </w:r>
    <w:r w:rsidR="00522E34" w:rsidRPr="00111646">
      <w:t>14</w:t>
    </w:r>
    <w:r w:rsidR="006256BA" w:rsidRPr="0011164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E14C" w14:textId="4129DAFF" w:rsidR="003C5443" w:rsidRPr="00D51441" w:rsidRDefault="003C5443" w:rsidP="00D514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0BDC" w14:textId="386128FE" w:rsidR="00D51441" w:rsidRPr="00D51441" w:rsidRDefault="00D51441" w:rsidP="00D51441">
    <w:pPr>
      <w:pStyle w:val="FooterOdd"/>
    </w:pPr>
    <w:r w:rsidRPr="00912467">
      <w:t>Page</w:t>
    </w:r>
    <w:r>
      <w:t xml:space="preserve"> </w:t>
    </w:r>
    <w:r>
      <w:fldChar w:fldCharType="begin"/>
    </w:r>
    <w:r>
      <w:instrText xml:space="preserve"> PAGE  \* roman </w:instrText>
    </w:r>
    <w:r>
      <w:fldChar w:fldCharType="separate"/>
    </w:r>
    <w:r>
      <w:rPr>
        <w:noProof/>
      </w:rPr>
      <w:t>iii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4342" w14:textId="4380B252" w:rsidR="001D6A8A" w:rsidRDefault="001D6A8A" w:rsidP="00AA5FC4">
    <w:pPr>
      <w:pStyle w:val="FooterEven"/>
      <w:rPr>
        <w:noProof/>
      </w:rPr>
    </w:pPr>
    <w:r w:rsidRPr="001D6A8A">
      <w:t>Page</w:t>
    </w:r>
    <w:r>
      <w:t xml:space="preserve"> </w:t>
    </w:r>
    <w:r>
      <w:fldChar w:fldCharType="begin"/>
    </w:r>
    <w:r>
      <w:instrText xml:space="preserve"> PAGE  \* Arabic  \* MERGEFORMAT </w:instrText>
    </w:r>
    <w:r>
      <w:fldChar w:fldCharType="separate"/>
    </w:r>
    <w:r>
      <w:rPr>
        <w:noProof/>
      </w:rPr>
      <w:t>2</w:t>
    </w:r>
    <w:r>
      <w:rPr>
        <w:noProof/>
      </w:rPr>
      <w:fldChar w:fldCharType="end"/>
    </w:r>
    <w:r>
      <w:rPr>
        <w:noProof/>
      </w:rPr>
      <w:tab/>
    </w:r>
    <w:fldSimple w:instr="STYLEREF  &quot;Heading 1&quot;  \* MERGEFORMAT">
      <w:r w:rsidR="00054A40">
        <w:rPr>
          <w:noProof/>
        </w:rPr>
        <w:t>Foreword</w:t>
      </w:r>
    </w:fldSimple>
  </w:p>
  <w:p w14:paraId="322E77BC" w14:textId="7A1E8E33" w:rsidR="009F1E56" w:rsidRPr="00287180" w:rsidRDefault="00FC30AC" w:rsidP="00287180">
    <w:pPr>
      <w:pStyle w:val="Header"/>
      <w:jc w:val="center"/>
      <w:rPr>
        <w:b/>
        <w:bCs/>
        <w:color w:val="FF0000"/>
      </w:rPr>
    </w:pPr>
    <w:r w:rsidRPr="003C5443">
      <w:rPr>
        <w:b/>
        <w:bCs/>
        <w:color w:val="FF0000"/>
      </w:rPr>
      <w:t>DRAFT WORKING DOCUMENT – NOT TO BE COPIED OR RELEASED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A138" w14:textId="1F9B236E" w:rsidR="009F1E56" w:rsidRPr="00D2761C" w:rsidRDefault="00054A40" w:rsidP="0098550D">
    <w:pPr>
      <w:pStyle w:val="FooterOdd"/>
    </w:pPr>
    <w:fldSimple w:instr="STYLEREF  &quot;Heading 1&quot;  \* MERGEFORMAT">
      <w:r w:rsidR="00895C63">
        <w:rPr>
          <w:noProof/>
        </w:rPr>
        <w:t>Chapter 10: Goods and Services Tax</w:t>
      </w:r>
    </w:fldSimple>
    <w:r w:rsidR="001D6A8A" w:rsidRPr="00111646">
      <w:tab/>
    </w:r>
    <w:r w:rsidR="001D6A8A" w:rsidRPr="001D6A8A">
      <w:t>Page</w:t>
    </w:r>
    <w:r w:rsidR="001D6A8A" w:rsidRPr="00111646">
      <w:t xml:space="preserve"> </w:t>
    </w:r>
    <w:r w:rsidR="001D6A8A" w:rsidRPr="00111646">
      <w:fldChar w:fldCharType="begin"/>
    </w:r>
    <w:r w:rsidR="001D6A8A" w:rsidRPr="00111646">
      <w:instrText xml:space="preserve"> PAGE   \* MERGEFORMAT </w:instrText>
    </w:r>
    <w:r w:rsidR="001D6A8A" w:rsidRPr="00111646">
      <w:fldChar w:fldCharType="separate"/>
    </w:r>
    <w:r w:rsidR="001D6A8A" w:rsidRPr="00111646">
      <w:t>14</w:t>
    </w:r>
    <w:r w:rsidR="001D6A8A" w:rsidRPr="0011164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A9EF" w14:textId="77777777" w:rsidR="00E34BE0" w:rsidRDefault="00E34BE0">
      <w:r>
        <w:separator/>
      </w:r>
    </w:p>
  </w:footnote>
  <w:footnote w:type="continuationSeparator" w:id="0">
    <w:p w14:paraId="176F3ED6" w14:textId="77777777" w:rsidR="00E34BE0" w:rsidRDefault="00E34BE0">
      <w:r>
        <w:continuationSeparator/>
      </w:r>
    </w:p>
  </w:footnote>
  <w:footnote w:type="continuationNotice" w:id="1">
    <w:p w14:paraId="6B7D54F1" w14:textId="77777777" w:rsidR="00E34BE0" w:rsidRDefault="00E34BE0">
      <w:pPr>
        <w:spacing w:before="0" w:after="0"/>
      </w:pPr>
    </w:p>
  </w:footnote>
  <w:footnote w:id="2">
    <w:p w14:paraId="42B85252" w14:textId="48481AC3" w:rsidR="00A9339C" w:rsidRPr="00B1515C" w:rsidRDefault="00815763" w:rsidP="006229B4">
      <w:pPr>
        <w:pStyle w:val="FootnoteText"/>
      </w:pPr>
      <w:r w:rsidRPr="00815763">
        <w:rPr>
          <w:rStyle w:val="FootnoteReference"/>
          <w:vertAlign w:val="baseline"/>
        </w:rPr>
        <w:footnoteRef/>
      </w:r>
      <w:r w:rsidR="00A9339C" w:rsidRPr="00B1515C">
        <w:t xml:space="preserve"> </w:t>
      </w:r>
      <w:r w:rsidR="00C17225" w:rsidRPr="00B1515C">
        <w:tab/>
      </w:r>
      <w:r w:rsidR="00856957" w:rsidRPr="00DB7364">
        <w:t>Krause</w:t>
      </w:r>
      <w:r w:rsidR="00856957" w:rsidRPr="00B1515C">
        <w:t xml:space="preserve">, Solvej Karla; </w:t>
      </w:r>
      <w:r w:rsidR="00856957" w:rsidRPr="003B5020">
        <w:t>Natarajan</w:t>
      </w:r>
      <w:r w:rsidR="00856957" w:rsidRPr="00B1515C">
        <w:t xml:space="preserve">, Harish; </w:t>
      </w:r>
      <w:r w:rsidR="00856957" w:rsidRPr="006229B4">
        <w:t>Gradstein</w:t>
      </w:r>
      <w:r w:rsidR="00856957" w:rsidRPr="00B1515C">
        <w:t xml:space="preserve">, Helen Luskin, </w:t>
      </w:r>
      <w:hyperlink r:id="rId1" w:history="1">
        <w:r w:rsidR="00856957" w:rsidRPr="005D34A3">
          <w:rPr>
            <w:rStyle w:val="Hyperlink"/>
            <w:i/>
            <w:iCs/>
          </w:rPr>
          <w:t>Distributed Ledger Technology (DLT) and blockchain</w:t>
        </w:r>
      </w:hyperlink>
      <w:r w:rsidR="00856957" w:rsidRPr="003B5020">
        <w:rPr>
          <w:rStyle w:val="Emphasis"/>
        </w:rPr>
        <w:t xml:space="preserve"> (English)</w:t>
      </w:r>
      <w:r w:rsidR="00856957" w:rsidRPr="00B1515C">
        <w:t>, FinTech note no. 1 (2017), Washington, D.C, World Bank Group, 3 (</w:t>
      </w:r>
      <w:r w:rsidR="00F75232">
        <w:rPr>
          <w:rStyle w:val="Emphasis"/>
        </w:rPr>
        <w:t>‘</w:t>
      </w:r>
      <w:r w:rsidR="00856957" w:rsidRPr="003B5020">
        <w:rPr>
          <w:rStyle w:val="Emphasis"/>
        </w:rPr>
        <w:t>DLT and blockchain</w:t>
      </w:r>
      <w:r w:rsidR="00F75232">
        <w:rPr>
          <w:rStyle w:val="Emphasis"/>
        </w:rPr>
        <w:t>’</w:t>
      </w:r>
      <w:r w:rsidR="00856957" w:rsidRPr="003B5020">
        <w:rPr>
          <w:rStyle w:val="Emphasis"/>
        </w:rPr>
        <w:t>)</w:t>
      </w:r>
      <w:r w:rsidR="00856957" w:rsidRPr="00B1515C">
        <w:t>.</w:t>
      </w:r>
    </w:p>
  </w:footnote>
  <w:footnote w:id="3">
    <w:p w14:paraId="417715D7" w14:textId="33A34B0F" w:rsidR="00944A80" w:rsidRPr="00B1515C" w:rsidRDefault="00815763" w:rsidP="00A01254">
      <w:pPr>
        <w:pStyle w:val="FootnoteText"/>
      </w:pPr>
      <w:r w:rsidRPr="00815763">
        <w:rPr>
          <w:rStyle w:val="FootnoteReference"/>
          <w:vertAlign w:val="baseline"/>
        </w:rPr>
        <w:footnoteRef/>
      </w:r>
      <w:r w:rsidR="00944A80" w:rsidRPr="00B1515C">
        <w:t xml:space="preserve"> </w:t>
      </w:r>
      <w:r w:rsidR="00C17225" w:rsidRPr="00B1515C">
        <w:tab/>
      </w:r>
      <w:r w:rsidR="003F6794" w:rsidRPr="00B1515C">
        <w:t>Reserve Bank of Australia</w:t>
      </w:r>
      <w:r w:rsidR="00A90751" w:rsidRPr="00B1515C">
        <w:t xml:space="preserve"> (RBA)</w:t>
      </w:r>
      <w:r w:rsidR="003F6794" w:rsidRPr="00B1515C">
        <w:t xml:space="preserve">, </w:t>
      </w:r>
      <w:hyperlink r:id="rId2" w:history="1">
        <w:r w:rsidR="003F6794" w:rsidRPr="005D34A3">
          <w:rPr>
            <w:rStyle w:val="Hyperlink"/>
            <w:i/>
            <w:iCs/>
          </w:rPr>
          <w:t>Australian CBDC Pilot for Digital Finance Innovation</w:t>
        </w:r>
      </w:hyperlink>
      <w:r w:rsidR="003F6794" w:rsidRPr="003B5020">
        <w:rPr>
          <w:rStyle w:val="Emphasis"/>
        </w:rPr>
        <w:t xml:space="preserve"> </w:t>
      </w:r>
      <w:r w:rsidR="003F6794" w:rsidRPr="00B1515C">
        <w:t>(Report, 23 August 2023) 3</w:t>
      </w:r>
      <w:r w:rsidR="00C65E09" w:rsidRPr="00B1515C">
        <w:t xml:space="preserve"> </w:t>
      </w:r>
      <w:r w:rsidR="00293087" w:rsidRPr="00B1515C">
        <w:t>(</w:t>
      </w:r>
      <w:r w:rsidR="00F75232">
        <w:t>‘</w:t>
      </w:r>
      <w:r w:rsidR="00293087" w:rsidRPr="003B5020">
        <w:rPr>
          <w:rStyle w:val="Emphasis"/>
        </w:rPr>
        <w:t>Australian CBDC Pilot for Digital Finance Innovation</w:t>
      </w:r>
      <w:r w:rsidR="00F75232">
        <w:rPr>
          <w:rStyle w:val="Emphasis"/>
        </w:rPr>
        <w:t>’</w:t>
      </w:r>
      <w:r w:rsidR="00293087" w:rsidRPr="00B1515C">
        <w:t>)</w:t>
      </w:r>
      <w:r w:rsidR="00944A80" w:rsidRPr="00B1515C">
        <w:t>.</w:t>
      </w:r>
    </w:p>
  </w:footnote>
  <w:footnote w:id="4">
    <w:p w14:paraId="6D6E8D66" w14:textId="19141735" w:rsidR="00E65C6E" w:rsidRPr="00B1515C" w:rsidRDefault="00815763" w:rsidP="00A01254">
      <w:pPr>
        <w:pStyle w:val="FootnoteText"/>
      </w:pPr>
      <w:r w:rsidRPr="00815763">
        <w:rPr>
          <w:rStyle w:val="FootnoteReference"/>
          <w:vertAlign w:val="baseline"/>
        </w:rPr>
        <w:footnoteRef/>
      </w:r>
      <w:r w:rsidR="00E65C6E" w:rsidRPr="00B1515C">
        <w:t xml:space="preserve"> </w:t>
      </w:r>
      <w:r w:rsidR="00C17225" w:rsidRPr="00B1515C">
        <w:tab/>
      </w:r>
      <w:r w:rsidR="00DC043E" w:rsidRPr="00B1515C">
        <w:t>World Ban</w:t>
      </w:r>
      <w:r w:rsidR="00DC043E" w:rsidRPr="00C77F3F">
        <w:t>k,</w:t>
      </w:r>
      <w:r w:rsidR="00DC043E" w:rsidRPr="00C77F3F">
        <w:rPr>
          <w:rStyle w:val="Emphasis"/>
        </w:rPr>
        <w:t xml:space="preserve"> </w:t>
      </w:r>
      <w:r w:rsidR="00DC043E" w:rsidRPr="003B5020">
        <w:rPr>
          <w:rStyle w:val="Emphasis"/>
        </w:rPr>
        <w:t xml:space="preserve">DLT and Blockchain </w:t>
      </w:r>
      <w:r w:rsidR="00DC043E" w:rsidRPr="00B1515C">
        <w:t>(n 1)</w:t>
      </w:r>
      <w:r w:rsidR="00DC043E" w:rsidRPr="00B1515C">
        <w:rPr>
          <w:i/>
          <w:iCs/>
        </w:rPr>
        <w:t xml:space="preserve"> </w:t>
      </w:r>
      <w:r w:rsidR="00014DFE" w:rsidRPr="00B1515C">
        <w:t>3</w:t>
      </w:r>
      <w:r w:rsidR="00E65C6E" w:rsidRPr="00B1515C">
        <w:t xml:space="preserve">. </w:t>
      </w:r>
    </w:p>
  </w:footnote>
  <w:footnote w:id="5">
    <w:p w14:paraId="45336FC0" w14:textId="0457567E" w:rsidR="00E65C6E" w:rsidRPr="00B1515C" w:rsidRDefault="00815763" w:rsidP="00A01254">
      <w:pPr>
        <w:pStyle w:val="FootnoteText"/>
      </w:pPr>
      <w:r w:rsidRPr="00815763">
        <w:rPr>
          <w:rStyle w:val="FootnoteReference"/>
          <w:vertAlign w:val="baseline"/>
        </w:rPr>
        <w:footnoteRef/>
      </w:r>
      <w:r w:rsidR="00E65C6E" w:rsidRPr="006A3F90">
        <w:rPr>
          <w:rStyle w:val="FootnoteReference"/>
          <w:vertAlign w:val="baseline"/>
        </w:rPr>
        <w:t xml:space="preserve"> </w:t>
      </w:r>
      <w:r w:rsidR="00C17225" w:rsidRPr="00B1515C">
        <w:tab/>
      </w:r>
      <w:r w:rsidR="0038543B" w:rsidRPr="00B1515C">
        <w:t xml:space="preserve">The Australian Government the Treasury, </w:t>
      </w:r>
      <w:hyperlink r:id="rId3" w:history="1">
        <w:r w:rsidR="0038543B" w:rsidRPr="00E3648D">
          <w:rPr>
            <w:rStyle w:val="Hyperlink"/>
            <w:i/>
            <w:iCs/>
          </w:rPr>
          <w:t>Token Mapping</w:t>
        </w:r>
      </w:hyperlink>
      <w:r w:rsidR="0038543B" w:rsidRPr="003B5020">
        <w:rPr>
          <w:rStyle w:val="Emphasis"/>
        </w:rPr>
        <w:t xml:space="preserve"> </w:t>
      </w:r>
      <w:r w:rsidR="009D385B" w:rsidRPr="00B1515C">
        <w:t>(</w:t>
      </w:r>
      <w:r w:rsidR="0038543B" w:rsidRPr="00B1515C">
        <w:t xml:space="preserve">Consultation Paper, February 2023) </w:t>
      </w:r>
      <w:r w:rsidR="004B061E" w:rsidRPr="00B1515C">
        <w:t>54</w:t>
      </w:r>
      <w:r w:rsidR="0038543B" w:rsidRPr="00B1515C">
        <w:t xml:space="preserve"> </w:t>
      </w:r>
      <w:r w:rsidR="0053266C" w:rsidRPr="00B1515C">
        <w:t>(</w:t>
      </w:r>
      <w:r w:rsidR="00F75232">
        <w:t>‘</w:t>
      </w:r>
      <w:r w:rsidR="0053266C" w:rsidRPr="003B5020">
        <w:rPr>
          <w:rStyle w:val="Emphasis"/>
        </w:rPr>
        <w:t xml:space="preserve">Token </w:t>
      </w:r>
      <w:r w:rsidR="00FC67A7" w:rsidRPr="003B5020">
        <w:rPr>
          <w:rStyle w:val="Emphasis"/>
        </w:rPr>
        <w:t>M</w:t>
      </w:r>
      <w:r w:rsidR="0053266C" w:rsidRPr="003B5020">
        <w:rPr>
          <w:rStyle w:val="Emphasis"/>
        </w:rPr>
        <w:t xml:space="preserve">apping </w:t>
      </w:r>
      <w:r w:rsidR="00FC67A7" w:rsidRPr="003B5020">
        <w:rPr>
          <w:rStyle w:val="Emphasis"/>
        </w:rPr>
        <w:t>C</w:t>
      </w:r>
      <w:r w:rsidR="0053266C" w:rsidRPr="003B5020">
        <w:rPr>
          <w:rStyle w:val="Emphasis"/>
        </w:rPr>
        <w:t xml:space="preserve">onsultation </w:t>
      </w:r>
      <w:r w:rsidR="00FC67A7" w:rsidRPr="003B5020">
        <w:rPr>
          <w:rStyle w:val="Emphasis"/>
        </w:rPr>
        <w:t>P</w:t>
      </w:r>
      <w:r w:rsidR="0053266C" w:rsidRPr="003B5020">
        <w:rPr>
          <w:rStyle w:val="Emphasis"/>
        </w:rPr>
        <w:t>aper</w:t>
      </w:r>
      <w:r w:rsidR="00F75232">
        <w:rPr>
          <w:rStyle w:val="Emphasis"/>
        </w:rPr>
        <w:t>’</w:t>
      </w:r>
      <w:r w:rsidR="0053266C" w:rsidRPr="00B1515C">
        <w:t>).</w:t>
      </w:r>
    </w:p>
  </w:footnote>
  <w:footnote w:id="6">
    <w:p w14:paraId="7140ECC3" w14:textId="530758F2" w:rsidR="003A11FD" w:rsidRPr="00B1515C" w:rsidRDefault="00815763" w:rsidP="00A01254">
      <w:pPr>
        <w:pStyle w:val="FootnoteText"/>
      </w:pPr>
      <w:r w:rsidRPr="00815763">
        <w:rPr>
          <w:rStyle w:val="FootnoteReference"/>
          <w:vertAlign w:val="baseline"/>
        </w:rPr>
        <w:footnoteRef/>
      </w:r>
      <w:r w:rsidR="003A11FD" w:rsidRPr="00B1515C">
        <w:t xml:space="preserve"> </w:t>
      </w:r>
      <w:r w:rsidR="003A11FD" w:rsidRPr="00B1515C">
        <w:tab/>
      </w:r>
      <w:r w:rsidR="00F75232">
        <w:t>‘</w:t>
      </w:r>
      <w:hyperlink r:id="rId4" w:history="1">
        <w:r w:rsidR="003A11FD" w:rsidRPr="00E3648D">
          <w:rPr>
            <w:rStyle w:val="Hyperlink"/>
          </w:rPr>
          <w:t>Decentralised Autonomous Organisations (DAOs) Current Project status</w:t>
        </w:r>
      </w:hyperlink>
      <w:r w:rsidR="00F75232">
        <w:t>’</w:t>
      </w:r>
      <w:r w:rsidR="003A11FD" w:rsidRPr="00B1515C">
        <w:t>, [</w:t>
      </w:r>
      <w:r w:rsidR="003A11FD" w:rsidRPr="003B5020">
        <w:rPr>
          <w:rStyle w:val="Emphasis"/>
        </w:rPr>
        <w:t>UK</w:t>
      </w:r>
      <w:r w:rsidR="003A11FD" w:rsidRPr="00B1515C">
        <w:t>]</w:t>
      </w:r>
      <w:r w:rsidR="003A11FD" w:rsidRPr="003B5020">
        <w:rPr>
          <w:rStyle w:val="Emphasis"/>
        </w:rPr>
        <w:t xml:space="preserve"> Law Commission</w:t>
      </w:r>
      <w:r w:rsidR="003A11FD" w:rsidRPr="00B1515C">
        <w:t xml:space="preserve"> (Web Page, accessed December 2023).</w:t>
      </w:r>
    </w:p>
  </w:footnote>
  <w:footnote w:id="7">
    <w:p w14:paraId="6152EF97" w14:textId="122CC168" w:rsidR="00E65C6E" w:rsidRPr="00B1515C" w:rsidRDefault="00815763" w:rsidP="00A01254">
      <w:pPr>
        <w:pStyle w:val="FootnoteText"/>
      </w:pPr>
      <w:r w:rsidRPr="00815763">
        <w:rPr>
          <w:rStyle w:val="FootnoteReference"/>
          <w:vertAlign w:val="baseline"/>
        </w:rPr>
        <w:footnoteRef/>
      </w:r>
      <w:r w:rsidR="00E65C6E" w:rsidRPr="00B1515C">
        <w:t xml:space="preserve"> </w:t>
      </w:r>
      <w:r w:rsidR="00C17225" w:rsidRPr="00B1515C">
        <w:tab/>
      </w:r>
      <w:r w:rsidR="00E65C6E" w:rsidRPr="00B1515C">
        <w:t xml:space="preserve">OECD, </w:t>
      </w:r>
      <w:hyperlink r:id="rId5" w:history="1">
        <w:r w:rsidR="00E65C6E" w:rsidRPr="00E3648D">
          <w:rPr>
            <w:rStyle w:val="Hyperlink"/>
            <w:i/>
            <w:iCs/>
          </w:rPr>
          <w:t>Taxing Virtual Currencies: An Overview of Tax Treatments and Emerging Tax Policy Issues</w:t>
        </w:r>
      </w:hyperlink>
      <w:r w:rsidR="00E65C6E" w:rsidRPr="00B1515C">
        <w:t xml:space="preserve">, OECD, Paris </w:t>
      </w:r>
      <w:r w:rsidR="00DB42D6" w:rsidRPr="00B1515C">
        <w:t xml:space="preserve">(October 2020) </w:t>
      </w:r>
      <w:r w:rsidR="00BE4A50" w:rsidRPr="00B1515C">
        <w:t xml:space="preserve">49 </w:t>
      </w:r>
      <w:r w:rsidR="00DB42D6" w:rsidRPr="00B1515C">
        <w:t>(</w:t>
      </w:r>
      <w:r w:rsidR="00F75232">
        <w:t>‘</w:t>
      </w:r>
      <w:r w:rsidR="00DB42D6" w:rsidRPr="003B5020">
        <w:rPr>
          <w:rStyle w:val="Emphasis"/>
        </w:rPr>
        <w:t>Taxing Virtual Currencies</w:t>
      </w:r>
      <w:r w:rsidR="00F75232">
        <w:rPr>
          <w:rStyle w:val="Emphasis"/>
        </w:rPr>
        <w:t>’</w:t>
      </w:r>
      <w:r w:rsidR="00DB42D6" w:rsidRPr="00E3648D">
        <w:rPr>
          <w:rStyle w:val="Emphasis"/>
          <w:i w:val="0"/>
          <w:iCs w:val="0"/>
        </w:rPr>
        <w:t>)</w:t>
      </w:r>
      <w:r w:rsidR="00E65C6E" w:rsidRPr="00B1515C">
        <w:t xml:space="preserve">. </w:t>
      </w:r>
    </w:p>
  </w:footnote>
  <w:footnote w:id="8">
    <w:p w14:paraId="45BE61B3" w14:textId="6AF53BF1" w:rsidR="00E65C6E" w:rsidRPr="00B1515C" w:rsidRDefault="00815763" w:rsidP="00A01254">
      <w:pPr>
        <w:pStyle w:val="FootnoteText"/>
      </w:pPr>
      <w:r w:rsidRPr="00815763">
        <w:rPr>
          <w:rStyle w:val="FootnoteReference"/>
          <w:vertAlign w:val="baseline"/>
        </w:rPr>
        <w:footnoteRef/>
      </w:r>
      <w:r w:rsidR="00E65C6E" w:rsidRPr="00B1515C">
        <w:t xml:space="preserve"> </w:t>
      </w:r>
      <w:r w:rsidR="00C17225" w:rsidRPr="00B1515C">
        <w:tab/>
      </w:r>
      <w:r w:rsidR="009670BC" w:rsidRPr="00B1515C">
        <w:t>World Bank</w:t>
      </w:r>
      <w:r w:rsidR="009670BC" w:rsidRPr="00C77F3F">
        <w:t xml:space="preserve">, </w:t>
      </w:r>
      <w:r w:rsidR="009670BC" w:rsidRPr="003B5020">
        <w:rPr>
          <w:rStyle w:val="Emphasis"/>
        </w:rPr>
        <w:t xml:space="preserve">DLT and Blockchain </w:t>
      </w:r>
      <w:r w:rsidR="009670BC" w:rsidRPr="00B1515C">
        <w:t>(n 1)</w:t>
      </w:r>
      <w:r w:rsidR="009670BC" w:rsidRPr="00B1515C">
        <w:rPr>
          <w:i/>
          <w:iCs/>
        </w:rPr>
        <w:t xml:space="preserve"> </w:t>
      </w:r>
      <w:r w:rsidR="00044234" w:rsidRPr="00B1515C">
        <w:t>3.</w:t>
      </w:r>
    </w:p>
  </w:footnote>
  <w:footnote w:id="9">
    <w:p w14:paraId="33B6F4CF" w14:textId="7344A37D" w:rsidR="00E65C6E" w:rsidRPr="00B1515C" w:rsidRDefault="00815763" w:rsidP="00A01254">
      <w:pPr>
        <w:pStyle w:val="FootnoteText"/>
      </w:pPr>
      <w:r w:rsidRPr="00815763">
        <w:rPr>
          <w:rStyle w:val="FootnoteReference"/>
          <w:vertAlign w:val="baseline"/>
        </w:rPr>
        <w:footnoteRef/>
      </w:r>
      <w:r w:rsidR="00E65C6E" w:rsidRPr="00B1515C">
        <w:t xml:space="preserve"> </w:t>
      </w:r>
      <w:r w:rsidR="00C17225" w:rsidRPr="00B1515C">
        <w:tab/>
      </w:r>
      <w:r w:rsidR="00E65C6E" w:rsidRPr="00B1515C">
        <w:t xml:space="preserve">UK Law </w:t>
      </w:r>
      <w:r w:rsidR="00E65C6E" w:rsidRPr="006A3F90">
        <w:t>Commission</w:t>
      </w:r>
      <w:r w:rsidR="00E65C6E" w:rsidRPr="00B1515C">
        <w:t xml:space="preserve">, </w:t>
      </w:r>
      <w:r w:rsidR="00E65C6E" w:rsidRPr="003B5020">
        <w:rPr>
          <w:rStyle w:val="Emphasis"/>
        </w:rPr>
        <w:t>Digital Assets: Final report</w:t>
      </w:r>
      <w:r w:rsidR="00DB2440" w:rsidRPr="00B1515C">
        <w:t xml:space="preserve"> (</w:t>
      </w:r>
      <w:r w:rsidR="00154B87" w:rsidRPr="00B1515C">
        <w:t xml:space="preserve">27 June 2023) </w:t>
      </w:r>
      <w:r w:rsidR="007061F4" w:rsidRPr="00B1515C">
        <w:t>ix</w:t>
      </w:r>
      <w:r w:rsidR="00522710" w:rsidRPr="00B1515C">
        <w:t xml:space="preserve"> </w:t>
      </w:r>
      <w:r w:rsidR="00B82388" w:rsidRPr="00B1515C">
        <w:t>(</w:t>
      </w:r>
      <w:r w:rsidR="00F75232">
        <w:t>‘</w:t>
      </w:r>
      <w:r w:rsidR="00B82388" w:rsidRPr="003B5020">
        <w:rPr>
          <w:rStyle w:val="Emphasis"/>
        </w:rPr>
        <w:t>Digital Assets: Final report</w:t>
      </w:r>
      <w:r w:rsidR="00F75232">
        <w:t>’</w:t>
      </w:r>
      <w:r w:rsidR="00B82388" w:rsidRPr="00B1515C">
        <w:t>).</w:t>
      </w:r>
    </w:p>
  </w:footnote>
  <w:footnote w:id="10">
    <w:p w14:paraId="610CB7B4" w14:textId="12718C06" w:rsidR="007C70D8" w:rsidRPr="00B1515C" w:rsidRDefault="00815763" w:rsidP="00A01254">
      <w:pPr>
        <w:pStyle w:val="FootnoteText"/>
      </w:pPr>
      <w:r w:rsidRPr="00815763">
        <w:rPr>
          <w:rStyle w:val="FootnoteReference"/>
          <w:vertAlign w:val="baseline"/>
        </w:rPr>
        <w:footnoteRef/>
      </w:r>
      <w:r w:rsidR="007C70D8" w:rsidRPr="00B1515C">
        <w:t xml:space="preserve"> </w:t>
      </w:r>
      <w:r w:rsidR="00C17225" w:rsidRPr="00B1515C">
        <w:tab/>
      </w:r>
      <w:r w:rsidR="00F75232">
        <w:t>‘</w:t>
      </w:r>
      <w:hyperlink r:id="rId6" w:history="1">
        <w:r w:rsidR="0045061B" w:rsidRPr="00E3648D">
          <w:rPr>
            <w:rStyle w:val="Hyperlink"/>
          </w:rPr>
          <w:t>All about digital assets &amp; how to create digital assets marketplace with Nasdaq</w:t>
        </w:r>
        <w:r w:rsidR="00F75232" w:rsidRPr="00E3648D">
          <w:rPr>
            <w:rStyle w:val="Hyperlink"/>
          </w:rPr>
          <w:t>’</w:t>
        </w:r>
        <w:r w:rsidR="0045061B" w:rsidRPr="00E3648D">
          <w:rPr>
            <w:rStyle w:val="Hyperlink"/>
          </w:rPr>
          <w:t>s Marketplace Services Platform</w:t>
        </w:r>
      </w:hyperlink>
      <w:r w:rsidR="00F75232">
        <w:t>’</w:t>
      </w:r>
      <w:r w:rsidR="0045061B" w:rsidRPr="00B1515C">
        <w:t xml:space="preserve">, </w:t>
      </w:r>
      <w:r w:rsidR="00811F22" w:rsidRPr="003B5020">
        <w:rPr>
          <w:rStyle w:val="Emphasis"/>
        </w:rPr>
        <w:t>Nasdaq</w:t>
      </w:r>
      <w:r w:rsidR="00D53601" w:rsidRPr="00B1515C">
        <w:t xml:space="preserve"> (Web Page</w:t>
      </w:r>
      <w:r w:rsidR="00414700" w:rsidRPr="00B1515C">
        <w:t xml:space="preserve">, accessed </w:t>
      </w:r>
      <w:r w:rsidR="00AD3015" w:rsidRPr="00B1515C">
        <w:t>21 January 2024</w:t>
      </w:r>
      <w:r w:rsidR="00D53601" w:rsidRPr="00B1515C">
        <w:t>)</w:t>
      </w:r>
      <w:r w:rsidR="0045061B" w:rsidRPr="00B1515C">
        <w:t xml:space="preserve">; </w:t>
      </w:r>
      <w:r w:rsidR="008A0FE1" w:rsidRPr="00B1515C">
        <w:rPr>
          <w:rFonts w:cs="Calibri"/>
        </w:rPr>
        <w:t xml:space="preserve">Senate Select Committee, Parliament of Australia, </w:t>
      </w:r>
      <w:hyperlink r:id="rId7" w:history="1">
        <w:r w:rsidR="008A0FE1" w:rsidRPr="00E3648D">
          <w:rPr>
            <w:rStyle w:val="Hyperlink"/>
            <w:i/>
            <w:iCs/>
          </w:rPr>
          <w:t>Australia as a Technology and Financial Centre</w:t>
        </w:r>
      </w:hyperlink>
      <w:r w:rsidR="008A0FE1" w:rsidRPr="00E3648D">
        <w:rPr>
          <w:i/>
          <w:iCs/>
        </w:rPr>
        <w:t xml:space="preserve"> </w:t>
      </w:r>
      <w:r w:rsidR="008A0FE1" w:rsidRPr="00B1515C">
        <w:rPr>
          <w:rFonts w:cs="Calibri"/>
        </w:rPr>
        <w:t xml:space="preserve">(Report, October 2021) </w:t>
      </w:r>
      <w:r w:rsidR="008A0FE1" w:rsidRPr="00B1515C">
        <w:t xml:space="preserve">[2.4]—[2.5] </w:t>
      </w:r>
      <w:r w:rsidR="008A0FE1" w:rsidRPr="00B1515C">
        <w:rPr>
          <w:rFonts w:cs="Calibri"/>
        </w:rPr>
        <w:t>(</w:t>
      </w:r>
      <w:r w:rsidR="00F75232">
        <w:rPr>
          <w:rStyle w:val="Emphasis"/>
        </w:rPr>
        <w:t>‘</w:t>
      </w:r>
      <w:r w:rsidR="008A0FE1" w:rsidRPr="003B5020">
        <w:rPr>
          <w:rStyle w:val="Emphasis"/>
        </w:rPr>
        <w:t>Senate Select Committee Report</w:t>
      </w:r>
      <w:r w:rsidR="00F75232">
        <w:rPr>
          <w:rStyle w:val="Emphasis"/>
        </w:rPr>
        <w:t>’</w:t>
      </w:r>
      <w:r w:rsidR="008A0FE1" w:rsidRPr="00F63C1F">
        <w:rPr>
          <w:rStyle w:val="Emphasis"/>
          <w:i w:val="0"/>
          <w:iCs w:val="0"/>
        </w:rPr>
        <w:t>).</w:t>
      </w:r>
      <w:r w:rsidR="0045061B" w:rsidRPr="00F63C1F">
        <w:rPr>
          <w:i/>
        </w:rPr>
        <w:t xml:space="preserve"> </w:t>
      </w:r>
    </w:p>
  </w:footnote>
  <w:footnote w:id="11">
    <w:p w14:paraId="31D54442" w14:textId="1302F3B6" w:rsidR="00E3679C" w:rsidRPr="00B1515C" w:rsidRDefault="00815763" w:rsidP="00A01254">
      <w:pPr>
        <w:pStyle w:val="FootnoteText"/>
      </w:pPr>
      <w:r w:rsidRPr="00815763">
        <w:rPr>
          <w:rStyle w:val="FootnoteReference"/>
          <w:vertAlign w:val="baseline"/>
        </w:rPr>
        <w:footnoteRef/>
      </w:r>
      <w:r w:rsidR="00E3679C" w:rsidRPr="00B1515C">
        <w:t xml:space="preserve"> </w:t>
      </w:r>
      <w:r w:rsidR="00C17225" w:rsidRPr="00B1515C">
        <w:tab/>
      </w:r>
      <w:r w:rsidR="00903479" w:rsidRPr="00B1515C">
        <w:t xml:space="preserve">The Australian Government the Treasury, </w:t>
      </w:r>
      <w:r w:rsidR="00903479" w:rsidRPr="003B5020">
        <w:rPr>
          <w:rStyle w:val="Emphasis"/>
        </w:rPr>
        <w:t>Regulating Digital Asset Platforms</w:t>
      </w:r>
      <w:r w:rsidR="00903479" w:rsidRPr="00B1515C">
        <w:t xml:space="preserve"> (Proposal Paper, October 2023) </w:t>
      </w:r>
      <w:r w:rsidR="00FF3749" w:rsidRPr="00B1515C">
        <w:t>56</w:t>
      </w:r>
      <w:r w:rsidR="00903479" w:rsidRPr="00B1515C">
        <w:t xml:space="preserve"> (</w:t>
      </w:r>
      <w:r w:rsidR="00F75232">
        <w:t>‘</w:t>
      </w:r>
      <w:r w:rsidR="00903479" w:rsidRPr="003B5020">
        <w:rPr>
          <w:rStyle w:val="Emphasis"/>
        </w:rPr>
        <w:t>Regulating Digital Asset Platforms</w:t>
      </w:r>
      <w:r w:rsidR="00F75232">
        <w:rPr>
          <w:rStyle w:val="Emphasis"/>
        </w:rPr>
        <w:t>’</w:t>
      </w:r>
      <w:r w:rsidR="00903479" w:rsidRPr="00F63C1F">
        <w:rPr>
          <w:rStyle w:val="Emphasis"/>
          <w:i w:val="0"/>
          <w:iCs w:val="0"/>
        </w:rPr>
        <w:t>).</w:t>
      </w:r>
    </w:p>
  </w:footnote>
  <w:footnote w:id="12">
    <w:p w14:paraId="0CDA6871" w14:textId="22E86FBE" w:rsidR="00E65C6E" w:rsidRPr="00B1515C" w:rsidRDefault="00815763" w:rsidP="00A01254">
      <w:pPr>
        <w:pStyle w:val="FootnoteText"/>
      </w:pPr>
      <w:r w:rsidRPr="00815763">
        <w:rPr>
          <w:rStyle w:val="FootnoteReference"/>
          <w:vertAlign w:val="baseline"/>
        </w:rPr>
        <w:footnoteRef/>
      </w:r>
      <w:r w:rsidR="00E65C6E" w:rsidRPr="00B1515C">
        <w:t xml:space="preserve"> </w:t>
      </w:r>
      <w:r w:rsidR="00C17225" w:rsidRPr="00B1515C">
        <w:tab/>
      </w:r>
      <w:r w:rsidR="00A720BB" w:rsidRPr="00B1515C">
        <w:t>World Bank</w:t>
      </w:r>
      <w:r w:rsidR="00A720BB" w:rsidRPr="00C77F3F">
        <w:t xml:space="preserve">, </w:t>
      </w:r>
      <w:r w:rsidR="00A720BB" w:rsidRPr="003B5020">
        <w:rPr>
          <w:rStyle w:val="Emphasis"/>
        </w:rPr>
        <w:t xml:space="preserve">DLT and Blockchain </w:t>
      </w:r>
      <w:r w:rsidR="00A720BB" w:rsidRPr="00B1515C">
        <w:t>(n 1)</w:t>
      </w:r>
      <w:r w:rsidR="00A720BB" w:rsidRPr="00B1515C">
        <w:rPr>
          <w:i/>
          <w:iCs/>
        </w:rPr>
        <w:t xml:space="preserve"> </w:t>
      </w:r>
      <w:r w:rsidR="00073CA2" w:rsidRPr="00B1515C">
        <w:t>1</w:t>
      </w:r>
      <w:r w:rsidR="00D53601" w:rsidRPr="00B1515C">
        <w:t>.</w:t>
      </w:r>
    </w:p>
  </w:footnote>
  <w:footnote w:id="13">
    <w:p w14:paraId="4FE6CA67" w14:textId="7AC4CE4C" w:rsidR="00FB4FC4" w:rsidRPr="00B1515C" w:rsidRDefault="00815763" w:rsidP="00A01254">
      <w:pPr>
        <w:pStyle w:val="FootnoteText"/>
      </w:pPr>
      <w:r w:rsidRPr="00815763">
        <w:rPr>
          <w:rStyle w:val="FootnoteReference"/>
          <w:vertAlign w:val="baseline"/>
        </w:rPr>
        <w:footnoteRef/>
      </w:r>
      <w:r w:rsidR="00FB4FC4" w:rsidRPr="00B1515C">
        <w:t xml:space="preserve"> </w:t>
      </w:r>
      <w:r w:rsidR="00C17225" w:rsidRPr="00B1515C">
        <w:tab/>
      </w:r>
      <w:r w:rsidR="00FB4FC4" w:rsidRPr="00B1515C">
        <w:t xml:space="preserve">Wharton Blockchain and Digital Asset Project, </w:t>
      </w:r>
      <w:r w:rsidR="00FB4FC4" w:rsidRPr="003B5020">
        <w:rPr>
          <w:rStyle w:val="Emphasis"/>
        </w:rPr>
        <w:t>DeFi Beyond the Hype – the Emerging World of Decentralized Finance</w:t>
      </w:r>
      <w:r w:rsidR="00FB4FC4" w:rsidRPr="00B1515C">
        <w:t xml:space="preserve"> (</w:t>
      </w:r>
      <w:r w:rsidR="00C96577" w:rsidRPr="00B1515C">
        <w:t xml:space="preserve">Report, </w:t>
      </w:r>
      <w:r w:rsidR="00FB4FC4" w:rsidRPr="00B1515C">
        <w:t>May 2021</w:t>
      </w:r>
      <w:r w:rsidR="00ED68F9" w:rsidRPr="00B1515C">
        <w:t>)</w:t>
      </w:r>
      <w:r w:rsidR="00FB4FC4" w:rsidRPr="00B1515C">
        <w:t xml:space="preserve"> 3</w:t>
      </w:r>
      <w:r w:rsidR="00155E74" w:rsidRPr="00B1515C">
        <w:t xml:space="preserve"> (</w:t>
      </w:r>
      <w:r w:rsidR="00F75232">
        <w:rPr>
          <w:rStyle w:val="Emphasis"/>
        </w:rPr>
        <w:t>‘</w:t>
      </w:r>
      <w:r w:rsidR="001E0CC4" w:rsidRPr="003B5020">
        <w:rPr>
          <w:rStyle w:val="Emphasis"/>
        </w:rPr>
        <w:t>DeFi Beyond the Hype</w:t>
      </w:r>
      <w:r w:rsidR="00F75232">
        <w:rPr>
          <w:rStyle w:val="Emphasis"/>
        </w:rPr>
        <w:t>’</w:t>
      </w:r>
      <w:r w:rsidR="001E0CC4" w:rsidRPr="00B1515C">
        <w:t>)</w:t>
      </w:r>
      <w:r w:rsidR="00FB4FC4" w:rsidRPr="00B1515C">
        <w:t>.</w:t>
      </w:r>
    </w:p>
  </w:footnote>
  <w:footnote w:id="14">
    <w:p w14:paraId="333C62D1" w14:textId="02A6523F" w:rsidR="00E65C6E" w:rsidRPr="00B1515C" w:rsidRDefault="00815763" w:rsidP="00A01254">
      <w:pPr>
        <w:pStyle w:val="FootnoteText"/>
      </w:pPr>
      <w:r w:rsidRPr="00815763">
        <w:rPr>
          <w:rStyle w:val="FootnoteReference"/>
          <w:vertAlign w:val="baseline"/>
        </w:rPr>
        <w:footnoteRef/>
      </w:r>
      <w:r w:rsidR="00E65C6E" w:rsidRPr="00B1515C">
        <w:t xml:space="preserve"> </w:t>
      </w:r>
      <w:r w:rsidR="00C17225" w:rsidRPr="00B1515C">
        <w:tab/>
      </w:r>
      <w:r w:rsidR="00E65C6E" w:rsidRPr="00B1515C">
        <w:t xml:space="preserve">Financial Stability Board, </w:t>
      </w:r>
      <w:hyperlink r:id="rId8" w:history="1">
        <w:r w:rsidR="00E65C6E" w:rsidRPr="00E3648D">
          <w:rPr>
            <w:rStyle w:val="Hyperlink"/>
          </w:rPr>
          <w:t>A</w:t>
        </w:r>
        <w:r w:rsidR="00E65C6E" w:rsidRPr="00E3648D">
          <w:rPr>
            <w:rStyle w:val="Hyperlink"/>
            <w:i/>
            <w:iCs/>
          </w:rPr>
          <w:t xml:space="preserve">ddressing the regulatory, supervisory and oversight challenges raised by </w:t>
        </w:r>
        <w:r w:rsidR="00F75232" w:rsidRPr="00E3648D">
          <w:rPr>
            <w:rStyle w:val="Hyperlink"/>
            <w:i/>
            <w:iCs/>
          </w:rPr>
          <w:t>“</w:t>
        </w:r>
        <w:r w:rsidR="00E65C6E" w:rsidRPr="00E3648D">
          <w:rPr>
            <w:rStyle w:val="Hyperlink"/>
            <w:i/>
            <w:iCs/>
          </w:rPr>
          <w:t>global stablecoin</w:t>
        </w:r>
        <w:r w:rsidR="00F75232" w:rsidRPr="00E3648D">
          <w:rPr>
            <w:rStyle w:val="Hyperlink"/>
            <w:i/>
            <w:iCs/>
          </w:rPr>
          <w:t>”</w:t>
        </w:r>
        <w:r w:rsidR="00E65C6E" w:rsidRPr="00E3648D">
          <w:rPr>
            <w:rStyle w:val="Hyperlink"/>
            <w:i/>
            <w:iCs/>
          </w:rPr>
          <w:t xml:space="preserve"> arrangements</w:t>
        </w:r>
      </w:hyperlink>
      <w:r w:rsidR="00E65C6E" w:rsidRPr="00B1515C">
        <w:t xml:space="preserve"> </w:t>
      </w:r>
      <w:r w:rsidR="00CB1122" w:rsidRPr="00B1515C">
        <w:t>(</w:t>
      </w:r>
      <w:r w:rsidR="00E65C6E" w:rsidRPr="00B1515C">
        <w:t xml:space="preserve">Consultative document, </w:t>
      </w:r>
      <w:r w:rsidR="005A3E81" w:rsidRPr="00B1515C">
        <w:t xml:space="preserve">14 April 2020) </w:t>
      </w:r>
      <w:r w:rsidR="00D933F2" w:rsidRPr="00B1515C">
        <w:t>4</w:t>
      </w:r>
      <w:r w:rsidR="00926723" w:rsidRPr="00B1515C">
        <w:t>.</w:t>
      </w:r>
    </w:p>
  </w:footnote>
  <w:footnote w:id="15">
    <w:p w14:paraId="3532B363" w14:textId="016D0A4E" w:rsidR="002F5C58" w:rsidRPr="00B1515C" w:rsidRDefault="00815763" w:rsidP="00A01254">
      <w:pPr>
        <w:pStyle w:val="FootnoteText"/>
      </w:pPr>
      <w:r w:rsidRPr="00815763">
        <w:rPr>
          <w:rStyle w:val="FootnoteReference"/>
          <w:vertAlign w:val="baseline"/>
        </w:rPr>
        <w:footnoteRef/>
      </w:r>
      <w:r w:rsidR="002F5C58" w:rsidRPr="00B1515C">
        <w:t xml:space="preserve"> </w:t>
      </w:r>
      <w:r w:rsidR="00C17225" w:rsidRPr="00B1515C">
        <w:tab/>
      </w:r>
      <w:r w:rsidR="00DC043E" w:rsidRPr="00B1515C">
        <w:t>The Treasury</w:t>
      </w:r>
      <w:r w:rsidR="00DC043E" w:rsidRPr="00C77F3F">
        <w:t xml:space="preserve">, </w:t>
      </w:r>
      <w:r w:rsidR="00DC043E" w:rsidRPr="003B5020">
        <w:rPr>
          <w:rStyle w:val="Emphasis"/>
        </w:rPr>
        <w:t xml:space="preserve">Token Mapping Consultation Paper </w:t>
      </w:r>
      <w:r w:rsidR="00DC043E" w:rsidRPr="00B1515C">
        <w:t xml:space="preserve">(n 4) </w:t>
      </w:r>
      <w:r w:rsidR="002F5C58" w:rsidRPr="00B1515C">
        <w:t>13 [33]</w:t>
      </w:r>
      <w:r w:rsidR="001668D0" w:rsidRPr="00B1515C">
        <w:t>—</w:t>
      </w:r>
      <w:r w:rsidR="002F5C58" w:rsidRPr="00B1515C">
        <w:t>[34].</w:t>
      </w:r>
    </w:p>
  </w:footnote>
  <w:footnote w:id="16">
    <w:p w14:paraId="13CD48D9" w14:textId="64CA1DF9" w:rsidR="0066430D" w:rsidRPr="00B1515C" w:rsidRDefault="00815763" w:rsidP="00A01254">
      <w:pPr>
        <w:pStyle w:val="FootnoteText"/>
      </w:pPr>
      <w:r w:rsidRPr="00815763">
        <w:rPr>
          <w:rStyle w:val="FootnoteReference"/>
          <w:vertAlign w:val="baseline"/>
        </w:rPr>
        <w:footnoteRef/>
      </w:r>
      <w:r w:rsidR="00256CFF" w:rsidRPr="00B1515C">
        <w:t xml:space="preserve"> </w:t>
      </w:r>
      <w:r w:rsidR="00FE31B9" w:rsidRPr="00B1515C">
        <w:tab/>
      </w:r>
      <w:r w:rsidR="002A1964" w:rsidRPr="00DB7364">
        <w:t>The</w:t>
      </w:r>
      <w:r w:rsidR="002A1964" w:rsidRPr="00B1515C">
        <w:rPr>
          <w:sz w:val="18"/>
        </w:rPr>
        <w:t xml:space="preserve"> Australian Government the Treasury, </w:t>
      </w:r>
      <w:hyperlink r:id="rId9" w:history="1">
        <w:r w:rsidR="002A1964" w:rsidRPr="00BC47DB">
          <w:rPr>
            <w:rStyle w:val="Hyperlink"/>
            <w:i/>
            <w:iCs/>
          </w:rPr>
          <w:t>Payment Systems Review</w:t>
        </w:r>
      </w:hyperlink>
      <w:r w:rsidR="002A1964" w:rsidRPr="00B1515C">
        <w:rPr>
          <w:sz w:val="18"/>
        </w:rPr>
        <w:t xml:space="preserve"> (</w:t>
      </w:r>
      <w:r w:rsidR="0034507E" w:rsidRPr="00B1515C">
        <w:rPr>
          <w:sz w:val="18"/>
        </w:rPr>
        <w:t xml:space="preserve">Report, </w:t>
      </w:r>
      <w:r w:rsidR="002A1964" w:rsidRPr="00B1515C">
        <w:rPr>
          <w:sz w:val="18"/>
        </w:rPr>
        <w:t>June 2021)</w:t>
      </w:r>
      <w:r w:rsidR="00BC47DB">
        <w:rPr>
          <w:sz w:val="18"/>
        </w:rPr>
        <w:t>.</w:t>
      </w:r>
    </w:p>
  </w:footnote>
  <w:footnote w:id="17">
    <w:p w14:paraId="37ADA958" w14:textId="7C02DE10" w:rsidR="0066430D" w:rsidRPr="00B1515C" w:rsidRDefault="00815763" w:rsidP="00A01254">
      <w:pPr>
        <w:pStyle w:val="FootnoteText"/>
      </w:pPr>
      <w:r w:rsidRPr="00815763">
        <w:rPr>
          <w:rStyle w:val="FootnoteReference"/>
          <w:vertAlign w:val="baseline"/>
        </w:rPr>
        <w:footnoteRef/>
      </w:r>
      <w:r w:rsidR="00D220B0" w:rsidRPr="00B1515C">
        <w:t xml:space="preserve"> </w:t>
      </w:r>
      <w:r w:rsidR="00FE31B9" w:rsidRPr="00B1515C">
        <w:tab/>
      </w:r>
      <w:r w:rsidR="00244D36" w:rsidRPr="00B1515C">
        <w:rPr>
          <w:rFonts w:cs="Calibri"/>
          <w:color w:val="000000"/>
          <w:sz w:val="18"/>
        </w:rPr>
        <w:t xml:space="preserve">Parliamentary Joint Committee on Corporations and Financial Services, Parliament of Australia, </w:t>
      </w:r>
      <w:hyperlink r:id="rId10" w:history="1">
        <w:r w:rsidR="00244D36" w:rsidRPr="00710AD4">
          <w:rPr>
            <w:rStyle w:val="Hyperlink"/>
            <w:i/>
            <w:iCs/>
          </w:rPr>
          <w:t>Mobile Payment and Digital Wallet Financial Services</w:t>
        </w:r>
      </w:hyperlink>
      <w:r w:rsidR="00244D36" w:rsidRPr="003B5020">
        <w:rPr>
          <w:rStyle w:val="Emphasis"/>
        </w:rPr>
        <w:t xml:space="preserve"> </w:t>
      </w:r>
      <w:r w:rsidR="00244D36" w:rsidRPr="00B1515C">
        <w:rPr>
          <w:rFonts w:cs="Calibri"/>
          <w:color w:val="000000"/>
          <w:sz w:val="18"/>
        </w:rPr>
        <w:t>(</w:t>
      </w:r>
      <w:r w:rsidR="008630D3" w:rsidRPr="00B1515C">
        <w:rPr>
          <w:rFonts w:cs="Calibri"/>
          <w:color w:val="000000"/>
          <w:sz w:val="18"/>
        </w:rPr>
        <w:t xml:space="preserve">Report, </w:t>
      </w:r>
      <w:r w:rsidR="00244D36" w:rsidRPr="00B1515C">
        <w:rPr>
          <w:rFonts w:cs="Calibri"/>
          <w:color w:val="000000"/>
          <w:sz w:val="18"/>
        </w:rPr>
        <w:t>October 2021)</w:t>
      </w:r>
      <w:r w:rsidR="00A432F5">
        <w:rPr>
          <w:rFonts w:cs="Calibri"/>
          <w:color w:val="000000"/>
          <w:sz w:val="18"/>
        </w:rPr>
        <w:t>.</w:t>
      </w:r>
      <w:r w:rsidR="00244D36" w:rsidRPr="00B1515C">
        <w:rPr>
          <w:rFonts w:cs="Calibri"/>
          <w:color w:val="000000"/>
          <w:sz w:val="18"/>
        </w:rPr>
        <w:t xml:space="preserve"> </w:t>
      </w:r>
    </w:p>
  </w:footnote>
  <w:footnote w:id="18">
    <w:p w14:paraId="294A54E0" w14:textId="4EBEC617" w:rsidR="0066430D" w:rsidRPr="00B1515C" w:rsidDel="00D220B0" w:rsidRDefault="00815763" w:rsidP="00A01254">
      <w:pPr>
        <w:pStyle w:val="FootnoteText"/>
      </w:pPr>
      <w:r w:rsidRPr="00815763">
        <w:rPr>
          <w:rStyle w:val="FootnoteReference"/>
          <w:vertAlign w:val="baseline"/>
        </w:rPr>
        <w:footnoteRef/>
      </w:r>
      <w:r w:rsidR="00D220B0" w:rsidRPr="00B1515C">
        <w:t xml:space="preserve"> </w:t>
      </w:r>
      <w:r w:rsidR="00FE31B9" w:rsidRPr="00B1515C">
        <w:tab/>
      </w:r>
      <w:r w:rsidR="008A0FE1" w:rsidRPr="003B5020">
        <w:rPr>
          <w:rStyle w:val="Emphasis"/>
        </w:rPr>
        <w:t>Senate Select Committee Report</w:t>
      </w:r>
      <w:r w:rsidR="008A0FE1" w:rsidRPr="00B1515C">
        <w:t xml:space="preserve"> </w:t>
      </w:r>
      <w:r w:rsidR="001609BE" w:rsidRPr="00B1515C">
        <w:t>(n 9)</w:t>
      </w:r>
      <w:r w:rsidR="008A0FE1" w:rsidRPr="00B1515C">
        <w:t>.</w:t>
      </w:r>
    </w:p>
  </w:footnote>
  <w:footnote w:id="19">
    <w:p w14:paraId="041346AB" w14:textId="77BC3515"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936AA6" w:rsidRPr="003B5020">
        <w:rPr>
          <w:rStyle w:val="Emphasis"/>
        </w:rPr>
        <w:t>Senate Select Committee Report</w:t>
      </w:r>
      <w:r w:rsidR="00936AA6" w:rsidRPr="00B1515C">
        <w:t xml:space="preserve"> </w:t>
      </w:r>
      <w:r w:rsidR="001609BE" w:rsidRPr="00B1515C">
        <w:t>(n 9)</w:t>
      </w:r>
      <w:r w:rsidR="0066430D" w:rsidRPr="00B1515C">
        <w:t xml:space="preserve"> 139.</w:t>
      </w:r>
    </w:p>
  </w:footnote>
  <w:footnote w:id="20">
    <w:p w14:paraId="728AB29C" w14:textId="702D2FC0"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A4E24" w:rsidRPr="003B5020">
        <w:rPr>
          <w:rStyle w:val="Emphasis"/>
        </w:rPr>
        <w:t>Senate Select Committee Report</w:t>
      </w:r>
      <w:r w:rsidR="00DA4E24" w:rsidRPr="00B1515C">
        <w:t xml:space="preserve"> </w:t>
      </w:r>
      <w:r w:rsidR="001609BE" w:rsidRPr="00B1515C">
        <w:t>(n 9)</w:t>
      </w:r>
      <w:r w:rsidR="0066430D" w:rsidRPr="00B1515C">
        <w:t xml:space="preserve"> x.</w:t>
      </w:r>
    </w:p>
  </w:footnote>
  <w:footnote w:id="21">
    <w:p w14:paraId="4DF2F61E" w14:textId="023B551B"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A4E24" w:rsidRPr="003B5020">
        <w:rPr>
          <w:rStyle w:val="Emphasis"/>
        </w:rPr>
        <w:t>Senate Select Committee Report</w:t>
      </w:r>
      <w:r w:rsidR="00DA4E24" w:rsidRPr="00B1515C">
        <w:t xml:space="preserve"> </w:t>
      </w:r>
      <w:r w:rsidR="001609BE" w:rsidRPr="00B1515C">
        <w:t>(n 9)</w:t>
      </w:r>
      <w:r w:rsidR="0066430D" w:rsidRPr="00B1515C">
        <w:t xml:space="preserve"> 140.</w:t>
      </w:r>
    </w:p>
  </w:footnote>
  <w:footnote w:id="22">
    <w:p w14:paraId="7CD8C904" w14:textId="32279206"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66430D" w:rsidRPr="00B1515C">
        <w:t xml:space="preserve">Treasurer, </w:t>
      </w:r>
      <w:r w:rsidR="00F75232">
        <w:t>‘</w:t>
      </w:r>
      <w:r w:rsidR="0066430D" w:rsidRPr="00B1515C">
        <w:t>Reforming Australia</w:t>
      </w:r>
      <w:r w:rsidR="00F75232">
        <w:t>’</w:t>
      </w:r>
      <w:r w:rsidR="0066430D" w:rsidRPr="00B1515C">
        <w:t>s payments system for the digital age</w:t>
      </w:r>
      <w:r w:rsidR="00F75232">
        <w:t>’</w:t>
      </w:r>
      <w:r w:rsidR="0066430D" w:rsidRPr="00B1515C">
        <w:t xml:space="preserve"> </w:t>
      </w:r>
      <w:r w:rsidR="00E05D4E" w:rsidRPr="00B1515C">
        <w:t>(</w:t>
      </w:r>
      <w:r w:rsidR="0098132F" w:rsidRPr="00B1515C">
        <w:t>Media Release,</w:t>
      </w:r>
      <w:r w:rsidR="0066430D" w:rsidRPr="00B1515C">
        <w:t xml:space="preserve"> 8 December 2021</w:t>
      </w:r>
      <w:r w:rsidR="00D17F3C" w:rsidRPr="00B1515C">
        <w:t>)</w:t>
      </w:r>
      <w:r w:rsidR="0066430D" w:rsidRPr="00B1515C">
        <w:t>.</w:t>
      </w:r>
      <w:r w:rsidR="0066430D" w:rsidRPr="00B1515C" w:rsidDel="00722169">
        <w:t xml:space="preserve"> </w:t>
      </w:r>
    </w:p>
  </w:footnote>
  <w:footnote w:id="23">
    <w:p w14:paraId="23A4A2C7" w14:textId="02D96BD6"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1205B5" w:rsidRPr="00B1515C">
        <w:t xml:space="preserve">Australian Government </w:t>
      </w:r>
      <w:r w:rsidR="003A18B4" w:rsidRPr="00B1515C">
        <w:t>the Treasury,</w:t>
      </w:r>
      <w:r w:rsidR="0066430D" w:rsidRPr="00B1515C">
        <w:t xml:space="preserve"> </w:t>
      </w:r>
      <w:hyperlink r:id="rId11" w:history="1">
        <w:r w:rsidR="0066430D" w:rsidRPr="00133349">
          <w:rPr>
            <w:rStyle w:val="Hyperlink"/>
            <w:i/>
            <w:iCs/>
          </w:rPr>
          <w:t>Transforming Australia</w:t>
        </w:r>
        <w:r w:rsidR="00F75232" w:rsidRPr="00133349">
          <w:rPr>
            <w:rStyle w:val="Hyperlink"/>
            <w:i/>
            <w:iCs/>
          </w:rPr>
          <w:t>’</w:t>
        </w:r>
        <w:r w:rsidR="0066430D" w:rsidRPr="00133349">
          <w:rPr>
            <w:rStyle w:val="Hyperlink"/>
            <w:i/>
            <w:iCs/>
          </w:rPr>
          <w:t>s Payments System</w:t>
        </w:r>
      </w:hyperlink>
      <w:r w:rsidR="0066430D" w:rsidRPr="00B1515C">
        <w:t xml:space="preserve"> (</w:t>
      </w:r>
      <w:r w:rsidR="00306EEE" w:rsidRPr="00B1515C">
        <w:t xml:space="preserve">Government response, </w:t>
      </w:r>
      <w:r w:rsidR="0066430D" w:rsidRPr="00B1515C">
        <w:t>December</w:t>
      </w:r>
      <w:r w:rsidR="001A2FFB">
        <w:t> </w:t>
      </w:r>
      <w:r w:rsidR="0066430D" w:rsidRPr="00B1515C">
        <w:t>2021</w:t>
      </w:r>
      <w:r w:rsidR="00D36407" w:rsidRPr="00B1515C">
        <w:t>)</w:t>
      </w:r>
      <w:r w:rsidR="0066430D" w:rsidRPr="00B1515C">
        <w:t xml:space="preserve"> 5</w:t>
      </w:r>
      <w:r w:rsidR="00A95E5D" w:rsidRPr="00B1515C">
        <w:t xml:space="preserve"> (</w:t>
      </w:r>
      <w:r w:rsidR="00F75232">
        <w:t>‘</w:t>
      </w:r>
      <w:r w:rsidR="00A95E5D" w:rsidRPr="003B5020">
        <w:rPr>
          <w:rStyle w:val="Emphasis"/>
        </w:rPr>
        <w:t>Transf</w:t>
      </w:r>
      <w:r w:rsidR="002D302D" w:rsidRPr="003B5020">
        <w:rPr>
          <w:rStyle w:val="Emphasis"/>
        </w:rPr>
        <w:t>orming Australia</w:t>
      </w:r>
      <w:r w:rsidR="00F75232">
        <w:rPr>
          <w:rStyle w:val="Emphasis"/>
        </w:rPr>
        <w:t>’</w:t>
      </w:r>
      <w:r w:rsidR="002D302D" w:rsidRPr="003B5020">
        <w:rPr>
          <w:rStyle w:val="Emphasis"/>
        </w:rPr>
        <w:t>s Payments System</w:t>
      </w:r>
      <w:r w:rsidR="00F75232">
        <w:rPr>
          <w:rStyle w:val="Emphasis"/>
        </w:rPr>
        <w:t>’</w:t>
      </w:r>
      <w:r w:rsidR="009A3EF4" w:rsidRPr="00B1515C">
        <w:t>).</w:t>
      </w:r>
    </w:p>
  </w:footnote>
  <w:footnote w:id="24">
    <w:p w14:paraId="7E057DBD" w14:textId="25553E9D"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8A0FE1" w:rsidRPr="00B1515C">
        <w:t>The Treasury</w:t>
      </w:r>
      <w:r w:rsidR="00284BFA" w:rsidRPr="00B1515C">
        <w:t>,</w:t>
      </w:r>
      <w:r w:rsidR="0066430D" w:rsidRPr="00B1515C">
        <w:t xml:space="preserve"> </w:t>
      </w:r>
      <w:r w:rsidR="0066430D" w:rsidRPr="003B5020">
        <w:rPr>
          <w:rStyle w:val="Emphasis"/>
        </w:rPr>
        <w:t>Transforming Australia</w:t>
      </w:r>
      <w:r w:rsidR="00F75232">
        <w:rPr>
          <w:rStyle w:val="Emphasis"/>
        </w:rPr>
        <w:t>’</w:t>
      </w:r>
      <w:r w:rsidR="0066430D" w:rsidRPr="003B5020">
        <w:rPr>
          <w:rStyle w:val="Emphasis"/>
        </w:rPr>
        <w:t>s Payments System</w:t>
      </w:r>
      <w:r w:rsidR="0066430D" w:rsidRPr="00B1515C">
        <w:t xml:space="preserve"> </w:t>
      </w:r>
      <w:r w:rsidR="001609BE" w:rsidRPr="00B1515C">
        <w:t>(n 22)</w:t>
      </w:r>
      <w:r w:rsidR="004A7153" w:rsidRPr="00B1515C">
        <w:t xml:space="preserve"> </w:t>
      </w:r>
      <w:r w:rsidR="00284BFA" w:rsidRPr="00B1515C">
        <w:t>12</w:t>
      </w:r>
      <w:r w:rsidR="004A7153" w:rsidRPr="00B1515C">
        <w:t>.</w:t>
      </w:r>
    </w:p>
  </w:footnote>
  <w:footnote w:id="25">
    <w:p w14:paraId="27233DB6" w14:textId="40F29332" w:rsidR="003272FB" w:rsidRPr="00B1515C" w:rsidRDefault="00815763" w:rsidP="00A01254">
      <w:pPr>
        <w:pStyle w:val="FootnoteText"/>
      </w:pPr>
      <w:r w:rsidRPr="00815763">
        <w:rPr>
          <w:rStyle w:val="FootnoteReference"/>
          <w:vertAlign w:val="baseline"/>
        </w:rPr>
        <w:footnoteRef/>
      </w:r>
      <w:r w:rsidR="003272FB" w:rsidRPr="00B1515C">
        <w:t xml:space="preserve"> </w:t>
      </w:r>
      <w:r w:rsidR="00FE31B9" w:rsidRPr="00B1515C">
        <w:tab/>
      </w:r>
      <w:r w:rsidR="003272FB" w:rsidRPr="00B1515C">
        <w:rPr>
          <w:color w:val="000000"/>
        </w:rPr>
        <w:t>OECD (2023), </w:t>
      </w:r>
      <w:hyperlink r:id="rId12" w:history="1">
        <w:r w:rsidR="003272FB" w:rsidRPr="00133349">
          <w:rPr>
            <w:rStyle w:val="Hyperlink"/>
            <w:i/>
            <w:iCs/>
          </w:rPr>
          <w:t>International Standards for Automatic Exchange of Information in Tax Matters: Crypto</w:t>
        </w:r>
        <w:r w:rsidR="00F75232" w:rsidRPr="00133349">
          <w:rPr>
            <w:rStyle w:val="Hyperlink"/>
            <w:i/>
            <w:iCs/>
          </w:rPr>
          <w:t>-</w:t>
        </w:r>
        <w:r w:rsidR="003272FB" w:rsidRPr="00133349">
          <w:rPr>
            <w:rStyle w:val="Hyperlink"/>
            <w:i/>
            <w:iCs/>
          </w:rPr>
          <w:t>Asset Reporting Framework and 2023 update to the Common Reporting Standard</w:t>
        </w:r>
      </w:hyperlink>
      <w:r w:rsidR="003272FB" w:rsidRPr="00B1515C">
        <w:rPr>
          <w:color w:val="000000"/>
        </w:rPr>
        <w:t>, OECD Publishing, Paris</w:t>
      </w:r>
      <w:r w:rsidR="00133349">
        <w:rPr>
          <w:color w:val="000000"/>
        </w:rPr>
        <w:t>.</w:t>
      </w:r>
    </w:p>
  </w:footnote>
  <w:footnote w:id="26">
    <w:p w14:paraId="4655CC59" w14:textId="7B63B11E" w:rsidR="00CB13DF" w:rsidRPr="00B1515C" w:rsidRDefault="00815763" w:rsidP="00A01254">
      <w:pPr>
        <w:pStyle w:val="FootnoteText"/>
      </w:pPr>
      <w:r w:rsidRPr="00815763">
        <w:rPr>
          <w:rStyle w:val="FootnoteReference"/>
          <w:vertAlign w:val="baseline"/>
        </w:rPr>
        <w:footnoteRef/>
      </w:r>
      <w:r w:rsidR="00520FC4" w:rsidRPr="00B1515C">
        <w:t xml:space="preserve"> </w:t>
      </w:r>
      <w:r w:rsidR="00FE31B9" w:rsidRPr="00B1515C">
        <w:tab/>
      </w:r>
      <w:r w:rsidR="00040042" w:rsidRPr="00B1515C">
        <w:t>OECD</w:t>
      </w:r>
      <w:r w:rsidR="00F5476E" w:rsidRPr="00B1515C">
        <w:t xml:space="preserve">, </w:t>
      </w:r>
      <w:r w:rsidR="00F75232">
        <w:t>‘</w:t>
      </w:r>
      <w:hyperlink r:id="rId13" w:history="1">
        <w:r w:rsidR="00F5476E" w:rsidRPr="00460D5E">
          <w:rPr>
            <w:rStyle w:val="Hyperlink"/>
          </w:rPr>
          <w:t>OECD</w:t>
        </w:r>
        <w:r w:rsidR="00040042" w:rsidRPr="00460D5E">
          <w:rPr>
            <w:rStyle w:val="Hyperlink"/>
          </w:rPr>
          <w:t xml:space="preserve"> Secretary</w:t>
        </w:r>
        <w:r w:rsidR="00F75232" w:rsidRPr="00460D5E">
          <w:rPr>
            <w:rStyle w:val="Hyperlink"/>
          </w:rPr>
          <w:t>-</w:t>
        </w:r>
        <w:r w:rsidR="00040042" w:rsidRPr="00460D5E">
          <w:rPr>
            <w:rStyle w:val="Hyperlink"/>
          </w:rPr>
          <w:t>General Mathias Cormann welcomes pledge by 48 countries to implement global tax transparency standard for crypto</w:t>
        </w:r>
        <w:r w:rsidR="00F75232" w:rsidRPr="00460D5E">
          <w:rPr>
            <w:rStyle w:val="Hyperlink"/>
          </w:rPr>
          <w:t>-</w:t>
        </w:r>
        <w:r w:rsidR="00040042" w:rsidRPr="00460D5E">
          <w:rPr>
            <w:rStyle w:val="Hyperlink"/>
          </w:rPr>
          <w:t>assets by 2027</w:t>
        </w:r>
        <w:r w:rsidR="00F75232" w:rsidRPr="00F63B96">
          <w:t>’</w:t>
        </w:r>
      </w:hyperlink>
      <w:r w:rsidR="00040042" w:rsidRPr="00B1515C">
        <w:t xml:space="preserve"> (</w:t>
      </w:r>
      <w:r w:rsidR="000E6C51" w:rsidRPr="00B1515C">
        <w:t xml:space="preserve">Media Release, </w:t>
      </w:r>
      <w:r w:rsidR="009B12E4" w:rsidRPr="00B1515C">
        <w:t>10 November 2023</w:t>
      </w:r>
      <w:r w:rsidR="00ED68F9" w:rsidRPr="00B1515C">
        <w:t>)</w:t>
      </w:r>
      <w:r w:rsidR="00EE4E6C" w:rsidRPr="00B1515C">
        <w:t xml:space="preserve">. </w:t>
      </w:r>
    </w:p>
  </w:footnote>
  <w:footnote w:id="27">
    <w:p w14:paraId="6DC440C5" w14:textId="29BA23EB" w:rsidR="008C5FFE" w:rsidRPr="00B1515C" w:rsidRDefault="00815763" w:rsidP="00A01254">
      <w:pPr>
        <w:pStyle w:val="FootnoteText"/>
      </w:pPr>
      <w:r w:rsidRPr="00815763">
        <w:rPr>
          <w:rStyle w:val="FootnoteReference"/>
          <w:vertAlign w:val="baseline"/>
        </w:rPr>
        <w:footnoteRef/>
      </w:r>
      <w:r w:rsidR="008C5FFE" w:rsidRPr="00B1515C">
        <w:t xml:space="preserve"> </w:t>
      </w:r>
      <w:r w:rsidR="00FE31B9" w:rsidRPr="00B1515C">
        <w:tab/>
      </w:r>
      <w:r w:rsidR="008C5FFE" w:rsidRPr="00B1515C">
        <w:t xml:space="preserve">OECD, </w:t>
      </w:r>
      <w:r w:rsidR="00F75232">
        <w:t>‘</w:t>
      </w:r>
      <w:hyperlink r:id="rId14" w:history="1">
        <w:r w:rsidR="008C5FFE" w:rsidRPr="00F63B96">
          <w:rPr>
            <w:rStyle w:val="Hyperlink"/>
          </w:rPr>
          <w:t>Taxing Virtual Currencies: An Overview of Tax Treatments and Emerging Tax Policy Issues</w:t>
        </w:r>
      </w:hyperlink>
      <w:r w:rsidR="00F75232">
        <w:t>’</w:t>
      </w:r>
      <w:r w:rsidR="00590ED0" w:rsidRPr="00B1515C">
        <w:t xml:space="preserve"> </w:t>
      </w:r>
      <w:r w:rsidR="008C5FFE" w:rsidRPr="00B1515C">
        <w:t>(</w:t>
      </w:r>
      <w:r w:rsidR="00590ED0" w:rsidRPr="00B1515C">
        <w:t>Media Release,</w:t>
      </w:r>
      <w:r w:rsidR="008C5FFE" w:rsidRPr="00B1515C">
        <w:t xml:space="preserve"> 12</w:t>
      </w:r>
      <w:r w:rsidR="001A2FFB">
        <w:t> </w:t>
      </w:r>
      <w:r w:rsidR="008C5FFE" w:rsidRPr="00B1515C">
        <w:t>October 2020)</w:t>
      </w:r>
      <w:r w:rsidR="00F63B96">
        <w:t>.</w:t>
      </w:r>
    </w:p>
  </w:footnote>
  <w:footnote w:id="28">
    <w:p w14:paraId="58635852" w14:textId="1C1C7C3C" w:rsidR="00DB68FD" w:rsidRPr="00B1515C" w:rsidRDefault="00815763" w:rsidP="00A01254">
      <w:pPr>
        <w:pStyle w:val="FootnoteText"/>
      </w:pPr>
      <w:r w:rsidRPr="00815763">
        <w:rPr>
          <w:rStyle w:val="FootnoteReference"/>
          <w:vertAlign w:val="baseline"/>
        </w:rPr>
        <w:footnoteRef/>
      </w:r>
      <w:r w:rsidR="00DB68FD" w:rsidRPr="00B1515C">
        <w:t xml:space="preserve"> </w:t>
      </w:r>
      <w:r w:rsidR="00FE31B9" w:rsidRPr="00B1515C">
        <w:tab/>
      </w:r>
      <w:r w:rsidR="00DB68FD" w:rsidRPr="00B1515C">
        <w:t xml:space="preserve">See </w:t>
      </w:r>
      <w:r w:rsidR="00372633">
        <w:t>Chapter </w:t>
      </w:r>
      <w:r w:rsidR="00DB68FD" w:rsidRPr="00B1515C">
        <w:t xml:space="preserve">13 </w:t>
      </w:r>
      <w:r w:rsidR="00F75232">
        <w:t>‘</w:t>
      </w:r>
      <w:r w:rsidR="00DB68FD" w:rsidRPr="00B1515C">
        <w:t>Digital Services Tax</w:t>
      </w:r>
      <w:r w:rsidR="00F75232">
        <w:t>’</w:t>
      </w:r>
      <w:r w:rsidR="00DB68FD" w:rsidRPr="00B1515C">
        <w:t>.</w:t>
      </w:r>
    </w:p>
  </w:footnote>
  <w:footnote w:id="29">
    <w:p w14:paraId="33B5A682" w14:textId="53B0C290"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C043E" w:rsidRPr="00B1515C">
        <w:t>The Treasury</w:t>
      </w:r>
      <w:r w:rsidR="00DC043E" w:rsidRPr="00C77F3F">
        <w:t xml:space="preserve">, </w:t>
      </w:r>
      <w:r w:rsidR="00DC043E" w:rsidRPr="003B5020">
        <w:rPr>
          <w:rStyle w:val="Emphasis"/>
        </w:rPr>
        <w:t xml:space="preserve">Token Mapping Consultation Paper </w:t>
      </w:r>
      <w:r w:rsidR="00DC043E" w:rsidRPr="00B1515C">
        <w:t>(n 4)</w:t>
      </w:r>
      <w:r w:rsidR="0066430D" w:rsidRPr="00B1515C">
        <w:t xml:space="preserve"> 7.</w:t>
      </w:r>
    </w:p>
  </w:footnote>
  <w:footnote w:id="30">
    <w:p w14:paraId="5AC1A3F7" w14:textId="04A11A6A"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C043E" w:rsidRPr="00B1515C">
        <w:t>The Treasury</w:t>
      </w:r>
      <w:r w:rsidR="00DC043E" w:rsidRPr="00C77F3F">
        <w:t xml:space="preserve">, </w:t>
      </w:r>
      <w:r w:rsidR="00DC043E" w:rsidRPr="003B5020">
        <w:rPr>
          <w:rStyle w:val="Emphasis"/>
        </w:rPr>
        <w:t xml:space="preserve">Token Mapping Consultation Paper </w:t>
      </w:r>
      <w:r w:rsidR="00DC043E" w:rsidRPr="00B1515C">
        <w:t xml:space="preserve">(n 4) </w:t>
      </w:r>
      <w:r w:rsidR="0066430D" w:rsidRPr="00B1515C">
        <w:t>7, referencing a recent paper of the Bank for International Settlements.</w:t>
      </w:r>
    </w:p>
  </w:footnote>
  <w:footnote w:id="31">
    <w:p w14:paraId="51BC134C" w14:textId="7D70947A"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C043E" w:rsidRPr="00B1515C">
        <w:t>The Treasury</w:t>
      </w:r>
      <w:r w:rsidR="00DC043E" w:rsidRPr="00C77F3F">
        <w:t xml:space="preserve">, </w:t>
      </w:r>
      <w:r w:rsidR="00DC043E" w:rsidRPr="003B5020">
        <w:rPr>
          <w:rStyle w:val="Emphasis"/>
        </w:rPr>
        <w:t xml:space="preserve">Token Mapping Consultation Paper </w:t>
      </w:r>
      <w:r w:rsidR="00DC043E" w:rsidRPr="00B1515C">
        <w:t xml:space="preserve">(n 4) </w:t>
      </w:r>
      <w:r w:rsidR="0066430D" w:rsidRPr="00B1515C">
        <w:t>9 [13].</w:t>
      </w:r>
    </w:p>
  </w:footnote>
  <w:footnote w:id="32">
    <w:p w14:paraId="373D18E9" w14:textId="08E44CD0"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C043E" w:rsidRPr="00B1515C">
        <w:t>The Treasury</w:t>
      </w:r>
      <w:r w:rsidR="00DC043E" w:rsidRPr="007C26E8">
        <w:t xml:space="preserve">, </w:t>
      </w:r>
      <w:r w:rsidR="00DC043E" w:rsidRPr="003B5020">
        <w:rPr>
          <w:rStyle w:val="Emphasis"/>
        </w:rPr>
        <w:t xml:space="preserve">Token Mapping Consultation Paper </w:t>
      </w:r>
      <w:r w:rsidR="00DC043E" w:rsidRPr="00B1515C">
        <w:t xml:space="preserve">(n 4) </w:t>
      </w:r>
      <w:r w:rsidR="0066430D" w:rsidRPr="00B1515C">
        <w:t>7 [2].</w:t>
      </w:r>
    </w:p>
  </w:footnote>
  <w:footnote w:id="33">
    <w:p w14:paraId="3DF1755E" w14:textId="356FFD52"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C043E" w:rsidRPr="00B1515C">
        <w:t>The Treasury</w:t>
      </w:r>
      <w:r w:rsidR="00DC043E" w:rsidRPr="007C26E8">
        <w:t xml:space="preserve">, </w:t>
      </w:r>
      <w:r w:rsidR="00DC043E" w:rsidRPr="003B5020">
        <w:rPr>
          <w:rStyle w:val="Emphasis"/>
        </w:rPr>
        <w:t xml:space="preserve">Token Mapping Consultation Paper </w:t>
      </w:r>
      <w:r w:rsidR="00DC043E" w:rsidRPr="00B1515C">
        <w:t xml:space="preserve">(n 4) </w:t>
      </w:r>
      <w:r w:rsidR="0066430D" w:rsidRPr="00B1515C">
        <w:t>12 [24].</w:t>
      </w:r>
    </w:p>
  </w:footnote>
  <w:footnote w:id="34">
    <w:p w14:paraId="73305F00" w14:textId="766A1E4D"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DC043E" w:rsidRPr="00B1515C">
        <w:t>The Treasury</w:t>
      </w:r>
      <w:r w:rsidR="00DC043E" w:rsidRPr="007C26E8">
        <w:t xml:space="preserve">, </w:t>
      </w:r>
      <w:r w:rsidR="00DC043E" w:rsidRPr="003B5020">
        <w:rPr>
          <w:rStyle w:val="Emphasis"/>
        </w:rPr>
        <w:t xml:space="preserve">Token Mapping Consultation Paper </w:t>
      </w:r>
      <w:r w:rsidR="00DC043E" w:rsidRPr="00B1515C">
        <w:t xml:space="preserve">(n 4) </w:t>
      </w:r>
      <w:r w:rsidR="0066430D" w:rsidRPr="00B1515C">
        <w:t>9 [16].</w:t>
      </w:r>
    </w:p>
  </w:footnote>
  <w:footnote w:id="35">
    <w:p w14:paraId="21B98A9F" w14:textId="18DC450A"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66430D" w:rsidRPr="00B1515C">
        <w:t xml:space="preserve">This followed </w:t>
      </w:r>
      <w:r w:rsidR="00137A55" w:rsidRPr="00B1515C">
        <w:t xml:space="preserve">Australian Government, The Treasury, </w:t>
      </w:r>
      <w:hyperlink r:id="rId15" w:history="1">
        <w:r w:rsidR="00137A55" w:rsidRPr="008E7574">
          <w:rPr>
            <w:rStyle w:val="Hyperlink"/>
          </w:rPr>
          <w:t>Crypto asset secondary service providers: Licensing and custody requirements</w:t>
        </w:r>
      </w:hyperlink>
      <w:r w:rsidR="00137A55" w:rsidRPr="00B1515C">
        <w:t xml:space="preserve"> (Consultation Guide, 21 March 2022) (</w:t>
      </w:r>
      <w:r w:rsidR="00F75232">
        <w:rPr>
          <w:rStyle w:val="Emphasis"/>
        </w:rPr>
        <w:t>‘</w:t>
      </w:r>
      <w:r w:rsidR="00137A55" w:rsidRPr="003B5020">
        <w:rPr>
          <w:rStyle w:val="Emphasis"/>
        </w:rPr>
        <w:t xml:space="preserve">CASSPR: Licensing and custody requirements Consultation </w:t>
      </w:r>
      <w:r w:rsidR="00137A55" w:rsidRPr="00B1515C">
        <w:rPr>
          <w:iCs/>
        </w:rPr>
        <w:t>Guide</w:t>
      </w:r>
      <w:r w:rsidR="00F75232">
        <w:rPr>
          <w:iCs/>
        </w:rPr>
        <w:t>’</w:t>
      </w:r>
      <w:r w:rsidR="00941B3D" w:rsidRPr="00B1515C">
        <w:rPr>
          <w:iCs/>
        </w:rPr>
        <w:t>)</w:t>
      </w:r>
      <w:r w:rsidR="0066430D" w:rsidRPr="00B1515C">
        <w:rPr>
          <w:rFonts w:asciiTheme="minorHAnsi" w:hAnsiTheme="minorHAnsi" w:cstheme="minorHAnsi"/>
          <w:iCs/>
        </w:rPr>
        <w:t xml:space="preserve"> </w:t>
      </w:r>
      <w:r w:rsidR="0066430D" w:rsidRPr="00B1515C">
        <w:t xml:space="preserve">released by Treasury on 21 March 2022 </w:t>
      </w:r>
      <w:r w:rsidR="0066430D" w:rsidRPr="00B1515C">
        <w:rPr>
          <w:rFonts w:eastAsia="Calibri" w:cs="Calibri"/>
        </w:rPr>
        <w:t xml:space="preserve">pursuant to the former </w:t>
      </w:r>
      <w:r w:rsidR="004D46AE">
        <w:rPr>
          <w:rFonts w:eastAsia="Calibri" w:cs="Calibri"/>
        </w:rPr>
        <w:t>g</w:t>
      </w:r>
      <w:r w:rsidR="004D46AE" w:rsidRPr="00B1515C">
        <w:rPr>
          <w:rFonts w:eastAsia="Calibri" w:cs="Calibri"/>
        </w:rPr>
        <w:t>overnment</w:t>
      </w:r>
      <w:r w:rsidR="004D46AE">
        <w:rPr>
          <w:rFonts w:eastAsia="Calibri" w:cs="Calibri"/>
        </w:rPr>
        <w:t>’</w:t>
      </w:r>
      <w:r w:rsidR="004D46AE" w:rsidRPr="00B1515C">
        <w:rPr>
          <w:rFonts w:eastAsia="Calibri" w:cs="Calibri"/>
        </w:rPr>
        <w:t xml:space="preserve">s </w:t>
      </w:r>
      <w:r w:rsidR="0066430D" w:rsidRPr="00B1515C">
        <w:rPr>
          <w:rFonts w:eastAsia="Calibri" w:cs="Calibri"/>
        </w:rPr>
        <w:t>announcement of 8</w:t>
      </w:r>
      <w:r w:rsidR="0030549E">
        <w:rPr>
          <w:rFonts w:eastAsia="Calibri" w:cs="Calibri"/>
        </w:rPr>
        <w:t> </w:t>
      </w:r>
      <w:r w:rsidR="0066430D" w:rsidRPr="00B1515C">
        <w:rPr>
          <w:rFonts w:eastAsia="Calibri" w:cs="Calibri"/>
        </w:rPr>
        <w:t>December</w:t>
      </w:r>
      <w:r w:rsidR="0030549E">
        <w:rPr>
          <w:rFonts w:eastAsia="Calibri" w:cs="Calibri"/>
        </w:rPr>
        <w:t> </w:t>
      </w:r>
      <w:r w:rsidR="0066430D" w:rsidRPr="00B1515C">
        <w:rPr>
          <w:rFonts w:eastAsia="Calibri" w:cs="Calibri"/>
        </w:rPr>
        <w:t>2021 of consultation on licensing and custody requirements concerning custody arrangements.</w:t>
      </w:r>
      <w:r w:rsidR="0066430D" w:rsidRPr="00B1515C">
        <w:t xml:space="preserve"> </w:t>
      </w:r>
    </w:p>
  </w:footnote>
  <w:footnote w:id="36">
    <w:p w14:paraId="6607C6E8" w14:textId="5D57E4B4"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000D06" w:rsidRPr="00B1515C">
        <w:t xml:space="preserve">Treasurer, </w:t>
      </w:r>
      <w:r w:rsidR="00F75232">
        <w:t>‘</w:t>
      </w:r>
      <w:r w:rsidR="00000D06" w:rsidRPr="00B1515C">
        <w:t>Regulation of digital and crypto assets</w:t>
      </w:r>
      <w:r w:rsidR="00F75232">
        <w:t>’</w:t>
      </w:r>
      <w:r w:rsidR="00000D06" w:rsidRPr="00B1515C">
        <w:t xml:space="preserve"> (Media Release, 16 October 2023).</w:t>
      </w:r>
    </w:p>
  </w:footnote>
  <w:footnote w:id="37">
    <w:p w14:paraId="5366A79E" w14:textId="3F0D4C74"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8A0FE1" w:rsidRPr="00B1515C">
        <w:t>The Treasury</w:t>
      </w:r>
      <w:r w:rsidR="0066430D" w:rsidRPr="00B1515C">
        <w:t xml:space="preserve">, </w:t>
      </w:r>
      <w:r w:rsidR="0066430D" w:rsidRPr="003B5020">
        <w:rPr>
          <w:rStyle w:val="Emphasis"/>
        </w:rPr>
        <w:t>Regulating Digital Asset Platforms</w:t>
      </w:r>
      <w:r w:rsidR="0066430D" w:rsidRPr="00B1515C">
        <w:t xml:space="preserve"> </w:t>
      </w:r>
      <w:r w:rsidR="001609BE" w:rsidRPr="00B1515C">
        <w:t>(n 10)</w:t>
      </w:r>
      <w:r w:rsidR="00C6615F" w:rsidRPr="00B1515C">
        <w:t xml:space="preserve"> 2</w:t>
      </w:r>
      <w:r w:rsidR="00746134" w:rsidRPr="00B1515C">
        <w:t xml:space="preserve">. </w:t>
      </w:r>
    </w:p>
  </w:footnote>
  <w:footnote w:id="38">
    <w:p w14:paraId="24394379" w14:textId="21A23D46"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F34D90" w:rsidRPr="00B1515C">
        <w:t xml:space="preserve">RBA, </w:t>
      </w:r>
      <w:r w:rsidR="00F75232">
        <w:t>‘</w:t>
      </w:r>
      <w:r w:rsidR="00837F38" w:rsidRPr="00B1515C">
        <w:t>Reserve Bank and Digital Finance Cooperative Research Centre to Exp</w:t>
      </w:r>
      <w:r w:rsidR="00BC6BF3" w:rsidRPr="00B1515C">
        <w:t>lore Use Cases for CBDC</w:t>
      </w:r>
      <w:r w:rsidR="00F75232">
        <w:t>’</w:t>
      </w:r>
      <w:r w:rsidR="00BC6BF3" w:rsidRPr="00B1515C">
        <w:t xml:space="preserve"> (Media Release 9 August 2022</w:t>
      </w:r>
      <w:r w:rsidR="000602E7" w:rsidRPr="00B1515C">
        <w:t xml:space="preserve">). </w:t>
      </w:r>
    </w:p>
  </w:footnote>
  <w:footnote w:id="39">
    <w:p w14:paraId="43DE4216" w14:textId="567E8894"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3E2C36" w:rsidRPr="00B1515C">
        <w:t xml:space="preserve">RBA, Australian CBDC Pilot for Digital Finance Innovation (n </w:t>
      </w:r>
      <w:r w:rsidR="00A720BB" w:rsidRPr="00B1515C">
        <w:t>2</w:t>
      </w:r>
      <w:r w:rsidR="003E2C36" w:rsidRPr="00B1515C">
        <w:t>)</w:t>
      </w:r>
      <w:r w:rsidR="00AA186B" w:rsidRPr="00B1515C">
        <w:t>.</w:t>
      </w:r>
    </w:p>
  </w:footnote>
  <w:footnote w:id="40">
    <w:p w14:paraId="3DE204C4" w14:textId="4B4E99AA" w:rsidR="00A1163B" w:rsidRPr="00B1515C" w:rsidRDefault="00815763" w:rsidP="00A01254">
      <w:pPr>
        <w:pStyle w:val="FootnoteText"/>
      </w:pPr>
      <w:r w:rsidRPr="00815763">
        <w:rPr>
          <w:rStyle w:val="FootnoteReference"/>
          <w:vertAlign w:val="baseline"/>
        </w:rPr>
        <w:footnoteRef/>
      </w:r>
      <w:r w:rsidR="00A1163B" w:rsidRPr="00B1515C">
        <w:t xml:space="preserve"> </w:t>
      </w:r>
      <w:r w:rsidR="00FE31B9" w:rsidRPr="00B1515C">
        <w:tab/>
      </w:r>
      <w:r w:rsidR="005D69F5" w:rsidRPr="00B1515C">
        <w:t xml:space="preserve">ALRC, </w:t>
      </w:r>
      <w:r w:rsidR="00F75232">
        <w:t>‘</w:t>
      </w:r>
      <w:hyperlink r:id="rId16" w:history="1">
        <w:r w:rsidR="003D2349" w:rsidRPr="004206B9">
          <w:rPr>
            <w:rStyle w:val="Hyperlink"/>
          </w:rPr>
          <w:t>Review of the Legislative Framework for Corporations and Financial Services Regulation</w:t>
        </w:r>
      </w:hyperlink>
      <w:r w:rsidR="00F75232">
        <w:t>’</w:t>
      </w:r>
      <w:r w:rsidR="003D2349" w:rsidRPr="00B1515C">
        <w:t xml:space="preserve"> (11 September 2020)</w:t>
      </w:r>
      <w:r w:rsidR="00DF7A28" w:rsidRPr="00B1515C">
        <w:t xml:space="preserve">; </w:t>
      </w:r>
      <w:hyperlink r:id="rId17" w:history="1">
        <w:r w:rsidR="00C81140" w:rsidRPr="004206B9">
          <w:rPr>
            <w:rStyle w:val="Hyperlink"/>
          </w:rPr>
          <w:t>Terms of Reference to ALRC</w:t>
        </w:r>
      </w:hyperlink>
      <w:r w:rsidR="007B12CD" w:rsidRPr="00B1515C">
        <w:t xml:space="preserve"> (</w:t>
      </w:r>
      <w:r w:rsidR="00C81140" w:rsidRPr="00B1515C">
        <w:t>11 September 2020</w:t>
      </w:r>
      <w:r w:rsidR="007B12CD" w:rsidRPr="00B1515C">
        <w:t>)</w:t>
      </w:r>
      <w:r w:rsidR="00843BE8" w:rsidRPr="00B1515C">
        <w:t>.</w:t>
      </w:r>
      <w:r w:rsidR="00C81140" w:rsidRPr="00B1515C">
        <w:t xml:space="preserve"> </w:t>
      </w:r>
    </w:p>
  </w:footnote>
  <w:footnote w:id="41">
    <w:p w14:paraId="52E0739C" w14:textId="08194684" w:rsidR="00257965" w:rsidRPr="00B1515C" w:rsidRDefault="00815763" w:rsidP="00A01254">
      <w:pPr>
        <w:pStyle w:val="FootnoteText"/>
      </w:pPr>
      <w:r w:rsidRPr="00815763">
        <w:rPr>
          <w:rStyle w:val="FootnoteReference"/>
          <w:vertAlign w:val="baseline"/>
        </w:rPr>
        <w:footnoteRef/>
      </w:r>
      <w:r w:rsidR="00FE31B9" w:rsidRPr="00B1515C">
        <w:tab/>
      </w:r>
      <w:r w:rsidR="005E6923" w:rsidRPr="00B1515C">
        <w:t>ALRC</w:t>
      </w:r>
      <w:r w:rsidR="001347B4" w:rsidRPr="00B1515C">
        <w:t xml:space="preserve">, </w:t>
      </w:r>
      <w:r w:rsidR="00F75232">
        <w:t>‘</w:t>
      </w:r>
      <w:hyperlink r:id="rId18" w:history="1">
        <w:r w:rsidR="001347B4" w:rsidRPr="00631B74">
          <w:rPr>
            <w:rStyle w:val="Hyperlink"/>
          </w:rPr>
          <w:t>B</w:t>
        </w:r>
        <w:r w:rsidR="005E6923" w:rsidRPr="00631B74">
          <w:rPr>
            <w:rStyle w:val="Hyperlink"/>
          </w:rPr>
          <w:t>ackground Paper FSL7 Legislative Framework for Corporations and Financial Services Regulation – New Business Models, Technologies, and Practices</w:t>
        </w:r>
      </w:hyperlink>
      <w:r w:rsidR="00F75232">
        <w:t>’</w:t>
      </w:r>
      <w:r w:rsidR="001347B4" w:rsidRPr="00B1515C">
        <w:t xml:space="preserve"> (</w:t>
      </w:r>
      <w:r w:rsidR="00F70383" w:rsidRPr="00B1515C">
        <w:t>Background Paper</w:t>
      </w:r>
      <w:r w:rsidR="003404B0" w:rsidRPr="00B1515C">
        <w:t xml:space="preserve"> No FSL7</w:t>
      </w:r>
      <w:r w:rsidR="001421B9" w:rsidRPr="00B1515C">
        <w:t xml:space="preserve">, </w:t>
      </w:r>
      <w:r w:rsidR="001347B4" w:rsidRPr="00B1515C">
        <w:t>October 2022)</w:t>
      </w:r>
      <w:r w:rsidR="005E6923" w:rsidRPr="00B1515C">
        <w:t xml:space="preserve"> </w:t>
      </w:r>
      <w:r w:rsidR="009E47DC" w:rsidRPr="00B1515C">
        <w:t>(</w:t>
      </w:r>
      <w:r w:rsidR="00F75232">
        <w:t>‘</w:t>
      </w:r>
      <w:r w:rsidR="009E47DC" w:rsidRPr="003B5020">
        <w:rPr>
          <w:rStyle w:val="Emphasis"/>
        </w:rPr>
        <w:t>ALRC Background Paper FSL7</w:t>
      </w:r>
      <w:r w:rsidR="00F75232">
        <w:rPr>
          <w:rStyle w:val="Emphasis"/>
        </w:rPr>
        <w:t>’</w:t>
      </w:r>
      <w:r w:rsidR="009E47DC" w:rsidRPr="008B1C97">
        <w:t>)</w:t>
      </w:r>
      <w:r w:rsidR="00174138" w:rsidRPr="008B1C97">
        <w:t>.</w:t>
      </w:r>
    </w:p>
  </w:footnote>
  <w:footnote w:id="42">
    <w:p w14:paraId="409A2A9F" w14:textId="2344A520"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F75232">
        <w:t>‘</w:t>
      </w:r>
      <w:hyperlink r:id="rId19" w:history="1">
        <w:r w:rsidR="00D904EF" w:rsidRPr="009908E3">
          <w:rPr>
            <w:rStyle w:val="Hyperlink"/>
          </w:rPr>
          <w:t>Over 1</w:t>
        </w:r>
        <w:r w:rsidR="00372633">
          <w:rPr>
            <w:rStyle w:val="Hyperlink"/>
          </w:rPr>
          <w:t> million</w:t>
        </w:r>
        <w:r w:rsidR="00D904EF" w:rsidRPr="009908E3">
          <w:rPr>
            <w:rStyle w:val="Hyperlink"/>
          </w:rPr>
          <w:t xml:space="preserve"> Australians now own Cryptocurrencies such as Bitcoin, Ethereum</w:t>
        </w:r>
        <w:r w:rsidR="002B6E65" w:rsidRPr="009908E3">
          <w:rPr>
            <w:rStyle w:val="Hyperlink"/>
          </w:rPr>
          <w:t>, Ripple, Cardano, Dogecoin and Shiba Inu</w:t>
        </w:r>
      </w:hyperlink>
      <w:r w:rsidR="00F75232">
        <w:t>’</w:t>
      </w:r>
      <w:r w:rsidR="00E01B30" w:rsidRPr="00B1515C">
        <w:t>,</w:t>
      </w:r>
      <w:r w:rsidR="00E01B30" w:rsidRPr="003B5020">
        <w:rPr>
          <w:rStyle w:val="Emphasis"/>
        </w:rPr>
        <w:t xml:space="preserve"> Roy Morgan</w:t>
      </w:r>
      <w:r w:rsidR="008F201B" w:rsidRPr="003B5020">
        <w:rPr>
          <w:rStyle w:val="Emphasis"/>
        </w:rPr>
        <w:t xml:space="preserve"> </w:t>
      </w:r>
      <w:r w:rsidR="00E01B30" w:rsidRPr="00B1515C">
        <w:t>(</w:t>
      </w:r>
      <w:r w:rsidR="00FC17DA" w:rsidRPr="00B1515C">
        <w:t>Press Release</w:t>
      </w:r>
      <w:r w:rsidR="008F201B" w:rsidRPr="00B1515C">
        <w:t>, 12 April 2022)</w:t>
      </w:r>
      <w:r w:rsidR="009908E3">
        <w:t>.</w:t>
      </w:r>
    </w:p>
  </w:footnote>
  <w:footnote w:id="43">
    <w:p w14:paraId="6C2623EA" w14:textId="3B3A0E20" w:rsidR="002467C6" w:rsidRPr="00B1515C" w:rsidRDefault="00815763" w:rsidP="00A01254">
      <w:pPr>
        <w:pStyle w:val="FootnoteText"/>
      </w:pPr>
      <w:r w:rsidRPr="00815763">
        <w:rPr>
          <w:rStyle w:val="FootnoteReference"/>
          <w:vertAlign w:val="baseline"/>
        </w:rPr>
        <w:footnoteRef/>
      </w:r>
      <w:r w:rsidR="002467C6" w:rsidRPr="00B1515C">
        <w:t xml:space="preserve"> </w:t>
      </w:r>
      <w:r w:rsidR="002467C6" w:rsidRPr="00B1515C">
        <w:tab/>
      </w:r>
      <w:r w:rsidR="00E04B69" w:rsidRPr="00B1515C">
        <w:t xml:space="preserve">ATO, </w:t>
      </w:r>
      <w:r w:rsidR="00F75232">
        <w:t>‘</w:t>
      </w:r>
      <w:hyperlink r:id="rId20" w:history="1">
        <w:r w:rsidR="00E04B69" w:rsidRPr="009908E3">
          <w:rPr>
            <w:rStyle w:val="Hyperlink"/>
          </w:rPr>
          <w:t>Taking the cryptic out of crypto this tax time</w:t>
        </w:r>
      </w:hyperlink>
      <w:r w:rsidR="00F75232">
        <w:t>’</w:t>
      </w:r>
      <w:r w:rsidR="00E04B69" w:rsidRPr="00B1515C">
        <w:t xml:space="preserve"> (</w:t>
      </w:r>
      <w:r w:rsidR="00E82239">
        <w:t xml:space="preserve">Web Page, </w:t>
      </w:r>
      <w:r w:rsidR="00E04B69" w:rsidRPr="00B1515C">
        <w:t>13 July 2022)</w:t>
      </w:r>
      <w:r w:rsidR="009908E3">
        <w:t>.</w:t>
      </w:r>
    </w:p>
  </w:footnote>
  <w:footnote w:id="44">
    <w:p w14:paraId="48DE5C5E" w14:textId="1EC727E2" w:rsidR="0066430D" w:rsidRPr="00B1515C" w:rsidRDefault="00815763" w:rsidP="00A01254">
      <w:pPr>
        <w:pStyle w:val="FootnoteText"/>
      </w:pPr>
      <w:r w:rsidRPr="00815763">
        <w:rPr>
          <w:rStyle w:val="FootnoteReference"/>
          <w:vertAlign w:val="baseline"/>
        </w:rPr>
        <w:footnoteRef/>
      </w:r>
      <w:r w:rsidR="0066430D" w:rsidRPr="00B1515C">
        <w:t xml:space="preserve"> </w:t>
      </w:r>
      <w:r w:rsidR="00FE31B9" w:rsidRPr="00B1515C">
        <w:tab/>
      </w:r>
      <w:r w:rsidR="00F75232">
        <w:t>‘</w:t>
      </w:r>
      <w:hyperlink r:id="rId21" w:history="1">
        <w:r w:rsidR="0066430D" w:rsidRPr="00FF2583">
          <w:rPr>
            <w:rStyle w:val="Hyperlink"/>
          </w:rPr>
          <w:t>Australian Digital Assets Survey</w:t>
        </w:r>
        <w:r w:rsidR="00F75232" w:rsidRPr="00FF2583">
          <w:t>’</w:t>
        </w:r>
      </w:hyperlink>
      <w:r w:rsidR="001D19CD" w:rsidRPr="00B1515C">
        <w:t xml:space="preserve">, </w:t>
      </w:r>
      <w:r w:rsidR="001D19CD" w:rsidRPr="003B5020">
        <w:rPr>
          <w:rStyle w:val="Emphasis"/>
        </w:rPr>
        <w:t xml:space="preserve">Swyftx </w:t>
      </w:r>
      <w:r w:rsidR="001D19CD" w:rsidRPr="00B1515C">
        <w:t>(Web page</w:t>
      </w:r>
      <w:r w:rsidR="0066430D" w:rsidRPr="00B1515C">
        <w:t>,</w:t>
      </w:r>
      <w:r w:rsidR="00857425" w:rsidRPr="00B1515C">
        <w:t xml:space="preserve"> August 2023)</w:t>
      </w:r>
      <w:r w:rsidR="00FF2583">
        <w:t>.</w:t>
      </w:r>
    </w:p>
  </w:footnote>
  <w:footnote w:id="45">
    <w:p w14:paraId="5B828CC1" w14:textId="5D89683A" w:rsidR="006B705C" w:rsidRPr="00B1515C" w:rsidRDefault="00815763" w:rsidP="00A01254">
      <w:pPr>
        <w:pStyle w:val="FootnoteText"/>
      </w:pPr>
      <w:r w:rsidRPr="00815763">
        <w:rPr>
          <w:rStyle w:val="FootnoteReference"/>
          <w:vertAlign w:val="baseline"/>
        </w:rPr>
        <w:footnoteRef/>
      </w:r>
      <w:r w:rsidR="006B705C" w:rsidRPr="00B1515C">
        <w:t xml:space="preserve"> </w:t>
      </w:r>
      <w:r w:rsidR="00FE31B9" w:rsidRPr="00B1515C">
        <w:tab/>
      </w:r>
      <w:r w:rsidR="00013A4E" w:rsidRPr="00B1515C">
        <w:t xml:space="preserve">IMF, </w:t>
      </w:r>
      <w:hyperlink r:id="rId22" w:anchor=":~:text=Crypto%20assets%20predominantly%20transmit%20spillovers,shocks%2C%20generating%20financial%20stability%20risks." w:history="1">
        <w:r w:rsidR="00E32383" w:rsidRPr="008376E5">
          <w:rPr>
            <w:rStyle w:val="Hyperlink"/>
            <w:i/>
            <w:iCs/>
          </w:rPr>
          <w:t>New Evidence on Spillovers Between Crypto Assets and Financial Markets</w:t>
        </w:r>
      </w:hyperlink>
      <w:r w:rsidR="004803A0" w:rsidRPr="00B1515C">
        <w:t xml:space="preserve"> (Working Paper, September 2023)</w:t>
      </w:r>
      <w:r w:rsidR="00973E8C" w:rsidRPr="00B1515C">
        <w:t xml:space="preserve"> 2.</w:t>
      </w:r>
      <w:r w:rsidR="00E32383" w:rsidRPr="00B1515C">
        <w:t xml:space="preserve"> </w:t>
      </w:r>
    </w:p>
  </w:footnote>
  <w:footnote w:id="46">
    <w:p w14:paraId="6E76351D" w14:textId="736F9B33" w:rsidR="00E138A9" w:rsidRPr="00B1515C" w:rsidRDefault="00815763" w:rsidP="00A01254">
      <w:pPr>
        <w:pStyle w:val="FootnoteText"/>
      </w:pPr>
      <w:r w:rsidRPr="00815763">
        <w:rPr>
          <w:rStyle w:val="FootnoteReference"/>
          <w:vertAlign w:val="baseline"/>
        </w:rPr>
        <w:footnoteRef/>
      </w:r>
      <w:r w:rsidR="00E138A9" w:rsidRPr="00B1515C">
        <w:t xml:space="preserve"> </w:t>
      </w:r>
      <w:r w:rsidR="00FE31B9" w:rsidRPr="00B1515C">
        <w:tab/>
      </w:r>
      <w:r w:rsidR="00DC043E" w:rsidRPr="00B1515C">
        <w:t>The Treasury</w:t>
      </w:r>
      <w:r w:rsidR="00DC043E" w:rsidRPr="007C26E8">
        <w:t xml:space="preserve">, </w:t>
      </w:r>
      <w:r w:rsidR="00DC043E" w:rsidRPr="003B5020">
        <w:rPr>
          <w:rStyle w:val="Emphasis"/>
        </w:rPr>
        <w:t xml:space="preserve">Token Mapping Consultation Paper </w:t>
      </w:r>
      <w:r w:rsidR="00DC043E" w:rsidRPr="00B1515C">
        <w:t xml:space="preserve">(n 4) </w:t>
      </w:r>
      <w:r w:rsidR="00E138A9" w:rsidRPr="00B1515C">
        <w:t>11 [23].</w:t>
      </w:r>
    </w:p>
  </w:footnote>
  <w:footnote w:id="47">
    <w:p w14:paraId="297CF596" w14:textId="528921C1"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F75232">
        <w:t>‘</w:t>
      </w:r>
      <w:hyperlink r:id="rId23" w:history="1">
        <w:r w:rsidR="00301B95" w:rsidRPr="008376E5">
          <w:rPr>
            <w:rStyle w:val="Hyperlink"/>
          </w:rPr>
          <w:t>All about digital assets &amp; how to create digital assets marketplace with Nasdaq</w:t>
        </w:r>
        <w:r w:rsidR="00F75232" w:rsidRPr="008376E5">
          <w:rPr>
            <w:rStyle w:val="Hyperlink"/>
          </w:rPr>
          <w:t>’</w:t>
        </w:r>
        <w:r w:rsidR="00301B95" w:rsidRPr="008376E5">
          <w:rPr>
            <w:rStyle w:val="Hyperlink"/>
          </w:rPr>
          <w:t>s Marketplace Services Platform</w:t>
        </w:r>
      </w:hyperlink>
      <w:r w:rsidR="00F75232">
        <w:t>’</w:t>
      </w:r>
      <w:r w:rsidR="00301B95" w:rsidRPr="00B1515C">
        <w:t>,</w:t>
      </w:r>
      <w:r w:rsidR="00F24DCF" w:rsidRPr="00B1515C">
        <w:t xml:space="preserve"> </w:t>
      </w:r>
      <w:r w:rsidR="00F24DCF" w:rsidRPr="004A658D">
        <w:rPr>
          <w:i/>
          <w:iCs/>
        </w:rPr>
        <w:t>Nasdaq</w:t>
      </w:r>
      <w:r w:rsidR="00F24DCF" w:rsidRPr="00B1515C">
        <w:t xml:space="preserve"> (Web Page</w:t>
      </w:r>
      <w:r w:rsidR="00BA3755" w:rsidRPr="00B1515C">
        <w:t>, accessed 20 January 2024)</w:t>
      </w:r>
      <w:r w:rsidR="008376E5">
        <w:t>.</w:t>
      </w:r>
    </w:p>
  </w:footnote>
  <w:footnote w:id="48">
    <w:p w14:paraId="39E65389" w14:textId="4C07AB7C"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301B95" w:rsidRPr="00B1515C">
        <w:t xml:space="preserve">See </w:t>
      </w:r>
      <w:r w:rsidR="00372633">
        <w:t>Chapter </w:t>
      </w:r>
      <w:r w:rsidR="00301B95" w:rsidRPr="00B1515C">
        <w:t>2 of this Report.</w:t>
      </w:r>
    </w:p>
  </w:footnote>
  <w:footnote w:id="49">
    <w:p w14:paraId="541F72A7" w14:textId="0B418231"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8A0FE1" w:rsidRPr="00B1515C">
        <w:t>The Treasury</w:t>
      </w:r>
      <w:r w:rsidR="006F74D1" w:rsidRPr="00B1515C">
        <w:t xml:space="preserve">, </w:t>
      </w:r>
      <w:r w:rsidR="00301B95" w:rsidRPr="003B5020">
        <w:rPr>
          <w:rStyle w:val="Emphasis"/>
        </w:rPr>
        <w:t>Transforming Australia</w:t>
      </w:r>
      <w:r w:rsidR="00F75232">
        <w:rPr>
          <w:rStyle w:val="Emphasis"/>
        </w:rPr>
        <w:t>’</w:t>
      </w:r>
      <w:r w:rsidR="00301B95" w:rsidRPr="003B5020">
        <w:rPr>
          <w:rStyle w:val="Emphasis"/>
        </w:rPr>
        <w:t>s Payments System</w:t>
      </w:r>
      <w:r w:rsidR="004A4FDA" w:rsidRPr="00B1515C">
        <w:t xml:space="preserve"> </w:t>
      </w:r>
      <w:r w:rsidR="001609BE" w:rsidRPr="00B1515C">
        <w:t>(n 22)</w:t>
      </w:r>
      <w:r w:rsidR="00301B95" w:rsidRPr="00B1515C">
        <w:t xml:space="preserve"> 5.</w:t>
      </w:r>
    </w:p>
  </w:footnote>
  <w:footnote w:id="50">
    <w:p w14:paraId="557E603C" w14:textId="2BD20190"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301B95" w:rsidRPr="003B5020">
        <w:rPr>
          <w:rStyle w:val="Emphasis"/>
        </w:rPr>
        <w:t xml:space="preserve">Senate </w:t>
      </w:r>
      <w:r w:rsidR="004F458C" w:rsidRPr="003B5020">
        <w:rPr>
          <w:rStyle w:val="Emphasis"/>
        </w:rPr>
        <w:t xml:space="preserve">Select </w:t>
      </w:r>
      <w:r w:rsidR="00301B95" w:rsidRPr="003B5020">
        <w:rPr>
          <w:rStyle w:val="Emphasis"/>
        </w:rPr>
        <w:t>Committee Report</w:t>
      </w:r>
      <w:r w:rsidR="00301B95" w:rsidRPr="00B1515C">
        <w:t xml:space="preserve"> </w:t>
      </w:r>
      <w:r w:rsidR="001609BE" w:rsidRPr="00B1515C">
        <w:t>(n 9)</w:t>
      </w:r>
      <w:r w:rsidR="00C64FCB" w:rsidRPr="00B1515C">
        <w:t xml:space="preserve"> </w:t>
      </w:r>
      <w:r w:rsidR="00301B95" w:rsidRPr="00B1515C">
        <w:t>[2.4].</w:t>
      </w:r>
    </w:p>
  </w:footnote>
  <w:footnote w:id="51">
    <w:p w14:paraId="6C3EC964" w14:textId="4992C3A8"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301B95" w:rsidRPr="003B5020">
        <w:rPr>
          <w:rStyle w:val="Emphasis"/>
        </w:rPr>
        <w:t xml:space="preserve">Senate </w:t>
      </w:r>
      <w:r w:rsidR="00C64FCB" w:rsidRPr="003B5020">
        <w:rPr>
          <w:rStyle w:val="Emphasis"/>
        </w:rPr>
        <w:t xml:space="preserve">Select </w:t>
      </w:r>
      <w:r w:rsidR="00301B95" w:rsidRPr="003B5020">
        <w:rPr>
          <w:rStyle w:val="Emphasis"/>
        </w:rPr>
        <w:t>Committee Report</w:t>
      </w:r>
      <w:r w:rsidR="00301B95" w:rsidRPr="00B1515C">
        <w:t xml:space="preserve"> </w:t>
      </w:r>
      <w:r w:rsidR="001609BE" w:rsidRPr="00B1515C">
        <w:t>(n 9)</w:t>
      </w:r>
      <w:r w:rsidR="00301B95" w:rsidRPr="00B1515C">
        <w:t xml:space="preserve"> [2.5].</w:t>
      </w:r>
    </w:p>
  </w:footnote>
  <w:footnote w:id="52">
    <w:p w14:paraId="3FC0FB3D" w14:textId="7AD83586"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8A0FE1" w:rsidRPr="00B1515C">
        <w:t>The Treasury</w:t>
      </w:r>
      <w:r w:rsidR="00AC3940" w:rsidRPr="00B1515C">
        <w:t xml:space="preserve">, </w:t>
      </w:r>
      <w:r w:rsidR="00301B95" w:rsidRPr="003B5020">
        <w:rPr>
          <w:rStyle w:val="Emphasis"/>
        </w:rPr>
        <w:t>Regulating Digital Asset Platforms</w:t>
      </w:r>
      <w:r w:rsidR="00301B95" w:rsidRPr="00B1515C">
        <w:t xml:space="preserve"> </w:t>
      </w:r>
      <w:r w:rsidR="001609BE" w:rsidRPr="00B1515C">
        <w:t>(n 10)</w:t>
      </w:r>
      <w:r w:rsidR="00301B95" w:rsidRPr="00B1515C">
        <w:t xml:space="preserve"> 5.</w:t>
      </w:r>
    </w:p>
  </w:footnote>
  <w:footnote w:id="53">
    <w:p w14:paraId="08853D95" w14:textId="77947CD2" w:rsidR="004045EA" w:rsidRPr="00B1515C" w:rsidRDefault="00815763" w:rsidP="00A01254">
      <w:pPr>
        <w:pStyle w:val="FootnoteText"/>
      </w:pPr>
      <w:r w:rsidRPr="00815763">
        <w:rPr>
          <w:rStyle w:val="FootnoteReference"/>
          <w:vertAlign w:val="baseline"/>
        </w:rPr>
        <w:footnoteRef/>
      </w:r>
      <w:r w:rsidR="004045EA" w:rsidRPr="00B1515C">
        <w:t xml:space="preserve"> </w:t>
      </w:r>
      <w:r w:rsidR="00FE31B9" w:rsidRPr="00B1515C">
        <w:tab/>
      </w:r>
      <w:r w:rsidR="004045EA" w:rsidRPr="003B5020">
        <w:rPr>
          <w:rStyle w:val="Emphasis"/>
        </w:rPr>
        <w:t xml:space="preserve">ALRC </w:t>
      </w:r>
      <w:r w:rsidR="008C026B" w:rsidRPr="003B5020">
        <w:rPr>
          <w:rStyle w:val="Emphasis"/>
        </w:rPr>
        <w:t xml:space="preserve">Background Paper </w:t>
      </w:r>
      <w:r w:rsidR="004045EA" w:rsidRPr="003B5020">
        <w:rPr>
          <w:rStyle w:val="Emphasis"/>
        </w:rPr>
        <w:t>FSL7</w:t>
      </w:r>
      <w:r w:rsidR="008C026B" w:rsidRPr="003B5020">
        <w:rPr>
          <w:rStyle w:val="Emphasis"/>
        </w:rPr>
        <w:t xml:space="preserve"> </w:t>
      </w:r>
      <w:r w:rsidR="00795A41" w:rsidRPr="00B1515C">
        <w:t>(n 40)</w:t>
      </w:r>
      <w:r w:rsidR="004045EA" w:rsidRPr="00B1515C">
        <w:t xml:space="preserve"> 7</w:t>
      </w:r>
      <w:r w:rsidR="00F75232">
        <w:t>-</w:t>
      </w:r>
      <w:r w:rsidR="004045EA" w:rsidRPr="00B1515C">
        <w:t>1.</w:t>
      </w:r>
    </w:p>
  </w:footnote>
  <w:footnote w:id="54">
    <w:p w14:paraId="7A9837B8" w14:textId="13954731" w:rsidR="004045EA" w:rsidRPr="00B1515C" w:rsidRDefault="00815763" w:rsidP="00A01254">
      <w:pPr>
        <w:pStyle w:val="FootnoteText"/>
      </w:pPr>
      <w:r w:rsidRPr="00815763">
        <w:rPr>
          <w:rStyle w:val="FootnoteReference"/>
          <w:vertAlign w:val="baseline"/>
        </w:rPr>
        <w:footnoteRef/>
      </w:r>
      <w:r w:rsidR="004045EA" w:rsidRPr="00B1515C">
        <w:t xml:space="preserve"> </w:t>
      </w:r>
      <w:r w:rsidR="00FE31B9" w:rsidRPr="00B1515C">
        <w:tab/>
      </w:r>
      <w:r w:rsidR="00AC3940" w:rsidRPr="003B5020">
        <w:rPr>
          <w:rStyle w:val="Emphasis"/>
        </w:rPr>
        <w:t xml:space="preserve">ALRC Background Paper FSL7 </w:t>
      </w:r>
      <w:r w:rsidR="00795A41" w:rsidRPr="00B1515C">
        <w:t>(n 40)</w:t>
      </w:r>
      <w:r w:rsidR="00AC3940" w:rsidRPr="00B1515C">
        <w:t xml:space="preserve"> </w:t>
      </w:r>
      <w:r w:rsidR="004045EA" w:rsidRPr="00B1515C">
        <w:t>7</w:t>
      </w:r>
      <w:r w:rsidR="00F75232">
        <w:t>-</w:t>
      </w:r>
      <w:r w:rsidR="004045EA" w:rsidRPr="00B1515C">
        <w:t>4 [18].</w:t>
      </w:r>
    </w:p>
  </w:footnote>
  <w:footnote w:id="55">
    <w:p w14:paraId="3C9E8FB2" w14:textId="3004B4F7" w:rsidR="004045EA" w:rsidRPr="00B1515C" w:rsidRDefault="00815763" w:rsidP="00A01254">
      <w:pPr>
        <w:pStyle w:val="FootnoteText"/>
      </w:pPr>
      <w:r w:rsidRPr="00815763">
        <w:rPr>
          <w:rStyle w:val="FootnoteReference"/>
          <w:vertAlign w:val="baseline"/>
        </w:rPr>
        <w:footnoteRef/>
      </w:r>
      <w:r w:rsidR="004045EA" w:rsidRPr="00B1515C">
        <w:t xml:space="preserve"> </w:t>
      </w:r>
      <w:r w:rsidR="00FE31B9" w:rsidRPr="00B1515C">
        <w:tab/>
      </w:r>
      <w:r w:rsidR="008A0FE1" w:rsidRPr="00B1515C">
        <w:t>The Treasury</w:t>
      </w:r>
      <w:r w:rsidR="00AC3940" w:rsidRPr="00B1515C">
        <w:t xml:space="preserve">, </w:t>
      </w:r>
      <w:r w:rsidR="00753887" w:rsidRPr="003B5020">
        <w:rPr>
          <w:rStyle w:val="Emphasis"/>
        </w:rPr>
        <w:t xml:space="preserve">CASSPR: Licensing and custody requirements Consultation Guide </w:t>
      </w:r>
      <w:r w:rsidR="001609BE" w:rsidRPr="00B1515C">
        <w:rPr>
          <w:rFonts w:asciiTheme="minorHAnsi" w:hAnsiTheme="minorHAnsi" w:cstheme="minorHAnsi"/>
        </w:rPr>
        <w:t>(n 34)</w:t>
      </w:r>
      <w:r w:rsidR="004045EA" w:rsidRPr="00B1515C">
        <w:t>.</w:t>
      </w:r>
    </w:p>
  </w:footnote>
  <w:footnote w:id="56">
    <w:p w14:paraId="29FB7143" w14:textId="69286D46" w:rsidR="004045EA" w:rsidRPr="00B1515C" w:rsidRDefault="00815763" w:rsidP="00A01254">
      <w:pPr>
        <w:pStyle w:val="FootnoteText"/>
      </w:pPr>
      <w:r w:rsidRPr="00815763">
        <w:rPr>
          <w:rStyle w:val="FootnoteReference"/>
          <w:vertAlign w:val="baseline"/>
        </w:rPr>
        <w:footnoteRef/>
      </w:r>
      <w:r w:rsidR="004045EA" w:rsidRPr="00B1515C">
        <w:t xml:space="preserve"> </w:t>
      </w:r>
      <w:r w:rsidR="00FE31B9" w:rsidRPr="00B1515C">
        <w:tab/>
      </w:r>
      <w:r w:rsidR="004045EA" w:rsidRPr="003B5020">
        <w:rPr>
          <w:rStyle w:val="Emphasis"/>
        </w:rPr>
        <w:t xml:space="preserve">ALRC </w:t>
      </w:r>
      <w:r w:rsidR="00A41232" w:rsidRPr="003B5020">
        <w:rPr>
          <w:rStyle w:val="Emphasis"/>
        </w:rPr>
        <w:t xml:space="preserve">Background Paper </w:t>
      </w:r>
      <w:r w:rsidR="004045EA" w:rsidRPr="003B5020">
        <w:rPr>
          <w:rStyle w:val="Emphasis"/>
        </w:rPr>
        <w:t>FSL7</w:t>
      </w:r>
      <w:r w:rsidR="00A41232" w:rsidRPr="00B1515C">
        <w:t xml:space="preserve"> </w:t>
      </w:r>
      <w:r w:rsidR="00795A41" w:rsidRPr="00B1515C">
        <w:t>(n 40)</w:t>
      </w:r>
      <w:r w:rsidR="004045EA" w:rsidRPr="00B1515C">
        <w:t xml:space="preserve"> 7</w:t>
      </w:r>
      <w:r w:rsidR="00F75232">
        <w:t>-</w:t>
      </w:r>
      <w:r w:rsidR="004045EA" w:rsidRPr="00B1515C">
        <w:t>5.</w:t>
      </w:r>
    </w:p>
  </w:footnote>
  <w:footnote w:id="57">
    <w:p w14:paraId="7AD34A56" w14:textId="45368810" w:rsidR="0081758A" w:rsidRPr="00B1515C" w:rsidRDefault="00815763" w:rsidP="00A01254">
      <w:pPr>
        <w:pStyle w:val="FootnoteText"/>
      </w:pPr>
      <w:r w:rsidRPr="00815763">
        <w:rPr>
          <w:rStyle w:val="FootnoteReference"/>
          <w:vertAlign w:val="baseline"/>
        </w:rPr>
        <w:footnoteRef/>
      </w:r>
      <w:r w:rsidR="0081758A" w:rsidRPr="00B1515C">
        <w:t xml:space="preserve"> </w:t>
      </w:r>
      <w:r w:rsidR="00FE31B9" w:rsidRPr="00B1515C">
        <w:tab/>
      </w:r>
      <w:r w:rsidR="0081758A" w:rsidRPr="00B1515C">
        <w:t xml:space="preserve">Or, at any given time, </w:t>
      </w:r>
      <w:r w:rsidR="00F819C5" w:rsidRPr="00B1515C">
        <w:t xml:space="preserve">a significant number of </w:t>
      </w:r>
      <w:r w:rsidR="0081758A" w:rsidRPr="00B1515C">
        <w:t>the nodes.</w:t>
      </w:r>
    </w:p>
  </w:footnote>
  <w:footnote w:id="58">
    <w:p w14:paraId="69731B04" w14:textId="26F1C39D"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(n 1)</w:t>
      </w:r>
      <w:r w:rsidR="00DC043E" w:rsidRPr="00B1515C">
        <w:rPr>
          <w:i/>
          <w:iCs/>
        </w:rPr>
        <w:t xml:space="preserve"> </w:t>
      </w:r>
      <w:r w:rsidR="00301B95" w:rsidRPr="00B1515C">
        <w:t>1</w:t>
      </w:r>
      <w:r w:rsidR="003E79BA" w:rsidRPr="00B1515C">
        <w:t>.</w:t>
      </w:r>
      <w:r w:rsidR="00301B95" w:rsidRPr="00B1515C">
        <w:t xml:space="preserve"> </w:t>
      </w:r>
    </w:p>
  </w:footnote>
  <w:footnote w:id="59">
    <w:p w14:paraId="7FE049B5" w14:textId="68274056"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3B5020">
        <w:t xml:space="preserve">(n 1) </w:t>
      </w:r>
      <w:r w:rsidR="00301B95" w:rsidRPr="003B5020">
        <w:t>5.</w:t>
      </w:r>
    </w:p>
  </w:footnote>
  <w:footnote w:id="60">
    <w:p w14:paraId="5A789C1D" w14:textId="13991AC9"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301B95" w:rsidRPr="00B1515C">
        <w:t>Cryptographic mechanisms are not essential to DLT.</w:t>
      </w:r>
      <w:r w:rsidR="004F0A51" w:rsidRPr="00B1515C">
        <w:t xml:space="preserve"> </w:t>
      </w:r>
      <w:r w:rsidR="00301B95" w:rsidRPr="00B1515C">
        <w:t>For example, digital currencies use DLT and cryptocurrencies are a form of digital currenc</w:t>
      </w:r>
      <w:r w:rsidR="006131E8" w:rsidRPr="00B1515C">
        <w:t>y</w:t>
      </w:r>
      <w:r w:rsidR="00301B95" w:rsidRPr="00B1515C">
        <w:t xml:space="preserve"> that rely on cryptographic techniques to achieve consensus.</w:t>
      </w:r>
    </w:p>
  </w:footnote>
  <w:footnote w:id="61">
    <w:p w14:paraId="6009EC02" w14:textId="517F0579"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301B95" w:rsidRPr="00B1515C">
        <w:t>5.</w:t>
      </w:r>
    </w:p>
  </w:footnote>
  <w:footnote w:id="62">
    <w:p w14:paraId="17F50D31" w14:textId="18590680" w:rsidR="00530760" w:rsidRPr="00B1515C" w:rsidRDefault="00815763" w:rsidP="00A01254">
      <w:pPr>
        <w:pStyle w:val="FootnoteText"/>
      </w:pPr>
      <w:r w:rsidRPr="00815763">
        <w:rPr>
          <w:rStyle w:val="FootnoteReference"/>
          <w:vertAlign w:val="baseline"/>
        </w:rPr>
        <w:footnoteRef/>
      </w:r>
      <w:r w:rsidR="00530760"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530760" w:rsidRPr="00B1515C">
        <w:t>6.</w:t>
      </w:r>
    </w:p>
  </w:footnote>
  <w:footnote w:id="63">
    <w:p w14:paraId="3DA52BE0" w14:textId="628AD8BE" w:rsidR="0068161F" w:rsidRPr="00B1515C" w:rsidRDefault="00815763" w:rsidP="00A01254">
      <w:pPr>
        <w:pStyle w:val="FootnoteText"/>
      </w:pPr>
      <w:r w:rsidRPr="00815763">
        <w:rPr>
          <w:rStyle w:val="FootnoteReference"/>
          <w:vertAlign w:val="baseline"/>
        </w:rPr>
        <w:footnoteRef/>
      </w:r>
      <w:r w:rsidR="0068161F" w:rsidRPr="00B1515C">
        <w:t xml:space="preserve"> </w:t>
      </w:r>
      <w:r w:rsidR="00FE31B9" w:rsidRPr="00B1515C">
        <w:tab/>
      </w:r>
      <w:r w:rsidR="0068161F" w:rsidRPr="00B1515C">
        <w:t xml:space="preserve">See explanation of </w:t>
      </w:r>
      <w:r w:rsidR="00F75232">
        <w:t>‘</w:t>
      </w:r>
      <w:r w:rsidR="0068161F" w:rsidRPr="00B1515C">
        <w:t>tokens</w:t>
      </w:r>
      <w:r w:rsidR="00F75232">
        <w:t>’</w:t>
      </w:r>
      <w:r w:rsidR="0068161F" w:rsidRPr="00B1515C">
        <w:t xml:space="preserve"> below.</w:t>
      </w:r>
    </w:p>
  </w:footnote>
  <w:footnote w:id="64">
    <w:p w14:paraId="77B00302" w14:textId="3B650343"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301B95" w:rsidRPr="00B1515C">
        <w:t>8</w:t>
      </w:r>
      <w:r w:rsidR="00F75232">
        <w:t>-</w:t>
      </w:r>
      <w:r w:rsidR="00301B95" w:rsidRPr="00B1515C">
        <w:t>9.</w:t>
      </w:r>
    </w:p>
  </w:footnote>
  <w:footnote w:id="65">
    <w:p w14:paraId="36704E5A" w14:textId="069F73ED"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301B95" w:rsidRPr="00B1515C">
        <w:t>3.</w:t>
      </w:r>
    </w:p>
  </w:footnote>
  <w:footnote w:id="66">
    <w:p w14:paraId="0D7A9875" w14:textId="783FB0F3"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301B95" w:rsidRPr="00B1515C">
        <w:t>Figure 3, 9.</w:t>
      </w:r>
    </w:p>
  </w:footnote>
  <w:footnote w:id="67">
    <w:p w14:paraId="44FA0D62" w14:textId="34034D36" w:rsidR="00787633" w:rsidRPr="00B1515C" w:rsidRDefault="00815763" w:rsidP="00A01254">
      <w:pPr>
        <w:pStyle w:val="FootnoteText"/>
      </w:pPr>
      <w:r w:rsidRPr="00815763">
        <w:rPr>
          <w:rStyle w:val="FootnoteReference"/>
          <w:vertAlign w:val="baseline"/>
        </w:rPr>
        <w:footnoteRef/>
      </w:r>
      <w:r w:rsidR="00787633" w:rsidRPr="00B1515C">
        <w:t xml:space="preserve"> </w:t>
      </w:r>
      <w:r w:rsidR="00FE31B9" w:rsidRPr="00B1515C">
        <w:tab/>
      </w:r>
      <w:r w:rsidR="00787633" w:rsidRPr="00B1515C">
        <w:t xml:space="preserve">Other types of DLT are </w:t>
      </w:r>
      <w:r w:rsidR="00C96ED5" w:rsidRPr="00B1515C">
        <w:t>Tangle</w:t>
      </w:r>
      <w:r w:rsidR="004C0BBA" w:rsidRPr="00B1515C">
        <w:t xml:space="preserve"> and</w:t>
      </w:r>
      <w:r w:rsidR="00C96ED5" w:rsidRPr="00B1515C">
        <w:t xml:space="preserve"> Hashgraph</w:t>
      </w:r>
      <w:r w:rsidR="004C0BBA" w:rsidRPr="00B1515C">
        <w:t xml:space="preserve">: </w:t>
      </w:r>
      <w:r w:rsidR="008213AC" w:rsidRPr="00B1515C">
        <w:t>Nabil El Ioni</w:t>
      </w:r>
      <w:r w:rsidR="00F84A64" w:rsidRPr="00B1515C">
        <w:t xml:space="preserve"> and</w:t>
      </w:r>
      <w:r w:rsidR="008213AC" w:rsidRPr="00B1515C">
        <w:t xml:space="preserve"> Claus Pahl, </w:t>
      </w:r>
      <w:r w:rsidR="00F75232">
        <w:t>‘</w:t>
      </w:r>
      <w:hyperlink r:id="rId24" w:history="1">
        <w:r w:rsidR="008213AC" w:rsidRPr="00245AA6">
          <w:rPr>
            <w:rStyle w:val="Hyperlink"/>
          </w:rPr>
          <w:t>A Review of Distributed Ledger Technologies</w:t>
        </w:r>
      </w:hyperlink>
      <w:r w:rsidR="00245AA6">
        <w:t>’</w:t>
      </w:r>
      <w:r w:rsidR="008213AC" w:rsidRPr="00B1515C">
        <w:t xml:space="preserve"> </w:t>
      </w:r>
      <w:r w:rsidR="009678D3" w:rsidRPr="00B1515C">
        <w:t>(</w:t>
      </w:r>
      <w:r w:rsidR="00D13A49">
        <w:t xml:space="preserve">Conference </w:t>
      </w:r>
      <w:r w:rsidR="003012BE" w:rsidRPr="00B1515C">
        <w:t xml:space="preserve">Paper, </w:t>
      </w:r>
      <w:r w:rsidR="00761763">
        <w:t>OTM</w:t>
      </w:r>
      <w:r w:rsidR="00565B8C">
        <w:t xml:space="preserve">, </w:t>
      </w:r>
      <w:r w:rsidR="008213AC" w:rsidRPr="00B1515C">
        <w:t>October 2018</w:t>
      </w:r>
      <w:r w:rsidR="003012BE" w:rsidRPr="00B1515C">
        <w:t>)</w:t>
      </w:r>
      <w:r w:rsidR="00565B8C">
        <w:t xml:space="preserve">; </w:t>
      </w:r>
      <w:r w:rsidR="00395D3E" w:rsidRPr="00B1515C">
        <w:t xml:space="preserve">also see </w:t>
      </w:r>
      <w:r w:rsidR="00637925" w:rsidRPr="00B1515C">
        <w:t xml:space="preserve">George Lawton, </w:t>
      </w:r>
      <w:r w:rsidR="00F75232">
        <w:t>‘</w:t>
      </w:r>
      <w:hyperlink r:id="rId25" w:anchor=":~:text=Attractive%20alternatives%20to%20blockchain%20for,structure%20for%20maintaining%20the%20ledger" w:history="1">
        <w:r w:rsidR="00637925" w:rsidRPr="00565B8C">
          <w:rPr>
            <w:rStyle w:val="Hyperlink"/>
          </w:rPr>
          <w:t>6 alternatives to blockchain for businesses to consider</w:t>
        </w:r>
        <w:r w:rsidR="00F75232" w:rsidRPr="00565B8C">
          <w:t>’</w:t>
        </w:r>
      </w:hyperlink>
      <w:r w:rsidR="00F31B8B" w:rsidRPr="00B1515C">
        <w:t>,</w:t>
      </w:r>
      <w:r w:rsidR="0092527E" w:rsidRPr="00B1515C">
        <w:t xml:space="preserve"> </w:t>
      </w:r>
      <w:r w:rsidR="009C08A2" w:rsidRPr="003B5020">
        <w:rPr>
          <w:rStyle w:val="Emphasis"/>
        </w:rPr>
        <w:t>TechTarget</w:t>
      </w:r>
      <w:r w:rsidR="00F31B8B" w:rsidRPr="00B1515C">
        <w:t xml:space="preserve"> </w:t>
      </w:r>
      <w:r w:rsidR="009C08A2" w:rsidRPr="00B1515C">
        <w:t xml:space="preserve">(Web Page, </w:t>
      </w:r>
      <w:r w:rsidR="00F31B8B" w:rsidRPr="00B1515C">
        <w:t>19 September 2023</w:t>
      </w:r>
      <w:r w:rsidR="009C08A2" w:rsidRPr="00B1515C">
        <w:t>)</w:t>
      </w:r>
      <w:r w:rsidR="00565B8C">
        <w:t>.</w:t>
      </w:r>
    </w:p>
  </w:footnote>
  <w:footnote w:id="68">
    <w:p w14:paraId="134F8B0C" w14:textId="70E1ACA3" w:rsidR="00D36606" w:rsidRPr="00B1515C" w:rsidRDefault="00815763" w:rsidP="00A01254">
      <w:pPr>
        <w:pStyle w:val="FootnoteText"/>
      </w:pPr>
      <w:r w:rsidRPr="00815763">
        <w:rPr>
          <w:rStyle w:val="FootnoteReference"/>
          <w:vertAlign w:val="baseline"/>
        </w:rPr>
        <w:footnoteRef/>
      </w:r>
      <w:r w:rsidR="00D36606" w:rsidRPr="00B1515C">
        <w:t xml:space="preserve"> </w:t>
      </w:r>
      <w:r w:rsidR="00FE31B9" w:rsidRPr="00B1515C">
        <w:tab/>
      </w:r>
      <w:r w:rsidR="00D36606" w:rsidRPr="003B5020">
        <w:rPr>
          <w:rStyle w:val="Emphasis"/>
        </w:rPr>
        <w:t xml:space="preserve">Tulip Trading v Bitcoin Association and others </w:t>
      </w:r>
      <w:r w:rsidR="00D36606" w:rsidRPr="00B1515C">
        <w:t>[2022] EWHC 667 (Ch</w:t>
      </w:r>
      <w:r w:rsidR="00ED68F9" w:rsidRPr="00B1515C">
        <w:t>)</w:t>
      </w:r>
      <w:r w:rsidR="00D36606" w:rsidRPr="00B1515C">
        <w:t xml:space="preserve"> [18] (Falk J) (overturned on appeal but not on this point).</w:t>
      </w:r>
    </w:p>
  </w:footnote>
  <w:footnote w:id="69">
    <w:p w14:paraId="3E94B55C" w14:textId="2FDCB962" w:rsidR="006A7BDF" w:rsidRPr="00B1515C" w:rsidRDefault="00815763" w:rsidP="00A01254">
      <w:pPr>
        <w:pStyle w:val="FootnoteText"/>
      </w:pPr>
      <w:r w:rsidRPr="00815763">
        <w:rPr>
          <w:rStyle w:val="FootnoteReference"/>
          <w:vertAlign w:val="baseline"/>
        </w:rPr>
        <w:footnoteRef/>
      </w:r>
      <w:r w:rsidR="006A7BDF"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6A7BDF" w:rsidRPr="00B1515C">
        <w:t>1.</w:t>
      </w:r>
    </w:p>
  </w:footnote>
  <w:footnote w:id="70">
    <w:p w14:paraId="72074EBD" w14:textId="5CA4F2D9"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301B95" w:rsidRPr="00B1515C">
        <w:t>2.</w:t>
      </w:r>
    </w:p>
  </w:footnote>
  <w:footnote w:id="71">
    <w:p w14:paraId="1D64ABF0" w14:textId="50A63935"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301B95" w:rsidRPr="00B1515C">
        <w:t>9.</w:t>
      </w:r>
    </w:p>
  </w:footnote>
  <w:footnote w:id="72">
    <w:p w14:paraId="0C940B7B" w14:textId="65941EAD" w:rsidR="00D84406" w:rsidRPr="00B1515C" w:rsidRDefault="00815763" w:rsidP="00A01254">
      <w:pPr>
        <w:pStyle w:val="FootnoteText"/>
      </w:pPr>
      <w:r w:rsidRPr="00815763">
        <w:rPr>
          <w:rStyle w:val="FootnoteReference"/>
          <w:vertAlign w:val="baseline"/>
        </w:rPr>
        <w:footnoteRef/>
      </w:r>
      <w:r w:rsidR="00D84406" w:rsidRPr="00B1515C">
        <w:t xml:space="preserve"> </w:t>
      </w:r>
      <w:r w:rsidR="00FE31B9" w:rsidRPr="00B1515C">
        <w:tab/>
      </w:r>
      <w:r w:rsidR="00D84406" w:rsidRPr="00B1515C">
        <w:t xml:space="preserve">Satoshi Nakamoto, </w:t>
      </w:r>
      <w:r w:rsidR="00F75232">
        <w:t>‘</w:t>
      </w:r>
      <w:hyperlink r:id="rId26" w:history="1">
        <w:r w:rsidR="00D84406" w:rsidRPr="00BA6935">
          <w:rPr>
            <w:rStyle w:val="Hyperlink"/>
          </w:rPr>
          <w:t>Bitcoin: A Peer</w:t>
        </w:r>
        <w:r w:rsidR="00F75232" w:rsidRPr="00BA6935">
          <w:rPr>
            <w:rStyle w:val="Hyperlink"/>
          </w:rPr>
          <w:t>-</w:t>
        </w:r>
        <w:r w:rsidR="00D84406" w:rsidRPr="00BA6935">
          <w:rPr>
            <w:rStyle w:val="Hyperlink"/>
          </w:rPr>
          <w:t>to</w:t>
        </w:r>
        <w:r w:rsidR="00F75232" w:rsidRPr="00BA6935">
          <w:rPr>
            <w:rStyle w:val="Hyperlink"/>
          </w:rPr>
          <w:t>-</w:t>
        </w:r>
        <w:r w:rsidR="00D84406" w:rsidRPr="00BA6935">
          <w:rPr>
            <w:rStyle w:val="Hyperlink"/>
          </w:rPr>
          <w:t>Peer Electronic Cash System</w:t>
        </w:r>
      </w:hyperlink>
      <w:r w:rsidR="00F75232">
        <w:t>’</w:t>
      </w:r>
      <w:r w:rsidR="000F31CA" w:rsidRPr="00B1515C">
        <w:t xml:space="preserve"> (</w:t>
      </w:r>
      <w:r w:rsidR="00B45B43" w:rsidRPr="00B1515C">
        <w:t xml:space="preserve">Paper, October </w:t>
      </w:r>
      <w:r w:rsidR="005F5428" w:rsidRPr="00B1515C">
        <w:t>200</w:t>
      </w:r>
      <w:r w:rsidR="00B45B43" w:rsidRPr="00B1515C">
        <w:t>8</w:t>
      </w:r>
      <w:r w:rsidR="005F5428" w:rsidRPr="00B1515C">
        <w:t>)</w:t>
      </w:r>
      <w:r w:rsidR="00BA6935">
        <w:t>.</w:t>
      </w:r>
    </w:p>
  </w:footnote>
  <w:footnote w:id="73">
    <w:p w14:paraId="76779A66" w14:textId="13D30B07" w:rsidR="00117D5A" w:rsidRPr="00B1515C" w:rsidRDefault="00815763" w:rsidP="00A01254">
      <w:pPr>
        <w:pStyle w:val="FootnoteText"/>
      </w:pPr>
      <w:r w:rsidRPr="00815763">
        <w:rPr>
          <w:rStyle w:val="FootnoteReference"/>
          <w:vertAlign w:val="baseline"/>
        </w:rPr>
        <w:footnoteRef/>
      </w:r>
      <w:r w:rsidR="00117D5A" w:rsidRPr="00B1515C">
        <w:t xml:space="preserve"> </w:t>
      </w:r>
      <w:r w:rsidR="00FE31B9" w:rsidRPr="00B1515C">
        <w:tab/>
      </w:r>
      <w:r w:rsidR="00117D5A" w:rsidRPr="00B1515C">
        <w:t xml:space="preserve">Luis Soares, </w:t>
      </w:r>
      <w:r w:rsidR="00F75232">
        <w:t>‘</w:t>
      </w:r>
      <w:hyperlink r:id="rId27" w:anchor=":~:text=Blockchain%20protocols%20are%20the%20underlying,security%2C%20consistency%2C%20and%20reliability." w:history="1">
        <w:r w:rsidR="00117D5A" w:rsidRPr="00113BFB">
          <w:rPr>
            <w:rStyle w:val="Hyperlink"/>
          </w:rPr>
          <w:t>Blockchain Protocols: The Fundamentals</w:t>
        </w:r>
      </w:hyperlink>
      <w:r w:rsidR="00F75232">
        <w:t>’</w:t>
      </w:r>
      <w:r w:rsidR="00232D91" w:rsidRPr="00B1515C">
        <w:t xml:space="preserve">, </w:t>
      </w:r>
      <w:r w:rsidR="00232D91" w:rsidRPr="003B5020">
        <w:rPr>
          <w:rStyle w:val="Emphasis"/>
        </w:rPr>
        <w:t xml:space="preserve">LinkedIn </w:t>
      </w:r>
      <w:r w:rsidR="00117D5A" w:rsidRPr="00B1515C">
        <w:t>(</w:t>
      </w:r>
      <w:r w:rsidR="005A4E0D" w:rsidRPr="00B1515C">
        <w:t xml:space="preserve">Blog Post, 29 March </w:t>
      </w:r>
      <w:r w:rsidR="00117D5A" w:rsidRPr="00B1515C">
        <w:t>2023).</w:t>
      </w:r>
    </w:p>
  </w:footnote>
  <w:footnote w:id="74">
    <w:p w14:paraId="00E6F2AE" w14:textId="31853942" w:rsidR="00133C7E" w:rsidRPr="00B1515C" w:rsidRDefault="00815763" w:rsidP="00A01254">
      <w:pPr>
        <w:pStyle w:val="FootnoteText"/>
      </w:pPr>
      <w:r w:rsidRPr="00815763">
        <w:rPr>
          <w:rStyle w:val="FootnoteReference"/>
          <w:vertAlign w:val="baseline"/>
        </w:rPr>
        <w:footnoteRef/>
      </w:r>
      <w:r w:rsidR="00133C7E" w:rsidRPr="00B1515C">
        <w:t xml:space="preserve"> </w:t>
      </w:r>
      <w:r w:rsidR="00FE31B9" w:rsidRPr="00B1515C">
        <w:tab/>
      </w:r>
      <w:r w:rsidR="00DC043E" w:rsidRPr="00B1515C">
        <w:t>World Bank</w:t>
      </w:r>
      <w:r w:rsidR="00DC043E" w:rsidRPr="007C26E8">
        <w:t xml:space="preserve">, </w:t>
      </w:r>
      <w:r w:rsidR="00DC043E" w:rsidRPr="003B5020">
        <w:rPr>
          <w:rStyle w:val="Emphasis"/>
        </w:rPr>
        <w:t xml:space="preserve">DLT and Blockchain </w:t>
      </w:r>
      <w:r w:rsidR="00DC043E" w:rsidRPr="00B1515C">
        <w:t xml:space="preserve">(n 1) </w:t>
      </w:r>
      <w:r w:rsidR="00133C7E" w:rsidRPr="00B1515C">
        <w:t>5</w:t>
      </w:r>
      <w:r w:rsidR="00AF6BCA" w:rsidRPr="00B1515C">
        <w:t xml:space="preserve">; </w:t>
      </w:r>
      <w:r w:rsidR="008C036E" w:rsidRPr="00B1515C">
        <w:t xml:space="preserve">In Submission A07, 25, </w:t>
      </w:r>
      <w:r w:rsidR="00AF6BCA" w:rsidRPr="00B1515C">
        <w:t xml:space="preserve">Doxed Capital stated that </w:t>
      </w:r>
      <w:r w:rsidR="00F75232">
        <w:t>‘</w:t>
      </w:r>
      <w:r w:rsidR="00AF6BCA" w:rsidRPr="00B1515C">
        <w:t>Blockchain miners are people or organisations who operate specially configured computers called application</w:t>
      </w:r>
      <w:r w:rsidR="00F75232">
        <w:t>-</w:t>
      </w:r>
      <w:r w:rsidR="00AF6BCA" w:rsidRPr="00B1515C">
        <w:t xml:space="preserve">specific integrated circuits </w:t>
      </w:r>
      <w:r w:rsidR="00AE65F0" w:rsidRPr="00B1515C">
        <w:t>...</w:t>
      </w:r>
      <w:r w:rsidR="00AF6BCA" w:rsidRPr="00B1515C">
        <w:t xml:space="preserve"> to mine proof of work cryptocurrencies by solving cryptographic problems.</w:t>
      </w:r>
      <w:r w:rsidR="00F75232">
        <w:t>’</w:t>
      </w:r>
      <w:r w:rsidR="008C036E" w:rsidRPr="00B1515C">
        <w:t>.</w:t>
      </w:r>
    </w:p>
  </w:footnote>
  <w:footnote w:id="75">
    <w:p w14:paraId="02C51927" w14:textId="78A9C203" w:rsidR="00E259D2" w:rsidRPr="00B1515C" w:rsidRDefault="00815763" w:rsidP="00A01254">
      <w:pPr>
        <w:pStyle w:val="FootnoteText"/>
      </w:pPr>
      <w:r w:rsidRPr="00815763">
        <w:rPr>
          <w:rStyle w:val="FootnoteReference"/>
          <w:vertAlign w:val="baseline"/>
        </w:rPr>
        <w:footnoteRef/>
      </w:r>
      <w:r w:rsidR="00E259D2" w:rsidRPr="00B1515C">
        <w:t xml:space="preserve"> </w:t>
      </w:r>
      <w:r w:rsidR="00FE31B9" w:rsidRPr="00B1515C">
        <w:tab/>
      </w:r>
      <w:r w:rsidR="00F75232">
        <w:t>‘</w:t>
      </w:r>
      <w:hyperlink r:id="rId28" w:history="1">
        <w:r w:rsidR="00E259D2" w:rsidRPr="00113BFB">
          <w:rPr>
            <w:rStyle w:val="Hyperlink"/>
          </w:rPr>
          <w:t>How Bitcoin Fees Work</w:t>
        </w:r>
      </w:hyperlink>
      <w:r w:rsidR="00F75232">
        <w:t>’</w:t>
      </w:r>
      <w:r w:rsidR="00E259D2" w:rsidRPr="00B1515C">
        <w:t xml:space="preserve">, </w:t>
      </w:r>
      <w:r w:rsidR="00E259D2" w:rsidRPr="003B5020">
        <w:rPr>
          <w:rStyle w:val="Emphasis"/>
        </w:rPr>
        <w:t>River Learn</w:t>
      </w:r>
      <w:r w:rsidR="00DA2F9B" w:rsidRPr="00B1515C">
        <w:t xml:space="preserve"> (Web Page, accessed 27 January 2024)</w:t>
      </w:r>
      <w:r w:rsidR="00E259D2" w:rsidRPr="00B1515C">
        <w:t xml:space="preserve">; </w:t>
      </w:r>
      <w:r w:rsidR="00F75232">
        <w:t>‘</w:t>
      </w:r>
      <w:hyperlink r:id="rId29" w:history="1">
        <w:r w:rsidR="00E259D2" w:rsidRPr="00113BFB">
          <w:rPr>
            <w:rStyle w:val="Hyperlink"/>
          </w:rPr>
          <w:t>Block Subsidy</w:t>
        </w:r>
      </w:hyperlink>
      <w:r w:rsidR="00F75232">
        <w:t>’</w:t>
      </w:r>
      <w:r w:rsidR="00E259D2" w:rsidRPr="00B1515C">
        <w:t>,</w:t>
      </w:r>
      <w:r w:rsidR="00E259D2" w:rsidRPr="003B5020">
        <w:rPr>
          <w:rStyle w:val="Emphasis"/>
        </w:rPr>
        <w:t xml:space="preserve"> River Learn</w:t>
      </w:r>
      <w:r w:rsidR="00862A14" w:rsidRPr="00B1515C">
        <w:t xml:space="preserve"> (Web Page, accessed 27 January 2024)</w:t>
      </w:r>
      <w:r w:rsidR="00E2711F" w:rsidRPr="00B1515C">
        <w:t xml:space="preserve">; </w:t>
      </w:r>
      <w:r w:rsidR="00F75232">
        <w:t>‘</w:t>
      </w:r>
      <w:hyperlink r:id="rId30" w:history="1">
        <w:r w:rsidR="00E2711F" w:rsidRPr="006B24BD">
          <w:rPr>
            <w:rStyle w:val="Hyperlink"/>
          </w:rPr>
          <w:t>What Is a Bitcoin Halving</w:t>
        </w:r>
      </w:hyperlink>
      <w:r w:rsidR="006B24BD" w:rsidRPr="00F12AE3">
        <w:t>’</w:t>
      </w:r>
      <w:r w:rsidR="00E2711F" w:rsidRPr="00B1515C">
        <w:t xml:space="preserve">, </w:t>
      </w:r>
      <w:r w:rsidR="00E2711F" w:rsidRPr="003B5020">
        <w:rPr>
          <w:rStyle w:val="Emphasis"/>
        </w:rPr>
        <w:t>River Learn</w:t>
      </w:r>
      <w:r w:rsidR="009D5D92" w:rsidRPr="00B1515C">
        <w:t xml:space="preserve"> (Web Page, accessed 27</w:t>
      </w:r>
      <w:r w:rsidR="00CA7247">
        <w:t> </w:t>
      </w:r>
      <w:r w:rsidR="009D5D92" w:rsidRPr="00B1515C">
        <w:t>January 2024)</w:t>
      </w:r>
      <w:r w:rsidR="0056048D">
        <w:t>;</w:t>
      </w:r>
      <w:r w:rsidR="00E2711F" w:rsidRPr="00B1515C">
        <w:t xml:space="preserve"> </w:t>
      </w:r>
      <w:r w:rsidR="00F53932" w:rsidRPr="00B1515C">
        <w:t>Euny</w:t>
      </w:r>
      <w:r w:rsidR="00E62825">
        <w:t> </w:t>
      </w:r>
      <w:r w:rsidR="00F53932" w:rsidRPr="00B1515C">
        <w:t xml:space="preserve">Hong, </w:t>
      </w:r>
      <w:r w:rsidR="00F75232">
        <w:t>‘</w:t>
      </w:r>
      <w:hyperlink r:id="rId31" w:history="1">
        <w:r w:rsidR="001E280C" w:rsidRPr="00D433BB">
          <w:rPr>
            <w:rStyle w:val="Hyperlink"/>
          </w:rPr>
          <w:t>How Does Bitcoin Mining Work</w:t>
        </w:r>
      </w:hyperlink>
      <w:r w:rsidR="00F75232">
        <w:t>’</w:t>
      </w:r>
      <w:r w:rsidR="0001284B" w:rsidRPr="00B1515C">
        <w:t xml:space="preserve">, </w:t>
      </w:r>
      <w:r w:rsidR="0001284B" w:rsidRPr="003B5020">
        <w:rPr>
          <w:rStyle w:val="Emphasis"/>
        </w:rPr>
        <w:t>Investopedia</w:t>
      </w:r>
      <w:r w:rsidR="00F53932" w:rsidRPr="00B1515C">
        <w:t xml:space="preserve"> (</w:t>
      </w:r>
      <w:r w:rsidR="0001284B" w:rsidRPr="00B1515C">
        <w:t>Web Page</w:t>
      </w:r>
      <w:r w:rsidR="007A2C34">
        <w:t>,</w:t>
      </w:r>
      <w:r w:rsidR="0001284B" w:rsidRPr="00B1515C">
        <w:t xml:space="preserve"> </w:t>
      </w:r>
      <w:r w:rsidR="00F53932" w:rsidRPr="00B1515C">
        <w:t>18 October 2023</w:t>
      </w:r>
      <w:r w:rsidR="0001284B" w:rsidRPr="00B1515C">
        <w:t>)</w:t>
      </w:r>
      <w:r w:rsidR="00E259D2" w:rsidRPr="00B1515C">
        <w:t xml:space="preserve">. </w:t>
      </w:r>
    </w:p>
  </w:footnote>
  <w:footnote w:id="76">
    <w:p w14:paraId="009DB8FB" w14:textId="25D1FC40" w:rsidR="00760693" w:rsidRPr="00B1515C" w:rsidRDefault="00815763" w:rsidP="00A01254">
      <w:pPr>
        <w:pStyle w:val="FootnoteText"/>
      </w:pPr>
      <w:r w:rsidRPr="00815763">
        <w:rPr>
          <w:rStyle w:val="FootnoteReference"/>
          <w:vertAlign w:val="baseline"/>
        </w:rPr>
        <w:footnoteRef/>
      </w:r>
      <w:r w:rsidR="00760693" w:rsidRPr="00B1515C">
        <w:t xml:space="preserve"> </w:t>
      </w:r>
      <w:r w:rsidR="00FE31B9" w:rsidRPr="00B1515C">
        <w:tab/>
      </w:r>
      <w:r w:rsidR="0001284B" w:rsidRPr="00B1515C">
        <w:t xml:space="preserve">Euny Hong, </w:t>
      </w:r>
      <w:r w:rsidR="00F75232">
        <w:t>‘</w:t>
      </w:r>
      <w:hyperlink r:id="rId32" w:history="1">
        <w:r w:rsidR="0001284B" w:rsidRPr="0074241F">
          <w:rPr>
            <w:rStyle w:val="Hyperlink"/>
          </w:rPr>
          <w:t>How Does Bitcoin Mining Work</w:t>
        </w:r>
      </w:hyperlink>
      <w:r w:rsidR="00F75232">
        <w:t>’</w:t>
      </w:r>
      <w:r w:rsidR="0001284B" w:rsidRPr="00B1515C">
        <w:t xml:space="preserve">, </w:t>
      </w:r>
      <w:r w:rsidR="0001284B" w:rsidRPr="003B5020">
        <w:rPr>
          <w:rStyle w:val="Emphasis"/>
        </w:rPr>
        <w:t>Investopedia</w:t>
      </w:r>
      <w:r w:rsidR="0001284B" w:rsidRPr="00B1515C">
        <w:t xml:space="preserve"> (Web Page</w:t>
      </w:r>
      <w:r w:rsidR="007A2C34">
        <w:t>,</w:t>
      </w:r>
      <w:r w:rsidR="0001284B" w:rsidRPr="00B1515C">
        <w:t xml:space="preserve"> 18 October 2023). </w:t>
      </w:r>
    </w:p>
  </w:footnote>
  <w:footnote w:id="77">
    <w:p w14:paraId="2CD29AB9" w14:textId="09A1C421" w:rsidR="006A4EE8" w:rsidRPr="00B1515C" w:rsidRDefault="00815763" w:rsidP="00A01254">
      <w:pPr>
        <w:pStyle w:val="FootnoteText"/>
      </w:pPr>
      <w:r w:rsidRPr="00815763">
        <w:rPr>
          <w:rStyle w:val="FootnoteReference"/>
          <w:vertAlign w:val="baseline"/>
        </w:rPr>
        <w:footnoteRef/>
      </w:r>
      <w:r w:rsidR="006A4EE8" w:rsidRPr="00B1515C">
        <w:t xml:space="preserve"> </w:t>
      </w:r>
      <w:r w:rsidR="00FE31B9" w:rsidRPr="00B1515C">
        <w:tab/>
      </w:r>
      <w:r w:rsidR="00F75232">
        <w:t>‘</w:t>
      </w:r>
      <w:hyperlink r:id="rId33" w:history="1">
        <w:r w:rsidR="006A050E" w:rsidRPr="00B96937">
          <w:rPr>
            <w:rStyle w:val="Hyperlink"/>
          </w:rPr>
          <w:t>What is a Bitcoin node?</w:t>
        </w:r>
        <w:r w:rsidR="004F0A51" w:rsidRPr="00B96937">
          <w:rPr>
            <w:rStyle w:val="Hyperlink"/>
          </w:rPr>
          <w:t xml:space="preserve"> </w:t>
        </w:r>
        <w:r w:rsidR="006A050E" w:rsidRPr="00B96937">
          <w:rPr>
            <w:rStyle w:val="Hyperlink"/>
          </w:rPr>
          <w:t>A beginner</w:t>
        </w:r>
        <w:r w:rsidR="00F75232" w:rsidRPr="00B96937">
          <w:rPr>
            <w:rStyle w:val="Hyperlink"/>
          </w:rPr>
          <w:t>’</w:t>
        </w:r>
        <w:r w:rsidR="006A050E" w:rsidRPr="00B96937">
          <w:rPr>
            <w:rStyle w:val="Hyperlink"/>
          </w:rPr>
          <w:t>s guide on blockchain nodes</w:t>
        </w:r>
      </w:hyperlink>
      <w:r w:rsidR="00F75232">
        <w:t>’</w:t>
      </w:r>
      <w:r w:rsidR="006A050E" w:rsidRPr="00B1515C">
        <w:t xml:space="preserve">, </w:t>
      </w:r>
      <w:r w:rsidR="006A050E" w:rsidRPr="003B5020">
        <w:rPr>
          <w:rStyle w:val="Emphasis"/>
        </w:rPr>
        <w:t>Cointelegraph</w:t>
      </w:r>
      <w:r w:rsidR="00AD2358" w:rsidRPr="00B1515C">
        <w:t xml:space="preserve"> (Web Page, accessed 27</w:t>
      </w:r>
      <w:r w:rsidR="00CA7247">
        <w:t> </w:t>
      </w:r>
      <w:r w:rsidR="00AD2358" w:rsidRPr="00B1515C">
        <w:t>January</w:t>
      </w:r>
      <w:r w:rsidR="00CA7247">
        <w:t> </w:t>
      </w:r>
      <w:r w:rsidR="00AD2358" w:rsidRPr="00B1515C">
        <w:t>2024)</w:t>
      </w:r>
      <w:r w:rsidR="00BF7634" w:rsidRPr="00B1515C">
        <w:t>.</w:t>
      </w:r>
    </w:p>
  </w:footnote>
  <w:footnote w:id="78">
    <w:p w14:paraId="2942FAE3" w14:textId="0744A395" w:rsidR="00D94AFC" w:rsidRPr="00B1515C" w:rsidRDefault="00815763" w:rsidP="00A01254">
      <w:pPr>
        <w:pStyle w:val="FootnoteText"/>
      </w:pPr>
      <w:r w:rsidRPr="00815763">
        <w:rPr>
          <w:rStyle w:val="FootnoteReference"/>
          <w:vertAlign w:val="baseline"/>
        </w:rPr>
        <w:footnoteRef/>
      </w:r>
      <w:r w:rsidR="00D94AFC" w:rsidRPr="00B1515C">
        <w:t xml:space="preserve"> </w:t>
      </w:r>
      <w:r w:rsidR="00FE31B9" w:rsidRPr="00B1515C">
        <w:tab/>
      </w:r>
      <w:r w:rsidR="00F75232">
        <w:t>‘</w:t>
      </w:r>
      <w:hyperlink r:id="rId34" w:history="1">
        <w:r w:rsidR="00D94AFC" w:rsidRPr="00076E1F">
          <w:rPr>
            <w:rStyle w:val="Hyperlink"/>
          </w:rPr>
          <w:t>How Many Nodes Ethereum Has: Estimating The Total Number of Nodes In the Ethereum Network</w:t>
        </w:r>
      </w:hyperlink>
      <w:r w:rsidR="00F75232">
        <w:t>’</w:t>
      </w:r>
      <w:r w:rsidR="00D94AFC" w:rsidRPr="00B1515C">
        <w:t>,</w:t>
      </w:r>
      <w:r w:rsidR="00961B13" w:rsidRPr="00B1515C">
        <w:t xml:space="preserve"> </w:t>
      </w:r>
      <w:r w:rsidR="00961B13" w:rsidRPr="003B5020">
        <w:rPr>
          <w:rStyle w:val="Emphasis"/>
        </w:rPr>
        <w:t>Trade Wise</w:t>
      </w:r>
      <w:r w:rsidR="00D94AFC" w:rsidRPr="00B1515C">
        <w:t xml:space="preserve"> </w:t>
      </w:r>
      <w:r w:rsidR="00961B13" w:rsidRPr="00B1515C">
        <w:t>(Web Page</w:t>
      </w:r>
      <w:r w:rsidR="00106D34" w:rsidRPr="00B1515C">
        <w:t xml:space="preserve">, accessed 27 January </w:t>
      </w:r>
      <w:r w:rsidR="00D94AFC" w:rsidRPr="00B1515C">
        <w:t>202</w:t>
      </w:r>
      <w:r w:rsidR="00106D34" w:rsidRPr="00B1515C">
        <w:t>4</w:t>
      </w:r>
      <w:r w:rsidR="0060429C">
        <w:t>)</w:t>
      </w:r>
      <w:r w:rsidR="00D94AFC" w:rsidRPr="00B1515C">
        <w:t>.</w:t>
      </w:r>
    </w:p>
  </w:footnote>
  <w:footnote w:id="79">
    <w:p w14:paraId="3B90A455" w14:textId="5CB683BD" w:rsidR="00581102" w:rsidRPr="00B1515C" w:rsidRDefault="00815763" w:rsidP="00A01254">
      <w:pPr>
        <w:pStyle w:val="FootnoteText"/>
      </w:pPr>
      <w:r w:rsidRPr="00815763">
        <w:rPr>
          <w:rStyle w:val="FootnoteReference"/>
          <w:vertAlign w:val="baseline"/>
        </w:rPr>
        <w:footnoteRef/>
      </w:r>
      <w:r w:rsidR="00581102" w:rsidRPr="00B1515C">
        <w:t xml:space="preserve"> </w:t>
      </w:r>
      <w:r w:rsidR="00FE31B9" w:rsidRPr="00B1515C">
        <w:tab/>
      </w:r>
      <w:r w:rsidR="00F75232">
        <w:t>‘</w:t>
      </w:r>
      <w:hyperlink r:id="rId35" w:history="1">
        <w:r w:rsidR="00AE27E2" w:rsidRPr="00076E1F">
          <w:rPr>
            <w:rStyle w:val="Hyperlink"/>
          </w:rPr>
          <w:t xml:space="preserve">Reachable </w:t>
        </w:r>
        <w:r w:rsidR="00FA50D7" w:rsidRPr="00076E1F">
          <w:rPr>
            <w:rStyle w:val="Hyperlink"/>
          </w:rPr>
          <w:t>Bit</w:t>
        </w:r>
        <w:r w:rsidR="00AE27E2" w:rsidRPr="00076E1F">
          <w:rPr>
            <w:rStyle w:val="Hyperlink"/>
          </w:rPr>
          <w:t>coin Nodes</w:t>
        </w:r>
      </w:hyperlink>
      <w:r w:rsidR="00F75232">
        <w:t>’</w:t>
      </w:r>
      <w:r w:rsidR="00FA50D7" w:rsidRPr="00B1515C">
        <w:t xml:space="preserve">, </w:t>
      </w:r>
      <w:r w:rsidR="00FA50D7" w:rsidRPr="003B5020">
        <w:rPr>
          <w:rStyle w:val="Emphasis"/>
        </w:rPr>
        <w:t xml:space="preserve">Bitnodes </w:t>
      </w:r>
      <w:r w:rsidR="00FA50D7" w:rsidRPr="00B1515C">
        <w:t>(Web Page, accessed 16 January 2024).</w:t>
      </w:r>
    </w:p>
  </w:footnote>
  <w:footnote w:id="80">
    <w:p w14:paraId="4CC2239E" w14:textId="332A8949" w:rsidR="00525E3E" w:rsidRPr="00B1515C" w:rsidRDefault="00815763" w:rsidP="00A01254">
      <w:pPr>
        <w:pStyle w:val="FootnoteText"/>
      </w:pPr>
      <w:r w:rsidRPr="00815763">
        <w:rPr>
          <w:rStyle w:val="FootnoteReference"/>
          <w:vertAlign w:val="baseline"/>
        </w:rPr>
        <w:footnoteRef/>
      </w:r>
      <w:r w:rsidR="00525E3E" w:rsidRPr="00B1515C">
        <w:t xml:space="preserve"> </w:t>
      </w:r>
      <w:r w:rsidR="00FE31B9" w:rsidRPr="00B1515C">
        <w:tab/>
      </w:r>
      <w:r w:rsidR="00F75232">
        <w:t>‘</w:t>
      </w:r>
      <w:hyperlink r:id="rId36" w:history="1">
        <w:r w:rsidR="00C41056" w:rsidRPr="00076E1F">
          <w:rPr>
            <w:rStyle w:val="Hyperlink"/>
          </w:rPr>
          <w:t>Global Bitcoin Nodes</w:t>
        </w:r>
      </w:hyperlink>
      <w:r w:rsidR="00F75232">
        <w:t>’</w:t>
      </w:r>
      <w:r w:rsidR="00C41056" w:rsidRPr="00B1515C">
        <w:t xml:space="preserve">, </w:t>
      </w:r>
      <w:r w:rsidR="00C41056" w:rsidRPr="003B5020">
        <w:rPr>
          <w:rStyle w:val="Emphasis"/>
        </w:rPr>
        <w:t xml:space="preserve">Bitnodes </w:t>
      </w:r>
      <w:r w:rsidR="00C41056" w:rsidRPr="00B1515C">
        <w:t>(Web Page, accessed 16 January 2024).</w:t>
      </w:r>
    </w:p>
  </w:footnote>
  <w:footnote w:id="81">
    <w:p w14:paraId="5561042F" w14:textId="39B51EEE" w:rsidR="00D6225A" w:rsidRPr="00B1515C" w:rsidRDefault="00815763" w:rsidP="00A01254">
      <w:pPr>
        <w:pStyle w:val="FootnoteText"/>
      </w:pPr>
      <w:r w:rsidRPr="00815763">
        <w:rPr>
          <w:rStyle w:val="FootnoteReference"/>
          <w:vertAlign w:val="baseline"/>
        </w:rPr>
        <w:footnoteRef/>
      </w:r>
      <w:r w:rsidR="00D6225A" w:rsidRPr="00B1515C">
        <w:t xml:space="preserve"> </w:t>
      </w:r>
      <w:r w:rsidR="00FE31B9" w:rsidRPr="00B1515C">
        <w:tab/>
      </w:r>
      <w:r w:rsidR="00D6225A" w:rsidRPr="00B1515C">
        <w:t xml:space="preserve">It is noted that more recently, the terms </w:t>
      </w:r>
      <w:r w:rsidR="00F75232">
        <w:t>‘</w:t>
      </w:r>
      <w:r w:rsidR="00D6225A" w:rsidRPr="00B1515C">
        <w:t>stake</w:t>
      </w:r>
      <w:r w:rsidR="00F75232">
        <w:t>’</w:t>
      </w:r>
      <w:r w:rsidR="00D6225A" w:rsidRPr="00B1515C">
        <w:t xml:space="preserve"> and </w:t>
      </w:r>
      <w:r w:rsidR="00F75232">
        <w:t>‘</w:t>
      </w:r>
      <w:r w:rsidR="00AE27E2" w:rsidRPr="00B1515C">
        <w:t>s</w:t>
      </w:r>
      <w:r w:rsidR="00D6225A" w:rsidRPr="00B1515C">
        <w:t>taking</w:t>
      </w:r>
      <w:r w:rsidR="00F75232">
        <w:t>’</w:t>
      </w:r>
      <w:r w:rsidR="00D6225A" w:rsidRPr="00B1515C">
        <w:t xml:space="preserve"> hav</w:t>
      </w:r>
      <w:r w:rsidR="00D94AFC" w:rsidRPr="00B1515C">
        <w:t>e</w:t>
      </w:r>
      <w:r w:rsidR="00D6225A" w:rsidRPr="00B1515C">
        <w:t xml:space="preserve"> been used by market participants in a broader, less specific way, simply to refer to transferring or locking certain capital or value to smart contracts in return for a reward, even where no positive contribution is made by the staker and/or where the staked capital or value is not at risk: </w:t>
      </w:r>
      <w:r w:rsidR="008A0FE1" w:rsidRPr="00B1515C">
        <w:t>The Treasury</w:t>
      </w:r>
      <w:r w:rsidR="00D6225A" w:rsidRPr="00B1515C">
        <w:t xml:space="preserve">, </w:t>
      </w:r>
      <w:r w:rsidR="00D6225A" w:rsidRPr="003B5020">
        <w:rPr>
          <w:rStyle w:val="Emphasis"/>
        </w:rPr>
        <w:t>Token Mapping Consultation Paper</w:t>
      </w:r>
      <w:r w:rsidR="00D6225A" w:rsidRPr="00B1515C">
        <w:t xml:space="preserve"> (</w:t>
      </w:r>
      <w:r w:rsidR="0085121E" w:rsidRPr="00B1515C">
        <w:t xml:space="preserve">n </w:t>
      </w:r>
      <w:r w:rsidR="008A0FE1" w:rsidRPr="00B1515C">
        <w:t>4</w:t>
      </w:r>
      <w:r w:rsidR="00D6225A" w:rsidRPr="00B1515C">
        <w:t xml:space="preserve">) </w:t>
      </w:r>
      <w:r w:rsidR="00D94AFC" w:rsidRPr="00B1515C">
        <w:t xml:space="preserve">definition of </w:t>
      </w:r>
      <w:r w:rsidR="00F75232">
        <w:t>‘</w:t>
      </w:r>
      <w:r w:rsidR="00D94AFC" w:rsidRPr="00B1515C">
        <w:t>staking</w:t>
      </w:r>
      <w:r w:rsidR="00F75232">
        <w:t>’</w:t>
      </w:r>
      <w:r w:rsidR="00D94AFC" w:rsidRPr="00B1515C">
        <w:t xml:space="preserve"> in </w:t>
      </w:r>
      <w:r w:rsidR="00D6225A" w:rsidRPr="00B1515C">
        <w:t>Annexure 5 Glossary</w:t>
      </w:r>
      <w:r w:rsidR="00D94AFC" w:rsidRPr="00B1515C">
        <w:t>, 56</w:t>
      </w:r>
      <w:r w:rsidR="00D6225A" w:rsidRPr="00B1515C">
        <w:t xml:space="preserve">; UK Law Commission, </w:t>
      </w:r>
      <w:r w:rsidR="00D6225A" w:rsidRPr="003B5020">
        <w:rPr>
          <w:rStyle w:val="Emphasis"/>
        </w:rPr>
        <w:t>Digital Assets: Final Report</w:t>
      </w:r>
      <w:r w:rsidR="008D4509" w:rsidRPr="00B1515C">
        <w:t xml:space="preserve"> </w:t>
      </w:r>
      <w:r w:rsidR="001609BE" w:rsidRPr="00B1515C">
        <w:t>(n 8)</w:t>
      </w:r>
      <w:r w:rsidR="00D6225A" w:rsidRPr="00B1515C">
        <w:t xml:space="preserve"> xv.</w:t>
      </w:r>
    </w:p>
  </w:footnote>
  <w:footnote w:id="82">
    <w:p w14:paraId="1893BC7C" w14:textId="5DFA8AA7" w:rsidR="00CF1EB9" w:rsidRPr="00B1515C" w:rsidRDefault="00815763" w:rsidP="00A01254">
      <w:pPr>
        <w:pStyle w:val="FootnoteText"/>
      </w:pPr>
      <w:r w:rsidRPr="00815763">
        <w:rPr>
          <w:rStyle w:val="FootnoteReference"/>
          <w:vertAlign w:val="baseline"/>
        </w:rPr>
        <w:footnoteRef/>
      </w:r>
      <w:r w:rsidR="00CF1EB9" w:rsidRPr="00B1515C">
        <w:t xml:space="preserve"> </w:t>
      </w:r>
      <w:r w:rsidR="00FE31B9" w:rsidRPr="00B1515C">
        <w:tab/>
      </w:r>
      <w:r w:rsidR="00F75232">
        <w:t>‘</w:t>
      </w:r>
      <w:hyperlink r:id="rId37" w:history="1">
        <w:r w:rsidR="005A3AF8" w:rsidRPr="00076E1F">
          <w:rPr>
            <w:rStyle w:val="Hyperlink"/>
          </w:rPr>
          <w:t>Proof</w:t>
        </w:r>
        <w:r w:rsidR="00F75232" w:rsidRPr="00076E1F">
          <w:rPr>
            <w:rStyle w:val="Hyperlink"/>
          </w:rPr>
          <w:t>-</w:t>
        </w:r>
        <w:r w:rsidR="005A3AF8" w:rsidRPr="00076E1F">
          <w:rPr>
            <w:rStyle w:val="Hyperlink"/>
          </w:rPr>
          <w:t>of</w:t>
        </w:r>
        <w:r w:rsidR="00F75232" w:rsidRPr="00076E1F">
          <w:rPr>
            <w:rStyle w:val="Hyperlink"/>
          </w:rPr>
          <w:t>-</w:t>
        </w:r>
        <w:r w:rsidR="005A3AF8" w:rsidRPr="00076E1F">
          <w:rPr>
            <w:rStyle w:val="Hyperlink"/>
          </w:rPr>
          <w:t>Stake (POS)</w:t>
        </w:r>
      </w:hyperlink>
      <w:r w:rsidR="00F75232">
        <w:t>’</w:t>
      </w:r>
      <w:r w:rsidR="005A3AF8" w:rsidRPr="00B1515C">
        <w:t xml:space="preserve">, </w:t>
      </w:r>
      <w:r w:rsidR="005A3AF8" w:rsidRPr="003B5020">
        <w:rPr>
          <w:rStyle w:val="Emphasis"/>
        </w:rPr>
        <w:t>Ethereum</w:t>
      </w:r>
      <w:r w:rsidR="005A3AF8" w:rsidRPr="00B1515C">
        <w:t xml:space="preserve"> (Web Page, 29 September 2023)</w:t>
      </w:r>
      <w:r w:rsidR="00640B35" w:rsidRPr="00DB7364">
        <w:t>;</w:t>
      </w:r>
      <w:r w:rsidR="00CF1EB9" w:rsidRPr="00DB7364">
        <w:t xml:space="preserve"> </w:t>
      </w:r>
      <w:r w:rsidR="001D3A6D" w:rsidRPr="00DB7364">
        <w:t>E</w:t>
      </w:r>
      <w:r w:rsidR="001D3A6D" w:rsidRPr="00B1515C">
        <w:t xml:space="preserve">mily, </w:t>
      </w:r>
      <w:r w:rsidR="00F75232">
        <w:t>‘</w:t>
      </w:r>
      <w:hyperlink r:id="rId38" w:anchor=":~:text=If%20you%20attempt%20to%20undermine,to%20earn%20a%20passive%20income" w:history="1">
        <w:r w:rsidR="001D3A6D" w:rsidRPr="00076E1F">
          <w:rPr>
            <w:rStyle w:val="Hyperlink"/>
          </w:rPr>
          <w:t>Ethereum Staking: How To Stake ETH Securely</w:t>
        </w:r>
      </w:hyperlink>
      <w:r w:rsidR="00F75232" w:rsidRPr="006C21C0">
        <w:t>’</w:t>
      </w:r>
      <w:r w:rsidR="001D3A6D" w:rsidRPr="00B1515C">
        <w:t xml:space="preserve">, </w:t>
      </w:r>
      <w:r w:rsidR="007E439F" w:rsidRPr="003B5020">
        <w:rPr>
          <w:rStyle w:val="Emphasis"/>
        </w:rPr>
        <w:t>Ledger Academy</w:t>
      </w:r>
      <w:r w:rsidR="001D3A6D" w:rsidRPr="00B1515C">
        <w:t xml:space="preserve"> (Web Page, 11 September 2023</w:t>
      </w:r>
      <w:r w:rsidR="00076E1F">
        <w:t>)</w:t>
      </w:r>
      <w:r w:rsidR="00DD7E85" w:rsidRPr="00B1515C">
        <w:t xml:space="preserve">. </w:t>
      </w:r>
    </w:p>
  </w:footnote>
  <w:footnote w:id="83">
    <w:p w14:paraId="66B67DA3" w14:textId="483E7ADA" w:rsidR="001F7C9A" w:rsidRPr="00B1515C" w:rsidRDefault="00815763" w:rsidP="00A01254">
      <w:pPr>
        <w:pStyle w:val="FootnoteText"/>
      </w:pPr>
      <w:r w:rsidRPr="00815763">
        <w:rPr>
          <w:rStyle w:val="FootnoteReference"/>
          <w:vertAlign w:val="baseline"/>
        </w:rPr>
        <w:footnoteRef/>
      </w:r>
      <w:r w:rsidR="001F7C9A" w:rsidRPr="00B1515C">
        <w:t xml:space="preserve"> </w:t>
      </w:r>
      <w:r w:rsidR="00FE31B9" w:rsidRPr="00B1515C">
        <w:tab/>
      </w:r>
      <w:r w:rsidR="00F75232">
        <w:t>‘</w:t>
      </w:r>
      <w:hyperlink r:id="rId39" w:history="1">
        <w:r w:rsidR="001F7C9A" w:rsidRPr="006C21C0">
          <w:rPr>
            <w:rStyle w:val="Hyperlink"/>
          </w:rPr>
          <w:t>What are Ethereum Gas Fees</w:t>
        </w:r>
      </w:hyperlink>
      <w:r w:rsidR="00F75232">
        <w:t>’</w:t>
      </w:r>
      <w:r w:rsidR="001F7C9A" w:rsidRPr="00B1515C">
        <w:t xml:space="preserve">, </w:t>
      </w:r>
      <w:r w:rsidR="001F7C9A" w:rsidRPr="003B5020">
        <w:rPr>
          <w:rStyle w:val="Emphasis"/>
        </w:rPr>
        <w:t>Cryptopedia</w:t>
      </w:r>
      <w:r w:rsidR="001F7C9A" w:rsidRPr="00B1515C">
        <w:t xml:space="preserve"> </w:t>
      </w:r>
      <w:r w:rsidR="006A317E" w:rsidRPr="00B1515C">
        <w:t xml:space="preserve">(Web Page, </w:t>
      </w:r>
      <w:r w:rsidR="001F7C9A" w:rsidRPr="00B1515C">
        <w:t>17 November 2023</w:t>
      </w:r>
      <w:r w:rsidR="006A317E" w:rsidRPr="00B1515C">
        <w:t>)</w:t>
      </w:r>
      <w:r w:rsidR="003E53AF" w:rsidRPr="00B1515C">
        <w:t>; Allie</w:t>
      </w:r>
      <w:r w:rsidR="00CA7247">
        <w:t> </w:t>
      </w:r>
      <w:r w:rsidR="003E53AF" w:rsidRPr="00B1515C">
        <w:t>Grace</w:t>
      </w:r>
      <w:r w:rsidR="00CA7247">
        <w:t> </w:t>
      </w:r>
      <w:r w:rsidR="003E53AF" w:rsidRPr="00B1515C">
        <w:t xml:space="preserve">Garnett, </w:t>
      </w:r>
      <w:r w:rsidR="00F75232">
        <w:t>‘</w:t>
      </w:r>
      <w:hyperlink r:id="rId40" w:history="1">
        <w:r w:rsidR="003E53AF" w:rsidRPr="001B3EB3">
          <w:rPr>
            <w:rStyle w:val="Hyperlink"/>
          </w:rPr>
          <w:t>Ethereum gas fees: The cost of doing (crypto) business</w:t>
        </w:r>
        <w:r w:rsidR="001B3EB3">
          <w:t>’</w:t>
        </w:r>
        <w:r w:rsidR="003E53AF" w:rsidRPr="001B3EB3">
          <w:rPr>
            <w:rStyle w:val="Hyperlink"/>
          </w:rPr>
          <w:t>,</w:t>
        </w:r>
      </w:hyperlink>
      <w:r w:rsidR="003E53AF" w:rsidRPr="00B1515C">
        <w:t xml:space="preserve"> </w:t>
      </w:r>
      <w:r w:rsidR="00D56F1F" w:rsidRPr="003B5020">
        <w:rPr>
          <w:rStyle w:val="Emphasis"/>
        </w:rPr>
        <w:t>Britannica Money</w:t>
      </w:r>
      <w:r w:rsidR="00D56F1F" w:rsidRPr="00B1515C">
        <w:t xml:space="preserve"> </w:t>
      </w:r>
      <w:r w:rsidR="006A317E" w:rsidRPr="00B1515C">
        <w:t xml:space="preserve">(Web Page, accessed </w:t>
      </w:r>
      <w:r w:rsidR="00D56F1F" w:rsidRPr="00B1515C">
        <w:t>17</w:t>
      </w:r>
      <w:r w:rsidR="00CA7247">
        <w:t> </w:t>
      </w:r>
      <w:r w:rsidR="00D56F1F" w:rsidRPr="00B1515C">
        <w:t>January</w:t>
      </w:r>
      <w:r w:rsidR="00CA7247">
        <w:t> </w:t>
      </w:r>
      <w:r w:rsidR="00D56F1F" w:rsidRPr="00B1515C">
        <w:t>2024</w:t>
      </w:r>
      <w:r w:rsidR="006A317E" w:rsidRPr="00B1515C">
        <w:t>)</w:t>
      </w:r>
      <w:r w:rsidR="00D64894" w:rsidRPr="00B1515C">
        <w:t xml:space="preserve">; </w:t>
      </w:r>
      <w:r w:rsidR="00F75232">
        <w:t>‘</w:t>
      </w:r>
      <w:hyperlink r:id="rId41" w:history="1">
        <w:r w:rsidR="00B539C4" w:rsidRPr="00E8537D">
          <w:rPr>
            <w:rStyle w:val="Hyperlink"/>
          </w:rPr>
          <w:t>Relation between gas fees and validator rewards</w:t>
        </w:r>
      </w:hyperlink>
      <w:r w:rsidR="00F75232">
        <w:t>’</w:t>
      </w:r>
      <w:r w:rsidR="00B539C4" w:rsidRPr="00B1515C">
        <w:t xml:space="preserve">, </w:t>
      </w:r>
      <w:r w:rsidR="00B539C4" w:rsidRPr="003B5020">
        <w:rPr>
          <w:rStyle w:val="Emphasis"/>
        </w:rPr>
        <w:t>Piertwo</w:t>
      </w:r>
      <w:r w:rsidR="007820ED" w:rsidRPr="00B1515C">
        <w:t xml:space="preserve"> </w:t>
      </w:r>
      <w:r w:rsidR="006A317E" w:rsidRPr="00B1515C">
        <w:t xml:space="preserve">(Web Page, accessed </w:t>
      </w:r>
      <w:r w:rsidR="007820ED" w:rsidRPr="00B1515C">
        <w:t>17 January 2024</w:t>
      </w:r>
      <w:r w:rsidR="006A317E" w:rsidRPr="00B1515C">
        <w:t>)</w:t>
      </w:r>
      <w:r w:rsidR="007820ED" w:rsidRPr="00B1515C">
        <w:t xml:space="preserve">. </w:t>
      </w:r>
    </w:p>
  </w:footnote>
  <w:footnote w:id="84">
    <w:p w14:paraId="74D50AEE" w14:textId="3B158DE8" w:rsidR="006556AF" w:rsidRPr="00B1515C" w:rsidRDefault="00815763" w:rsidP="00A01254">
      <w:pPr>
        <w:pStyle w:val="FootnoteText"/>
      </w:pPr>
      <w:r w:rsidRPr="00815763">
        <w:rPr>
          <w:rStyle w:val="FootnoteReference"/>
          <w:vertAlign w:val="baseline"/>
        </w:rPr>
        <w:footnoteRef/>
      </w:r>
      <w:r w:rsidR="006556AF" w:rsidRPr="00B1515C">
        <w:t xml:space="preserve"> </w:t>
      </w:r>
      <w:r w:rsidR="00FE31B9" w:rsidRPr="00B1515C">
        <w:tab/>
      </w:r>
      <w:r w:rsidR="00F75232">
        <w:t>‘</w:t>
      </w:r>
      <w:hyperlink r:id="rId42" w:history="1">
        <w:r w:rsidR="006556AF" w:rsidRPr="00BF70C1">
          <w:rPr>
            <w:rStyle w:val="Hyperlink"/>
          </w:rPr>
          <w:t>Intro to Ether</w:t>
        </w:r>
      </w:hyperlink>
      <w:r w:rsidR="00F75232">
        <w:t>’</w:t>
      </w:r>
      <w:r w:rsidR="006556AF" w:rsidRPr="00B1515C">
        <w:t xml:space="preserve">, </w:t>
      </w:r>
      <w:r w:rsidR="00666198" w:rsidRPr="003B5020">
        <w:rPr>
          <w:rStyle w:val="Emphasis"/>
        </w:rPr>
        <w:t>Ethereum</w:t>
      </w:r>
      <w:r w:rsidR="00666198" w:rsidRPr="00B1515C">
        <w:t xml:space="preserve"> (Web Page, </w:t>
      </w:r>
      <w:r w:rsidR="006556AF" w:rsidRPr="00B1515C">
        <w:t xml:space="preserve">16 August 2023; James Howell, </w:t>
      </w:r>
      <w:r w:rsidR="00F75232">
        <w:t>‘</w:t>
      </w:r>
      <w:hyperlink r:id="rId43" w:history="1">
        <w:r w:rsidR="006556AF" w:rsidRPr="00BF70C1">
          <w:rPr>
            <w:rStyle w:val="Hyperlink"/>
          </w:rPr>
          <w:t>What is Ether (ETH)?</w:t>
        </w:r>
        <w:r w:rsidR="00DD7E85" w:rsidRPr="00BF70C1">
          <w:rPr>
            <w:rStyle w:val="Hyperlink"/>
          </w:rPr>
          <w:t xml:space="preserve"> – </w:t>
        </w:r>
        <w:r w:rsidR="006556AF" w:rsidRPr="00BF70C1">
          <w:rPr>
            <w:rStyle w:val="Hyperlink"/>
          </w:rPr>
          <w:t>A Beginner</w:t>
        </w:r>
        <w:r w:rsidR="00F75232" w:rsidRPr="00BF70C1">
          <w:rPr>
            <w:rStyle w:val="Hyperlink"/>
          </w:rPr>
          <w:t>’</w:t>
        </w:r>
        <w:r w:rsidR="006556AF" w:rsidRPr="00BF70C1">
          <w:rPr>
            <w:rStyle w:val="Hyperlink"/>
          </w:rPr>
          <w:t>s Guide</w:t>
        </w:r>
      </w:hyperlink>
      <w:r w:rsidR="00F75232">
        <w:t>’</w:t>
      </w:r>
      <w:r w:rsidR="006556AF" w:rsidRPr="00B1515C">
        <w:t xml:space="preserve">, </w:t>
      </w:r>
      <w:r w:rsidR="00B418AD" w:rsidRPr="003B5020">
        <w:rPr>
          <w:rStyle w:val="Emphasis"/>
        </w:rPr>
        <w:t>101 Blockchains</w:t>
      </w:r>
      <w:r w:rsidR="00B418AD" w:rsidRPr="00B1515C">
        <w:t xml:space="preserve"> (Web Page, </w:t>
      </w:r>
      <w:r w:rsidR="006556AF" w:rsidRPr="00B1515C">
        <w:t>4 November 2022</w:t>
      </w:r>
      <w:r w:rsidR="00B418AD" w:rsidRPr="00B1515C">
        <w:t>)</w:t>
      </w:r>
      <w:r w:rsidR="00BF70C1">
        <w:t>.</w:t>
      </w:r>
    </w:p>
  </w:footnote>
  <w:footnote w:id="85">
    <w:p w14:paraId="18FA82AF" w14:textId="66F05AB6" w:rsidR="00CA797C" w:rsidRPr="00B1515C" w:rsidRDefault="00815763" w:rsidP="00A01254">
      <w:pPr>
        <w:pStyle w:val="FootnoteText"/>
      </w:pPr>
      <w:r w:rsidRPr="00815763">
        <w:rPr>
          <w:rStyle w:val="FootnoteReference"/>
          <w:vertAlign w:val="baseline"/>
        </w:rPr>
        <w:footnoteRef/>
      </w:r>
      <w:r w:rsidR="00CA797C" w:rsidRPr="00B1515C">
        <w:t xml:space="preserve"> </w:t>
      </w:r>
      <w:r w:rsidR="00FE31B9" w:rsidRPr="00B1515C">
        <w:tab/>
      </w:r>
      <w:r w:rsidR="00CA797C" w:rsidRPr="00B1515C">
        <w:t xml:space="preserve">Peter Wind, </w:t>
      </w:r>
      <w:r w:rsidR="00F75232">
        <w:t>‘</w:t>
      </w:r>
      <w:hyperlink r:id="rId44" w:history="1">
        <w:r w:rsidR="00CA797C" w:rsidRPr="00AD0F08">
          <w:rPr>
            <w:rStyle w:val="Hyperlink"/>
          </w:rPr>
          <w:t>How Many Ethereum Are There?</w:t>
        </w:r>
      </w:hyperlink>
      <w:r w:rsidR="00F75232">
        <w:t>’</w:t>
      </w:r>
      <w:r w:rsidR="00CA797C" w:rsidRPr="00B1515C">
        <w:t xml:space="preserve">, </w:t>
      </w:r>
      <w:r w:rsidR="00CA797C" w:rsidRPr="003B5020">
        <w:rPr>
          <w:rStyle w:val="Emphasis"/>
        </w:rPr>
        <w:t>Coincodex</w:t>
      </w:r>
      <w:r w:rsidR="00B418AD" w:rsidRPr="00B1515C">
        <w:t xml:space="preserve"> (Web Page, 30 August 2023)</w:t>
      </w:r>
      <w:r w:rsidR="00AD0F08">
        <w:t>.</w:t>
      </w:r>
      <w:r w:rsidR="00CA797C" w:rsidRPr="00B1515C">
        <w:t xml:space="preserve"> </w:t>
      </w:r>
    </w:p>
  </w:footnote>
  <w:footnote w:id="86">
    <w:p w14:paraId="344F17BC" w14:textId="1DDDAC9B" w:rsidR="008D3329" w:rsidRPr="00B1515C" w:rsidRDefault="00815763" w:rsidP="00A01254">
      <w:pPr>
        <w:pStyle w:val="FootnoteText"/>
      </w:pPr>
      <w:r w:rsidRPr="00815763">
        <w:rPr>
          <w:rStyle w:val="FootnoteReference"/>
          <w:vertAlign w:val="baseline"/>
        </w:rPr>
        <w:footnoteRef/>
      </w:r>
      <w:r w:rsidR="008D3329" w:rsidRPr="00B1515C">
        <w:t xml:space="preserve"> </w:t>
      </w:r>
      <w:r w:rsidR="00FE31B9" w:rsidRPr="00B1515C">
        <w:tab/>
      </w:r>
      <w:r w:rsidR="008D3329" w:rsidRPr="00B1515C">
        <w:t xml:space="preserve">Manoj Sharma, </w:t>
      </w:r>
      <w:r w:rsidR="00F75232">
        <w:t>‘</w:t>
      </w:r>
      <w:hyperlink r:id="rId45" w:anchor=":~:text=Randomly%20chosen%20validators%20holding%20a,portions%20of%20network%20transaction%20fees" w:history="1">
        <w:r w:rsidR="008D3329" w:rsidRPr="00AD0F08">
          <w:rPr>
            <w:rStyle w:val="Hyperlink"/>
          </w:rPr>
          <w:t>How to Stake Ethereum</w:t>
        </w:r>
      </w:hyperlink>
      <w:r w:rsidR="00F75232">
        <w:t>’</w:t>
      </w:r>
      <w:r w:rsidR="008D3329" w:rsidRPr="00B1515C">
        <w:t xml:space="preserve">, </w:t>
      </w:r>
      <w:r w:rsidR="00B418AD" w:rsidRPr="003B5020">
        <w:rPr>
          <w:rStyle w:val="Emphasis"/>
        </w:rPr>
        <w:t>Investopedia</w:t>
      </w:r>
      <w:r w:rsidR="00B418AD" w:rsidRPr="00B1515C">
        <w:t xml:space="preserve"> </w:t>
      </w:r>
      <w:r w:rsidR="00955218" w:rsidRPr="00B1515C">
        <w:t xml:space="preserve">(Web Page, </w:t>
      </w:r>
      <w:r w:rsidR="008D3329" w:rsidRPr="00B1515C">
        <w:t>11 December 2023</w:t>
      </w:r>
      <w:r w:rsidR="00955218" w:rsidRPr="00B1515C">
        <w:t>)</w:t>
      </w:r>
      <w:r w:rsidR="00AD0F08">
        <w:t>.</w:t>
      </w:r>
      <w:r w:rsidR="00955218" w:rsidRPr="00B1515C">
        <w:t xml:space="preserve"> </w:t>
      </w:r>
    </w:p>
  </w:footnote>
  <w:footnote w:id="87">
    <w:p w14:paraId="75540A26" w14:textId="5551459B" w:rsidR="00511D42" w:rsidRPr="00B1515C" w:rsidRDefault="00815763" w:rsidP="00A01254">
      <w:pPr>
        <w:pStyle w:val="FootnoteText"/>
      </w:pPr>
      <w:r w:rsidRPr="00815763">
        <w:rPr>
          <w:rStyle w:val="FootnoteReference"/>
          <w:vertAlign w:val="baseline"/>
        </w:rPr>
        <w:footnoteRef/>
      </w:r>
      <w:r w:rsidR="00511D42" w:rsidRPr="00B1515C">
        <w:t xml:space="preserve"> </w:t>
      </w:r>
      <w:r w:rsidR="00FE31B9" w:rsidRPr="00B1515C">
        <w:tab/>
      </w:r>
      <w:r w:rsidR="00E507D0" w:rsidRPr="00B1515C">
        <w:t>Whilst the</w:t>
      </w:r>
      <w:r w:rsidR="00511D42" w:rsidRPr="00B1515C">
        <w:t xml:space="preserve"> Bitcoin blockchain does enable </w:t>
      </w:r>
      <w:r w:rsidR="00F75232">
        <w:t>‘</w:t>
      </w:r>
      <w:r w:rsidR="00511D42" w:rsidRPr="00B1515C">
        <w:t>smart contracts</w:t>
      </w:r>
      <w:r w:rsidR="00F75232">
        <w:t>’</w:t>
      </w:r>
      <w:r w:rsidR="00063B5C" w:rsidRPr="00B1515C">
        <w:t>, they do not operate in the same way and have</w:t>
      </w:r>
      <w:r w:rsidR="006A74E3" w:rsidRPr="00B1515C">
        <w:t xml:space="preserve"> relatively limited functionalitie</w:t>
      </w:r>
      <w:r w:rsidR="006743FE" w:rsidRPr="00B1515C">
        <w:t>s</w:t>
      </w:r>
      <w:r w:rsidR="006A74E3" w:rsidRPr="00B1515C">
        <w:t>: Mohammad Musharraf,</w:t>
      </w:r>
      <w:r w:rsidR="000F7190" w:rsidRPr="00B1515C">
        <w:t xml:space="preserve"> </w:t>
      </w:r>
      <w:r w:rsidR="00F75232">
        <w:t>‘</w:t>
      </w:r>
      <w:hyperlink r:id="rId46" w:history="1">
        <w:r w:rsidR="000F7190" w:rsidRPr="00AD0F08">
          <w:rPr>
            <w:rStyle w:val="Hyperlink"/>
          </w:rPr>
          <w:t>Bitcoin Smart Contracts and Apps: Do they even exist?</w:t>
        </w:r>
      </w:hyperlink>
      <w:r w:rsidR="00F75232">
        <w:t>’</w:t>
      </w:r>
      <w:r w:rsidR="000F7190" w:rsidRPr="00B1515C">
        <w:t>,</w:t>
      </w:r>
      <w:r w:rsidR="00121B03" w:rsidRPr="003B5020">
        <w:rPr>
          <w:rStyle w:val="Emphasis"/>
        </w:rPr>
        <w:t xml:space="preserve"> Ledger</w:t>
      </w:r>
      <w:r w:rsidR="003A1C1D">
        <w:t> </w:t>
      </w:r>
      <w:r w:rsidR="00121B03" w:rsidRPr="003B5020">
        <w:rPr>
          <w:rStyle w:val="Emphasis"/>
        </w:rPr>
        <w:t>Academy</w:t>
      </w:r>
      <w:r w:rsidR="00121B03" w:rsidRPr="00B1515C">
        <w:t xml:space="preserve"> (Web Page,</w:t>
      </w:r>
      <w:r w:rsidR="006A74E3" w:rsidRPr="00B1515C">
        <w:t xml:space="preserve"> 23 November 2023</w:t>
      </w:r>
      <w:r w:rsidR="00121B03" w:rsidRPr="00B1515C">
        <w:t>)</w:t>
      </w:r>
      <w:r w:rsidR="000F7190" w:rsidRPr="00B1515C">
        <w:t xml:space="preserve">. </w:t>
      </w:r>
    </w:p>
  </w:footnote>
  <w:footnote w:id="88">
    <w:p w14:paraId="3B938C3B" w14:textId="4F65F8A3" w:rsidR="00F451D4" w:rsidRPr="00B1515C" w:rsidRDefault="00815763" w:rsidP="00A01254">
      <w:pPr>
        <w:pStyle w:val="FootnoteText"/>
      </w:pPr>
      <w:r w:rsidRPr="00815763">
        <w:rPr>
          <w:rStyle w:val="FootnoteReference"/>
          <w:vertAlign w:val="baseline"/>
        </w:rPr>
        <w:footnoteRef/>
      </w:r>
      <w:r w:rsidR="00F451D4" w:rsidRPr="00B1515C">
        <w:t xml:space="preserve"> </w:t>
      </w:r>
      <w:r w:rsidR="00FE31B9" w:rsidRPr="00B1515C">
        <w:tab/>
      </w:r>
      <w:r w:rsidR="00F75232">
        <w:t>‘</w:t>
      </w:r>
      <w:hyperlink r:id="rId47" w:history="1">
        <w:r w:rsidR="00F451D4" w:rsidRPr="00A52882">
          <w:rPr>
            <w:rStyle w:val="Hyperlink"/>
          </w:rPr>
          <w:t xml:space="preserve">How Many Nodes Ethereum Has: Estimating The Total Number of Nodes </w:t>
        </w:r>
        <w:r w:rsidR="00C53176" w:rsidRPr="00A52882">
          <w:rPr>
            <w:rStyle w:val="Hyperlink"/>
          </w:rPr>
          <w:t>In the Ethereum Network</w:t>
        </w:r>
        <w:r w:rsidR="00F75232" w:rsidRPr="00A52882">
          <w:t>’</w:t>
        </w:r>
      </w:hyperlink>
      <w:r w:rsidR="00C53176" w:rsidRPr="00B1515C">
        <w:t xml:space="preserve">, </w:t>
      </w:r>
      <w:r w:rsidR="003E0D09" w:rsidRPr="003B5020">
        <w:rPr>
          <w:rStyle w:val="Emphasis"/>
        </w:rPr>
        <w:t>Trade Wise</w:t>
      </w:r>
      <w:r w:rsidR="003E0D09" w:rsidRPr="00B1515C">
        <w:t xml:space="preserve"> (Web Page, accessed 27 January 2024)</w:t>
      </w:r>
      <w:r w:rsidR="00962DD5">
        <w:t>.</w:t>
      </w:r>
      <w:r w:rsidR="004921E4" w:rsidRPr="00B1515C">
        <w:t xml:space="preserve"> </w:t>
      </w:r>
    </w:p>
  </w:footnote>
  <w:footnote w:id="89">
    <w:p w14:paraId="11100088" w14:textId="0B49564B" w:rsidR="00805948" w:rsidRPr="00B1515C" w:rsidRDefault="00815763" w:rsidP="00A01254">
      <w:pPr>
        <w:pStyle w:val="FootnoteText"/>
      </w:pPr>
      <w:r w:rsidRPr="00815763">
        <w:rPr>
          <w:rStyle w:val="FootnoteReference"/>
          <w:vertAlign w:val="baseline"/>
        </w:rPr>
        <w:footnoteRef/>
      </w:r>
      <w:r w:rsidR="00805948" w:rsidRPr="00B1515C">
        <w:t xml:space="preserve"> </w:t>
      </w:r>
      <w:r w:rsidR="00FE31B9" w:rsidRPr="00B1515C">
        <w:tab/>
      </w:r>
      <w:r w:rsidR="00F75232">
        <w:t>‘</w:t>
      </w:r>
      <w:hyperlink r:id="rId48" w:history="1">
        <w:r w:rsidR="004D1C58" w:rsidRPr="00962DD5">
          <w:rPr>
            <w:rStyle w:val="Hyperlink"/>
          </w:rPr>
          <w:t>Ethereum Mainnet Statistics</w:t>
        </w:r>
      </w:hyperlink>
      <w:r w:rsidR="00F75232">
        <w:t>’</w:t>
      </w:r>
      <w:r w:rsidR="004D1C58" w:rsidRPr="00B1515C">
        <w:t xml:space="preserve">, </w:t>
      </w:r>
      <w:r w:rsidR="00805948" w:rsidRPr="008B1C97">
        <w:rPr>
          <w:rStyle w:val="Emphasis"/>
        </w:rPr>
        <w:t>Ethernodes</w:t>
      </w:r>
      <w:r w:rsidR="004D1C58" w:rsidRPr="00B1515C">
        <w:t xml:space="preserve"> (Web Page, accessed 16 January </w:t>
      </w:r>
      <w:r w:rsidR="00FE536B" w:rsidRPr="00B1515C">
        <w:t>20</w:t>
      </w:r>
      <w:r w:rsidR="004D1C58" w:rsidRPr="00B1515C">
        <w:t>24</w:t>
      </w:r>
      <w:r w:rsidR="00FE536B" w:rsidRPr="00B1515C">
        <w:t>)</w:t>
      </w:r>
      <w:r w:rsidR="00962DD5">
        <w:t>.</w:t>
      </w:r>
    </w:p>
  </w:footnote>
  <w:footnote w:id="90">
    <w:p w14:paraId="32A9B0CC" w14:textId="5478FE6F" w:rsidR="00FA5F76" w:rsidRPr="00B1515C" w:rsidRDefault="00FA5F76" w:rsidP="00A01254">
      <w:pPr>
        <w:pStyle w:val="FootnoteText"/>
      </w:pPr>
      <w:r w:rsidRPr="00815763">
        <w:rPr>
          <w:rStyle w:val="FootnoteReference"/>
          <w:vertAlign w:val="baseline"/>
        </w:rPr>
        <w:footnoteRef/>
      </w:r>
      <w:r w:rsidRPr="00B1515C">
        <w:t xml:space="preserve"> </w:t>
      </w:r>
      <w:r w:rsidRPr="00B1515C">
        <w:tab/>
        <w:t xml:space="preserve">Jake Frankenfield, </w:t>
      </w:r>
      <w:r>
        <w:t>‘</w:t>
      </w:r>
      <w:hyperlink r:id="rId49" w:history="1">
        <w:r w:rsidRPr="00962DD5">
          <w:rPr>
            <w:rStyle w:val="Hyperlink"/>
          </w:rPr>
          <w:t>UTXO Model: Definition, How It Works, and Goals</w:t>
        </w:r>
      </w:hyperlink>
      <w:r>
        <w:t>’</w:t>
      </w:r>
      <w:r w:rsidRPr="00B1515C">
        <w:t xml:space="preserve">, </w:t>
      </w:r>
      <w:r w:rsidRPr="008B1C97">
        <w:rPr>
          <w:rStyle w:val="Emphasis"/>
        </w:rPr>
        <w:t>Investopedia</w:t>
      </w:r>
      <w:r w:rsidRPr="00B1515C">
        <w:t xml:space="preserve"> (Web Page, 15 April 2022)</w:t>
      </w:r>
      <w:r>
        <w:t>; ‘</w:t>
      </w:r>
      <w:hyperlink r:id="rId50" w:history="1">
        <w:r w:rsidRPr="007829BA">
          <w:rPr>
            <w:rStyle w:val="Hyperlink"/>
          </w:rPr>
          <w:t>Unspent Transaction Output (UTXO)</w:t>
        </w:r>
      </w:hyperlink>
      <w:r>
        <w:t>’</w:t>
      </w:r>
      <w:r w:rsidRPr="00B1515C">
        <w:t xml:space="preserve">, </w:t>
      </w:r>
      <w:r w:rsidRPr="008B1C97">
        <w:rPr>
          <w:rStyle w:val="Emphasis"/>
        </w:rPr>
        <w:t>Binance Academy</w:t>
      </w:r>
      <w:r w:rsidRPr="00B1515C">
        <w:t xml:space="preserve"> (Web Page, accessed 27 January 2024)</w:t>
      </w:r>
      <w:r w:rsidR="009340F5">
        <w:t>;</w:t>
      </w:r>
      <w:r w:rsidRPr="00B1515C">
        <w:t xml:space="preserve"> </w:t>
      </w:r>
      <w:r>
        <w:t>‘</w:t>
      </w:r>
      <w:hyperlink r:id="rId51" w:history="1">
        <w:r w:rsidRPr="009340F5">
          <w:rPr>
            <w:rStyle w:val="Hyperlink"/>
          </w:rPr>
          <w:t>What is a Bitcoin unspent transaction output (UTXO)?</w:t>
        </w:r>
      </w:hyperlink>
      <w:r>
        <w:t>’</w:t>
      </w:r>
      <w:r w:rsidRPr="00B1515C">
        <w:t xml:space="preserve">, </w:t>
      </w:r>
      <w:r w:rsidRPr="008B1C97">
        <w:rPr>
          <w:rStyle w:val="Emphasis"/>
        </w:rPr>
        <w:t>Kraken</w:t>
      </w:r>
      <w:r w:rsidRPr="00B1515C">
        <w:t xml:space="preserve"> (Web Page, accessed 27 January 2024)</w:t>
      </w:r>
      <w:r w:rsidR="009340F5">
        <w:t>.</w:t>
      </w:r>
      <w:r w:rsidRPr="00B1515C">
        <w:t xml:space="preserve"> </w:t>
      </w:r>
    </w:p>
  </w:footnote>
  <w:footnote w:id="91">
    <w:p w14:paraId="35909F1D" w14:textId="41E80CD8" w:rsidR="00A243CD" w:rsidRPr="00B1515C" w:rsidRDefault="00815763" w:rsidP="00A01254">
      <w:pPr>
        <w:pStyle w:val="FootnoteText"/>
      </w:pPr>
      <w:r w:rsidRPr="00815763">
        <w:rPr>
          <w:rStyle w:val="FootnoteReference"/>
          <w:vertAlign w:val="baseline"/>
        </w:rPr>
        <w:footnoteRef/>
      </w:r>
      <w:r w:rsidR="00A243CD" w:rsidRPr="00B1515C">
        <w:t xml:space="preserve"> </w:t>
      </w:r>
      <w:r w:rsidR="00FE31B9" w:rsidRPr="00B1515C">
        <w:tab/>
      </w:r>
      <w:r w:rsidR="00627F8D" w:rsidRPr="00B1515C">
        <w:t>It could also be in the form of two or more UTXOs adding up to 0.45 bitcoin.</w:t>
      </w:r>
    </w:p>
  </w:footnote>
  <w:footnote w:id="92">
    <w:p w14:paraId="570EB632" w14:textId="789B4177" w:rsidR="004A5AB8" w:rsidRPr="00B1515C" w:rsidRDefault="00815763" w:rsidP="00A01254">
      <w:pPr>
        <w:pStyle w:val="FootnoteText"/>
      </w:pPr>
      <w:r w:rsidRPr="00815763">
        <w:rPr>
          <w:rStyle w:val="FootnoteReference"/>
          <w:vertAlign w:val="baseline"/>
        </w:rPr>
        <w:footnoteRef/>
      </w:r>
      <w:r w:rsidR="004A5AB8" w:rsidRPr="00B1515C">
        <w:t xml:space="preserve"> </w:t>
      </w:r>
      <w:r w:rsidR="00FE31B9" w:rsidRPr="00B1515C">
        <w:tab/>
      </w:r>
      <w:r w:rsidR="004A5AB8" w:rsidRPr="00B1515C">
        <w:t xml:space="preserve">Jad Mubaslat, </w:t>
      </w:r>
      <w:r w:rsidR="00F75232">
        <w:t>‘</w:t>
      </w:r>
      <w:hyperlink r:id="rId52" w:history="1">
        <w:r w:rsidR="004A5AB8" w:rsidRPr="009340F5">
          <w:rPr>
            <w:rStyle w:val="Hyperlink"/>
          </w:rPr>
          <w:t>What is Ethereum</w:t>
        </w:r>
        <w:r w:rsidR="00F75232" w:rsidRPr="009340F5">
          <w:rPr>
            <w:rStyle w:val="Hyperlink"/>
          </w:rPr>
          <w:t>’</w:t>
        </w:r>
        <w:r w:rsidR="004A5AB8" w:rsidRPr="009340F5">
          <w:rPr>
            <w:rStyle w:val="Hyperlink"/>
          </w:rPr>
          <w:t>s Accounts</w:t>
        </w:r>
        <w:r w:rsidR="00F75232" w:rsidRPr="009340F5">
          <w:rPr>
            <w:rStyle w:val="Hyperlink"/>
          </w:rPr>
          <w:t>-</w:t>
        </w:r>
        <w:r w:rsidR="004A5AB8" w:rsidRPr="009340F5">
          <w:rPr>
            <w:rStyle w:val="Hyperlink"/>
          </w:rPr>
          <w:t>Based Model and How Does it Work?</w:t>
        </w:r>
      </w:hyperlink>
      <w:r w:rsidR="00F75232">
        <w:t>’</w:t>
      </w:r>
      <w:r w:rsidR="004A5AB8" w:rsidRPr="00B1515C">
        <w:t xml:space="preserve">, </w:t>
      </w:r>
      <w:r w:rsidR="004A5AB8" w:rsidRPr="008B1C97">
        <w:rPr>
          <w:rStyle w:val="Emphasis"/>
        </w:rPr>
        <w:t>Rain Blog</w:t>
      </w:r>
      <w:r w:rsidR="004A5AB8" w:rsidRPr="00B1515C">
        <w:t xml:space="preserve"> </w:t>
      </w:r>
      <w:r w:rsidR="00CD0BD6" w:rsidRPr="00B1515C">
        <w:t xml:space="preserve">(Blog Post, </w:t>
      </w:r>
      <w:r w:rsidR="004A5AB8" w:rsidRPr="00B1515C">
        <w:t>16</w:t>
      </w:r>
      <w:r w:rsidR="00CA7247">
        <w:t> </w:t>
      </w:r>
      <w:r w:rsidR="004A5AB8" w:rsidRPr="00B1515C">
        <w:t>June</w:t>
      </w:r>
      <w:r w:rsidR="00CA7247">
        <w:t> </w:t>
      </w:r>
      <w:r w:rsidR="004A5AB8" w:rsidRPr="00B1515C">
        <w:t>2022</w:t>
      </w:r>
      <w:r w:rsidR="00CD0BD6" w:rsidRPr="00B1515C">
        <w:t>)</w:t>
      </w:r>
      <w:r w:rsidR="009340F5">
        <w:t xml:space="preserve">; </w:t>
      </w:r>
      <w:r w:rsidR="00F75232">
        <w:t>‘</w:t>
      </w:r>
      <w:hyperlink r:id="rId53" w:history="1">
        <w:r w:rsidR="00B8278E" w:rsidRPr="009340F5">
          <w:rPr>
            <w:rStyle w:val="Hyperlink"/>
          </w:rPr>
          <w:t>Bitcoin UTXO vs Ethereum</w:t>
        </w:r>
        <w:r w:rsidR="00F75232" w:rsidRPr="009340F5">
          <w:rPr>
            <w:rStyle w:val="Hyperlink"/>
          </w:rPr>
          <w:t>’</w:t>
        </w:r>
        <w:r w:rsidR="00B8278E" w:rsidRPr="009340F5">
          <w:rPr>
            <w:rStyle w:val="Hyperlink"/>
          </w:rPr>
          <w:t>s Account</w:t>
        </w:r>
        <w:r w:rsidR="00F75232" w:rsidRPr="009340F5">
          <w:rPr>
            <w:rStyle w:val="Hyperlink"/>
          </w:rPr>
          <w:t>-</w:t>
        </w:r>
        <w:r w:rsidR="00B8278E" w:rsidRPr="009340F5">
          <w:rPr>
            <w:rStyle w:val="Hyperlink"/>
          </w:rPr>
          <w:t>Based Blockchain Transactions: Explained Simply</w:t>
        </w:r>
        <w:r w:rsidR="00F75232" w:rsidRPr="009340F5">
          <w:t>’</w:t>
        </w:r>
      </w:hyperlink>
      <w:r w:rsidR="00B8278E" w:rsidRPr="00B1515C">
        <w:t xml:space="preserve">, </w:t>
      </w:r>
      <w:r w:rsidR="00B95359" w:rsidRPr="00B1515C">
        <w:t>Hackernoon</w:t>
      </w:r>
      <w:r w:rsidR="00781E68" w:rsidRPr="00B1515C">
        <w:t xml:space="preserve"> (Web Page, </w:t>
      </w:r>
      <w:r w:rsidR="00B8278E" w:rsidRPr="00B1515C">
        <w:t>23</w:t>
      </w:r>
      <w:r w:rsidR="00CA7247">
        <w:t> </w:t>
      </w:r>
      <w:r w:rsidR="00B8278E" w:rsidRPr="00B1515C">
        <w:t>August 2021</w:t>
      </w:r>
      <w:r w:rsidR="00781E68" w:rsidRPr="00B1515C">
        <w:t>)</w:t>
      </w:r>
      <w:r w:rsidR="00A078F6">
        <w:t>.</w:t>
      </w:r>
      <w:r w:rsidR="004F0A51" w:rsidRPr="00B1515C">
        <w:t xml:space="preserve"> </w:t>
      </w:r>
    </w:p>
  </w:footnote>
  <w:footnote w:id="93">
    <w:p w14:paraId="3A24D2A8" w14:textId="7ED074F2"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F75232">
        <w:t>‘</w:t>
      </w:r>
      <w:hyperlink r:id="rId54" w:history="1">
        <w:r w:rsidR="00EA63A5" w:rsidRPr="00A078F6">
          <w:rPr>
            <w:rStyle w:val="Hyperlink"/>
          </w:rPr>
          <w:t>Central Bank Digital Currency</w:t>
        </w:r>
      </w:hyperlink>
      <w:r w:rsidR="00F75232">
        <w:t>’</w:t>
      </w:r>
      <w:r w:rsidR="00EA63A5" w:rsidRPr="00B1515C">
        <w:t xml:space="preserve">, </w:t>
      </w:r>
      <w:r w:rsidR="00EA63A5" w:rsidRPr="008B1C97">
        <w:rPr>
          <w:rStyle w:val="Emphasis"/>
        </w:rPr>
        <w:t xml:space="preserve">RBA </w:t>
      </w:r>
      <w:r w:rsidR="00EA63A5" w:rsidRPr="00B1515C">
        <w:t xml:space="preserve">(Web Page, </w:t>
      </w:r>
      <w:r w:rsidR="001D4AF1" w:rsidRPr="00B1515C">
        <w:t>accessed 27 January 2024)</w:t>
      </w:r>
      <w:r w:rsidR="00A078F6">
        <w:t>.</w:t>
      </w:r>
    </w:p>
  </w:footnote>
  <w:footnote w:id="94">
    <w:p w14:paraId="31B240E9" w14:textId="1350493C"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RBA,</w:t>
      </w:r>
      <w:r w:rsidR="00DC043E" w:rsidRPr="008B1C97">
        <w:rPr>
          <w:rStyle w:val="Emphasis"/>
        </w:rPr>
        <w:t xml:space="preserve"> Australian CBDC Pilot for Digital Finance Innovation </w:t>
      </w:r>
      <w:r w:rsidR="00DC043E" w:rsidRPr="00B1515C">
        <w:t>(n 2)</w:t>
      </w:r>
      <w:r w:rsidR="00745612" w:rsidRPr="00B1515C" w:rsidDel="00745612">
        <w:t xml:space="preserve"> </w:t>
      </w:r>
      <w:r w:rsidR="00301B95" w:rsidRPr="00B1515C">
        <w:t>3.</w:t>
      </w:r>
    </w:p>
  </w:footnote>
  <w:footnote w:id="95">
    <w:p w14:paraId="1E71083B" w14:textId="5566F985"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hyperlink r:id="rId55" w:history="1">
        <w:r w:rsidR="00301B95" w:rsidRPr="00A078F6">
          <w:rPr>
            <w:rStyle w:val="Hyperlink"/>
          </w:rPr>
          <w:t>Reserve Bank of Australia</w:t>
        </w:r>
      </w:hyperlink>
      <w:r w:rsidR="00301B95" w:rsidRPr="00B1515C">
        <w:t xml:space="preserve"> website</w:t>
      </w:r>
      <w:r w:rsidR="00A078F6">
        <w:t>.</w:t>
      </w:r>
    </w:p>
  </w:footnote>
  <w:footnote w:id="96">
    <w:p w14:paraId="71559440" w14:textId="3D6E6014"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8B1C97">
        <w:rPr>
          <w:rStyle w:val="Emphasis"/>
        </w:rPr>
        <w:t xml:space="preserve">DLT and Blockchain </w:t>
      </w:r>
      <w:r w:rsidR="00DC043E" w:rsidRPr="00B1515C">
        <w:t xml:space="preserve">(n 1) </w:t>
      </w:r>
      <w:r w:rsidR="00301B95" w:rsidRPr="00B1515C">
        <w:t>3.</w:t>
      </w:r>
    </w:p>
  </w:footnote>
  <w:footnote w:id="97">
    <w:p w14:paraId="7B254CC3" w14:textId="1F44E353"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World Bank</w:t>
      </w:r>
      <w:r w:rsidR="00DC043E" w:rsidRPr="007C26E8">
        <w:t xml:space="preserve">, </w:t>
      </w:r>
      <w:r w:rsidR="00DC043E" w:rsidRPr="008B1C97">
        <w:rPr>
          <w:rStyle w:val="Emphasis"/>
        </w:rPr>
        <w:t xml:space="preserve">DLT and Blockchain </w:t>
      </w:r>
      <w:r w:rsidR="00DC043E" w:rsidRPr="00B1515C">
        <w:t xml:space="preserve">(n 1) </w:t>
      </w:r>
      <w:r w:rsidR="00301B95" w:rsidRPr="00B1515C">
        <w:t>3.</w:t>
      </w:r>
    </w:p>
  </w:footnote>
  <w:footnote w:id="98">
    <w:p w14:paraId="0DF18CA1" w14:textId="02DD1434" w:rsidR="007018A7" w:rsidRPr="00B1515C" w:rsidRDefault="00815763" w:rsidP="00A01254">
      <w:pPr>
        <w:pStyle w:val="FootnoteText"/>
      </w:pPr>
      <w:r w:rsidRPr="00815763">
        <w:rPr>
          <w:rStyle w:val="FootnoteReference"/>
          <w:vertAlign w:val="baseline"/>
        </w:rPr>
        <w:footnoteRef/>
      </w:r>
      <w:r w:rsidR="007018A7" w:rsidRPr="00B1515C">
        <w:t xml:space="preserve"> </w:t>
      </w:r>
      <w:r w:rsidR="00FE31B9" w:rsidRPr="00B1515C">
        <w:tab/>
      </w:r>
      <w:r w:rsidR="007018A7" w:rsidRPr="00B1515C">
        <w:t xml:space="preserve">Jake Frankenfield, </w:t>
      </w:r>
      <w:r w:rsidR="00F75232">
        <w:t>‘</w:t>
      </w:r>
      <w:hyperlink r:id="rId56" w:history="1">
        <w:r w:rsidR="007018A7" w:rsidRPr="00A078F6">
          <w:rPr>
            <w:rStyle w:val="Hyperlink"/>
          </w:rPr>
          <w:t>Satoshi in Bitcoin Explained: What It Is and How Much It is Worth</w:t>
        </w:r>
      </w:hyperlink>
      <w:r w:rsidR="00F75232">
        <w:t>’</w:t>
      </w:r>
      <w:r w:rsidR="007018A7" w:rsidRPr="00B1515C">
        <w:t xml:space="preserve">, </w:t>
      </w:r>
      <w:r w:rsidR="007018A7" w:rsidRPr="008B1C97">
        <w:rPr>
          <w:rStyle w:val="Emphasis"/>
        </w:rPr>
        <w:t>Investopedia</w:t>
      </w:r>
      <w:r w:rsidR="007018A7" w:rsidRPr="00B1515C">
        <w:t xml:space="preserve"> </w:t>
      </w:r>
      <w:r w:rsidR="009758BC" w:rsidRPr="00B1515C">
        <w:t xml:space="preserve">(Web Page, </w:t>
      </w:r>
      <w:r w:rsidR="007018A7" w:rsidRPr="00B1515C">
        <w:t>12</w:t>
      </w:r>
      <w:r w:rsidR="00CA7247">
        <w:t> </w:t>
      </w:r>
      <w:r w:rsidR="007018A7" w:rsidRPr="00B1515C">
        <w:t>February 2023</w:t>
      </w:r>
      <w:r w:rsidR="009758BC" w:rsidRPr="00B1515C">
        <w:t>)</w:t>
      </w:r>
      <w:r w:rsidR="00A078F6">
        <w:t>.</w:t>
      </w:r>
      <w:r w:rsidR="00075301" w:rsidRPr="00B1515C">
        <w:t xml:space="preserve"> </w:t>
      </w:r>
    </w:p>
  </w:footnote>
  <w:footnote w:id="99">
    <w:p w14:paraId="0715A520" w14:textId="42E2728E" w:rsidR="00002828" w:rsidRPr="00B1515C" w:rsidRDefault="00815763" w:rsidP="00A01254">
      <w:pPr>
        <w:pStyle w:val="FootnoteText"/>
      </w:pPr>
      <w:r w:rsidRPr="00815763">
        <w:rPr>
          <w:rStyle w:val="FootnoteReference"/>
          <w:vertAlign w:val="baseline"/>
        </w:rPr>
        <w:footnoteRef/>
      </w:r>
      <w:r w:rsidR="00002828" w:rsidRPr="00B1515C">
        <w:t xml:space="preserve"> </w:t>
      </w:r>
      <w:r w:rsidR="00991EBC" w:rsidRPr="00B1515C">
        <w:tab/>
      </w:r>
      <w:r w:rsidR="00701F5E" w:rsidRPr="00B1515C">
        <w:t xml:space="preserve">Wharton Blockchain, </w:t>
      </w:r>
      <w:r w:rsidR="00701F5E" w:rsidRPr="008B1C97">
        <w:rPr>
          <w:rStyle w:val="Emphasis"/>
        </w:rPr>
        <w:t>DeFi Beyond the Hype</w:t>
      </w:r>
      <w:r w:rsidR="00701F5E" w:rsidRPr="00B1515C">
        <w:t xml:space="preserve"> </w:t>
      </w:r>
      <w:r w:rsidR="001609BE" w:rsidRPr="00B1515C">
        <w:t>(n 12)</w:t>
      </w:r>
      <w:r w:rsidR="00701F5E" w:rsidRPr="00B1515C">
        <w:t xml:space="preserve"> </w:t>
      </w:r>
      <w:r w:rsidR="00002828" w:rsidRPr="00B1515C">
        <w:t>3.</w:t>
      </w:r>
    </w:p>
  </w:footnote>
  <w:footnote w:id="100">
    <w:p w14:paraId="3429B6F6" w14:textId="3C936DC3" w:rsidR="00791DFE" w:rsidRPr="00B1515C" w:rsidRDefault="00815763" w:rsidP="00A01254">
      <w:pPr>
        <w:pStyle w:val="FootnoteText"/>
      </w:pPr>
      <w:r w:rsidRPr="00815763">
        <w:rPr>
          <w:rStyle w:val="FootnoteReference"/>
          <w:vertAlign w:val="baseline"/>
        </w:rPr>
        <w:footnoteRef/>
      </w:r>
      <w:r w:rsidR="00791DFE" w:rsidRPr="00B1515C">
        <w:t xml:space="preserve"> </w:t>
      </w:r>
      <w:r w:rsidR="00FE31B9" w:rsidRPr="00B1515C">
        <w:tab/>
      </w:r>
      <w:r w:rsidR="00DC043E" w:rsidRPr="00B1515C">
        <w:t>The Treasury</w:t>
      </w:r>
      <w:r w:rsidR="00DC043E" w:rsidRPr="007C26E8">
        <w:t xml:space="preserve">, </w:t>
      </w:r>
      <w:r w:rsidR="00DC043E" w:rsidRPr="008B1C97">
        <w:rPr>
          <w:rStyle w:val="Emphasis"/>
        </w:rPr>
        <w:t xml:space="preserve">Token Mapping Consultation Paper </w:t>
      </w:r>
      <w:r w:rsidR="00DC043E" w:rsidRPr="00B1515C">
        <w:t xml:space="preserve">(n 4) </w:t>
      </w:r>
      <w:r w:rsidR="002E3515" w:rsidRPr="00B1515C">
        <w:t>14, [35].</w:t>
      </w:r>
    </w:p>
  </w:footnote>
  <w:footnote w:id="101">
    <w:p w14:paraId="33E90324" w14:textId="2B51BDB5" w:rsidR="00BF0557" w:rsidRPr="00B1515C" w:rsidRDefault="00815763" w:rsidP="00A01254">
      <w:pPr>
        <w:pStyle w:val="FootnoteText"/>
      </w:pPr>
      <w:r w:rsidRPr="00815763">
        <w:rPr>
          <w:rStyle w:val="FootnoteReference"/>
          <w:vertAlign w:val="baseline"/>
        </w:rPr>
        <w:footnoteRef/>
      </w:r>
      <w:r w:rsidR="00BF0557" w:rsidRPr="00B1515C">
        <w:t xml:space="preserve"> </w:t>
      </w:r>
      <w:r w:rsidR="00FE31B9" w:rsidRPr="00B1515C">
        <w:tab/>
      </w:r>
      <w:r w:rsidR="00E678E2" w:rsidRPr="00B1515C">
        <w:t xml:space="preserve">Although not all smart contracts maintain anonymity – </w:t>
      </w:r>
      <w:r w:rsidR="00BF0557" w:rsidRPr="00B1515C">
        <w:t xml:space="preserve">for instance, </w:t>
      </w:r>
      <w:r w:rsidR="0082327A" w:rsidRPr="00B1515C">
        <w:t xml:space="preserve">a smart contract </w:t>
      </w:r>
      <w:r w:rsidR="0038017A" w:rsidRPr="00B1515C">
        <w:t xml:space="preserve">code </w:t>
      </w:r>
      <w:r w:rsidR="0082327A" w:rsidRPr="00B1515C">
        <w:t xml:space="preserve">might require a </w:t>
      </w:r>
      <w:r w:rsidR="00F75232">
        <w:t>‘</w:t>
      </w:r>
      <w:r w:rsidR="0082327A" w:rsidRPr="00B1515C">
        <w:t xml:space="preserve">know your </w:t>
      </w:r>
      <w:r w:rsidR="0038017A" w:rsidRPr="00B1515C">
        <w:t>client</w:t>
      </w:r>
      <w:r w:rsidR="00F75232">
        <w:t>’</w:t>
      </w:r>
      <w:r w:rsidR="0082327A" w:rsidRPr="00B1515C">
        <w:t xml:space="preserve"> </w:t>
      </w:r>
      <w:r w:rsidR="0082327A" w:rsidRPr="00CA7247">
        <w:t>token</w:t>
      </w:r>
      <w:r w:rsidR="0082327A" w:rsidRPr="00B1515C">
        <w:t xml:space="preserve"> of some kind.</w:t>
      </w:r>
    </w:p>
  </w:footnote>
  <w:footnote w:id="102">
    <w:p w14:paraId="0780E608" w14:textId="140290AE" w:rsidR="00A96BD6" w:rsidRPr="00B1515C" w:rsidRDefault="00815763" w:rsidP="00A01254">
      <w:pPr>
        <w:pStyle w:val="FootnoteText"/>
      </w:pPr>
      <w:r w:rsidRPr="00815763">
        <w:rPr>
          <w:rStyle w:val="FootnoteReference"/>
          <w:vertAlign w:val="baseline"/>
        </w:rPr>
        <w:footnoteRef/>
      </w:r>
      <w:r w:rsidR="00A96BD6" w:rsidRPr="00B1515C">
        <w:t xml:space="preserve"> </w:t>
      </w:r>
      <w:r w:rsidR="00FE31B9" w:rsidRPr="00B1515C">
        <w:tab/>
      </w:r>
      <w:r w:rsidR="00A96BD6" w:rsidRPr="00B1515C">
        <w:t xml:space="preserve">Whilst the Bitcoin blockchain does enable </w:t>
      </w:r>
      <w:r w:rsidR="00F75232">
        <w:t>‘</w:t>
      </w:r>
      <w:r w:rsidR="00A96BD6" w:rsidRPr="00B1515C">
        <w:t>smart contracts</w:t>
      </w:r>
      <w:r w:rsidR="00F75232">
        <w:t>’</w:t>
      </w:r>
      <w:r w:rsidR="00A96BD6" w:rsidRPr="00B1515C">
        <w:t xml:space="preserve">, they do not operate in the same way and have relatively limited functionalities: Mohammad Musharraf, </w:t>
      </w:r>
      <w:r w:rsidR="00F75232">
        <w:t>‘</w:t>
      </w:r>
      <w:hyperlink r:id="rId57" w:history="1">
        <w:r w:rsidR="00A96BD6" w:rsidRPr="00A078F6">
          <w:rPr>
            <w:rStyle w:val="Hyperlink"/>
          </w:rPr>
          <w:t>Bitcoin Smart Contracts and Apps: Do they even exist?</w:t>
        </w:r>
      </w:hyperlink>
      <w:r w:rsidR="00F75232">
        <w:t>’</w:t>
      </w:r>
      <w:r w:rsidR="00A96BD6" w:rsidRPr="00B1515C">
        <w:t>,</w:t>
      </w:r>
      <w:r w:rsidR="007A30ED" w:rsidRPr="00B1515C">
        <w:t xml:space="preserve"> </w:t>
      </w:r>
      <w:r w:rsidR="007A30ED" w:rsidRPr="008B1C97">
        <w:rPr>
          <w:rStyle w:val="Emphasis"/>
        </w:rPr>
        <w:t>Ledger Academy</w:t>
      </w:r>
      <w:r w:rsidR="00A96BD6" w:rsidRPr="00B1515C">
        <w:t xml:space="preserve"> </w:t>
      </w:r>
      <w:r w:rsidR="007A30ED" w:rsidRPr="00B1515C">
        <w:t>(Web Page</w:t>
      </w:r>
      <w:r w:rsidR="001B3E4D" w:rsidRPr="00B1515C">
        <w:t>,</w:t>
      </w:r>
      <w:r w:rsidR="007A30ED" w:rsidRPr="00B1515C">
        <w:t xml:space="preserve"> </w:t>
      </w:r>
      <w:r w:rsidR="00A96BD6" w:rsidRPr="00B1515C">
        <w:t>23 November 2023</w:t>
      </w:r>
      <w:r w:rsidR="007A30ED" w:rsidRPr="00B1515C">
        <w:t>)</w:t>
      </w:r>
      <w:r w:rsidR="00A078F6">
        <w:t>.</w:t>
      </w:r>
    </w:p>
  </w:footnote>
  <w:footnote w:id="103">
    <w:p w14:paraId="7CA810D6" w14:textId="2E851E26" w:rsidR="009868C2" w:rsidRPr="00B1515C" w:rsidRDefault="00815763" w:rsidP="00A01254">
      <w:pPr>
        <w:pStyle w:val="FootnoteText"/>
      </w:pPr>
      <w:r w:rsidRPr="00815763">
        <w:rPr>
          <w:rStyle w:val="FootnoteReference"/>
          <w:vertAlign w:val="baseline"/>
        </w:rPr>
        <w:footnoteRef/>
      </w:r>
      <w:r w:rsidR="009868C2" w:rsidRPr="00B1515C">
        <w:t xml:space="preserve"> </w:t>
      </w:r>
      <w:r w:rsidR="00FE31B9" w:rsidRPr="00B1515C">
        <w:tab/>
      </w:r>
      <w:r w:rsidR="009868C2" w:rsidRPr="00B1515C">
        <w:t xml:space="preserve">Thomas Stackpole, </w:t>
      </w:r>
      <w:r w:rsidR="00F75232">
        <w:t>‘</w:t>
      </w:r>
      <w:hyperlink r:id="rId58" w:history="1">
        <w:r w:rsidR="009868C2" w:rsidRPr="004B77DE">
          <w:rPr>
            <w:rStyle w:val="Hyperlink"/>
          </w:rPr>
          <w:t>What is Web3</w:t>
        </w:r>
        <w:r w:rsidR="00287F8E" w:rsidRPr="004B77DE">
          <w:rPr>
            <w:rStyle w:val="Hyperlink"/>
          </w:rPr>
          <w:t>?</w:t>
        </w:r>
      </w:hyperlink>
      <w:r w:rsidR="00F75232">
        <w:t>’</w:t>
      </w:r>
      <w:r w:rsidR="009868C2" w:rsidRPr="00B1515C">
        <w:t>,</w:t>
      </w:r>
      <w:r w:rsidR="00B94C74" w:rsidRPr="00B1515C">
        <w:t xml:space="preserve"> </w:t>
      </w:r>
      <w:r w:rsidR="00B94C74" w:rsidRPr="008B1C97">
        <w:rPr>
          <w:rStyle w:val="Emphasis"/>
        </w:rPr>
        <w:t>Harvard Business Review</w:t>
      </w:r>
      <w:r w:rsidR="009868C2" w:rsidRPr="00B1515C">
        <w:t xml:space="preserve"> </w:t>
      </w:r>
      <w:r w:rsidR="00F77DB9" w:rsidRPr="00B1515C">
        <w:t xml:space="preserve">(Web Page, </w:t>
      </w:r>
      <w:r w:rsidR="009868C2" w:rsidRPr="00B1515C">
        <w:t>10 May 2022</w:t>
      </w:r>
      <w:r w:rsidR="00F77DB9" w:rsidRPr="00B1515C">
        <w:t>)</w:t>
      </w:r>
      <w:r w:rsidR="004B77DE">
        <w:t>.</w:t>
      </w:r>
    </w:p>
  </w:footnote>
  <w:footnote w:id="104">
    <w:p w14:paraId="3CE586C8" w14:textId="5F0189A2" w:rsidR="00FC6074" w:rsidRPr="00B1515C" w:rsidRDefault="00815763" w:rsidP="00A01254">
      <w:pPr>
        <w:pStyle w:val="FootnoteText"/>
      </w:pPr>
      <w:r w:rsidRPr="00815763">
        <w:rPr>
          <w:rStyle w:val="FootnoteReference"/>
          <w:vertAlign w:val="baseline"/>
        </w:rPr>
        <w:footnoteRef/>
      </w:r>
      <w:r w:rsidR="00FC6074" w:rsidRPr="00B1515C">
        <w:t xml:space="preserve"> </w:t>
      </w:r>
      <w:r w:rsidR="00FE31B9" w:rsidRPr="00B1515C">
        <w:tab/>
      </w:r>
      <w:r w:rsidR="00F650C5" w:rsidRPr="00B1515C">
        <w:t>A crypto token is controlled by a person via transactions signed with the private key corresponding to the public address to which the token is assigned.</w:t>
      </w:r>
    </w:p>
  </w:footnote>
  <w:footnote w:id="105">
    <w:p w14:paraId="25D286E3" w14:textId="29674AC0"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The Treasury</w:t>
      </w:r>
      <w:r w:rsidR="00DC043E" w:rsidRPr="008B1C97">
        <w:rPr>
          <w:rStyle w:val="Emphasis"/>
        </w:rPr>
        <w:t xml:space="preserve">, Token Mapping Consultation Paper </w:t>
      </w:r>
      <w:r w:rsidR="00DC043E" w:rsidRPr="00B1515C">
        <w:t xml:space="preserve">(n 4) </w:t>
      </w:r>
      <w:r w:rsidR="00301B95" w:rsidRPr="00B1515C">
        <w:t>13, [33]</w:t>
      </w:r>
      <w:r w:rsidR="00F75232">
        <w:t>-</w:t>
      </w:r>
      <w:r w:rsidR="00301B95" w:rsidRPr="00B1515C">
        <w:t>[34].</w:t>
      </w:r>
    </w:p>
  </w:footnote>
  <w:footnote w:id="106">
    <w:p w14:paraId="7DCC626D" w14:textId="53E05B3D" w:rsidR="0091448E" w:rsidRPr="00B1515C" w:rsidRDefault="00815763" w:rsidP="00A01254">
      <w:pPr>
        <w:pStyle w:val="FootnoteText"/>
      </w:pPr>
      <w:r w:rsidRPr="00815763">
        <w:rPr>
          <w:rStyle w:val="FootnoteReference"/>
          <w:vertAlign w:val="baseline"/>
        </w:rPr>
        <w:footnoteRef/>
      </w:r>
      <w:r w:rsidR="0091448E" w:rsidRPr="00B1515C">
        <w:t xml:space="preserve"> </w:t>
      </w:r>
      <w:r w:rsidR="00FE31B9" w:rsidRPr="00B1515C">
        <w:tab/>
      </w:r>
      <w:r w:rsidR="00F35EB5" w:rsidRPr="00B1515C">
        <w:t xml:space="preserve">Allen, DWE, Berg, C, Lane, A, </w:t>
      </w:r>
      <w:r w:rsidR="00F75232">
        <w:t>‘</w:t>
      </w:r>
      <w:hyperlink r:id="rId59" w:history="1">
        <w:r w:rsidR="00F35EB5" w:rsidRPr="004B77DE">
          <w:rPr>
            <w:rStyle w:val="Hyperlink"/>
          </w:rPr>
          <w:t>Why Airdrop Cryptocurrency Tokens?</w:t>
        </w:r>
      </w:hyperlink>
      <w:r w:rsidR="00F75232">
        <w:t>’</w:t>
      </w:r>
      <w:r w:rsidR="00F35EB5" w:rsidRPr="00B1515C">
        <w:t xml:space="preserve"> (2022, revised 2023) </w:t>
      </w:r>
      <w:r w:rsidR="00F35EB5" w:rsidRPr="008B1C97">
        <w:rPr>
          <w:rStyle w:val="Emphasis"/>
        </w:rPr>
        <w:t>Journal of Business Research</w:t>
      </w:r>
      <w:r w:rsidR="00F35EB5" w:rsidRPr="00B1515C">
        <w:t xml:space="preserve"> (forthcoming) 3 </w:t>
      </w:r>
      <w:r w:rsidR="00A720BB" w:rsidRPr="00B1515C">
        <w:t>(</w:t>
      </w:r>
      <w:r w:rsidR="00F75232">
        <w:t>‘</w:t>
      </w:r>
      <w:r w:rsidR="00A720BB" w:rsidRPr="00B1515C">
        <w:t>Allen, Berg and Lane (2023)</w:t>
      </w:r>
      <w:r w:rsidR="00F75232">
        <w:t>’</w:t>
      </w:r>
      <w:r w:rsidR="00A720BB" w:rsidRPr="00B1515C">
        <w:t>)</w:t>
      </w:r>
      <w:r w:rsidR="0091448E" w:rsidRPr="00B1515C">
        <w:t xml:space="preserve"> citing </w:t>
      </w:r>
      <w:r w:rsidR="007E51BA" w:rsidRPr="00B1515C">
        <w:t xml:space="preserve">Voshmgir, Shermin, 2020, </w:t>
      </w:r>
      <w:r w:rsidR="00F75232">
        <w:t>‘</w:t>
      </w:r>
      <w:r w:rsidR="007E51BA" w:rsidRPr="00B1515C">
        <w:t>Token Economy: How the Web3 Reinvents the Internet</w:t>
      </w:r>
      <w:r w:rsidR="00F75232">
        <w:t>’</w:t>
      </w:r>
      <w:r w:rsidR="007E51BA" w:rsidRPr="00B1515C">
        <w:t>, Token Kitchen.</w:t>
      </w:r>
    </w:p>
  </w:footnote>
  <w:footnote w:id="107">
    <w:p w14:paraId="17A29B4E" w14:textId="15F02665" w:rsidR="000563E1" w:rsidRPr="00B1515C" w:rsidRDefault="00815763" w:rsidP="00A01254">
      <w:pPr>
        <w:pStyle w:val="FootnoteText"/>
      </w:pPr>
      <w:r w:rsidRPr="00815763">
        <w:rPr>
          <w:rStyle w:val="FootnoteReference"/>
          <w:vertAlign w:val="baseline"/>
        </w:rPr>
        <w:footnoteRef/>
      </w:r>
      <w:r w:rsidR="000563E1" w:rsidRPr="00B1515C">
        <w:t xml:space="preserve"> </w:t>
      </w:r>
      <w:r w:rsidR="00FE31B9" w:rsidRPr="00B1515C">
        <w:tab/>
      </w:r>
      <w:r w:rsidR="000563E1" w:rsidRPr="00B1515C">
        <w:t>Allen, Berg and Lane (2023</w:t>
      </w:r>
      <w:r w:rsidR="00A720BB" w:rsidRPr="00B1515C">
        <w:t xml:space="preserve">) </w:t>
      </w:r>
      <w:r w:rsidR="001609BE" w:rsidRPr="00B1515C">
        <w:t>(n 105)</w:t>
      </w:r>
      <w:r w:rsidR="00A720BB" w:rsidRPr="00B1515C">
        <w:t>.</w:t>
      </w:r>
    </w:p>
  </w:footnote>
  <w:footnote w:id="108">
    <w:p w14:paraId="739CB935" w14:textId="5059C61E" w:rsidR="00BC5C9D" w:rsidRPr="00B1515C" w:rsidRDefault="00815763" w:rsidP="00A01254">
      <w:pPr>
        <w:pStyle w:val="FootnoteText"/>
      </w:pPr>
      <w:r w:rsidRPr="00815763">
        <w:rPr>
          <w:rStyle w:val="FootnoteReference"/>
          <w:vertAlign w:val="baseline"/>
        </w:rPr>
        <w:footnoteRef/>
      </w:r>
      <w:r w:rsidR="00BC5C9D" w:rsidRPr="00B1515C">
        <w:t xml:space="preserve"> </w:t>
      </w:r>
      <w:r w:rsidR="00FE31B9" w:rsidRPr="00B1515C">
        <w:tab/>
      </w:r>
      <w:r w:rsidR="00E054E8" w:rsidRPr="00B1515C">
        <w:t>A</w:t>
      </w:r>
      <w:r w:rsidR="008C5597" w:rsidRPr="00B1515C">
        <w:t xml:space="preserve">lthough </w:t>
      </w:r>
      <w:r w:rsidR="00E054E8" w:rsidRPr="00B1515C">
        <w:t>a</w:t>
      </w:r>
      <w:r w:rsidR="00BC5C9D" w:rsidRPr="00B1515C">
        <w:t>s stated above they have zero intrinsic value because they are not backed by any underlying asset and they do not represent a liability on any institution</w:t>
      </w:r>
      <w:r w:rsidR="000B1750" w:rsidRPr="00B1515C">
        <w:t>.</w:t>
      </w:r>
    </w:p>
  </w:footnote>
  <w:footnote w:id="109">
    <w:p w14:paraId="188D7A2D" w14:textId="1A796014"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C043E" w:rsidRPr="00B1515C">
        <w:t>The Treasury</w:t>
      </w:r>
      <w:r w:rsidR="00DC043E" w:rsidRPr="00BC3190">
        <w:t xml:space="preserve">, </w:t>
      </w:r>
      <w:r w:rsidR="00DC043E" w:rsidRPr="008B1C97">
        <w:rPr>
          <w:rStyle w:val="Emphasis"/>
        </w:rPr>
        <w:t xml:space="preserve">Token Mapping Consultation Paper </w:t>
      </w:r>
      <w:r w:rsidR="00DC043E" w:rsidRPr="00B1515C">
        <w:t xml:space="preserve">(n 4) </w:t>
      </w:r>
      <w:r w:rsidR="00301B95" w:rsidRPr="00B1515C">
        <w:t>55.</w:t>
      </w:r>
    </w:p>
  </w:footnote>
  <w:footnote w:id="110">
    <w:p w14:paraId="0694BD4F" w14:textId="0BAFD4B0"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301B95" w:rsidRPr="008B1C97">
        <w:rPr>
          <w:rStyle w:val="Emphasis"/>
        </w:rPr>
        <w:t xml:space="preserve">Senate </w:t>
      </w:r>
      <w:r w:rsidR="00633F35" w:rsidRPr="008B1C97">
        <w:rPr>
          <w:rStyle w:val="Emphasis"/>
        </w:rPr>
        <w:t xml:space="preserve">Select </w:t>
      </w:r>
      <w:r w:rsidR="00301B95" w:rsidRPr="008B1C97">
        <w:rPr>
          <w:rStyle w:val="Emphasis"/>
        </w:rPr>
        <w:t xml:space="preserve">Committee </w:t>
      </w:r>
      <w:r w:rsidR="00633F35" w:rsidRPr="008B1C97">
        <w:rPr>
          <w:rStyle w:val="Emphasis"/>
        </w:rPr>
        <w:t>Report</w:t>
      </w:r>
      <w:r w:rsidR="00633F35" w:rsidRPr="00B1515C">
        <w:t xml:space="preserve"> </w:t>
      </w:r>
      <w:r w:rsidR="001609BE" w:rsidRPr="00B1515C">
        <w:t>(n 9)</w:t>
      </w:r>
      <w:r w:rsidR="004804C3" w:rsidRPr="00B1515C">
        <w:t xml:space="preserve"> </w:t>
      </w:r>
      <w:r w:rsidR="00301B95" w:rsidRPr="00B1515C">
        <w:t>7, [2.20</w:t>
      </w:r>
      <w:r w:rsidR="00AF41F4" w:rsidRPr="00B1515C">
        <w:t>]</w:t>
      </w:r>
      <w:r w:rsidR="00301B95" w:rsidRPr="00B1515C">
        <w:t>, quoting FinTech Australia.</w:t>
      </w:r>
    </w:p>
  </w:footnote>
  <w:footnote w:id="111">
    <w:p w14:paraId="4B0085C0" w14:textId="3BFEE98F" w:rsidR="006D235C" w:rsidRPr="00B1515C" w:rsidRDefault="00815763" w:rsidP="00A01254">
      <w:pPr>
        <w:pStyle w:val="FootnoteText"/>
      </w:pPr>
      <w:r w:rsidRPr="00815763">
        <w:rPr>
          <w:rStyle w:val="FootnoteReference"/>
          <w:vertAlign w:val="baseline"/>
        </w:rPr>
        <w:footnoteRef/>
      </w:r>
      <w:r w:rsidR="006D235C" w:rsidRPr="00B1515C">
        <w:t xml:space="preserve"> </w:t>
      </w:r>
      <w:r w:rsidR="00FE31B9" w:rsidRPr="00B1515C">
        <w:tab/>
      </w:r>
      <w:r w:rsidR="004804C3" w:rsidRPr="008B1C97">
        <w:rPr>
          <w:rStyle w:val="Emphasis"/>
        </w:rPr>
        <w:t>Senate Select Committee Report</w:t>
      </w:r>
      <w:r w:rsidR="004804C3" w:rsidRPr="00B1515C">
        <w:t xml:space="preserve"> </w:t>
      </w:r>
      <w:r w:rsidR="001609BE" w:rsidRPr="00B1515C">
        <w:t>(n 9)</w:t>
      </w:r>
      <w:r w:rsidR="004804C3" w:rsidRPr="00B1515C">
        <w:t xml:space="preserve"> </w:t>
      </w:r>
      <w:r w:rsidR="006D235C" w:rsidRPr="00B1515C">
        <w:t>5, [2.14].</w:t>
      </w:r>
    </w:p>
  </w:footnote>
  <w:footnote w:id="112">
    <w:p w14:paraId="76AC71AC" w14:textId="286A3D2B" w:rsidR="00DE486F" w:rsidRPr="00B1515C" w:rsidRDefault="00815763" w:rsidP="00A01254">
      <w:pPr>
        <w:pStyle w:val="FootnoteText"/>
      </w:pPr>
      <w:r w:rsidRPr="00815763">
        <w:rPr>
          <w:rStyle w:val="FootnoteReference"/>
          <w:vertAlign w:val="baseline"/>
        </w:rPr>
        <w:footnoteRef/>
      </w:r>
      <w:r w:rsidR="00DE486F" w:rsidRPr="00B1515C">
        <w:t xml:space="preserve"> </w:t>
      </w:r>
      <w:r w:rsidR="00FE31B9" w:rsidRPr="00B1515C">
        <w:tab/>
      </w:r>
      <w:r w:rsidR="00F75232">
        <w:t>‘</w:t>
      </w:r>
      <w:hyperlink r:id="rId60" w:history="1">
        <w:r w:rsidR="0059092D" w:rsidRPr="00B275A6">
          <w:rPr>
            <w:rStyle w:val="Hyperlink"/>
          </w:rPr>
          <w:t>Introduction to Ethereum governance</w:t>
        </w:r>
      </w:hyperlink>
      <w:r w:rsidR="00F75232">
        <w:t>’</w:t>
      </w:r>
      <w:r w:rsidR="0059092D" w:rsidRPr="00B1515C">
        <w:t xml:space="preserve">, </w:t>
      </w:r>
      <w:r w:rsidR="0059092D" w:rsidRPr="008B1C97">
        <w:rPr>
          <w:rStyle w:val="Emphasis"/>
        </w:rPr>
        <w:t>Ethereum</w:t>
      </w:r>
      <w:r w:rsidR="0059092D" w:rsidRPr="00B1515C">
        <w:t xml:space="preserve"> (Web Page, 16 August 2023)</w:t>
      </w:r>
      <w:r w:rsidR="00B275A6">
        <w:t>.</w:t>
      </w:r>
      <w:r w:rsidR="0013321B" w:rsidRPr="00B1515C">
        <w:t xml:space="preserve"> </w:t>
      </w:r>
    </w:p>
  </w:footnote>
  <w:footnote w:id="113">
    <w:p w14:paraId="6DDF5DEF" w14:textId="29E83542" w:rsidR="00816CFE" w:rsidRPr="00B1515C" w:rsidRDefault="00815763" w:rsidP="00A01254">
      <w:pPr>
        <w:pStyle w:val="FootnoteText"/>
      </w:pPr>
      <w:r w:rsidRPr="00815763">
        <w:rPr>
          <w:rStyle w:val="FootnoteReference"/>
          <w:vertAlign w:val="baseline"/>
        </w:rPr>
        <w:footnoteRef/>
      </w:r>
      <w:r w:rsidR="00816CFE" w:rsidRPr="00B1515C">
        <w:t xml:space="preserve"> </w:t>
      </w:r>
      <w:r w:rsidR="00FE31B9" w:rsidRPr="00B1515C">
        <w:tab/>
      </w:r>
      <w:r w:rsidR="001E7675" w:rsidRPr="00B1515C">
        <w:t>P</w:t>
      </w:r>
      <w:r w:rsidR="00016038" w:rsidRPr="00B1515C">
        <w:t>hilipp</w:t>
      </w:r>
      <w:r w:rsidR="001E7675" w:rsidRPr="00B1515C">
        <w:t xml:space="preserve"> Kothe, </w:t>
      </w:r>
      <w:r w:rsidR="00F75232">
        <w:t>‘</w:t>
      </w:r>
      <w:hyperlink r:id="rId61" w:history="1">
        <w:r w:rsidR="001E7675" w:rsidRPr="00B275A6">
          <w:rPr>
            <w:rStyle w:val="Hyperlink"/>
          </w:rPr>
          <w:t xml:space="preserve">Governance Tokens – The New Medium </w:t>
        </w:r>
        <w:r w:rsidR="00927F12" w:rsidRPr="00B275A6">
          <w:rPr>
            <w:rStyle w:val="Hyperlink"/>
          </w:rPr>
          <w:t xml:space="preserve">Of </w:t>
        </w:r>
        <w:r w:rsidR="001E7675" w:rsidRPr="00B275A6">
          <w:rPr>
            <w:rStyle w:val="Hyperlink"/>
          </w:rPr>
          <w:t>Power?</w:t>
        </w:r>
      </w:hyperlink>
      <w:r w:rsidR="00F75232">
        <w:t>’</w:t>
      </w:r>
      <w:r w:rsidR="00927F12" w:rsidRPr="00B1515C">
        <w:t xml:space="preserve">, </w:t>
      </w:r>
      <w:r w:rsidR="00927F12" w:rsidRPr="008B1C97">
        <w:rPr>
          <w:rStyle w:val="Emphasis"/>
        </w:rPr>
        <w:t>Datarella</w:t>
      </w:r>
      <w:r w:rsidR="001E7675" w:rsidRPr="00B1515C">
        <w:t xml:space="preserve"> (</w:t>
      </w:r>
      <w:r w:rsidR="00927F12" w:rsidRPr="00B1515C">
        <w:t xml:space="preserve">Web Page, 16 March </w:t>
      </w:r>
      <w:r w:rsidR="001E7675" w:rsidRPr="00B1515C">
        <w:t>2021)</w:t>
      </w:r>
      <w:r w:rsidR="000428E8" w:rsidRPr="00B1515C">
        <w:t xml:space="preserve">, cited in </w:t>
      </w:r>
      <w:r w:rsidR="003E541E" w:rsidRPr="00B1515C">
        <w:t xml:space="preserve">Law Commission, </w:t>
      </w:r>
      <w:r w:rsidR="003E541E" w:rsidRPr="008B1C97">
        <w:rPr>
          <w:rStyle w:val="Emphasis"/>
        </w:rPr>
        <w:t>Decentralised autonomous organisations (DAOs) Call for evidence</w:t>
      </w:r>
      <w:r w:rsidR="003E541E" w:rsidRPr="00B1515C">
        <w:t xml:space="preserve"> </w:t>
      </w:r>
      <w:r w:rsidR="00553C5C" w:rsidRPr="00B1515C">
        <w:t xml:space="preserve">(Call for Evidence, </w:t>
      </w:r>
      <w:r w:rsidR="003E541E" w:rsidRPr="00B1515C">
        <w:t>November</w:t>
      </w:r>
      <w:r w:rsidR="003A1C1D">
        <w:t> </w:t>
      </w:r>
      <w:r w:rsidR="003E541E" w:rsidRPr="00B1515C">
        <w:t>2022</w:t>
      </w:r>
      <w:r w:rsidR="00ED68F9" w:rsidRPr="00B1515C">
        <w:t>)</w:t>
      </w:r>
      <w:r w:rsidR="003E541E" w:rsidRPr="00B1515C">
        <w:t xml:space="preserve"> </w:t>
      </w:r>
      <w:r w:rsidR="00AA1CA2" w:rsidRPr="00B1515C">
        <w:t>fn 34</w:t>
      </w:r>
      <w:r w:rsidR="003E541E" w:rsidRPr="00B1515C">
        <w:t>.</w:t>
      </w:r>
    </w:p>
  </w:footnote>
  <w:footnote w:id="114">
    <w:p w14:paraId="494231CA" w14:textId="5A2BA6D6" w:rsidR="00A76799" w:rsidRPr="00B1515C" w:rsidRDefault="00815763" w:rsidP="00A01254">
      <w:pPr>
        <w:pStyle w:val="FootnoteText"/>
      </w:pPr>
      <w:r w:rsidRPr="00815763">
        <w:rPr>
          <w:rStyle w:val="FootnoteReference"/>
          <w:vertAlign w:val="baseline"/>
        </w:rPr>
        <w:footnoteRef/>
      </w:r>
      <w:r w:rsidR="00A76799" w:rsidRPr="00B1515C">
        <w:t xml:space="preserve"> </w:t>
      </w:r>
      <w:r w:rsidR="00FE31B9" w:rsidRPr="00B1515C">
        <w:tab/>
      </w:r>
      <w:r w:rsidR="005D1770" w:rsidRPr="00B1515C">
        <w:t xml:space="preserve">For example, the Human Rights Foundation administers a fund to support </w:t>
      </w:r>
      <w:r w:rsidR="00F75232">
        <w:t>‘</w:t>
      </w:r>
      <w:r w:rsidR="005D1770" w:rsidRPr="00B1515C">
        <w:t xml:space="preserve">software developers who are making the Bitcoin network more private, decentralized, and resilient so that it can better serve as a financial tool for human rights </w:t>
      </w:r>
      <w:r w:rsidR="00FD721A" w:rsidRPr="00B1515C">
        <w:t>activists</w:t>
      </w:r>
      <w:r w:rsidR="005D1770" w:rsidRPr="00B1515C">
        <w:t>, civil society organizations, and journalists around the world.</w:t>
      </w:r>
      <w:r w:rsidR="00F75232">
        <w:t>’</w:t>
      </w:r>
      <w:r w:rsidR="00D35658" w:rsidRPr="00B1515C">
        <w:t xml:space="preserve">: </w:t>
      </w:r>
      <w:r w:rsidR="00F75232">
        <w:t>‘</w:t>
      </w:r>
      <w:hyperlink r:id="rId62" w:history="1">
        <w:r w:rsidR="004C389A" w:rsidRPr="005733BC">
          <w:rPr>
            <w:rStyle w:val="Hyperlink"/>
          </w:rPr>
          <w:t>The Bitcoin Development Fund</w:t>
        </w:r>
        <w:r w:rsidR="00F75232" w:rsidRPr="005733BC">
          <w:t>’</w:t>
        </w:r>
      </w:hyperlink>
      <w:r w:rsidR="004C389A" w:rsidRPr="00B1515C">
        <w:t xml:space="preserve">, </w:t>
      </w:r>
      <w:r w:rsidR="004C389A" w:rsidRPr="008B1C97">
        <w:rPr>
          <w:rStyle w:val="Emphasis"/>
        </w:rPr>
        <w:t>Human Rights Foundation</w:t>
      </w:r>
      <w:r w:rsidR="004C389A" w:rsidRPr="00B1515C">
        <w:t xml:space="preserve"> (Web Page,</w:t>
      </w:r>
      <w:r w:rsidR="003E1C59" w:rsidRPr="00B1515C">
        <w:t xml:space="preserve"> accessed 27 January 2024)</w:t>
      </w:r>
      <w:r w:rsidR="00516ACC" w:rsidRPr="00B1515C">
        <w:t>; o</w:t>
      </w:r>
      <w:r w:rsidR="00F25EA0" w:rsidRPr="00B1515C">
        <w:t>n 29 September 2023, g</w:t>
      </w:r>
      <w:r w:rsidR="003C3CE8" w:rsidRPr="00B1515C">
        <w:t>lobal asset manager VanEck announced</w:t>
      </w:r>
      <w:r w:rsidR="00F25EA0" w:rsidRPr="00B1515C">
        <w:t xml:space="preserve"> its intention to </w:t>
      </w:r>
      <w:r w:rsidR="006537D1" w:rsidRPr="00B1515C">
        <w:t xml:space="preserve">donate 10% of profits from </w:t>
      </w:r>
      <w:r w:rsidR="00211EAE" w:rsidRPr="00B1515C">
        <w:t xml:space="preserve">its </w:t>
      </w:r>
      <w:r w:rsidR="00F75232">
        <w:t>‘</w:t>
      </w:r>
      <w:r w:rsidR="00211EAE" w:rsidRPr="00B1515C">
        <w:t>VanEck Ethereum Strategy ETF</w:t>
      </w:r>
      <w:r w:rsidR="00F75232">
        <w:t>’</w:t>
      </w:r>
      <w:r w:rsidR="003A6151" w:rsidRPr="00B1515C">
        <w:t xml:space="preserve"> </w:t>
      </w:r>
      <w:r w:rsidR="006537D1" w:rsidRPr="00B1515C">
        <w:t xml:space="preserve">to The Protocol Guild, </w:t>
      </w:r>
      <w:r w:rsidR="00516ACC" w:rsidRPr="00B1515C">
        <w:t>which supports Ethereum core developers</w:t>
      </w:r>
      <w:r w:rsidR="0081188D" w:rsidRPr="00B1515C">
        <w:t xml:space="preserve">: </w:t>
      </w:r>
      <w:r w:rsidR="00DB3614" w:rsidRPr="00B1515C">
        <w:t xml:space="preserve">VanEck </w:t>
      </w:r>
      <w:r w:rsidR="001830A6" w:rsidRPr="00B1515C">
        <w:t>(</w:t>
      </w:r>
      <w:hyperlink r:id="rId63" w:history="1">
        <w:r w:rsidR="00BF513C" w:rsidRPr="00680BDD">
          <w:rPr>
            <w:rStyle w:val="Hyperlink"/>
          </w:rPr>
          <w:t>X</w:t>
        </w:r>
      </w:hyperlink>
      <w:r w:rsidR="001830A6" w:rsidRPr="00B1515C">
        <w:t>, f</w:t>
      </w:r>
      <w:r w:rsidR="00BF513C" w:rsidRPr="00B1515C">
        <w:t>ormerly Twitter</w:t>
      </w:r>
      <w:r w:rsidR="001830A6" w:rsidRPr="00B1515C">
        <w:t xml:space="preserve">, </w:t>
      </w:r>
      <w:r w:rsidR="001C7EF8" w:rsidRPr="00B1515C">
        <w:t>30 September 2023, 8.41am AEDT</w:t>
      </w:r>
      <w:r w:rsidR="00BF513C" w:rsidRPr="00B1515C">
        <w:t>)</w:t>
      </w:r>
      <w:r w:rsidR="00680BDD">
        <w:t xml:space="preserve">; </w:t>
      </w:r>
      <w:r w:rsidR="0083622A">
        <w:t>‘</w:t>
      </w:r>
      <w:hyperlink r:id="rId64" w:history="1">
        <w:r w:rsidR="0083622A" w:rsidRPr="009100A7">
          <w:rPr>
            <w:rStyle w:val="Hyperlink"/>
          </w:rPr>
          <w:t>VanEck Ethereum Stra</w:t>
        </w:r>
        <w:r w:rsidR="009100A7" w:rsidRPr="009100A7">
          <w:rPr>
            <w:rStyle w:val="Hyperlink"/>
          </w:rPr>
          <w:t>tegy ETF</w:t>
        </w:r>
      </w:hyperlink>
      <w:r w:rsidR="009100A7">
        <w:t xml:space="preserve">’, </w:t>
      </w:r>
      <w:r w:rsidR="009100A7">
        <w:rPr>
          <w:i/>
          <w:iCs/>
        </w:rPr>
        <w:t xml:space="preserve">Van Eck </w:t>
      </w:r>
      <w:r w:rsidR="009100A7">
        <w:t xml:space="preserve">(Web Page, accessed 18 February 2024). </w:t>
      </w:r>
    </w:p>
  </w:footnote>
  <w:footnote w:id="115">
    <w:p w14:paraId="7AD436AC" w14:textId="475A1BA5" w:rsidR="00C443A0" w:rsidRPr="00B1515C" w:rsidRDefault="00815763" w:rsidP="00A01254">
      <w:pPr>
        <w:pStyle w:val="FootnoteText"/>
      </w:pPr>
      <w:r w:rsidRPr="00815763">
        <w:rPr>
          <w:rStyle w:val="FootnoteReference"/>
          <w:vertAlign w:val="baseline"/>
        </w:rPr>
        <w:footnoteRef/>
      </w:r>
      <w:r w:rsidR="00C443A0" w:rsidRPr="00B1515C">
        <w:t xml:space="preserve"> </w:t>
      </w:r>
      <w:r w:rsidR="00FE31B9" w:rsidRPr="00B1515C">
        <w:tab/>
      </w:r>
      <w:r w:rsidR="00F75232">
        <w:t>‘</w:t>
      </w:r>
      <w:hyperlink r:id="rId65" w:history="1">
        <w:r w:rsidR="004B17E1" w:rsidRPr="009100A7">
          <w:rPr>
            <w:rStyle w:val="Hyperlink"/>
          </w:rPr>
          <w:t>Introduction to Ethereum governance</w:t>
        </w:r>
      </w:hyperlink>
      <w:r w:rsidR="00F75232">
        <w:t>’</w:t>
      </w:r>
      <w:r w:rsidR="004B17E1" w:rsidRPr="00B1515C">
        <w:t xml:space="preserve">, </w:t>
      </w:r>
      <w:r w:rsidR="004B17E1" w:rsidRPr="008B1C97">
        <w:rPr>
          <w:rStyle w:val="Emphasis"/>
        </w:rPr>
        <w:t>Ethereum</w:t>
      </w:r>
      <w:r w:rsidR="004B17E1" w:rsidRPr="00B1515C">
        <w:t xml:space="preserve"> (Web Page, 16 August 2023)</w:t>
      </w:r>
      <w:r w:rsidR="009100A7">
        <w:t xml:space="preserve">; </w:t>
      </w:r>
      <w:r w:rsidR="00F75232">
        <w:t>‘</w:t>
      </w:r>
      <w:hyperlink r:id="rId66" w:history="1">
        <w:r w:rsidR="00E90D95" w:rsidRPr="009100A7">
          <w:rPr>
            <w:rStyle w:val="Hyperlink"/>
          </w:rPr>
          <w:t>What is Bitcoin governance</w:t>
        </w:r>
      </w:hyperlink>
      <w:r w:rsidR="00F75232">
        <w:t>’</w:t>
      </w:r>
      <w:r w:rsidR="00E90D95" w:rsidRPr="00B1515C">
        <w:t xml:space="preserve">, </w:t>
      </w:r>
      <w:r w:rsidR="00E90D95" w:rsidRPr="008B1C97">
        <w:rPr>
          <w:rStyle w:val="Emphasis"/>
        </w:rPr>
        <w:t xml:space="preserve">Bitcoin </w:t>
      </w:r>
      <w:r w:rsidR="00E90D95" w:rsidRPr="00B1515C">
        <w:t xml:space="preserve">(Web Page, </w:t>
      </w:r>
      <w:r w:rsidR="0009286B" w:rsidRPr="00B1515C">
        <w:t>accessed 27</w:t>
      </w:r>
      <w:r w:rsidR="00DF49CF">
        <w:t> </w:t>
      </w:r>
      <w:r w:rsidR="0009286B" w:rsidRPr="00B1515C">
        <w:t>January</w:t>
      </w:r>
      <w:r w:rsidR="00DF49CF">
        <w:t> </w:t>
      </w:r>
      <w:r w:rsidR="0009286B" w:rsidRPr="00B1515C">
        <w:t>2024)</w:t>
      </w:r>
      <w:r w:rsidR="009100A7">
        <w:t>.</w:t>
      </w:r>
      <w:r w:rsidR="00C443A0" w:rsidRPr="00B1515C">
        <w:t xml:space="preserve"> </w:t>
      </w:r>
    </w:p>
  </w:footnote>
  <w:footnote w:id="116">
    <w:p w14:paraId="666E7394" w14:textId="4661979B" w:rsidR="009C1B85" w:rsidRPr="00B1515C" w:rsidRDefault="00815763" w:rsidP="00A01254">
      <w:pPr>
        <w:pStyle w:val="FootnoteText"/>
      </w:pPr>
      <w:r w:rsidRPr="00815763">
        <w:rPr>
          <w:rStyle w:val="FootnoteReference"/>
          <w:vertAlign w:val="baseline"/>
        </w:rPr>
        <w:footnoteRef/>
      </w:r>
      <w:r w:rsidR="009C1B85" w:rsidRPr="00B1515C">
        <w:t xml:space="preserve"> </w:t>
      </w:r>
      <w:r w:rsidR="00FE31B9" w:rsidRPr="00B1515C">
        <w:tab/>
      </w:r>
      <w:r w:rsidR="00F75232">
        <w:t>‘</w:t>
      </w:r>
      <w:hyperlink r:id="rId67" w:history="1">
        <w:r w:rsidR="00EB6B94" w:rsidRPr="009100A7">
          <w:rPr>
            <w:rStyle w:val="Hyperlink"/>
          </w:rPr>
          <w:t>Introduction to Ethereum governance</w:t>
        </w:r>
      </w:hyperlink>
      <w:r w:rsidR="00F75232">
        <w:t>’</w:t>
      </w:r>
      <w:r w:rsidR="00EB6B94" w:rsidRPr="00B1515C">
        <w:t xml:space="preserve">, </w:t>
      </w:r>
      <w:r w:rsidR="00EB6B94" w:rsidRPr="008B1C97">
        <w:rPr>
          <w:rStyle w:val="Emphasis"/>
        </w:rPr>
        <w:t>Ethereum</w:t>
      </w:r>
      <w:r w:rsidR="00EB6B94" w:rsidRPr="00B1515C">
        <w:t xml:space="preserve"> (Web Page, 16 August 2023)</w:t>
      </w:r>
      <w:r w:rsidR="009100A7">
        <w:t xml:space="preserve">; </w:t>
      </w:r>
      <w:r w:rsidR="00F75232">
        <w:t>‘</w:t>
      </w:r>
      <w:hyperlink r:id="rId68" w:history="1">
        <w:r w:rsidR="00EB6B94" w:rsidRPr="009100A7">
          <w:rPr>
            <w:rStyle w:val="Hyperlink"/>
          </w:rPr>
          <w:t>What is Bitcoin governance</w:t>
        </w:r>
      </w:hyperlink>
      <w:r w:rsidR="00F75232">
        <w:t>’</w:t>
      </w:r>
      <w:r w:rsidR="00EB6B94" w:rsidRPr="00B1515C">
        <w:t xml:space="preserve">, </w:t>
      </w:r>
      <w:r w:rsidR="00EB6B94" w:rsidRPr="008B1C97">
        <w:rPr>
          <w:rStyle w:val="Emphasis"/>
        </w:rPr>
        <w:t xml:space="preserve">Bitcoin </w:t>
      </w:r>
      <w:r w:rsidR="00EB6B94" w:rsidRPr="00B1515C">
        <w:t>(Web Page, accessed 27</w:t>
      </w:r>
      <w:r w:rsidR="00DF49CF">
        <w:t> </w:t>
      </w:r>
      <w:r w:rsidR="00EB6B94" w:rsidRPr="00B1515C">
        <w:t>January</w:t>
      </w:r>
      <w:r w:rsidR="00DF49CF">
        <w:t> </w:t>
      </w:r>
      <w:r w:rsidR="00EB6B94" w:rsidRPr="00B1515C">
        <w:t>2024)</w:t>
      </w:r>
      <w:r w:rsidR="009100A7">
        <w:t>.</w:t>
      </w:r>
    </w:p>
  </w:footnote>
  <w:footnote w:id="117">
    <w:p w14:paraId="7D5283E4" w14:textId="2BB9325B" w:rsidR="00A05FC9" w:rsidRPr="00B1515C" w:rsidRDefault="00815763" w:rsidP="00A01254">
      <w:pPr>
        <w:pStyle w:val="FootnoteText"/>
      </w:pPr>
      <w:r w:rsidRPr="00815763">
        <w:rPr>
          <w:rStyle w:val="FootnoteReference"/>
          <w:vertAlign w:val="baseline"/>
        </w:rPr>
        <w:footnoteRef/>
      </w:r>
      <w:r w:rsidR="00A05FC9" w:rsidRPr="00B1515C">
        <w:t xml:space="preserve"> </w:t>
      </w:r>
      <w:r w:rsidR="00FE31B9" w:rsidRPr="00B1515C">
        <w:tab/>
      </w:r>
      <w:r w:rsidR="004E51AE" w:rsidRPr="008B1C97">
        <w:rPr>
          <w:rStyle w:val="Emphasis"/>
        </w:rPr>
        <w:t>T</w:t>
      </w:r>
      <w:r w:rsidR="00A05FC9" w:rsidRPr="008B1C97">
        <w:rPr>
          <w:rStyle w:val="Emphasis"/>
        </w:rPr>
        <w:t xml:space="preserve">ulip Trading Ltd (a Seychelles company) v Bitcoin Association for BSV and others </w:t>
      </w:r>
      <w:r w:rsidR="00A05FC9" w:rsidRPr="00B1515C">
        <w:t>[2023] EWCA Civ 83; 4 WLR 16, [29].</w:t>
      </w:r>
    </w:p>
  </w:footnote>
  <w:footnote w:id="118">
    <w:p w14:paraId="724B6610" w14:textId="2DAC7CF3" w:rsidR="009B1128" w:rsidRPr="00B1515C" w:rsidRDefault="00815763" w:rsidP="00A01254">
      <w:pPr>
        <w:pStyle w:val="FootnoteText"/>
      </w:pPr>
      <w:r w:rsidRPr="00815763">
        <w:rPr>
          <w:rStyle w:val="FootnoteReference"/>
          <w:vertAlign w:val="baseline"/>
        </w:rPr>
        <w:footnoteRef/>
      </w:r>
      <w:r w:rsidR="009B1128" w:rsidRPr="00B1515C">
        <w:t xml:space="preserve"> </w:t>
      </w:r>
      <w:r w:rsidR="00FE31B9" w:rsidRPr="00B1515C">
        <w:tab/>
      </w:r>
      <w:r w:rsidR="009B1128" w:rsidRPr="008B1C97">
        <w:rPr>
          <w:rStyle w:val="Emphasis"/>
        </w:rPr>
        <w:t xml:space="preserve">Tulip Trading Ltd v Bitcoin Association and others </w:t>
      </w:r>
      <w:r w:rsidR="009B1128" w:rsidRPr="00B1515C">
        <w:t>[2022] EWHC 667 (Ch)</w:t>
      </w:r>
      <w:r w:rsidR="00427DC6" w:rsidRPr="00B1515C">
        <w:t xml:space="preserve"> (</w:t>
      </w:r>
      <w:r w:rsidR="00D63810" w:rsidRPr="00B1515C">
        <w:t>Falk J</w:t>
      </w:r>
      <w:r w:rsidR="00ED68F9" w:rsidRPr="00B1515C">
        <w:t>)</w:t>
      </w:r>
      <w:r w:rsidR="009B1128" w:rsidRPr="00B1515C">
        <w:t xml:space="preserve"> </w:t>
      </w:r>
      <w:r w:rsidR="008E17E0" w:rsidRPr="00B1515C">
        <w:t>[34].</w:t>
      </w:r>
    </w:p>
  </w:footnote>
  <w:footnote w:id="119">
    <w:p w14:paraId="435DA602" w14:textId="7D67BA8F" w:rsidR="00551601" w:rsidRPr="00B1515C" w:rsidRDefault="00815763" w:rsidP="00A01254">
      <w:pPr>
        <w:pStyle w:val="FootnoteText"/>
      </w:pPr>
      <w:r w:rsidRPr="00815763">
        <w:rPr>
          <w:rStyle w:val="FootnoteReference"/>
          <w:vertAlign w:val="baseline"/>
        </w:rPr>
        <w:footnoteRef/>
      </w:r>
      <w:r w:rsidR="00551601" w:rsidRPr="00B1515C">
        <w:t xml:space="preserve"> </w:t>
      </w:r>
      <w:r w:rsidR="00FE31B9" w:rsidRPr="00B1515C">
        <w:tab/>
      </w:r>
      <w:r w:rsidR="00551601" w:rsidRPr="008B1C97">
        <w:rPr>
          <w:rStyle w:val="Emphasis"/>
        </w:rPr>
        <w:t xml:space="preserve">Tulip Trading Ltd v Bitcoin Association and others </w:t>
      </w:r>
      <w:r w:rsidR="00551601" w:rsidRPr="00B1515C">
        <w:t>[2022] EWHC 667 (Ch) (Falk J</w:t>
      </w:r>
      <w:r w:rsidR="00ED68F9" w:rsidRPr="00B1515C">
        <w:t>)</w:t>
      </w:r>
      <w:r w:rsidR="00551601" w:rsidRPr="00B1515C">
        <w:t xml:space="preserve"> [34].</w:t>
      </w:r>
    </w:p>
  </w:footnote>
  <w:footnote w:id="120">
    <w:p w14:paraId="29BA4958" w14:textId="19E30460" w:rsidR="008B5A0C" w:rsidRPr="00B1515C" w:rsidRDefault="00815763" w:rsidP="00A01254">
      <w:pPr>
        <w:pStyle w:val="FootnoteText"/>
      </w:pPr>
      <w:r w:rsidRPr="00815763">
        <w:rPr>
          <w:rStyle w:val="FootnoteReference"/>
          <w:vertAlign w:val="baseline"/>
        </w:rPr>
        <w:footnoteRef/>
      </w:r>
      <w:r w:rsidR="008B5A0C" w:rsidRPr="00B1515C">
        <w:t xml:space="preserve"> </w:t>
      </w:r>
      <w:r w:rsidR="00FE31B9" w:rsidRPr="00B1515C">
        <w:tab/>
      </w:r>
      <w:r w:rsidR="008B5A0C" w:rsidRPr="008B1C97">
        <w:rPr>
          <w:rStyle w:val="Emphasis"/>
        </w:rPr>
        <w:t>Tulip Trading Ltd (a Seychelles company)</w:t>
      </w:r>
      <w:r w:rsidR="005B3007" w:rsidRPr="008B1C97">
        <w:rPr>
          <w:rStyle w:val="Emphasis"/>
        </w:rPr>
        <w:t xml:space="preserve"> v Bitcoin Association for BSV and others </w:t>
      </w:r>
      <w:r w:rsidR="005B3007" w:rsidRPr="00B1515C">
        <w:t>[2023] EWCA Civ 83; 4 WLR 16</w:t>
      </w:r>
      <w:r w:rsidR="00DB7D74" w:rsidRPr="00B1515C">
        <w:t xml:space="preserve"> (</w:t>
      </w:r>
      <w:r w:rsidR="00FB1072" w:rsidRPr="00B1515C">
        <w:t>Lewison, Popplewell, Birss</w:t>
      </w:r>
      <w:r w:rsidR="00DB7D74" w:rsidRPr="00B1515C">
        <w:t xml:space="preserve"> LJJ).</w:t>
      </w:r>
    </w:p>
  </w:footnote>
  <w:footnote w:id="121">
    <w:p w14:paraId="193900AB" w14:textId="2E04F74E" w:rsidR="00FE5B5F" w:rsidRPr="00B1515C" w:rsidRDefault="00815763" w:rsidP="00A01254">
      <w:pPr>
        <w:pStyle w:val="FootnoteText"/>
      </w:pPr>
      <w:r w:rsidRPr="00815763">
        <w:rPr>
          <w:rStyle w:val="FootnoteReference"/>
          <w:vertAlign w:val="baseline"/>
        </w:rPr>
        <w:footnoteRef/>
      </w:r>
      <w:r w:rsidR="00FE5B5F" w:rsidRPr="00B1515C">
        <w:t xml:space="preserve"> </w:t>
      </w:r>
      <w:r w:rsidR="00FE31B9" w:rsidRPr="00B1515C">
        <w:tab/>
      </w:r>
      <w:r w:rsidR="00FE5B5F" w:rsidRPr="008B1C97">
        <w:rPr>
          <w:rStyle w:val="Emphasis"/>
        </w:rPr>
        <w:t xml:space="preserve">Tulip Trading Ltd (a Seychelles company) v Bitcoin Association for BSV and others </w:t>
      </w:r>
      <w:r w:rsidR="00FE5B5F" w:rsidRPr="00B1515C">
        <w:t>[2023] EWCA Civ 83; 4 WLR 16, [35].</w:t>
      </w:r>
    </w:p>
  </w:footnote>
  <w:footnote w:id="122">
    <w:p w14:paraId="27B7EBBF" w14:textId="5A203384" w:rsidR="006A7BDF" w:rsidRPr="00B1515C" w:rsidRDefault="00815763" w:rsidP="00A01254">
      <w:pPr>
        <w:pStyle w:val="FootnoteText"/>
      </w:pPr>
      <w:r w:rsidRPr="00815763">
        <w:rPr>
          <w:rStyle w:val="FootnoteReference"/>
          <w:vertAlign w:val="baseline"/>
        </w:rPr>
        <w:footnoteRef/>
      </w:r>
      <w:r w:rsidR="006A7BDF" w:rsidRPr="00B1515C">
        <w:t xml:space="preserve"> </w:t>
      </w:r>
      <w:r w:rsidR="00FE31B9" w:rsidRPr="00B1515C">
        <w:tab/>
      </w:r>
      <w:r w:rsidR="00F75232">
        <w:t>‘</w:t>
      </w:r>
      <w:hyperlink r:id="rId69" w:history="1">
        <w:r w:rsidR="00EB6B94" w:rsidRPr="00AE21E3">
          <w:rPr>
            <w:rStyle w:val="Hyperlink"/>
          </w:rPr>
          <w:t>Introduction to Ethereum governance</w:t>
        </w:r>
      </w:hyperlink>
      <w:r w:rsidR="00F75232">
        <w:t>’</w:t>
      </w:r>
      <w:r w:rsidR="00EB6B94" w:rsidRPr="00B1515C">
        <w:t xml:space="preserve">, </w:t>
      </w:r>
      <w:r w:rsidR="00EB6B94" w:rsidRPr="008B1C97">
        <w:rPr>
          <w:rStyle w:val="Emphasis"/>
        </w:rPr>
        <w:t>Ethereum</w:t>
      </w:r>
      <w:r w:rsidR="00EB6B94" w:rsidRPr="00B1515C">
        <w:t xml:space="preserve"> (Web Page, 16 August 2023)</w:t>
      </w:r>
      <w:r w:rsidR="00AE21E3">
        <w:t>.</w:t>
      </w:r>
    </w:p>
  </w:footnote>
  <w:footnote w:id="123">
    <w:p w14:paraId="2385990A" w14:textId="228FDCD7" w:rsidR="002D406D" w:rsidRPr="00B1515C" w:rsidRDefault="00815763" w:rsidP="00A01254">
      <w:pPr>
        <w:pStyle w:val="FootnoteText"/>
      </w:pPr>
      <w:r w:rsidRPr="00815763">
        <w:rPr>
          <w:rStyle w:val="FootnoteReference"/>
          <w:vertAlign w:val="baseline"/>
        </w:rPr>
        <w:footnoteRef/>
      </w:r>
      <w:r w:rsidR="002D406D" w:rsidRPr="00B1515C">
        <w:t xml:space="preserve"> </w:t>
      </w:r>
      <w:r w:rsidR="00FE31B9" w:rsidRPr="00B1515C">
        <w:tab/>
      </w:r>
      <w:r w:rsidR="00AE21E3">
        <w:t>‘</w:t>
      </w:r>
      <w:hyperlink r:id="rId70" w:history="1">
        <w:r w:rsidR="00AE21E3" w:rsidRPr="00AE21E3">
          <w:rPr>
            <w:rStyle w:val="Hyperlink"/>
          </w:rPr>
          <w:t>Introduction to Ethereum governance</w:t>
        </w:r>
      </w:hyperlink>
      <w:r w:rsidR="00AE21E3">
        <w:t>’</w:t>
      </w:r>
      <w:r w:rsidR="00EB6B94" w:rsidRPr="00B1515C">
        <w:t xml:space="preserve">, </w:t>
      </w:r>
      <w:r w:rsidR="00EB6B94" w:rsidRPr="008B1C97">
        <w:rPr>
          <w:rStyle w:val="Emphasis"/>
        </w:rPr>
        <w:t>Ethereum</w:t>
      </w:r>
      <w:r w:rsidR="00EB6B94" w:rsidRPr="00B1515C">
        <w:t xml:space="preserve"> (Web Page, 16 August 2023)</w:t>
      </w:r>
      <w:r w:rsidR="00AE21E3">
        <w:t>.</w:t>
      </w:r>
      <w:r w:rsidR="00EB6B94" w:rsidRPr="00B1515C">
        <w:t xml:space="preserve"> </w:t>
      </w:r>
    </w:p>
  </w:footnote>
  <w:footnote w:id="124">
    <w:p w14:paraId="2E454165" w14:textId="783267C0" w:rsidR="000468C0" w:rsidRPr="00B1515C" w:rsidRDefault="00815763" w:rsidP="00A01254">
      <w:pPr>
        <w:pStyle w:val="FootnoteText"/>
      </w:pPr>
      <w:r w:rsidRPr="00815763">
        <w:rPr>
          <w:rStyle w:val="FootnoteReference"/>
          <w:vertAlign w:val="baseline"/>
        </w:rPr>
        <w:footnoteRef/>
      </w:r>
      <w:r w:rsidR="000468C0" w:rsidRPr="00B1515C">
        <w:t xml:space="preserve"> </w:t>
      </w:r>
      <w:r w:rsidR="00FE31B9" w:rsidRPr="00B1515C">
        <w:tab/>
      </w:r>
      <w:r w:rsidR="000468C0" w:rsidRPr="00B1515C">
        <w:t>Submission A26, 7.</w:t>
      </w:r>
    </w:p>
  </w:footnote>
  <w:footnote w:id="125">
    <w:p w14:paraId="3AC96FE8" w14:textId="4C4FF8AC" w:rsidR="002D7F15" w:rsidRPr="00B1515C" w:rsidRDefault="00815763" w:rsidP="00A01254">
      <w:pPr>
        <w:pStyle w:val="FootnoteText"/>
      </w:pPr>
      <w:r w:rsidRPr="00815763">
        <w:rPr>
          <w:rStyle w:val="FootnoteReference"/>
          <w:vertAlign w:val="baseline"/>
        </w:rPr>
        <w:footnoteRef/>
      </w:r>
      <w:r w:rsidR="002D7F15" w:rsidRPr="00B1515C">
        <w:t xml:space="preserve"> </w:t>
      </w:r>
      <w:r w:rsidR="00FE31B9" w:rsidRPr="00B1515C">
        <w:tab/>
      </w:r>
      <w:r w:rsidR="00223932" w:rsidRPr="00B1515C">
        <w:t xml:space="preserve">Philipp Kothe, </w:t>
      </w:r>
      <w:r w:rsidR="00F75232">
        <w:t>‘</w:t>
      </w:r>
      <w:hyperlink r:id="rId71" w:history="1">
        <w:r w:rsidR="00223932" w:rsidRPr="005A3D7F">
          <w:rPr>
            <w:rStyle w:val="Hyperlink"/>
          </w:rPr>
          <w:t>Governance Tokens – The New Medium Of Power?</w:t>
        </w:r>
      </w:hyperlink>
      <w:r w:rsidR="00F75232">
        <w:t>’</w:t>
      </w:r>
      <w:r w:rsidR="00223932" w:rsidRPr="00B1515C">
        <w:t xml:space="preserve">, </w:t>
      </w:r>
      <w:r w:rsidR="00223932" w:rsidRPr="008B1C97">
        <w:rPr>
          <w:rStyle w:val="Emphasis"/>
        </w:rPr>
        <w:t>Datarella</w:t>
      </w:r>
      <w:r w:rsidR="00223932" w:rsidRPr="00B1515C">
        <w:t xml:space="preserve"> (Web Page, 16 March 2021)</w:t>
      </w:r>
      <w:r w:rsidR="005A3D7F">
        <w:t xml:space="preserve"> </w:t>
      </w:r>
      <w:r w:rsidR="00223932" w:rsidRPr="00B1515C">
        <w:t xml:space="preserve">cited in Law Commission, </w:t>
      </w:r>
      <w:r w:rsidR="00223932" w:rsidRPr="008B1C97">
        <w:rPr>
          <w:rStyle w:val="Emphasis"/>
        </w:rPr>
        <w:t>Decentralised autonomous organisations (DAOs) Call for evidence</w:t>
      </w:r>
      <w:r w:rsidR="00223932" w:rsidRPr="00B1515C">
        <w:t xml:space="preserve"> (Call for Evidence, November</w:t>
      </w:r>
      <w:r w:rsidR="003A1C1D">
        <w:t> </w:t>
      </w:r>
      <w:r w:rsidR="00223932" w:rsidRPr="00B1515C">
        <w:t>2022</w:t>
      </w:r>
      <w:r w:rsidR="00ED68F9" w:rsidRPr="00B1515C">
        <w:t>)</w:t>
      </w:r>
      <w:r w:rsidR="00223932" w:rsidRPr="00B1515C">
        <w:t xml:space="preserve"> fn 34.</w:t>
      </w:r>
    </w:p>
  </w:footnote>
  <w:footnote w:id="126">
    <w:p w14:paraId="45FA1DCF" w14:textId="15561705" w:rsidR="003C3401" w:rsidRPr="00B1515C" w:rsidRDefault="00815763" w:rsidP="00A01254">
      <w:pPr>
        <w:pStyle w:val="FootnoteText"/>
      </w:pPr>
      <w:r w:rsidRPr="00815763">
        <w:rPr>
          <w:rStyle w:val="FootnoteReference"/>
          <w:vertAlign w:val="baseline"/>
        </w:rPr>
        <w:footnoteRef/>
      </w:r>
      <w:r w:rsidR="003C3401" w:rsidRPr="00B1515C">
        <w:t xml:space="preserve"> </w:t>
      </w:r>
      <w:r w:rsidR="00FE31B9" w:rsidRPr="00B1515C">
        <w:tab/>
      </w:r>
      <w:r w:rsidR="00F75232">
        <w:t>‘</w:t>
      </w:r>
      <w:hyperlink r:id="rId72" w:history="1">
        <w:r w:rsidR="003C3401" w:rsidRPr="005A3D7F">
          <w:rPr>
            <w:rStyle w:val="Hyperlink"/>
          </w:rPr>
          <w:t>Decentralised Autonomous Organisations (DAOs) Current Project status</w:t>
        </w:r>
      </w:hyperlink>
      <w:r w:rsidR="00F75232">
        <w:t>’</w:t>
      </w:r>
      <w:r w:rsidR="007D45B3" w:rsidRPr="00B1515C">
        <w:t>, [</w:t>
      </w:r>
      <w:r w:rsidR="007D45B3" w:rsidRPr="008B1C97">
        <w:rPr>
          <w:rStyle w:val="Emphasis"/>
        </w:rPr>
        <w:t>UK</w:t>
      </w:r>
      <w:r w:rsidR="007D45B3" w:rsidRPr="00B1515C">
        <w:t>]</w:t>
      </w:r>
      <w:r w:rsidR="007D45B3" w:rsidRPr="008B1C97">
        <w:rPr>
          <w:rStyle w:val="Emphasis"/>
        </w:rPr>
        <w:t xml:space="preserve"> Law Commission</w:t>
      </w:r>
      <w:r w:rsidR="003C3401" w:rsidRPr="00B1515C">
        <w:t xml:space="preserve"> (</w:t>
      </w:r>
      <w:r w:rsidR="00FD3C74" w:rsidRPr="00B1515C">
        <w:t xml:space="preserve">Web Page, accessed </w:t>
      </w:r>
      <w:r w:rsidR="003C3401" w:rsidRPr="00B1515C">
        <w:t>December 2023</w:t>
      </w:r>
      <w:r w:rsidR="00ED68F9" w:rsidRPr="00B1515C">
        <w:t>)</w:t>
      </w:r>
      <w:r w:rsidR="005A3D7F">
        <w:t>.</w:t>
      </w:r>
    </w:p>
  </w:footnote>
  <w:footnote w:id="127">
    <w:p w14:paraId="27565755" w14:textId="42C2D2C6" w:rsidR="003C3401" w:rsidRPr="00B1515C" w:rsidRDefault="00815763" w:rsidP="00A01254">
      <w:pPr>
        <w:pStyle w:val="FootnoteText"/>
      </w:pPr>
      <w:r w:rsidRPr="00815763">
        <w:rPr>
          <w:rStyle w:val="FootnoteReference"/>
          <w:vertAlign w:val="baseline"/>
        </w:rPr>
        <w:footnoteRef/>
      </w:r>
      <w:r w:rsidR="003C3401" w:rsidRPr="00B1515C">
        <w:t xml:space="preserve"> </w:t>
      </w:r>
      <w:r w:rsidR="00FE31B9" w:rsidRPr="00B1515C">
        <w:tab/>
      </w:r>
      <w:r w:rsidR="007F5041" w:rsidRPr="00B1515C">
        <w:t xml:space="preserve">[UK] Law Commission, </w:t>
      </w:r>
      <w:r w:rsidR="007F5041" w:rsidRPr="008B1C97">
        <w:rPr>
          <w:rStyle w:val="Emphasis"/>
        </w:rPr>
        <w:t>Decentralised autonomous organisations (DAOs) Call for evidence</w:t>
      </w:r>
      <w:r w:rsidR="007F5041" w:rsidRPr="00B1515C">
        <w:t xml:space="preserve"> (Call for Evidence, November 2022)</w:t>
      </w:r>
      <w:r w:rsidR="003C3401" w:rsidRPr="00B1515C">
        <w:t xml:space="preserve"> [1.9].</w:t>
      </w:r>
    </w:p>
  </w:footnote>
  <w:footnote w:id="128">
    <w:p w14:paraId="15D5D05F" w14:textId="08E90025" w:rsidR="00435072" w:rsidRPr="00B1515C" w:rsidRDefault="00815763" w:rsidP="00A01254">
      <w:pPr>
        <w:pStyle w:val="FootnoteText"/>
      </w:pPr>
      <w:r w:rsidRPr="00815763">
        <w:rPr>
          <w:rStyle w:val="FootnoteReference"/>
          <w:vertAlign w:val="baseline"/>
        </w:rPr>
        <w:footnoteRef/>
      </w:r>
      <w:r w:rsidR="00435072" w:rsidRPr="00B1515C">
        <w:t xml:space="preserve"> </w:t>
      </w:r>
      <w:r w:rsidR="00FE31B9" w:rsidRPr="00B1515C">
        <w:tab/>
      </w:r>
      <w:r w:rsidR="00B35EF1" w:rsidRPr="00B1515C">
        <w:t>International Organization of Securities Commissions</w:t>
      </w:r>
      <w:r w:rsidR="00B84935" w:rsidRPr="00B1515C">
        <w:t xml:space="preserve"> (IOSCO)</w:t>
      </w:r>
      <w:r w:rsidR="00B35EF1" w:rsidRPr="00B1515C">
        <w:t xml:space="preserve">, </w:t>
      </w:r>
      <w:hyperlink r:id="rId73" w:history="1">
        <w:r w:rsidR="00B35EF1" w:rsidRPr="00FD4382">
          <w:rPr>
            <w:rStyle w:val="Hyperlink"/>
            <w:i/>
            <w:iCs/>
          </w:rPr>
          <w:t>IOSCO Decentralized Finance Report</w:t>
        </w:r>
      </w:hyperlink>
      <w:r w:rsidR="00B35EF1" w:rsidRPr="00B1515C">
        <w:t xml:space="preserve"> (</w:t>
      </w:r>
      <w:r w:rsidR="004749CE" w:rsidRPr="00B1515C">
        <w:t>Public Report OR01/2022</w:t>
      </w:r>
      <w:r w:rsidR="008D4308" w:rsidRPr="00B1515C">
        <w:t>, March 2022</w:t>
      </w:r>
      <w:r w:rsidR="00ED1A85" w:rsidRPr="00B1515C">
        <w:t>) 25</w:t>
      </w:r>
      <w:r w:rsidR="004749CE" w:rsidRPr="00B1515C">
        <w:t xml:space="preserve"> </w:t>
      </w:r>
      <w:r w:rsidR="00ED1A85" w:rsidRPr="00B1515C">
        <w:t>(</w:t>
      </w:r>
      <w:r w:rsidR="00F75232">
        <w:t>‘</w:t>
      </w:r>
      <w:r w:rsidR="00ED1A85" w:rsidRPr="008B1C97">
        <w:rPr>
          <w:rStyle w:val="Emphasis"/>
        </w:rPr>
        <w:t>IOSCO Decentralised Finance Report</w:t>
      </w:r>
      <w:r w:rsidR="00F75232">
        <w:rPr>
          <w:rStyle w:val="Emphasis"/>
        </w:rPr>
        <w:t>’</w:t>
      </w:r>
      <w:r w:rsidR="00ED1A85" w:rsidRPr="00F63C1F">
        <w:rPr>
          <w:rStyle w:val="Emphasis"/>
          <w:i w:val="0"/>
          <w:iCs w:val="0"/>
        </w:rPr>
        <w:t>)</w:t>
      </w:r>
      <w:r w:rsidR="000557D8" w:rsidRPr="00F63C1F">
        <w:rPr>
          <w:i/>
        </w:rPr>
        <w:t>.</w:t>
      </w:r>
    </w:p>
  </w:footnote>
  <w:footnote w:id="129">
    <w:p w14:paraId="4B79A0F1" w14:textId="60D901C7" w:rsidR="00D744DC" w:rsidRPr="00B1515C" w:rsidRDefault="00815763" w:rsidP="00A01254">
      <w:pPr>
        <w:pStyle w:val="FootnoteText"/>
      </w:pPr>
      <w:r w:rsidRPr="00815763">
        <w:rPr>
          <w:rStyle w:val="FootnoteReference"/>
          <w:vertAlign w:val="baseline"/>
        </w:rPr>
        <w:footnoteRef/>
      </w:r>
      <w:r w:rsidR="00D744DC" w:rsidRPr="00B1515C">
        <w:t xml:space="preserve"> </w:t>
      </w:r>
      <w:r w:rsidR="00FE31B9" w:rsidRPr="00B1515C">
        <w:tab/>
      </w:r>
      <w:r w:rsidR="00EF2E68" w:rsidRPr="00B1515C">
        <w:t xml:space="preserve">IOSCO Decentralised Finance Report </w:t>
      </w:r>
      <w:r w:rsidR="001609BE" w:rsidRPr="00B1515C">
        <w:t>(n 127)</w:t>
      </w:r>
      <w:r w:rsidR="00EF2E68" w:rsidRPr="00B1515C">
        <w:t xml:space="preserve"> </w:t>
      </w:r>
      <w:r w:rsidR="00D744DC" w:rsidRPr="00B1515C">
        <w:t>29.</w:t>
      </w:r>
    </w:p>
  </w:footnote>
  <w:footnote w:id="130">
    <w:p w14:paraId="0232035D" w14:textId="50BB41F9" w:rsidR="000E6306" w:rsidRPr="00B1515C" w:rsidRDefault="00815763" w:rsidP="00A01254">
      <w:pPr>
        <w:pStyle w:val="FootnoteText"/>
      </w:pPr>
      <w:r w:rsidRPr="00815763">
        <w:rPr>
          <w:rStyle w:val="FootnoteReference"/>
          <w:vertAlign w:val="baseline"/>
        </w:rPr>
        <w:footnoteRef/>
      </w:r>
      <w:r w:rsidR="000E6306" w:rsidRPr="00B1515C">
        <w:t xml:space="preserve"> </w:t>
      </w:r>
      <w:r w:rsidR="00FE31B9" w:rsidRPr="00B1515C">
        <w:tab/>
      </w:r>
      <w:r w:rsidR="00EF2E68" w:rsidRPr="00B1515C">
        <w:t xml:space="preserve">IOSCO Decentralised Finance Report </w:t>
      </w:r>
      <w:r w:rsidR="001609BE" w:rsidRPr="00B1515C">
        <w:t>(n 127)</w:t>
      </w:r>
      <w:r w:rsidR="00EF2E68" w:rsidRPr="00B1515C">
        <w:t xml:space="preserve"> </w:t>
      </w:r>
      <w:r w:rsidR="000E6306" w:rsidRPr="00B1515C">
        <w:t>30.</w:t>
      </w:r>
    </w:p>
  </w:footnote>
  <w:footnote w:id="131">
    <w:p w14:paraId="765C915B" w14:textId="3303B434" w:rsidR="003C3401" w:rsidRPr="00B1515C" w:rsidRDefault="00815763" w:rsidP="00A01254">
      <w:pPr>
        <w:pStyle w:val="FootnoteText"/>
      </w:pPr>
      <w:r w:rsidRPr="00815763">
        <w:rPr>
          <w:rStyle w:val="FootnoteReference"/>
          <w:vertAlign w:val="baseline"/>
        </w:rPr>
        <w:footnoteRef/>
      </w:r>
      <w:r w:rsidR="003C3401" w:rsidRPr="00B1515C">
        <w:t xml:space="preserve"> </w:t>
      </w:r>
      <w:r w:rsidR="00FE31B9" w:rsidRPr="00B1515C">
        <w:tab/>
      </w:r>
      <w:r w:rsidR="00F75232">
        <w:t>‘</w:t>
      </w:r>
      <w:hyperlink r:id="rId74" w:history="1">
        <w:r w:rsidR="003C3401" w:rsidRPr="00FD4382">
          <w:rPr>
            <w:rStyle w:val="Hyperlink"/>
          </w:rPr>
          <w:t>What are DAOs?</w:t>
        </w:r>
      </w:hyperlink>
      <w:r w:rsidR="00F75232">
        <w:t>’</w:t>
      </w:r>
      <w:r w:rsidR="00B965CC" w:rsidRPr="00B1515C">
        <w:t xml:space="preserve">, </w:t>
      </w:r>
      <w:r w:rsidR="00B965CC" w:rsidRPr="008B1C97">
        <w:rPr>
          <w:rStyle w:val="Emphasis"/>
        </w:rPr>
        <w:t>Galaxy Fund Management</w:t>
      </w:r>
      <w:r w:rsidR="00B965CC" w:rsidRPr="00B1515C">
        <w:t xml:space="preserve"> </w:t>
      </w:r>
      <w:r w:rsidR="003C3401" w:rsidRPr="00B1515C">
        <w:t>(</w:t>
      </w:r>
      <w:r w:rsidR="00B965CC" w:rsidRPr="00B1515C">
        <w:t xml:space="preserve">Web Page, </w:t>
      </w:r>
      <w:r w:rsidR="003042B7" w:rsidRPr="00B1515C">
        <w:t xml:space="preserve">accessed </w:t>
      </w:r>
      <w:r w:rsidR="00934583" w:rsidRPr="00B1515C">
        <w:t xml:space="preserve">27 January </w:t>
      </w:r>
      <w:r w:rsidR="003C3401" w:rsidRPr="00B1515C">
        <w:t>202</w:t>
      </w:r>
      <w:r w:rsidR="00934583" w:rsidRPr="00B1515C">
        <w:t>4</w:t>
      </w:r>
      <w:r w:rsidR="003C3401" w:rsidRPr="00B1515C">
        <w:t xml:space="preserve">) cited in </w:t>
      </w:r>
      <w:r w:rsidR="00934583" w:rsidRPr="00B1515C">
        <w:t xml:space="preserve">[UK] Law Commission, </w:t>
      </w:r>
      <w:r w:rsidR="00934583" w:rsidRPr="008B1C97">
        <w:rPr>
          <w:rStyle w:val="Emphasis"/>
        </w:rPr>
        <w:t>Decentralised autonomous organisations (DAOs) Call for evidence</w:t>
      </w:r>
      <w:r w:rsidR="00934583" w:rsidRPr="00B1515C">
        <w:t xml:space="preserve"> (Call for Evidence, November 2022)</w:t>
      </w:r>
      <w:r w:rsidR="003C3401" w:rsidRPr="00B1515C">
        <w:t xml:space="preserve"> fn 35.</w:t>
      </w:r>
    </w:p>
  </w:footnote>
  <w:footnote w:id="132">
    <w:p w14:paraId="2B351349" w14:textId="302500F0" w:rsidR="00FE5FA0" w:rsidRPr="00B1515C" w:rsidRDefault="00815763" w:rsidP="00A01254">
      <w:pPr>
        <w:pStyle w:val="FootnoteText"/>
      </w:pPr>
      <w:r w:rsidRPr="00815763">
        <w:rPr>
          <w:rStyle w:val="FootnoteReference"/>
          <w:vertAlign w:val="baseline"/>
        </w:rPr>
        <w:footnoteRef/>
      </w:r>
      <w:r w:rsidR="00FE5FA0" w:rsidRPr="00B1515C">
        <w:t xml:space="preserve"> </w:t>
      </w:r>
      <w:r w:rsidR="00FE31B9" w:rsidRPr="00B1515C">
        <w:tab/>
      </w:r>
      <w:r w:rsidR="004414B3" w:rsidRPr="00B1515C">
        <w:t xml:space="preserve">Philipp Kothe, </w:t>
      </w:r>
      <w:r w:rsidR="00F75232">
        <w:t>‘</w:t>
      </w:r>
      <w:hyperlink r:id="rId75" w:history="1">
        <w:r w:rsidR="004414B3" w:rsidRPr="00FD4382">
          <w:rPr>
            <w:rStyle w:val="Hyperlink"/>
          </w:rPr>
          <w:t>Governance Tokens – The New Medium Of Power?</w:t>
        </w:r>
      </w:hyperlink>
      <w:r w:rsidR="00F75232">
        <w:t>’</w:t>
      </w:r>
      <w:r w:rsidR="004414B3" w:rsidRPr="00B1515C">
        <w:t xml:space="preserve">, </w:t>
      </w:r>
      <w:r w:rsidR="004414B3" w:rsidRPr="008B1C97">
        <w:rPr>
          <w:rStyle w:val="Emphasis"/>
        </w:rPr>
        <w:t>Datarella</w:t>
      </w:r>
      <w:r w:rsidR="004414B3" w:rsidRPr="00B1515C">
        <w:t xml:space="preserve"> (Web Page, 16 March 2021) cited in Law Commission, </w:t>
      </w:r>
      <w:r w:rsidR="004414B3" w:rsidRPr="008B1C97">
        <w:rPr>
          <w:rStyle w:val="Emphasis"/>
        </w:rPr>
        <w:t>Decentralised autonomous organisations (DAOs) Call for evidence</w:t>
      </w:r>
      <w:r w:rsidR="004414B3" w:rsidRPr="00B1515C">
        <w:t xml:space="preserve"> (Call for Evidence, November</w:t>
      </w:r>
      <w:r w:rsidR="003A1C1D">
        <w:t> </w:t>
      </w:r>
      <w:r w:rsidR="004414B3" w:rsidRPr="00B1515C">
        <w:t>2022</w:t>
      </w:r>
      <w:r w:rsidR="00ED68F9" w:rsidRPr="00B1515C">
        <w:t>)</w:t>
      </w:r>
      <w:r w:rsidR="004414B3" w:rsidRPr="00B1515C">
        <w:t xml:space="preserve"> fn 34</w:t>
      </w:r>
      <w:r w:rsidR="00914534" w:rsidRPr="00B1515C">
        <w:t>.</w:t>
      </w:r>
    </w:p>
  </w:footnote>
  <w:footnote w:id="133">
    <w:p w14:paraId="72035F0A" w14:textId="69C0A3EA" w:rsidR="00C432FC" w:rsidRPr="00B1515C" w:rsidRDefault="00815763" w:rsidP="00A01254">
      <w:pPr>
        <w:pStyle w:val="FootnoteText"/>
      </w:pPr>
      <w:r w:rsidRPr="00815763">
        <w:rPr>
          <w:rStyle w:val="FootnoteReference"/>
          <w:vertAlign w:val="baseline"/>
        </w:rPr>
        <w:footnoteRef/>
      </w:r>
      <w:r w:rsidR="00C432FC" w:rsidRPr="00B1515C">
        <w:t xml:space="preserve"> </w:t>
      </w:r>
      <w:r w:rsidR="00FE31B9" w:rsidRPr="00B1515C">
        <w:tab/>
      </w:r>
      <w:r w:rsidR="00C432FC" w:rsidRPr="00B1515C">
        <w:t>See below</w:t>
      </w:r>
      <w:r w:rsidR="00BA5F64" w:rsidRPr="00B1515C">
        <w:t xml:space="preserve"> for further on airdrops</w:t>
      </w:r>
      <w:r w:rsidR="00C432FC" w:rsidRPr="00B1515C">
        <w:t>.</w:t>
      </w:r>
    </w:p>
  </w:footnote>
  <w:footnote w:id="134">
    <w:p w14:paraId="2829EAC9" w14:textId="4A997C74" w:rsidR="00352B02" w:rsidRPr="00B1515C" w:rsidRDefault="00815763" w:rsidP="00A01254">
      <w:pPr>
        <w:pStyle w:val="FootnoteText"/>
      </w:pPr>
      <w:r w:rsidRPr="00815763">
        <w:rPr>
          <w:rStyle w:val="FootnoteReference"/>
          <w:vertAlign w:val="baseline"/>
        </w:rPr>
        <w:footnoteRef/>
      </w:r>
      <w:r w:rsidR="00352B02" w:rsidRPr="00B1515C">
        <w:t xml:space="preserve"> </w:t>
      </w:r>
      <w:r w:rsidR="00FE31B9" w:rsidRPr="00B1515C">
        <w:tab/>
      </w:r>
      <w:r w:rsidR="007C36C9" w:rsidRPr="00B1515C">
        <w:t xml:space="preserve">IOSCO Decentralised Finance Report </w:t>
      </w:r>
      <w:r w:rsidR="001609BE" w:rsidRPr="00B1515C">
        <w:t>(n 127)</w:t>
      </w:r>
      <w:r w:rsidR="007C36C9" w:rsidRPr="00B1515C">
        <w:t xml:space="preserve"> </w:t>
      </w:r>
      <w:r w:rsidR="00352B02" w:rsidRPr="00B1515C">
        <w:t>30.</w:t>
      </w:r>
    </w:p>
  </w:footnote>
  <w:footnote w:id="135">
    <w:p w14:paraId="137CD3B4" w14:textId="15F4E6C0" w:rsidR="00C279E2" w:rsidRPr="00B1515C" w:rsidRDefault="00815763" w:rsidP="00A01254">
      <w:pPr>
        <w:pStyle w:val="FootnoteText"/>
      </w:pPr>
      <w:r w:rsidRPr="00815763">
        <w:rPr>
          <w:rStyle w:val="FootnoteReference"/>
          <w:vertAlign w:val="baseline"/>
        </w:rPr>
        <w:footnoteRef/>
      </w:r>
      <w:r w:rsidR="00C279E2" w:rsidRPr="00B1515C">
        <w:t xml:space="preserve"> </w:t>
      </w:r>
      <w:r w:rsidR="00FE31B9" w:rsidRPr="00B1515C">
        <w:tab/>
      </w:r>
      <w:r w:rsidR="007C36C9" w:rsidRPr="00B1515C">
        <w:t xml:space="preserve">IOSCO Decentralised Finance Report </w:t>
      </w:r>
      <w:r w:rsidR="001609BE" w:rsidRPr="00B1515C">
        <w:t>(n 127)</w:t>
      </w:r>
      <w:r w:rsidR="007C36C9" w:rsidRPr="00B1515C">
        <w:t xml:space="preserve"> </w:t>
      </w:r>
      <w:r w:rsidR="0079577A" w:rsidRPr="00B1515C">
        <w:t>25.</w:t>
      </w:r>
    </w:p>
  </w:footnote>
  <w:footnote w:id="136">
    <w:p w14:paraId="222725DB" w14:textId="48741EAA" w:rsidR="00632B75" w:rsidRPr="00B1515C" w:rsidRDefault="00815763" w:rsidP="00A01254">
      <w:pPr>
        <w:pStyle w:val="FootnoteText"/>
      </w:pPr>
      <w:r w:rsidRPr="00815763">
        <w:rPr>
          <w:rStyle w:val="FootnoteReference"/>
          <w:vertAlign w:val="baseline"/>
        </w:rPr>
        <w:footnoteRef/>
      </w:r>
      <w:r w:rsidR="00632B75" w:rsidRPr="00B1515C">
        <w:t xml:space="preserve"> </w:t>
      </w:r>
      <w:r w:rsidR="00FE31B9" w:rsidRPr="00B1515C">
        <w:tab/>
      </w:r>
      <w:r w:rsidR="00632B75" w:rsidRPr="00B1515C">
        <w:t>Australian Law Reform Commission,</w:t>
      </w:r>
      <w:r w:rsidR="00632B75" w:rsidRPr="00755F35">
        <w:rPr>
          <w:i/>
          <w:iCs/>
        </w:rPr>
        <w:t xml:space="preserve"> </w:t>
      </w:r>
      <w:hyperlink r:id="rId76" w:history="1">
        <w:r w:rsidR="00632B75" w:rsidRPr="00755F35">
          <w:rPr>
            <w:rStyle w:val="Hyperlink"/>
            <w:i/>
            <w:iCs/>
          </w:rPr>
          <w:t>Legislative Framework for Corporations and Financial Services Regulation: New Business Models, Technologies, and Practices</w:t>
        </w:r>
      </w:hyperlink>
      <w:r w:rsidR="00632B75" w:rsidRPr="00B1515C">
        <w:t xml:space="preserve"> (</w:t>
      </w:r>
      <w:r w:rsidR="00072389" w:rsidRPr="00B1515C">
        <w:t>Background Paper FSL7</w:t>
      </w:r>
      <w:r w:rsidR="003159E3" w:rsidRPr="00B1515C">
        <w:t>,</w:t>
      </w:r>
      <w:r w:rsidR="00072389" w:rsidRPr="00B1515C">
        <w:t xml:space="preserve"> </w:t>
      </w:r>
      <w:r w:rsidR="00632B75" w:rsidRPr="00B1515C">
        <w:t>October 2022)</w:t>
      </w:r>
      <w:r w:rsidR="00BC4ABD">
        <w:t>.</w:t>
      </w:r>
    </w:p>
  </w:footnote>
  <w:footnote w:id="137">
    <w:p w14:paraId="128F185C" w14:textId="36506BA2" w:rsidR="00AD0BE5" w:rsidRPr="00B1515C" w:rsidRDefault="00815763" w:rsidP="00A01254">
      <w:pPr>
        <w:pStyle w:val="FootnoteText"/>
      </w:pPr>
      <w:r w:rsidRPr="00815763">
        <w:rPr>
          <w:rStyle w:val="FootnoteReference"/>
          <w:vertAlign w:val="baseline"/>
        </w:rPr>
        <w:footnoteRef/>
      </w:r>
      <w:r w:rsidR="00AD0BE5" w:rsidRPr="00B1515C">
        <w:t xml:space="preserve"> </w:t>
      </w:r>
      <w:r w:rsidR="00FE31B9" w:rsidRPr="00B1515C">
        <w:tab/>
      </w:r>
      <w:r w:rsidR="00F75232">
        <w:t>‘</w:t>
      </w:r>
      <w:hyperlink r:id="rId77" w:history="1">
        <w:r w:rsidR="003159E3" w:rsidRPr="00FD4382">
          <w:rPr>
            <w:rStyle w:val="Hyperlink"/>
          </w:rPr>
          <w:t>Decentralised Autonomous Organisations (DAOs) Current Project status</w:t>
        </w:r>
      </w:hyperlink>
      <w:r w:rsidR="00F75232">
        <w:t>’</w:t>
      </w:r>
      <w:r w:rsidR="003159E3" w:rsidRPr="00B1515C">
        <w:t>, [</w:t>
      </w:r>
      <w:r w:rsidR="003159E3" w:rsidRPr="008B1C97">
        <w:rPr>
          <w:rStyle w:val="Emphasis"/>
        </w:rPr>
        <w:t>UK</w:t>
      </w:r>
      <w:r w:rsidR="003159E3" w:rsidRPr="00B1515C">
        <w:t>]</w:t>
      </w:r>
      <w:r w:rsidR="003159E3" w:rsidRPr="008B1C97">
        <w:rPr>
          <w:rStyle w:val="Emphasis"/>
        </w:rPr>
        <w:t xml:space="preserve"> Law Commission</w:t>
      </w:r>
      <w:r w:rsidR="003159E3" w:rsidRPr="00B1515C">
        <w:t xml:space="preserve"> (Web Page, accessed December 2023</w:t>
      </w:r>
      <w:r w:rsidR="00ED68F9" w:rsidRPr="00B1515C">
        <w:t>)</w:t>
      </w:r>
      <w:r w:rsidR="0049496A">
        <w:t>.</w:t>
      </w:r>
    </w:p>
  </w:footnote>
  <w:footnote w:id="138">
    <w:p w14:paraId="6D0708B8" w14:textId="16E68800" w:rsidR="00222875" w:rsidRPr="00B1515C" w:rsidRDefault="00815763" w:rsidP="00A01254">
      <w:pPr>
        <w:pStyle w:val="FootnoteText"/>
      </w:pPr>
      <w:r w:rsidRPr="00815763">
        <w:rPr>
          <w:rStyle w:val="FootnoteReference"/>
          <w:vertAlign w:val="baseline"/>
        </w:rPr>
        <w:footnoteRef/>
      </w:r>
      <w:r w:rsidR="00222875" w:rsidRPr="00B1515C">
        <w:t xml:space="preserve"> </w:t>
      </w:r>
      <w:r w:rsidR="00FE31B9" w:rsidRPr="00B1515C">
        <w:tab/>
      </w:r>
      <w:r w:rsidR="00F35EB5" w:rsidRPr="00B1515C">
        <w:t xml:space="preserve">Stefano Capaccioli, </w:t>
      </w:r>
      <w:r w:rsidR="00F35EB5" w:rsidRPr="008B1C97">
        <w:rPr>
          <w:rStyle w:val="Emphasis"/>
        </w:rPr>
        <w:t>The Crypto Series</w:t>
      </w:r>
      <w:r w:rsidR="00DD7E85" w:rsidRPr="008B1C97">
        <w:rPr>
          <w:rStyle w:val="Emphasis"/>
        </w:rPr>
        <w:t xml:space="preserve"> – </w:t>
      </w:r>
      <w:r w:rsidR="00F35EB5" w:rsidRPr="008B1C97">
        <w:rPr>
          <w:rStyle w:val="Emphasis"/>
        </w:rPr>
        <w:t>Part I: Taxation of Cryptocurrencies</w:t>
      </w:r>
      <w:r w:rsidR="00F35EB5" w:rsidRPr="00B1515C">
        <w:t xml:space="preserve"> (Orbitax, 2022) 4 (</w:t>
      </w:r>
      <w:r w:rsidR="00F75232">
        <w:t>‘</w:t>
      </w:r>
      <w:r w:rsidR="00F35EB5" w:rsidRPr="008B1C97">
        <w:rPr>
          <w:rStyle w:val="Emphasis"/>
        </w:rPr>
        <w:t>Taxation of Cryptocurrencies</w:t>
      </w:r>
      <w:r w:rsidR="00F75232">
        <w:t>’</w:t>
      </w:r>
      <w:r w:rsidR="00F35EB5" w:rsidRPr="00B1515C">
        <w:t>).</w:t>
      </w:r>
    </w:p>
  </w:footnote>
  <w:footnote w:id="139">
    <w:p w14:paraId="19B74933" w14:textId="2E5AF27F" w:rsidR="00E71221" w:rsidRPr="00B1515C" w:rsidRDefault="00815763" w:rsidP="00A01254">
      <w:pPr>
        <w:pStyle w:val="FootnoteText"/>
      </w:pPr>
      <w:r w:rsidRPr="00815763">
        <w:rPr>
          <w:rStyle w:val="FootnoteReference"/>
          <w:vertAlign w:val="baseline"/>
        </w:rPr>
        <w:footnoteRef/>
      </w:r>
      <w:r w:rsidR="00E71221" w:rsidRPr="00B1515C">
        <w:t xml:space="preserve"> </w:t>
      </w:r>
      <w:r w:rsidR="00FE31B9" w:rsidRPr="00B1515C">
        <w:tab/>
      </w:r>
      <w:r w:rsidR="00F75232">
        <w:t>‘</w:t>
      </w:r>
      <w:hyperlink r:id="rId78" w:history="1">
        <w:r w:rsidR="00E71221" w:rsidRPr="00BC4ABD">
          <w:rPr>
            <w:rStyle w:val="Hyperlink"/>
          </w:rPr>
          <w:t>Hard Forks</w:t>
        </w:r>
      </w:hyperlink>
      <w:r w:rsidR="00F75232">
        <w:t>’</w:t>
      </w:r>
      <w:r w:rsidR="00E71221" w:rsidRPr="00B1515C">
        <w:t xml:space="preserve">, </w:t>
      </w:r>
      <w:r w:rsidR="00E71221" w:rsidRPr="008B1C97">
        <w:rPr>
          <w:rStyle w:val="Emphasis"/>
        </w:rPr>
        <w:t>Corporate Finance Institute</w:t>
      </w:r>
      <w:r w:rsidR="00E71221" w:rsidRPr="00B1515C">
        <w:t xml:space="preserve"> </w:t>
      </w:r>
      <w:r w:rsidR="000331FB" w:rsidRPr="00B1515C">
        <w:t xml:space="preserve">(Web Page, </w:t>
      </w:r>
      <w:r w:rsidR="0000730A" w:rsidRPr="00B1515C">
        <w:t xml:space="preserve">accessed </w:t>
      </w:r>
      <w:r w:rsidR="00E71221" w:rsidRPr="00B1515C">
        <w:t>15 January 2024</w:t>
      </w:r>
      <w:r w:rsidR="0000730A" w:rsidRPr="00B1515C">
        <w:t>)</w:t>
      </w:r>
      <w:r w:rsidR="00BC4ABD">
        <w:t>.</w:t>
      </w:r>
    </w:p>
  </w:footnote>
  <w:footnote w:id="140">
    <w:p w14:paraId="59C3218F" w14:textId="473C2515" w:rsidR="0076719A" w:rsidRPr="00B1515C" w:rsidRDefault="00815763" w:rsidP="00A01254">
      <w:pPr>
        <w:pStyle w:val="FootnoteText"/>
      </w:pPr>
      <w:r w:rsidRPr="00815763">
        <w:rPr>
          <w:rStyle w:val="FootnoteReference"/>
          <w:vertAlign w:val="baseline"/>
        </w:rPr>
        <w:footnoteRef/>
      </w:r>
      <w:r w:rsidR="0076719A" w:rsidRPr="00B1515C">
        <w:t xml:space="preserve"> </w:t>
      </w:r>
      <w:r w:rsidR="00FE31B9" w:rsidRPr="00B1515C">
        <w:tab/>
      </w:r>
      <w:r w:rsidR="00B470D1" w:rsidRPr="00B1515C">
        <w:t xml:space="preserve">OECD, </w:t>
      </w:r>
      <w:r w:rsidR="00B470D1" w:rsidRPr="008B1C97">
        <w:rPr>
          <w:rStyle w:val="Emphasis"/>
        </w:rPr>
        <w:t>Taxing Virtual Currencies</w:t>
      </w:r>
      <w:r w:rsidR="00143F5F" w:rsidRPr="008B1C97">
        <w:rPr>
          <w:rStyle w:val="Emphasis"/>
        </w:rPr>
        <w:t xml:space="preserve"> </w:t>
      </w:r>
      <w:r w:rsidR="001609BE" w:rsidRPr="00B1515C">
        <w:t>(n 6)</w:t>
      </w:r>
      <w:r w:rsidR="00B470D1" w:rsidRPr="00B1515C">
        <w:t xml:space="preserve"> </w:t>
      </w:r>
      <w:r w:rsidR="002039DF" w:rsidRPr="00B1515C">
        <w:t>15</w:t>
      </w:r>
      <w:r w:rsidR="003E6004" w:rsidRPr="00B1515C">
        <w:t xml:space="preserve">; </w:t>
      </w:r>
      <w:r w:rsidR="00F75232">
        <w:t>‘</w:t>
      </w:r>
      <w:hyperlink r:id="rId79" w:anchor=":~:text=This%20group%20initiated%20a%20hard,in%20August%202017%20as%20well" w:history="1">
        <w:r w:rsidR="00FF30DB" w:rsidRPr="0049496A">
          <w:rPr>
            <w:rStyle w:val="Hyperlink"/>
          </w:rPr>
          <w:t>The Fork Wars: What is Bitcoin Independence Day?</w:t>
        </w:r>
      </w:hyperlink>
      <w:r w:rsidR="00F75232">
        <w:t>’</w:t>
      </w:r>
      <w:r w:rsidR="00FF30DB" w:rsidRPr="00B1515C">
        <w:t xml:space="preserve">, </w:t>
      </w:r>
      <w:r w:rsidR="00FF30DB" w:rsidRPr="008B1C97">
        <w:rPr>
          <w:rStyle w:val="Emphasis"/>
        </w:rPr>
        <w:t>Bitfinex</w:t>
      </w:r>
      <w:r w:rsidR="00425B53" w:rsidRPr="00B1515C">
        <w:t xml:space="preserve"> (</w:t>
      </w:r>
      <w:r w:rsidR="001216B2" w:rsidRPr="00B1515C">
        <w:t>Web Page</w:t>
      </w:r>
      <w:r w:rsidR="00425B53" w:rsidRPr="00B1515C">
        <w:t>,</w:t>
      </w:r>
      <w:r w:rsidR="001216B2" w:rsidRPr="00B1515C">
        <w:t xml:space="preserve"> accessed 27 January 2024)</w:t>
      </w:r>
      <w:r w:rsidR="0049496A">
        <w:t>.</w:t>
      </w:r>
    </w:p>
  </w:footnote>
  <w:footnote w:id="141">
    <w:p w14:paraId="52A88128" w14:textId="5B4A1593" w:rsidR="0029695F" w:rsidRPr="00B1515C" w:rsidRDefault="00815763" w:rsidP="00A01254">
      <w:pPr>
        <w:pStyle w:val="FootnoteText"/>
      </w:pPr>
      <w:r w:rsidRPr="00815763">
        <w:rPr>
          <w:rStyle w:val="FootnoteReference"/>
          <w:vertAlign w:val="baseline"/>
        </w:rPr>
        <w:footnoteRef/>
      </w:r>
      <w:r w:rsidR="0029695F" w:rsidRPr="00B1515C">
        <w:t xml:space="preserve"> </w:t>
      </w:r>
      <w:r w:rsidR="00FE31B9" w:rsidRPr="00B1515C">
        <w:tab/>
      </w:r>
      <w:r w:rsidR="00626516" w:rsidRPr="00B1515C">
        <w:t xml:space="preserve">Katelyn </w:t>
      </w:r>
      <w:r w:rsidR="009C67C0" w:rsidRPr="00B1515C">
        <w:t xml:space="preserve">Peters, </w:t>
      </w:r>
      <w:r w:rsidR="00F75232">
        <w:t>‘</w:t>
      </w:r>
      <w:hyperlink r:id="rId80" w:history="1">
        <w:r w:rsidR="009C67C0" w:rsidRPr="0049496A">
          <w:rPr>
            <w:rStyle w:val="Hyperlink"/>
          </w:rPr>
          <w:t>A History of Bitcoin Hard Forks</w:t>
        </w:r>
      </w:hyperlink>
      <w:r w:rsidR="00F75232">
        <w:t>’</w:t>
      </w:r>
      <w:r w:rsidR="009C67C0" w:rsidRPr="00B1515C">
        <w:t xml:space="preserve">, </w:t>
      </w:r>
      <w:r w:rsidR="009C67C0" w:rsidRPr="008B1C97">
        <w:rPr>
          <w:rStyle w:val="Emphasis"/>
        </w:rPr>
        <w:t>Investopedia</w:t>
      </w:r>
      <w:r w:rsidR="009C67C0" w:rsidRPr="00B1515C">
        <w:t xml:space="preserve"> </w:t>
      </w:r>
      <w:r w:rsidR="00626516" w:rsidRPr="00B1515C">
        <w:t>(</w:t>
      </w:r>
      <w:r w:rsidR="009C67C0" w:rsidRPr="00B1515C">
        <w:t xml:space="preserve">Web Page, </w:t>
      </w:r>
      <w:r w:rsidR="00626516" w:rsidRPr="00B1515C">
        <w:t>2 June 2023)</w:t>
      </w:r>
      <w:r w:rsidR="0049496A">
        <w:t>.</w:t>
      </w:r>
    </w:p>
  </w:footnote>
  <w:footnote w:id="142">
    <w:p w14:paraId="35089313" w14:textId="16A1CD0F" w:rsidR="0076719A" w:rsidRPr="00B1515C" w:rsidRDefault="00815763" w:rsidP="00A01254">
      <w:pPr>
        <w:pStyle w:val="FootnoteText"/>
      </w:pPr>
      <w:r w:rsidRPr="00815763">
        <w:rPr>
          <w:rStyle w:val="FootnoteReference"/>
          <w:vertAlign w:val="baseline"/>
        </w:rPr>
        <w:footnoteRef/>
      </w:r>
      <w:r w:rsidR="0076719A" w:rsidRPr="00B1515C">
        <w:t xml:space="preserve"> </w:t>
      </w:r>
      <w:r w:rsidR="00FE31B9" w:rsidRPr="00B1515C">
        <w:tab/>
      </w:r>
      <w:r w:rsidR="00F75232">
        <w:t>‘</w:t>
      </w:r>
      <w:hyperlink r:id="rId81" w:history="1">
        <w:r w:rsidR="0076719A" w:rsidRPr="0049496A">
          <w:rPr>
            <w:rStyle w:val="Hyperlink"/>
          </w:rPr>
          <w:t>The DAO Attack</w:t>
        </w:r>
      </w:hyperlink>
      <w:r w:rsidR="00F75232">
        <w:t>’</w:t>
      </w:r>
      <w:r w:rsidR="0076719A" w:rsidRPr="00B1515C">
        <w:t xml:space="preserve">, </w:t>
      </w:r>
      <w:r w:rsidR="00D02983" w:rsidRPr="008B1C97">
        <w:rPr>
          <w:rStyle w:val="Emphasis"/>
        </w:rPr>
        <w:t xml:space="preserve">Deloitte </w:t>
      </w:r>
      <w:r w:rsidR="00D02983" w:rsidRPr="00B1515C">
        <w:t xml:space="preserve">(Article, </w:t>
      </w:r>
      <w:r w:rsidR="00450B12" w:rsidRPr="00B1515C">
        <w:t>accessed 27 January 2024)</w:t>
      </w:r>
      <w:r w:rsidR="0049496A">
        <w:t>;</w:t>
      </w:r>
      <w:r w:rsidR="0076719A" w:rsidRPr="00B1515C">
        <w:t xml:space="preserve"> </w:t>
      </w:r>
      <w:r w:rsidR="00F75232">
        <w:t>‘</w:t>
      </w:r>
      <w:hyperlink r:id="rId82" w:history="1">
        <w:r w:rsidR="0076719A" w:rsidRPr="00C101C5">
          <w:rPr>
            <w:rStyle w:val="Hyperlink"/>
          </w:rPr>
          <w:t>To fork or not to fork</w:t>
        </w:r>
      </w:hyperlink>
      <w:r w:rsidR="00F75232">
        <w:t>’</w:t>
      </w:r>
      <w:r w:rsidR="0076719A" w:rsidRPr="00B1515C">
        <w:t xml:space="preserve">, </w:t>
      </w:r>
      <w:r w:rsidR="00EE44BE" w:rsidRPr="008B1C97">
        <w:rPr>
          <w:rStyle w:val="Emphasis"/>
        </w:rPr>
        <w:t>Deloitte</w:t>
      </w:r>
      <w:r w:rsidR="004F0A51" w:rsidRPr="008B1C97">
        <w:rPr>
          <w:rStyle w:val="Emphasis"/>
        </w:rPr>
        <w:t xml:space="preserve"> </w:t>
      </w:r>
      <w:r w:rsidR="00A3106F" w:rsidRPr="00B1515C">
        <w:t>(Article,</w:t>
      </w:r>
      <w:r w:rsidR="000D5E04" w:rsidRPr="00B1515C">
        <w:t xml:space="preserve"> accessed 27</w:t>
      </w:r>
      <w:r w:rsidR="003A1C1D">
        <w:t> </w:t>
      </w:r>
      <w:r w:rsidR="000D5E04" w:rsidRPr="00B1515C">
        <w:t>January 2024)</w:t>
      </w:r>
      <w:r w:rsidR="00C101C5">
        <w:t>.</w:t>
      </w:r>
      <w:r w:rsidR="000D5E04" w:rsidRPr="00B1515C">
        <w:t xml:space="preserve"> </w:t>
      </w:r>
    </w:p>
  </w:footnote>
  <w:footnote w:id="143">
    <w:p w14:paraId="24FF0C42" w14:textId="0B77355C" w:rsidR="0076719A" w:rsidRPr="00B1515C" w:rsidRDefault="00815763" w:rsidP="00A01254">
      <w:pPr>
        <w:pStyle w:val="FootnoteText"/>
      </w:pPr>
      <w:r w:rsidRPr="00815763">
        <w:rPr>
          <w:rStyle w:val="FootnoteReference"/>
          <w:vertAlign w:val="baseline"/>
        </w:rPr>
        <w:footnoteRef/>
      </w:r>
      <w:r w:rsidR="0076719A" w:rsidRPr="00B1515C">
        <w:t xml:space="preserve"> </w:t>
      </w:r>
      <w:r w:rsidR="00FE31B9" w:rsidRPr="00B1515C">
        <w:tab/>
      </w:r>
      <w:r w:rsidR="0076719A" w:rsidRPr="00B1515C">
        <w:t xml:space="preserve">OECD, </w:t>
      </w:r>
      <w:r w:rsidR="0076719A" w:rsidRPr="008B1C97">
        <w:rPr>
          <w:rStyle w:val="Emphasis"/>
        </w:rPr>
        <w:t>Taxing Virtual Currencies</w:t>
      </w:r>
      <w:r w:rsidR="0076719A" w:rsidRPr="00B1515C">
        <w:t xml:space="preserve"> </w:t>
      </w:r>
      <w:r w:rsidR="001609BE" w:rsidRPr="00B1515C">
        <w:t>(n 6)</w:t>
      </w:r>
      <w:r w:rsidR="0076719A" w:rsidRPr="00B1515C">
        <w:t xml:space="preserve"> 15</w:t>
      </w:r>
      <w:r w:rsidR="00CA7271" w:rsidRPr="00B1515C">
        <w:t>; also see</w:t>
      </w:r>
      <w:r w:rsidR="00BD3171" w:rsidRPr="00B1515C">
        <w:t xml:space="preserve"> </w:t>
      </w:r>
      <w:r w:rsidR="00013A84" w:rsidRPr="00B1515C">
        <w:t xml:space="preserve">Katelyn Peters, </w:t>
      </w:r>
      <w:r w:rsidR="00F75232">
        <w:t>‘</w:t>
      </w:r>
      <w:hyperlink r:id="rId83" w:history="1">
        <w:r w:rsidR="00013A84" w:rsidRPr="00C101C5">
          <w:rPr>
            <w:rStyle w:val="Hyperlink"/>
          </w:rPr>
          <w:t>A History of Bitcoin Hard Forks</w:t>
        </w:r>
      </w:hyperlink>
      <w:r w:rsidR="00F75232">
        <w:t>’</w:t>
      </w:r>
      <w:r w:rsidR="00013A84" w:rsidRPr="00B1515C">
        <w:t xml:space="preserve">, </w:t>
      </w:r>
      <w:r w:rsidR="00013A84" w:rsidRPr="008B1C97">
        <w:rPr>
          <w:rStyle w:val="Emphasis"/>
        </w:rPr>
        <w:t>Investopedia</w:t>
      </w:r>
      <w:r w:rsidR="00013A84" w:rsidRPr="00B1515C">
        <w:t xml:space="preserve"> (Web Page, 2 June 2023)</w:t>
      </w:r>
      <w:r w:rsidR="00C101C5">
        <w:t>.</w:t>
      </w:r>
    </w:p>
  </w:footnote>
  <w:footnote w:id="144">
    <w:p w14:paraId="14B4180F" w14:textId="54BAE3E5"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301B95" w:rsidRPr="00B1515C">
        <w:t>World Economic Forum</w:t>
      </w:r>
      <w:r w:rsidR="00B133A3" w:rsidRPr="00B1515C">
        <w:t xml:space="preserve"> in collaboration with the </w:t>
      </w:r>
      <w:r w:rsidR="007C3D50" w:rsidRPr="00B1515C">
        <w:t>Wharton Blockchain and Digital Asset Project</w:t>
      </w:r>
      <w:r w:rsidR="00301B95" w:rsidRPr="00B1515C">
        <w:t xml:space="preserve">, </w:t>
      </w:r>
      <w:hyperlink r:id="rId84" w:history="1">
        <w:r w:rsidR="00301B95" w:rsidRPr="00C101C5">
          <w:rPr>
            <w:rStyle w:val="Hyperlink"/>
            <w:i/>
            <w:iCs/>
          </w:rPr>
          <w:t>Decentralized Finance (DeFi) Policy</w:t>
        </w:r>
        <w:r w:rsidR="00F75232" w:rsidRPr="00C101C5">
          <w:rPr>
            <w:rStyle w:val="Hyperlink"/>
            <w:i/>
            <w:iCs/>
          </w:rPr>
          <w:t>-</w:t>
        </w:r>
        <w:r w:rsidR="00301B95" w:rsidRPr="00C101C5">
          <w:rPr>
            <w:rStyle w:val="Hyperlink"/>
            <w:i/>
            <w:iCs/>
          </w:rPr>
          <w:t>Maker Toolkit</w:t>
        </w:r>
      </w:hyperlink>
      <w:r w:rsidR="00301B95" w:rsidRPr="008B1C97">
        <w:rPr>
          <w:rStyle w:val="Emphasis"/>
        </w:rPr>
        <w:t xml:space="preserve"> </w:t>
      </w:r>
      <w:r w:rsidR="00301B95" w:rsidRPr="00B1515C">
        <w:t>(</w:t>
      </w:r>
      <w:r w:rsidR="00186F98" w:rsidRPr="00B1515C">
        <w:t xml:space="preserve">White Paper, </w:t>
      </w:r>
      <w:r w:rsidR="00301B95" w:rsidRPr="00B1515C">
        <w:t xml:space="preserve">June 2021) 4 </w:t>
      </w:r>
      <w:r w:rsidR="00974C72" w:rsidRPr="00B1515C">
        <w:t>(</w:t>
      </w:r>
      <w:r w:rsidR="00F75232">
        <w:t>‘</w:t>
      </w:r>
      <w:r w:rsidR="00974C72" w:rsidRPr="008B1C97">
        <w:rPr>
          <w:rStyle w:val="Emphasis"/>
        </w:rPr>
        <w:t>Decentralized Finance Toolkit</w:t>
      </w:r>
      <w:r w:rsidR="00F75232">
        <w:rPr>
          <w:rStyle w:val="Emphasis"/>
        </w:rPr>
        <w:t>’</w:t>
      </w:r>
      <w:r w:rsidR="00974C72" w:rsidRPr="00B1515C">
        <w:t>).</w:t>
      </w:r>
      <w:r w:rsidR="004F0A51" w:rsidRPr="00B1515C">
        <w:t xml:space="preserve"> </w:t>
      </w:r>
    </w:p>
  </w:footnote>
  <w:footnote w:id="145">
    <w:p w14:paraId="5C0BA514" w14:textId="3264064B"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8C49F7" w:rsidRPr="00B1515C">
        <w:t xml:space="preserve">World Economic Forum, </w:t>
      </w:r>
      <w:r w:rsidR="008C49F7" w:rsidRPr="008B1C97">
        <w:rPr>
          <w:rStyle w:val="Emphasis"/>
        </w:rPr>
        <w:t>Decentralized Finance Toolkit</w:t>
      </w:r>
      <w:r w:rsidR="008C49F7" w:rsidRPr="00B1515C">
        <w:t xml:space="preserve"> </w:t>
      </w:r>
      <w:r w:rsidR="00795A41" w:rsidRPr="00B1515C">
        <w:t>(n 143)</w:t>
      </w:r>
      <w:r w:rsidR="008C49F7" w:rsidRPr="00B1515C">
        <w:t xml:space="preserve"> </w:t>
      </w:r>
      <w:r w:rsidR="00301B95" w:rsidRPr="00B1515C">
        <w:t>6</w:t>
      </w:r>
      <w:r w:rsidR="008C49F7" w:rsidRPr="00B1515C">
        <w:t>.</w:t>
      </w:r>
      <w:r w:rsidR="00301B95" w:rsidRPr="00B1515C">
        <w:t xml:space="preserve"> </w:t>
      </w:r>
    </w:p>
  </w:footnote>
  <w:footnote w:id="146">
    <w:p w14:paraId="45C8E1DB" w14:textId="17B4A8AA"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8C49F7" w:rsidRPr="00B1515C">
        <w:t xml:space="preserve">World Economic Forum, </w:t>
      </w:r>
      <w:r w:rsidR="008C49F7" w:rsidRPr="008B1C97">
        <w:rPr>
          <w:rStyle w:val="Emphasis"/>
        </w:rPr>
        <w:t>Decentralized Finance Toolkit</w:t>
      </w:r>
      <w:r w:rsidR="008C49F7" w:rsidRPr="00B1515C">
        <w:t xml:space="preserve"> </w:t>
      </w:r>
      <w:r w:rsidR="00795A41" w:rsidRPr="00B1515C">
        <w:t>(n 143)</w:t>
      </w:r>
      <w:r w:rsidR="008C49F7" w:rsidRPr="00B1515C">
        <w:t xml:space="preserve"> </w:t>
      </w:r>
      <w:r w:rsidR="00301B95" w:rsidRPr="00B1515C">
        <w:t>4</w:t>
      </w:r>
      <w:r w:rsidR="008C49F7" w:rsidRPr="00B1515C">
        <w:t>.</w:t>
      </w:r>
      <w:r w:rsidR="00301B95" w:rsidRPr="00B1515C">
        <w:t xml:space="preserve"> </w:t>
      </w:r>
    </w:p>
  </w:footnote>
  <w:footnote w:id="147">
    <w:p w14:paraId="4B7D8C03" w14:textId="7E1E0780" w:rsidR="00EB2AC4" w:rsidRPr="00B1515C" w:rsidRDefault="00815763" w:rsidP="00A01254">
      <w:pPr>
        <w:pStyle w:val="FootnoteText"/>
      </w:pPr>
      <w:r w:rsidRPr="00815763">
        <w:rPr>
          <w:rStyle w:val="FootnoteReference"/>
          <w:vertAlign w:val="baseline"/>
        </w:rPr>
        <w:footnoteRef/>
      </w:r>
      <w:r w:rsidR="00EB2AC4" w:rsidRPr="00B1515C">
        <w:t xml:space="preserve"> </w:t>
      </w:r>
      <w:r w:rsidR="00FE31B9" w:rsidRPr="00B1515C">
        <w:tab/>
      </w:r>
      <w:r w:rsidR="00EB2AC4" w:rsidRPr="00B1515C">
        <w:t xml:space="preserve">OECD, </w:t>
      </w:r>
      <w:hyperlink r:id="rId85" w:history="1">
        <w:r w:rsidR="00EB2AC4" w:rsidRPr="00F1622B">
          <w:rPr>
            <w:rStyle w:val="Hyperlink"/>
            <w:i/>
            <w:iCs/>
          </w:rPr>
          <w:t>Why Decentralised Finance (DeFi) Matters and the Policy Implications</w:t>
        </w:r>
      </w:hyperlink>
      <w:r w:rsidR="00EB2AC4" w:rsidRPr="00B1515C">
        <w:t xml:space="preserve"> </w:t>
      </w:r>
      <w:r w:rsidR="00A3485A" w:rsidRPr="00B1515C">
        <w:t>(</w:t>
      </w:r>
      <w:r w:rsidR="00234CD3" w:rsidRPr="00B1515C">
        <w:t xml:space="preserve">Report, </w:t>
      </w:r>
      <w:r w:rsidR="00F43B9B" w:rsidRPr="00B1515C">
        <w:t>2022</w:t>
      </w:r>
      <w:r w:rsidR="00234CD3" w:rsidRPr="00B1515C">
        <w:t>)</w:t>
      </w:r>
      <w:r w:rsidR="00F1622B">
        <w:t>.</w:t>
      </w:r>
    </w:p>
  </w:footnote>
  <w:footnote w:id="148">
    <w:p w14:paraId="33EA94A5" w14:textId="38B1510C" w:rsidR="003A72A8" w:rsidRPr="00B1515C" w:rsidRDefault="00815763" w:rsidP="00A01254">
      <w:pPr>
        <w:pStyle w:val="FootnoteText"/>
      </w:pPr>
      <w:r w:rsidRPr="00815763">
        <w:rPr>
          <w:rStyle w:val="FootnoteReference"/>
          <w:vertAlign w:val="baseline"/>
        </w:rPr>
        <w:footnoteRef/>
      </w:r>
      <w:r w:rsidR="003A72A8" w:rsidRPr="00B1515C">
        <w:t xml:space="preserve"> </w:t>
      </w:r>
      <w:r w:rsidR="00FE31B9" w:rsidRPr="00B1515C">
        <w:tab/>
      </w:r>
      <w:r w:rsidR="00E64137" w:rsidRPr="00B1515C">
        <w:t xml:space="preserve">IOSCO Decentralised Finance Report </w:t>
      </w:r>
      <w:r w:rsidR="001609BE" w:rsidRPr="00B1515C">
        <w:t>(n 127)</w:t>
      </w:r>
      <w:r w:rsidR="00E64137" w:rsidRPr="00B1515C">
        <w:t xml:space="preserve"> </w:t>
      </w:r>
      <w:r w:rsidR="003A72A8" w:rsidRPr="00B1515C">
        <w:t>3</w:t>
      </w:r>
      <w:r w:rsidR="00E64137" w:rsidRPr="00B1515C">
        <w:t xml:space="preserve">, </w:t>
      </w:r>
      <w:r w:rsidR="003A72A8" w:rsidRPr="00B1515C">
        <w:t>8</w:t>
      </w:r>
      <w:r w:rsidR="00E64137" w:rsidRPr="00B1515C">
        <w:t>.</w:t>
      </w:r>
      <w:r w:rsidR="003A72A8" w:rsidRPr="00B1515C">
        <w:t xml:space="preserve"> </w:t>
      </w:r>
    </w:p>
  </w:footnote>
  <w:footnote w:id="149">
    <w:p w14:paraId="5D2961F3" w14:textId="46B208C2" w:rsidR="00527D40" w:rsidRPr="00B1515C" w:rsidRDefault="00815763" w:rsidP="00A01254">
      <w:pPr>
        <w:pStyle w:val="FootnoteText"/>
      </w:pPr>
      <w:r w:rsidRPr="00815763">
        <w:rPr>
          <w:rStyle w:val="FootnoteReference"/>
          <w:vertAlign w:val="baseline"/>
        </w:rPr>
        <w:footnoteRef/>
      </w:r>
      <w:r w:rsidR="00527D40" w:rsidRPr="00B1515C">
        <w:t xml:space="preserve"> </w:t>
      </w:r>
      <w:r w:rsidR="00FE31B9" w:rsidRPr="00B1515C">
        <w:tab/>
      </w:r>
      <w:r w:rsidR="00E64137" w:rsidRPr="00B1515C">
        <w:t xml:space="preserve">IOSCO Decentralised Finance Report </w:t>
      </w:r>
      <w:r w:rsidR="001609BE" w:rsidRPr="00B1515C">
        <w:t>(n 127)</w:t>
      </w:r>
      <w:r w:rsidR="00E64137" w:rsidRPr="00B1515C">
        <w:t xml:space="preserve"> </w:t>
      </w:r>
      <w:r w:rsidR="00B84DBF" w:rsidRPr="00B1515C">
        <w:t>3</w:t>
      </w:r>
      <w:r w:rsidR="00E64137" w:rsidRPr="00B1515C">
        <w:t xml:space="preserve">, </w:t>
      </w:r>
      <w:r w:rsidR="008B27B0" w:rsidRPr="00B1515C">
        <w:t>8</w:t>
      </w:r>
      <w:r w:rsidR="00E64137" w:rsidRPr="00B1515C">
        <w:t>.</w:t>
      </w:r>
      <w:r w:rsidR="00A26770" w:rsidRPr="00B1515C">
        <w:t xml:space="preserve"> </w:t>
      </w:r>
    </w:p>
  </w:footnote>
  <w:footnote w:id="150">
    <w:p w14:paraId="7ED64A91" w14:textId="4DC894F6" w:rsidR="00085F9E" w:rsidRPr="00B1515C" w:rsidRDefault="00815763" w:rsidP="00A01254">
      <w:pPr>
        <w:pStyle w:val="FootnoteText"/>
      </w:pPr>
      <w:r w:rsidRPr="00815763">
        <w:rPr>
          <w:rStyle w:val="FootnoteReference"/>
          <w:vertAlign w:val="baseline"/>
        </w:rPr>
        <w:footnoteRef/>
      </w:r>
      <w:r w:rsidR="00085F9E" w:rsidRPr="00B1515C">
        <w:t xml:space="preserve"> </w:t>
      </w:r>
      <w:r w:rsidR="00FE31B9" w:rsidRPr="00B1515C">
        <w:tab/>
      </w:r>
      <w:r w:rsidR="00E64137" w:rsidRPr="00B1515C">
        <w:t xml:space="preserve">IOSCO Decentralised Finance Report </w:t>
      </w:r>
      <w:r w:rsidR="001609BE" w:rsidRPr="00B1515C">
        <w:t>(n 127)</w:t>
      </w:r>
      <w:r w:rsidR="00E64137" w:rsidRPr="00B1515C">
        <w:t xml:space="preserve"> 8.</w:t>
      </w:r>
      <w:r w:rsidR="00E64137" w:rsidRPr="00B1515C" w:rsidDel="00E64137">
        <w:t xml:space="preserve"> </w:t>
      </w:r>
    </w:p>
  </w:footnote>
  <w:footnote w:id="151">
    <w:p w14:paraId="66DF92FF" w14:textId="45E821AA" w:rsidR="00837AA7" w:rsidRPr="00B1515C" w:rsidRDefault="00815763" w:rsidP="00A01254">
      <w:pPr>
        <w:pStyle w:val="FootnoteText"/>
      </w:pPr>
      <w:r w:rsidRPr="00815763">
        <w:rPr>
          <w:rStyle w:val="FootnoteReference"/>
          <w:vertAlign w:val="baseline"/>
        </w:rPr>
        <w:footnoteRef/>
      </w:r>
      <w:r w:rsidR="00837AA7" w:rsidRPr="00B1515C">
        <w:t xml:space="preserve"> </w:t>
      </w:r>
      <w:r w:rsidR="00FE31B9" w:rsidRPr="00B1515C">
        <w:tab/>
      </w:r>
      <w:r w:rsidR="00E64137" w:rsidRPr="00B1515C">
        <w:t xml:space="preserve">IOSCO Decentralised Finance Report </w:t>
      </w:r>
      <w:r w:rsidR="001609BE" w:rsidRPr="00B1515C">
        <w:t>(n 127)</w:t>
      </w:r>
      <w:r w:rsidR="00E64137" w:rsidRPr="00B1515C">
        <w:t xml:space="preserve"> </w:t>
      </w:r>
      <w:r w:rsidR="00837AA7" w:rsidRPr="00B1515C">
        <w:t>10</w:t>
      </w:r>
      <w:r w:rsidR="00E64137" w:rsidRPr="00B1515C">
        <w:t xml:space="preserve">. </w:t>
      </w:r>
    </w:p>
  </w:footnote>
  <w:footnote w:id="152">
    <w:p w14:paraId="64EC1131" w14:textId="2E1DC922" w:rsidR="008F2997" w:rsidRPr="00B1515C" w:rsidRDefault="00815763" w:rsidP="00A01254">
      <w:pPr>
        <w:pStyle w:val="FootnoteText"/>
      </w:pPr>
      <w:r w:rsidRPr="00815763">
        <w:rPr>
          <w:rStyle w:val="FootnoteReference"/>
          <w:vertAlign w:val="baseline"/>
        </w:rPr>
        <w:footnoteRef/>
      </w:r>
      <w:r w:rsidR="008F2997" w:rsidRPr="00B1515C">
        <w:t xml:space="preserve"> </w:t>
      </w:r>
      <w:r w:rsidR="00FE31B9" w:rsidRPr="00B1515C">
        <w:tab/>
      </w:r>
      <w:r w:rsidR="00334FDC" w:rsidRPr="00B1515C">
        <w:rPr>
          <w:rFonts w:cs="Calibri"/>
          <w:color w:val="000000"/>
        </w:rPr>
        <w:t xml:space="preserve">Wharton Blockchain, </w:t>
      </w:r>
      <w:r w:rsidR="00334FDC" w:rsidRPr="008B1C97">
        <w:rPr>
          <w:rStyle w:val="Emphasis"/>
        </w:rPr>
        <w:t>DeFi Beyond the Hype</w:t>
      </w:r>
      <w:r w:rsidR="00334FDC" w:rsidRPr="00B1515C">
        <w:rPr>
          <w:rFonts w:cs="Calibri"/>
          <w:color w:val="000000"/>
        </w:rPr>
        <w:t xml:space="preserve"> </w:t>
      </w:r>
      <w:r w:rsidR="001609BE" w:rsidRPr="00B1515C">
        <w:rPr>
          <w:rFonts w:cs="Calibri"/>
          <w:color w:val="000000"/>
        </w:rPr>
        <w:t>(n 12)</w:t>
      </w:r>
      <w:r w:rsidR="00334FDC" w:rsidRPr="00B1515C">
        <w:rPr>
          <w:rFonts w:cs="Calibri"/>
          <w:color w:val="000000"/>
        </w:rPr>
        <w:t xml:space="preserve"> </w:t>
      </w:r>
      <w:r w:rsidR="008F2997" w:rsidRPr="00B1515C">
        <w:t>8</w:t>
      </w:r>
      <w:r w:rsidR="006A75AB" w:rsidRPr="00B1515C">
        <w:t xml:space="preserve">, which also indicates that stable coins can </w:t>
      </w:r>
      <w:r w:rsidR="000B0AC3" w:rsidRPr="00B1515C">
        <w:t>seek to maintain a constant value relative to other real</w:t>
      </w:r>
      <w:r w:rsidR="00F75232">
        <w:t>-</w:t>
      </w:r>
      <w:r w:rsidR="000B0AC3" w:rsidRPr="00B1515C">
        <w:t>world assets such as securities, commodities, derivatives, or real estate</w:t>
      </w:r>
      <w:r w:rsidR="002661DC" w:rsidRPr="00B1515C">
        <w:t>.</w:t>
      </w:r>
      <w:r w:rsidR="004F0A51" w:rsidRPr="00B1515C">
        <w:t xml:space="preserve"> </w:t>
      </w:r>
      <w:r w:rsidR="002661DC" w:rsidRPr="00B1515C">
        <w:t xml:space="preserve">However, </w:t>
      </w:r>
      <w:r w:rsidR="001D7449" w:rsidRPr="00B1515C">
        <w:t xml:space="preserve">the Board understands that it is less common that </w:t>
      </w:r>
      <w:r w:rsidR="008D7E0A" w:rsidRPr="00B1515C">
        <w:t>such a token would be referred to as a stablecoin</w:t>
      </w:r>
      <w:r w:rsidR="008F2997" w:rsidRPr="00B1515C">
        <w:t>.</w:t>
      </w:r>
      <w:r w:rsidR="004F0A51" w:rsidRPr="00B1515C">
        <w:t xml:space="preserve"> </w:t>
      </w:r>
    </w:p>
  </w:footnote>
  <w:footnote w:id="153">
    <w:p w14:paraId="1A837AEF" w14:textId="6D14C5B6" w:rsidR="00867E57" w:rsidRPr="00B1515C" w:rsidRDefault="00815763" w:rsidP="00A01254">
      <w:pPr>
        <w:pStyle w:val="FootnoteText"/>
      </w:pPr>
      <w:r w:rsidRPr="00815763">
        <w:rPr>
          <w:rStyle w:val="FootnoteReference"/>
          <w:vertAlign w:val="baseline"/>
        </w:rPr>
        <w:footnoteRef/>
      </w:r>
      <w:r w:rsidR="00867E57" w:rsidRPr="00B1515C">
        <w:t xml:space="preserve"> </w:t>
      </w:r>
      <w:r w:rsidR="00FE31B9" w:rsidRPr="00B1515C">
        <w:tab/>
      </w:r>
      <w:r w:rsidR="00E64137" w:rsidRPr="00B1515C">
        <w:t xml:space="preserve">IOSCO Decentralised Finance Report </w:t>
      </w:r>
      <w:r w:rsidR="001609BE" w:rsidRPr="00B1515C">
        <w:t>(n 127)</w:t>
      </w:r>
      <w:r w:rsidR="00E64137" w:rsidRPr="00B1515C">
        <w:t xml:space="preserve"> </w:t>
      </w:r>
      <w:r w:rsidR="00867E57" w:rsidRPr="00B1515C">
        <w:t>10.</w:t>
      </w:r>
    </w:p>
  </w:footnote>
  <w:footnote w:id="154">
    <w:p w14:paraId="3830F69C" w14:textId="31DC8C16" w:rsidR="00EE1242" w:rsidRPr="00B1515C" w:rsidRDefault="00815763" w:rsidP="00A01254">
      <w:pPr>
        <w:pStyle w:val="FootnoteText"/>
      </w:pPr>
      <w:r w:rsidRPr="00815763">
        <w:rPr>
          <w:rStyle w:val="FootnoteReference"/>
          <w:vertAlign w:val="baseline"/>
        </w:rPr>
        <w:footnoteRef/>
      </w:r>
      <w:r w:rsidR="00EE1242" w:rsidRPr="00B1515C">
        <w:t xml:space="preserve"> </w:t>
      </w:r>
      <w:r w:rsidR="00FE31B9" w:rsidRPr="00B1515C">
        <w:tab/>
      </w:r>
      <w:r w:rsidR="00E64137" w:rsidRPr="00B1515C">
        <w:t xml:space="preserve">IOSCO Decentralised Finance Report </w:t>
      </w:r>
      <w:r w:rsidR="001609BE" w:rsidRPr="00B1515C">
        <w:t>(n 127)</w:t>
      </w:r>
      <w:r w:rsidR="00E64137" w:rsidRPr="00B1515C">
        <w:t xml:space="preserve"> </w:t>
      </w:r>
      <w:r w:rsidR="00EE1242" w:rsidRPr="00B1515C">
        <w:t>16</w:t>
      </w:r>
      <w:r w:rsidR="00F75232">
        <w:t>-</w:t>
      </w:r>
      <w:r w:rsidR="00EE1242" w:rsidRPr="00B1515C">
        <w:t>18.</w:t>
      </w:r>
    </w:p>
  </w:footnote>
  <w:footnote w:id="155">
    <w:p w14:paraId="08785F19" w14:textId="038A3CE0" w:rsidR="00333B12" w:rsidRPr="00B1515C" w:rsidRDefault="00815763" w:rsidP="00A01254">
      <w:pPr>
        <w:pStyle w:val="FootnoteText"/>
      </w:pPr>
      <w:r w:rsidRPr="00815763">
        <w:rPr>
          <w:rStyle w:val="FootnoteReference"/>
          <w:vertAlign w:val="baseline"/>
        </w:rPr>
        <w:footnoteRef/>
      </w:r>
      <w:r w:rsidR="00333B12" w:rsidRPr="00B1515C">
        <w:t xml:space="preserve"> </w:t>
      </w:r>
      <w:r w:rsidR="00FE31B9" w:rsidRPr="00B1515C">
        <w:tab/>
      </w:r>
      <w:r w:rsidR="0003458E" w:rsidRPr="00B1515C">
        <w:t xml:space="preserve">World Economic Forum, </w:t>
      </w:r>
      <w:r w:rsidR="0003458E" w:rsidRPr="008B1C97">
        <w:rPr>
          <w:rStyle w:val="Emphasis"/>
        </w:rPr>
        <w:t>Decentralized Finance Toolkit</w:t>
      </w:r>
      <w:r w:rsidR="0003458E" w:rsidRPr="00B1515C">
        <w:t xml:space="preserve"> </w:t>
      </w:r>
      <w:r w:rsidR="00795A41" w:rsidRPr="00B1515C">
        <w:t>(n 143)</w:t>
      </w:r>
      <w:r w:rsidR="0003458E" w:rsidRPr="00B1515C">
        <w:t xml:space="preserve"> </w:t>
      </w:r>
      <w:r w:rsidR="00333B12" w:rsidRPr="00B1515C">
        <w:t xml:space="preserve">10; </w:t>
      </w:r>
      <w:r w:rsidR="0041642E" w:rsidRPr="00B1515C">
        <w:t xml:space="preserve">Wharton Blockchain, </w:t>
      </w:r>
      <w:r w:rsidR="0041642E" w:rsidRPr="008B1C97">
        <w:rPr>
          <w:rStyle w:val="Emphasis"/>
        </w:rPr>
        <w:t>DeFi Beyond the Hype</w:t>
      </w:r>
      <w:r w:rsidR="0041642E" w:rsidRPr="00B1515C">
        <w:t xml:space="preserve"> </w:t>
      </w:r>
      <w:r w:rsidR="001609BE" w:rsidRPr="00B1515C">
        <w:t>(n</w:t>
      </w:r>
      <w:r w:rsidR="00DF49CF">
        <w:t> </w:t>
      </w:r>
      <w:r w:rsidR="001609BE" w:rsidRPr="00B1515C">
        <w:t>12)</w:t>
      </w:r>
      <w:r w:rsidR="00DF49CF">
        <w:t> </w:t>
      </w:r>
      <w:r w:rsidR="00333B12" w:rsidRPr="00B1515C">
        <w:t>9.</w:t>
      </w:r>
    </w:p>
  </w:footnote>
  <w:footnote w:id="156">
    <w:p w14:paraId="67624932" w14:textId="210E140B" w:rsidR="00367103" w:rsidRPr="00B1515C" w:rsidRDefault="00815763" w:rsidP="00A01254">
      <w:pPr>
        <w:pStyle w:val="FootnoteText"/>
      </w:pPr>
      <w:r w:rsidRPr="00815763">
        <w:rPr>
          <w:rStyle w:val="FootnoteReference"/>
          <w:vertAlign w:val="baseline"/>
        </w:rPr>
        <w:footnoteRef/>
      </w:r>
      <w:r w:rsidR="00367103" w:rsidRPr="00B1515C">
        <w:t xml:space="preserve"> </w:t>
      </w:r>
      <w:r w:rsidR="00FE31B9" w:rsidRPr="00B1515C">
        <w:tab/>
      </w:r>
      <w:r w:rsidR="00AD6D6C" w:rsidRPr="00B1515C">
        <w:t>Submission A</w:t>
      </w:r>
      <w:r w:rsidR="00E55E62" w:rsidRPr="00B1515C">
        <w:t xml:space="preserve">33, </w:t>
      </w:r>
      <w:r w:rsidR="00367103" w:rsidRPr="00B1515C">
        <w:t>39.</w:t>
      </w:r>
      <w:r w:rsidR="004F0A51" w:rsidRPr="00B1515C">
        <w:t xml:space="preserve"> </w:t>
      </w:r>
      <w:r w:rsidR="005475DA" w:rsidRPr="00B1515C">
        <w:t>For completeness: a</w:t>
      </w:r>
      <w:r w:rsidR="00E55E62" w:rsidRPr="00B1515C">
        <w:t xml:space="preserve"> </w:t>
      </w:r>
      <w:r w:rsidR="00F75232">
        <w:t>‘</w:t>
      </w:r>
      <w:r w:rsidR="00D8104B" w:rsidRPr="00B1515C">
        <w:t>side chain</w:t>
      </w:r>
      <w:r w:rsidR="00F75232">
        <w:t>’</w:t>
      </w:r>
      <w:r w:rsidR="00D8104B" w:rsidRPr="00B1515C">
        <w:t xml:space="preserve"> is a separate, independent blockchain linked to the main</w:t>
      </w:r>
      <w:r w:rsidR="000507F1" w:rsidRPr="00B1515C">
        <w:t xml:space="preserve"> </w:t>
      </w:r>
      <w:r w:rsidR="00D8104B" w:rsidRPr="00B1515C">
        <w:t xml:space="preserve">blockchain </w:t>
      </w:r>
      <w:r w:rsidR="00433C6F" w:rsidRPr="00B1515C">
        <w:t xml:space="preserve">(also referred to as parent blockchain or mainnet) </w:t>
      </w:r>
      <w:r w:rsidR="00D8104B" w:rsidRPr="00B1515C">
        <w:t>using a two</w:t>
      </w:r>
      <w:r w:rsidR="00F75232">
        <w:t>-</w:t>
      </w:r>
      <w:r w:rsidR="00D8104B" w:rsidRPr="00B1515C">
        <w:t>way bridge</w:t>
      </w:r>
      <w:r w:rsidR="00C23004" w:rsidRPr="00B1515C">
        <w:t>.</w:t>
      </w:r>
      <w:r w:rsidR="004F0A51" w:rsidRPr="00B1515C">
        <w:t xml:space="preserve"> </w:t>
      </w:r>
      <w:r w:rsidR="00C23004" w:rsidRPr="00B1515C">
        <w:t>A sidechain can be public or private, and each side chain has its own token, protocol, consensus mechanism, and security.</w:t>
      </w:r>
      <w:r w:rsidR="004F0A51" w:rsidRPr="00B1515C">
        <w:t xml:space="preserve"> </w:t>
      </w:r>
      <w:r w:rsidR="003B64A1" w:rsidRPr="00B1515C">
        <w:t>Sidechains can be used to run blockchain applications like decentralised apps (DApps), taking some computational load off the mainchain and helping to scale the blockchain.</w:t>
      </w:r>
      <w:r w:rsidR="004F0A51" w:rsidRPr="00B1515C">
        <w:t xml:space="preserve"> </w:t>
      </w:r>
      <w:r w:rsidR="00A6178A" w:rsidRPr="00B1515C">
        <w:t xml:space="preserve">Sidechains were first mentioned by Dr Adam Back in his paper </w:t>
      </w:r>
      <w:r w:rsidR="00F75232">
        <w:t>‘</w:t>
      </w:r>
      <w:r w:rsidR="00A6178A" w:rsidRPr="00B1515C">
        <w:t>Enabling Blockchain Innovations with Pegged Sidechains</w:t>
      </w:r>
      <w:r w:rsidR="00F75232">
        <w:t>’</w:t>
      </w:r>
      <w:r w:rsidR="007F1E92" w:rsidRPr="00B1515C">
        <w:t xml:space="preserve"> (22 </w:t>
      </w:r>
      <w:r w:rsidR="002340E2" w:rsidRPr="00B1515C">
        <w:t>October</w:t>
      </w:r>
      <w:r w:rsidR="007F1E92" w:rsidRPr="00B1515C">
        <w:t xml:space="preserve"> 2014)</w:t>
      </w:r>
      <w:r w:rsidR="00A6178A" w:rsidRPr="00B1515C">
        <w:t>.</w:t>
      </w:r>
      <w:r w:rsidR="004F0A51" w:rsidRPr="00B1515C">
        <w:t xml:space="preserve"> </w:t>
      </w:r>
      <w:r w:rsidR="00A6178A" w:rsidRPr="00B1515C">
        <w:t>A typical sidechain</w:t>
      </w:r>
      <w:r w:rsidR="00DB1156" w:rsidRPr="00B1515C">
        <w:t xml:space="preserve"> implementation creates a transaction on the first blockchain (the main chain) by locking the assets, then creates a transaction on the second blockchain (the sidechain) and provides cryptographic proofs to the transaction that the assets were locked correctly on the first blockchain</w:t>
      </w:r>
      <w:r w:rsidR="00CF33E1" w:rsidRPr="00B1515C">
        <w:t>.</w:t>
      </w:r>
      <w:r w:rsidR="00DB1156" w:rsidRPr="00B1515C">
        <w:t xml:space="preserve"> </w:t>
      </w:r>
      <w:r w:rsidR="00F75232">
        <w:t>‘</w:t>
      </w:r>
      <w:hyperlink r:id="rId86" w:history="1">
        <w:r w:rsidR="00DB1156" w:rsidRPr="00F1622B">
          <w:rPr>
            <w:rStyle w:val="Hyperlink"/>
          </w:rPr>
          <w:t>What are Sidechains?</w:t>
        </w:r>
        <w:r w:rsidR="004F0A51" w:rsidRPr="00F1622B">
          <w:rPr>
            <w:rStyle w:val="Hyperlink"/>
          </w:rPr>
          <w:t xml:space="preserve"> </w:t>
        </w:r>
        <w:r w:rsidR="00DB1156" w:rsidRPr="00F1622B">
          <w:rPr>
            <w:rStyle w:val="Hyperlink"/>
          </w:rPr>
          <w:t>Scaling Blockchain on the Side</w:t>
        </w:r>
      </w:hyperlink>
      <w:r w:rsidR="00F75232">
        <w:t>’</w:t>
      </w:r>
      <w:r w:rsidR="00CF33E1" w:rsidRPr="00B1515C">
        <w:t>,</w:t>
      </w:r>
      <w:r w:rsidR="00DB1156" w:rsidRPr="00B1515C">
        <w:t xml:space="preserve"> </w:t>
      </w:r>
      <w:r w:rsidR="00DB1156" w:rsidRPr="008B1C97">
        <w:rPr>
          <w:rStyle w:val="Emphasis"/>
        </w:rPr>
        <w:t>crypto.com</w:t>
      </w:r>
      <w:r w:rsidR="00CF33E1" w:rsidRPr="008B1C97">
        <w:rPr>
          <w:rStyle w:val="Emphasis"/>
        </w:rPr>
        <w:t xml:space="preserve"> </w:t>
      </w:r>
      <w:r w:rsidR="00CF33E1" w:rsidRPr="00B1515C">
        <w:t>(Web Page</w:t>
      </w:r>
      <w:r w:rsidR="00EE435A" w:rsidRPr="00B1515C">
        <w:t>,</w:t>
      </w:r>
      <w:r w:rsidR="00CF33E1" w:rsidRPr="00B1515C">
        <w:t xml:space="preserve"> </w:t>
      </w:r>
      <w:r w:rsidR="008321D2" w:rsidRPr="00B1515C">
        <w:t>4</w:t>
      </w:r>
      <w:r w:rsidR="00DF49CF">
        <w:t> </w:t>
      </w:r>
      <w:r w:rsidR="008321D2" w:rsidRPr="00B1515C">
        <w:t>February</w:t>
      </w:r>
      <w:r w:rsidR="00DF49CF">
        <w:t> </w:t>
      </w:r>
      <w:r w:rsidR="008321D2" w:rsidRPr="00B1515C">
        <w:t>2021)</w:t>
      </w:r>
      <w:r w:rsidR="00F1622B">
        <w:t xml:space="preserve">; </w:t>
      </w:r>
      <w:r w:rsidR="007F1E92" w:rsidRPr="00B1515C">
        <w:t xml:space="preserve">Stephan Roth, </w:t>
      </w:r>
      <w:r w:rsidR="00F75232">
        <w:t>‘</w:t>
      </w:r>
      <w:hyperlink r:id="rId87" w:history="1">
        <w:r w:rsidR="007F1E92" w:rsidRPr="00F1622B">
          <w:rPr>
            <w:rStyle w:val="Hyperlink"/>
          </w:rPr>
          <w:t>An</w:t>
        </w:r>
        <w:r w:rsidR="00DF49CF" w:rsidRPr="00F1622B">
          <w:rPr>
            <w:rStyle w:val="Hyperlink"/>
          </w:rPr>
          <w:t> </w:t>
        </w:r>
        <w:r w:rsidR="007F1E92" w:rsidRPr="00F1622B">
          <w:rPr>
            <w:rStyle w:val="Hyperlink"/>
          </w:rPr>
          <w:t>Introduction to Sidechains</w:t>
        </w:r>
      </w:hyperlink>
      <w:r w:rsidR="00F75232">
        <w:t>’</w:t>
      </w:r>
      <w:r w:rsidR="007F1E92" w:rsidRPr="00B1515C">
        <w:t xml:space="preserve">, </w:t>
      </w:r>
      <w:r w:rsidR="007F1E92" w:rsidRPr="008B1C97">
        <w:rPr>
          <w:rStyle w:val="Emphasis"/>
        </w:rPr>
        <w:t>Coindesk</w:t>
      </w:r>
      <w:r w:rsidR="006D3D0F" w:rsidRPr="00B1515C">
        <w:t xml:space="preserve"> </w:t>
      </w:r>
      <w:r w:rsidR="008321D2" w:rsidRPr="00B1515C">
        <w:t>(Web Page</w:t>
      </w:r>
      <w:r w:rsidR="007473E9" w:rsidRPr="00B1515C">
        <w:t xml:space="preserve">, </w:t>
      </w:r>
      <w:r w:rsidR="006D3D0F" w:rsidRPr="00B1515C">
        <w:t>12 May 2023</w:t>
      </w:r>
      <w:r w:rsidR="007473E9" w:rsidRPr="00B1515C">
        <w:t>)</w:t>
      </w:r>
      <w:r w:rsidR="00F1622B">
        <w:t>.</w:t>
      </w:r>
      <w:r w:rsidR="006D3D0F" w:rsidRPr="00B1515C">
        <w:t xml:space="preserve"> </w:t>
      </w:r>
    </w:p>
  </w:footnote>
  <w:footnote w:id="157">
    <w:p w14:paraId="57640CF3" w14:textId="09ECC681" w:rsidR="00550597" w:rsidRPr="00B1515C" w:rsidRDefault="00815763" w:rsidP="00A01254">
      <w:pPr>
        <w:pStyle w:val="FootnoteText"/>
      </w:pPr>
      <w:r w:rsidRPr="00815763">
        <w:rPr>
          <w:rStyle w:val="FootnoteReference"/>
          <w:vertAlign w:val="baseline"/>
        </w:rPr>
        <w:footnoteRef/>
      </w:r>
      <w:r w:rsidR="00550597" w:rsidRPr="00B1515C">
        <w:t xml:space="preserve"> </w:t>
      </w:r>
      <w:r w:rsidR="00FE31B9" w:rsidRPr="00B1515C">
        <w:tab/>
      </w:r>
      <w:r w:rsidR="00550597" w:rsidRPr="00B1515C">
        <w:t>Submission A19, 24.</w:t>
      </w:r>
    </w:p>
  </w:footnote>
  <w:footnote w:id="158">
    <w:p w14:paraId="163653E6" w14:textId="40B6FECB" w:rsidR="005D1178" w:rsidRPr="00B1515C" w:rsidRDefault="00815763" w:rsidP="00A01254">
      <w:pPr>
        <w:pStyle w:val="FootnoteText"/>
      </w:pPr>
      <w:r w:rsidRPr="00815763">
        <w:rPr>
          <w:rStyle w:val="FootnoteReference"/>
          <w:vertAlign w:val="baseline"/>
        </w:rPr>
        <w:footnoteRef/>
      </w:r>
      <w:r w:rsidR="005D1178" w:rsidRPr="00B1515C">
        <w:t xml:space="preserve"> </w:t>
      </w:r>
      <w:r w:rsidR="00FE31B9" w:rsidRPr="00B1515C">
        <w:tab/>
      </w:r>
      <w:r w:rsidR="005D1178" w:rsidRPr="00B1515C">
        <w:t xml:space="preserve">Robert Stevens, </w:t>
      </w:r>
      <w:r w:rsidR="00F75232">
        <w:t>‘</w:t>
      </w:r>
      <w:hyperlink r:id="rId88" w:history="1">
        <w:r w:rsidR="005D1178" w:rsidRPr="00F1622B">
          <w:rPr>
            <w:rStyle w:val="Hyperlink"/>
          </w:rPr>
          <w:t>What are Blockchain Bridges and How Do They Work?</w:t>
        </w:r>
      </w:hyperlink>
      <w:r w:rsidR="00F75232">
        <w:t>’</w:t>
      </w:r>
      <w:r w:rsidR="005D1178" w:rsidRPr="00B1515C">
        <w:t xml:space="preserve">, </w:t>
      </w:r>
      <w:r w:rsidR="005D1178" w:rsidRPr="008B1C97">
        <w:rPr>
          <w:rStyle w:val="Emphasis"/>
        </w:rPr>
        <w:t>Coindesk</w:t>
      </w:r>
      <w:r w:rsidR="005D1178" w:rsidRPr="00B1515C">
        <w:t xml:space="preserve"> </w:t>
      </w:r>
      <w:r w:rsidR="007473E9" w:rsidRPr="00B1515C">
        <w:t xml:space="preserve">(Web Page, </w:t>
      </w:r>
      <w:r w:rsidR="005D1178" w:rsidRPr="00B1515C">
        <w:t>12 May 2023</w:t>
      </w:r>
      <w:r w:rsidR="007473E9" w:rsidRPr="00B1515C">
        <w:t>)</w:t>
      </w:r>
      <w:r w:rsidR="00F1622B">
        <w:t>.</w:t>
      </w:r>
      <w:r w:rsidR="005D1178" w:rsidRPr="00B1515C">
        <w:t xml:space="preserve"> </w:t>
      </w:r>
    </w:p>
  </w:footnote>
  <w:footnote w:id="159">
    <w:p w14:paraId="393EB6AB" w14:textId="2CF0D536" w:rsidR="00EC643B" w:rsidRPr="00B1515C" w:rsidRDefault="00815763" w:rsidP="00A01254">
      <w:pPr>
        <w:pStyle w:val="FootnoteText"/>
      </w:pPr>
      <w:r w:rsidRPr="00815763">
        <w:rPr>
          <w:rStyle w:val="FootnoteReference"/>
          <w:vertAlign w:val="baseline"/>
        </w:rPr>
        <w:footnoteRef/>
      </w:r>
      <w:r w:rsidR="00EC643B" w:rsidRPr="00B1515C">
        <w:t xml:space="preserve"> </w:t>
      </w:r>
      <w:r w:rsidR="00FE31B9" w:rsidRPr="00B1515C">
        <w:tab/>
      </w:r>
      <w:r w:rsidR="00F75232">
        <w:t>‘</w:t>
      </w:r>
      <w:hyperlink r:id="rId89" w:history="1">
        <w:r w:rsidR="00D21D23" w:rsidRPr="00B830DA">
          <w:rPr>
            <w:rStyle w:val="Hyperlink"/>
          </w:rPr>
          <w:t>About Us</w:t>
        </w:r>
      </w:hyperlink>
      <w:r w:rsidR="00F75232">
        <w:t>’</w:t>
      </w:r>
      <w:r w:rsidR="00A94D5D" w:rsidRPr="00B1515C">
        <w:t xml:space="preserve">, </w:t>
      </w:r>
      <w:r w:rsidR="00A94D5D" w:rsidRPr="008B1C97">
        <w:rPr>
          <w:rStyle w:val="Emphasis"/>
        </w:rPr>
        <w:t>BitGo</w:t>
      </w:r>
      <w:r w:rsidR="00A94D5D" w:rsidRPr="00B1515C">
        <w:t xml:space="preserve"> (Web Page, accessed 27 January 2024</w:t>
      </w:r>
      <w:r w:rsidR="00D21D23">
        <w:t>).</w:t>
      </w:r>
    </w:p>
  </w:footnote>
  <w:footnote w:id="160">
    <w:p w14:paraId="0FE19E2E" w14:textId="24497F2B" w:rsidR="00894207" w:rsidRPr="00B1515C" w:rsidRDefault="00815763" w:rsidP="00A01254">
      <w:pPr>
        <w:pStyle w:val="FootnoteText"/>
      </w:pPr>
      <w:r w:rsidRPr="00815763">
        <w:rPr>
          <w:rStyle w:val="FootnoteReference"/>
          <w:vertAlign w:val="baseline"/>
        </w:rPr>
        <w:footnoteRef/>
      </w:r>
      <w:r w:rsidR="00894207" w:rsidRPr="00B1515C">
        <w:t xml:space="preserve"> </w:t>
      </w:r>
      <w:r w:rsidR="00FE31B9" w:rsidRPr="00B1515C">
        <w:tab/>
      </w:r>
      <w:r w:rsidR="00894207" w:rsidRPr="00B1515C">
        <w:t>Submission A19</w:t>
      </w:r>
      <w:r w:rsidR="00A94D5D" w:rsidRPr="00B1515C">
        <w:t xml:space="preserve">, </w:t>
      </w:r>
      <w:r w:rsidR="00894207" w:rsidRPr="00B1515C">
        <w:t>25.</w:t>
      </w:r>
    </w:p>
  </w:footnote>
  <w:footnote w:id="161">
    <w:p w14:paraId="6E36EE8C" w14:textId="22D1839D" w:rsidR="007D56D8" w:rsidRPr="00B1515C" w:rsidRDefault="00815763" w:rsidP="00A01254">
      <w:pPr>
        <w:pStyle w:val="FootnoteText"/>
      </w:pPr>
      <w:r w:rsidRPr="00815763">
        <w:rPr>
          <w:rStyle w:val="FootnoteReference"/>
          <w:vertAlign w:val="baseline"/>
        </w:rPr>
        <w:footnoteRef/>
      </w:r>
      <w:r w:rsidR="007D56D8" w:rsidRPr="00B1515C">
        <w:t xml:space="preserve"> </w:t>
      </w:r>
      <w:r w:rsidR="00FE31B9" w:rsidRPr="00B1515C">
        <w:tab/>
      </w:r>
      <w:r w:rsidR="00A94D5D" w:rsidRPr="00B1515C">
        <w:t xml:space="preserve">Submission </w:t>
      </w:r>
      <w:r w:rsidR="007C0512" w:rsidRPr="00B1515C">
        <w:t>A33</w:t>
      </w:r>
      <w:r w:rsidR="003A2EC2" w:rsidRPr="00B1515C">
        <w:t>,</w:t>
      </w:r>
      <w:r w:rsidR="004C0411" w:rsidRPr="00B1515C">
        <w:t xml:space="preserve"> 42.</w:t>
      </w:r>
    </w:p>
  </w:footnote>
  <w:footnote w:id="162">
    <w:p w14:paraId="18767C17" w14:textId="07F0298A" w:rsidR="00045C5A" w:rsidRPr="00B1515C" w:rsidRDefault="00815763" w:rsidP="00A01254">
      <w:pPr>
        <w:pStyle w:val="FootnoteText"/>
      </w:pPr>
      <w:r w:rsidRPr="00815763">
        <w:rPr>
          <w:rStyle w:val="FootnoteReference"/>
          <w:vertAlign w:val="baseline"/>
        </w:rPr>
        <w:footnoteRef/>
      </w:r>
      <w:r w:rsidR="00045C5A" w:rsidRPr="00B1515C">
        <w:t xml:space="preserve"> </w:t>
      </w:r>
      <w:r w:rsidR="00FE31B9" w:rsidRPr="00B1515C">
        <w:tab/>
      </w:r>
      <w:r w:rsidR="00045C5A" w:rsidRPr="00B1515C">
        <w:t>Submission A19</w:t>
      </w:r>
      <w:r w:rsidR="007C0512" w:rsidRPr="00B1515C">
        <w:t>,</w:t>
      </w:r>
      <w:r w:rsidR="00045C5A" w:rsidRPr="00B1515C">
        <w:t xml:space="preserve"> 25</w:t>
      </w:r>
      <w:r w:rsidR="007C0512" w:rsidRPr="00B1515C">
        <w:t>,</w:t>
      </w:r>
      <w:r w:rsidR="00045C5A" w:rsidRPr="00B1515C">
        <w:t xml:space="preserve"> </w:t>
      </w:r>
      <w:r w:rsidR="007C0512" w:rsidRPr="00B1515C">
        <w:t>fn</w:t>
      </w:r>
      <w:r w:rsidR="00045C5A" w:rsidRPr="00B1515C">
        <w:t xml:space="preserve"> 11, which largely made this point. </w:t>
      </w:r>
    </w:p>
  </w:footnote>
  <w:footnote w:id="163">
    <w:p w14:paraId="3E596DC0" w14:textId="48E42EEC" w:rsidR="00361586" w:rsidRPr="00B1515C" w:rsidRDefault="00815763" w:rsidP="00A01254">
      <w:pPr>
        <w:pStyle w:val="FootnoteText"/>
      </w:pPr>
      <w:r w:rsidRPr="00815763">
        <w:rPr>
          <w:rStyle w:val="FootnoteReference"/>
          <w:vertAlign w:val="baseline"/>
        </w:rPr>
        <w:footnoteRef/>
      </w:r>
      <w:r w:rsidR="00361586" w:rsidRPr="00B1515C">
        <w:t xml:space="preserve"> </w:t>
      </w:r>
      <w:r w:rsidR="00FE31B9" w:rsidRPr="00B1515C">
        <w:tab/>
      </w:r>
      <w:r w:rsidR="00F75232">
        <w:t>‘</w:t>
      </w:r>
      <w:hyperlink r:id="rId90" w:history="1">
        <w:r w:rsidR="00361586" w:rsidRPr="00A913DE">
          <w:rPr>
            <w:rStyle w:val="Hyperlink"/>
          </w:rPr>
          <w:t>What is WETH?</w:t>
        </w:r>
      </w:hyperlink>
      <w:r w:rsidR="00F75232">
        <w:t>’</w:t>
      </w:r>
      <w:r w:rsidR="00361586" w:rsidRPr="00B1515C">
        <w:t xml:space="preserve">, </w:t>
      </w:r>
      <w:r w:rsidR="00361586" w:rsidRPr="008B1C97">
        <w:rPr>
          <w:rStyle w:val="Emphasis"/>
        </w:rPr>
        <w:t>Bitcoin.com</w:t>
      </w:r>
      <w:r w:rsidR="003700CE" w:rsidRPr="00B1515C">
        <w:t xml:space="preserve"> (Web Page, accessed 27 January 2024)</w:t>
      </w:r>
      <w:r w:rsidR="00A913DE">
        <w:t>.</w:t>
      </w:r>
    </w:p>
  </w:footnote>
  <w:footnote w:id="164">
    <w:p w14:paraId="69475029" w14:textId="771FACB0" w:rsidR="00742533" w:rsidRPr="00B1515C" w:rsidRDefault="00815763" w:rsidP="00A01254">
      <w:pPr>
        <w:pStyle w:val="FootnoteText"/>
      </w:pPr>
      <w:r w:rsidRPr="00815763">
        <w:rPr>
          <w:rStyle w:val="FootnoteReference"/>
          <w:vertAlign w:val="baseline"/>
        </w:rPr>
        <w:footnoteRef/>
      </w:r>
      <w:r w:rsidR="00742533" w:rsidRPr="00B1515C">
        <w:t xml:space="preserve"> </w:t>
      </w:r>
      <w:r w:rsidR="00FE31B9" w:rsidRPr="00B1515C">
        <w:tab/>
      </w:r>
      <w:r w:rsidR="008F5EE0" w:rsidRPr="00B1515C">
        <w:t xml:space="preserve">Submission A10, 7; Submission A33, 42; Submission A37, 9; </w:t>
      </w:r>
      <w:r w:rsidR="00592045" w:rsidRPr="00B1515C">
        <w:t xml:space="preserve">IOSCO Decentralised Finance Report </w:t>
      </w:r>
      <w:r w:rsidR="001609BE" w:rsidRPr="00B1515C">
        <w:t>(n 127)</w:t>
      </w:r>
      <w:r w:rsidR="00592045" w:rsidRPr="00B1515C">
        <w:t xml:space="preserve"> </w:t>
      </w:r>
      <w:r w:rsidR="00CF29A6" w:rsidRPr="00B1515C">
        <w:t>6, 13</w:t>
      </w:r>
      <w:r w:rsidR="000F385D" w:rsidRPr="00B1515C">
        <w:t xml:space="preserve">; </w:t>
      </w:r>
      <w:r w:rsidR="00F75232">
        <w:t>‘</w:t>
      </w:r>
      <w:hyperlink r:id="rId91" w:history="1">
        <w:r w:rsidR="00EC3395" w:rsidRPr="00A913DE">
          <w:rPr>
            <w:rStyle w:val="Hyperlink"/>
          </w:rPr>
          <w:t>What is WETH?</w:t>
        </w:r>
      </w:hyperlink>
      <w:r w:rsidR="00F75232">
        <w:t>’</w:t>
      </w:r>
      <w:r w:rsidR="00EC3395" w:rsidRPr="00B1515C">
        <w:t xml:space="preserve">, </w:t>
      </w:r>
      <w:r w:rsidR="00EC3395" w:rsidRPr="008B1C97">
        <w:rPr>
          <w:rStyle w:val="Emphasis"/>
        </w:rPr>
        <w:t>Bitcoin.com</w:t>
      </w:r>
      <w:r w:rsidR="00EC3395" w:rsidRPr="00B1515C">
        <w:t xml:space="preserve"> (Web Page, accessed 27 January 2024)</w:t>
      </w:r>
      <w:r w:rsidR="00A913DE">
        <w:t xml:space="preserve">; </w:t>
      </w:r>
      <w:r w:rsidR="004F6FE7" w:rsidRPr="00B1515C">
        <w:t>Nathan Reiff</w:t>
      </w:r>
      <w:r w:rsidR="00E2799C" w:rsidRPr="00B1515C">
        <w:t xml:space="preserve">, </w:t>
      </w:r>
      <w:r w:rsidR="00F75232">
        <w:t>‘</w:t>
      </w:r>
      <w:hyperlink r:id="rId92" w:anchor=":~:text=ERC20%20is%20a%20community%2Dproposed,elements%20must%20all%20be%20present" w:history="1">
        <w:r w:rsidR="00E2799C" w:rsidRPr="00A913DE">
          <w:rPr>
            <w:rStyle w:val="Hyperlink"/>
          </w:rPr>
          <w:t>What Crypto Users Need to Know: the ERC20 Standard</w:t>
        </w:r>
      </w:hyperlink>
      <w:r w:rsidR="00F75232">
        <w:t>’</w:t>
      </w:r>
      <w:r w:rsidR="00E2799C" w:rsidRPr="00B1515C">
        <w:t>,</w:t>
      </w:r>
      <w:r w:rsidR="00EC3395" w:rsidRPr="00B1515C">
        <w:t xml:space="preserve"> </w:t>
      </w:r>
      <w:r w:rsidR="00EC3395" w:rsidRPr="008B1C97">
        <w:rPr>
          <w:rStyle w:val="Emphasis"/>
        </w:rPr>
        <w:t xml:space="preserve">Investopedia </w:t>
      </w:r>
      <w:r w:rsidR="00EC3395" w:rsidRPr="00B1515C">
        <w:t>(Web Page,</w:t>
      </w:r>
      <w:r w:rsidR="00E2799C" w:rsidRPr="00B1515C">
        <w:t xml:space="preserve"> 21</w:t>
      </w:r>
      <w:r w:rsidR="00DF49CF">
        <w:t> </w:t>
      </w:r>
      <w:r w:rsidR="00E2799C" w:rsidRPr="00B1515C">
        <w:t>December 2023</w:t>
      </w:r>
      <w:r w:rsidR="00EC3395" w:rsidRPr="00B1515C">
        <w:t>)</w:t>
      </w:r>
      <w:r w:rsidR="00344E0E">
        <w:t xml:space="preserve">; </w:t>
      </w:r>
      <w:r w:rsidR="00DC120F" w:rsidRPr="00B1515C">
        <w:t>Liz</w:t>
      </w:r>
      <w:r w:rsidR="00DF49CF">
        <w:t> </w:t>
      </w:r>
      <w:r w:rsidR="00DC120F" w:rsidRPr="00B1515C">
        <w:t xml:space="preserve">Merin, </w:t>
      </w:r>
      <w:r w:rsidR="00F75232">
        <w:t>‘</w:t>
      </w:r>
      <w:hyperlink r:id="rId93" w:history="1">
        <w:r w:rsidR="00DC120F" w:rsidRPr="00344E0E">
          <w:rPr>
            <w:rStyle w:val="Hyperlink"/>
          </w:rPr>
          <w:t>Wrapping vs. Swapping vs. Bridging: An intro to crypto facelift</w:t>
        </w:r>
      </w:hyperlink>
      <w:r w:rsidR="00F75232">
        <w:t>’</w:t>
      </w:r>
      <w:r w:rsidR="00DC120F" w:rsidRPr="00B1515C">
        <w:t xml:space="preserve">, </w:t>
      </w:r>
      <w:r w:rsidR="00DC120F" w:rsidRPr="008B1C97">
        <w:rPr>
          <w:rStyle w:val="Emphasis"/>
        </w:rPr>
        <w:t xml:space="preserve">Accubits </w:t>
      </w:r>
      <w:r w:rsidR="00DC120F" w:rsidRPr="00B1515C">
        <w:t>(</w:t>
      </w:r>
      <w:r w:rsidR="00FB6A6B" w:rsidRPr="00B1515C">
        <w:t xml:space="preserve">Blog, </w:t>
      </w:r>
      <w:r w:rsidR="00DC120F" w:rsidRPr="00B1515C">
        <w:t>22 November 2022)</w:t>
      </w:r>
      <w:r w:rsidR="00344E0E">
        <w:t xml:space="preserve">; </w:t>
      </w:r>
      <w:r w:rsidR="00F75232">
        <w:t>‘</w:t>
      </w:r>
      <w:hyperlink r:id="rId94" w:history="1">
        <w:r w:rsidR="009359F9" w:rsidRPr="00344E0E">
          <w:rPr>
            <w:rStyle w:val="Hyperlink"/>
          </w:rPr>
          <w:t>A beginner</w:t>
        </w:r>
        <w:r w:rsidR="00F75232" w:rsidRPr="00344E0E">
          <w:rPr>
            <w:rStyle w:val="Hyperlink"/>
          </w:rPr>
          <w:t>’</w:t>
        </w:r>
        <w:r w:rsidR="009359F9" w:rsidRPr="00344E0E">
          <w:rPr>
            <w:rStyle w:val="Hyperlink"/>
          </w:rPr>
          <w:t>s guide to understanding wrapped tokens and wrapped Bitcoin</w:t>
        </w:r>
      </w:hyperlink>
      <w:r w:rsidR="00F75232">
        <w:t>’</w:t>
      </w:r>
      <w:r w:rsidR="009359F9" w:rsidRPr="00B1515C">
        <w:t xml:space="preserve">, </w:t>
      </w:r>
      <w:r w:rsidR="009359F9" w:rsidRPr="008B1C97">
        <w:rPr>
          <w:rStyle w:val="Emphasis"/>
        </w:rPr>
        <w:t>Cointelegraph</w:t>
      </w:r>
      <w:r w:rsidR="0079045B" w:rsidRPr="00B1515C">
        <w:t xml:space="preserve"> (Web Page, accessed 27 January 2024)</w:t>
      </w:r>
      <w:r w:rsidR="00344E0E">
        <w:t xml:space="preserve">; </w:t>
      </w:r>
      <w:r w:rsidR="00813CFF" w:rsidRPr="00B1515C">
        <w:t xml:space="preserve">Noah Fields, </w:t>
      </w:r>
      <w:r w:rsidR="00F75232">
        <w:t>‘</w:t>
      </w:r>
      <w:hyperlink r:id="rId95" w:history="1">
        <w:r w:rsidR="00813CFF" w:rsidRPr="00344E0E">
          <w:rPr>
            <w:rStyle w:val="Hyperlink"/>
          </w:rPr>
          <w:t>Wrapped Tokens: Bridging the Blo</w:t>
        </w:r>
        <w:r w:rsidR="00A95B02">
          <w:rPr>
            <w:rStyle w:val="Hyperlink"/>
          </w:rPr>
          <w:t>c</w:t>
        </w:r>
        <w:r w:rsidR="00813CFF" w:rsidRPr="00344E0E">
          <w:rPr>
            <w:rStyle w:val="Hyperlink"/>
          </w:rPr>
          <w:t>kchain Space</w:t>
        </w:r>
      </w:hyperlink>
      <w:r w:rsidR="00F75232">
        <w:t>’</w:t>
      </w:r>
      <w:r w:rsidR="00813CFF" w:rsidRPr="00B1515C">
        <w:t xml:space="preserve">, </w:t>
      </w:r>
      <w:r w:rsidR="00813CFF" w:rsidRPr="008B1C97">
        <w:rPr>
          <w:rStyle w:val="Emphasis"/>
        </w:rPr>
        <w:t>Komodo</w:t>
      </w:r>
      <w:r w:rsidR="00813CFF" w:rsidRPr="00B1515C">
        <w:t xml:space="preserve"> </w:t>
      </w:r>
      <w:r w:rsidR="007573CC" w:rsidRPr="00B1515C">
        <w:t xml:space="preserve">(Web Page, </w:t>
      </w:r>
      <w:r w:rsidR="00813CFF" w:rsidRPr="00B1515C">
        <w:t>31 August 2023</w:t>
      </w:r>
      <w:r w:rsidR="007573CC" w:rsidRPr="00B1515C">
        <w:t>)</w:t>
      </w:r>
      <w:r w:rsidR="00344E0E">
        <w:t>.</w:t>
      </w:r>
    </w:p>
  </w:footnote>
  <w:footnote w:id="165">
    <w:p w14:paraId="57BC74B1" w14:textId="697238A6" w:rsidR="00C31237" w:rsidRPr="00B1515C" w:rsidRDefault="00815763" w:rsidP="00A01254">
      <w:pPr>
        <w:pStyle w:val="FootnoteText"/>
      </w:pPr>
      <w:r w:rsidRPr="00815763">
        <w:rPr>
          <w:rStyle w:val="FootnoteReference"/>
          <w:vertAlign w:val="baseline"/>
        </w:rPr>
        <w:footnoteRef/>
      </w:r>
      <w:r w:rsidR="00C31237" w:rsidRPr="00B1515C">
        <w:t xml:space="preserve"> </w:t>
      </w:r>
      <w:r w:rsidR="00FE31B9" w:rsidRPr="00B1515C">
        <w:tab/>
      </w:r>
      <w:r w:rsidR="0012621A" w:rsidRPr="00B1515C">
        <w:t xml:space="preserve">Robert Stevens, </w:t>
      </w:r>
      <w:r w:rsidR="00F75232">
        <w:t>‘</w:t>
      </w:r>
      <w:hyperlink r:id="rId96" w:history="1">
        <w:r w:rsidR="0012621A" w:rsidRPr="00344E0E">
          <w:rPr>
            <w:rStyle w:val="Hyperlink"/>
          </w:rPr>
          <w:t>What are Wrapped Tokens</w:t>
        </w:r>
      </w:hyperlink>
      <w:r w:rsidR="00F75232">
        <w:t>’</w:t>
      </w:r>
      <w:r w:rsidR="0012621A" w:rsidRPr="00B1515C">
        <w:t xml:space="preserve">, </w:t>
      </w:r>
      <w:r w:rsidR="0012621A" w:rsidRPr="008B1C97">
        <w:rPr>
          <w:rStyle w:val="Emphasis"/>
        </w:rPr>
        <w:t>CoinDesk</w:t>
      </w:r>
      <w:r w:rsidR="0012621A" w:rsidRPr="00B1515C">
        <w:t xml:space="preserve"> </w:t>
      </w:r>
      <w:r w:rsidR="007573CC" w:rsidRPr="00B1515C">
        <w:t xml:space="preserve">(Web Page, </w:t>
      </w:r>
      <w:r w:rsidR="00C97A47" w:rsidRPr="00B1515C">
        <w:t>12 May 2023</w:t>
      </w:r>
      <w:r w:rsidR="007573CC" w:rsidRPr="00B1515C">
        <w:t>)</w:t>
      </w:r>
      <w:r w:rsidR="00344E0E">
        <w:t>.</w:t>
      </w:r>
    </w:p>
  </w:footnote>
  <w:footnote w:id="166">
    <w:p w14:paraId="7F983502" w14:textId="22FDDBC0" w:rsidR="00E1351C" w:rsidRPr="00B1515C" w:rsidRDefault="00815763" w:rsidP="00A01254">
      <w:pPr>
        <w:pStyle w:val="FootnoteText"/>
      </w:pPr>
      <w:r w:rsidRPr="00815763">
        <w:rPr>
          <w:rStyle w:val="FootnoteReference"/>
          <w:vertAlign w:val="baseline"/>
        </w:rPr>
        <w:footnoteRef/>
      </w:r>
      <w:r w:rsidR="00E1351C" w:rsidRPr="00B1515C">
        <w:t xml:space="preserve"> </w:t>
      </w:r>
      <w:r w:rsidR="00FE31B9" w:rsidRPr="00B1515C">
        <w:tab/>
      </w:r>
      <w:r w:rsidR="002E033C" w:rsidRPr="00B1515C">
        <w:t xml:space="preserve">OECD, </w:t>
      </w:r>
      <w:r w:rsidR="002E033C" w:rsidRPr="008B1C97">
        <w:rPr>
          <w:rStyle w:val="Emphasis"/>
        </w:rPr>
        <w:t xml:space="preserve">Taxing Virtual Currencies </w:t>
      </w:r>
      <w:r w:rsidR="001609BE" w:rsidRPr="00B1515C">
        <w:t>(n 6)</w:t>
      </w:r>
      <w:r w:rsidR="002E033C" w:rsidRPr="00B1515C">
        <w:t xml:space="preserve"> </w:t>
      </w:r>
      <w:r w:rsidR="003F6F45" w:rsidRPr="00B1515C">
        <w:t>1</w:t>
      </w:r>
      <w:r w:rsidR="002108A2" w:rsidRPr="00B1515C">
        <w:t>4</w:t>
      </w:r>
      <w:r w:rsidR="003F6F45" w:rsidRPr="00B1515C">
        <w:t>.</w:t>
      </w:r>
    </w:p>
  </w:footnote>
  <w:footnote w:id="167">
    <w:p w14:paraId="44FCB420" w14:textId="0704F51B" w:rsidR="002E214E" w:rsidRPr="00B1515C" w:rsidRDefault="00815763" w:rsidP="00A01254">
      <w:pPr>
        <w:pStyle w:val="FootnoteText"/>
      </w:pPr>
      <w:r w:rsidRPr="00815763">
        <w:rPr>
          <w:rStyle w:val="FootnoteReference"/>
          <w:vertAlign w:val="baseline"/>
        </w:rPr>
        <w:footnoteRef/>
      </w:r>
      <w:r w:rsidR="002E214E" w:rsidRPr="00B1515C">
        <w:t xml:space="preserve"> </w:t>
      </w:r>
      <w:r w:rsidR="00FE31B9" w:rsidRPr="00B1515C">
        <w:tab/>
      </w:r>
      <w:r w:rsidR="00D14E77" w:rsidRPr="00B1515C">
        <w:t xml:space="preserve">Wharton Blockchain, </w:t>
      </w:r>
      <w:r w:rsidR="00D14E77" w:rsidRPr="008B1C97">
        <w:rPr>
          <w:rStyle w:val="Emphasis"/>
        </w:rPr>
        <w:t>DeFi Beyond the Hype</w:t>
      </w:r>
      <w:r w:rsidR="00D14E77" w:rsidRPr="00B1515C">
        <w:t xml:space="preserve"> </w:t>
      </w:r>
      <w:r w:rsidR="001609BE" w:rsidRPr="00B1515C">
        <w:t>(n 12)</w:t>
      </w:r>
      <w:r w:rsidR="00D14E77" w:rsidRPr="00B1515C">
        <w:t xml:space="preserve"> </w:t>
      </w:r>
      <w:r w:rsidR="002E214E" w:rsidRPr="00B1515C">
        <w:t xml:space="preserve">8; </w:t>
      </w:r>
      <w:r w:rsidR="00CC6E46" w:rsidRPr="00B1515C">
        <w:t xml:space="preserve">IOSCO Decentralised Finance Report </w:t>
      </w:r>
      <w:r w:rsidR="001609BE" w:rsidRPr="00B1515C">
        <w:t>(n 127)</w:t>
      </w:r>
      <w:r w:rsidR="00CC6E46" w:rsidRPr="00B1515C">
        <w:t xml:space="preserve"> </w:t>
      </w:r>
      <w:r w:rsidR="002E214E" w:rsidRPr="00B1515C">
        <w:t>14</w:t>
      </w:r>
      <w:r w:rsidR="00F75232">
        <w:t>-</w:t>
      </w:r>
      <w:r w:rsidR="0011057E" w:rsidRPr="00B1515C">
        <w:t>15</w:t>
      </w:r>
      <w:r w:rsidR="002E214E" w:rsidRPr="00B1515C">
        <w:t>.</w:t>
      </w:r>
    </w:p>
  </w:footnote>
  <w:footnote w:id="168">
    <w:p w14:paraId="2BA5B7BC" w14:textId="2C2B9136" w:rsidR="009927BD" w:rsidRPr="00B1515C" w:rsidRDefault="00815763" w:rsidP="00A01254">
      <w:pPr>
        <w:pStyle w:val="FootnoteText"/>
      </w:pPr>
      <w:r w:rsidRPr="00815763">
        <w:rPr>
          <w:rStyle w:val="FootnoteReference"/>
          <w:vertAlign w:val="baseline"/>
        </w:rPr>
        <w:footnoteRef/>
      </w:r>
      <w:r w:rsidR="009927BD" w:rsidRPr="00B1515C">
        <w:t xml:space="preserve"> </w:t>
      </w:r>
      <w:r w:rsidR="00FE31B9" w:rsidRPr="00B1515C">
        <w:tab/>
      </w:r>
      <w:r w:rsidR="00CC6E46" w:rsidRPr="00B1515C">
        <w:t xml:space="preserve">Wharton Blockchain, </w:t>
      </w:r>
      <w:r w:rsidR="00CC6E46" w:rsidRPr="008B1C97">
        <w:rPr>
          <w:rStyle w:val="Emphasis"/>
        </w:rPr>
        <w:t>DeFi Beyond the Hype</w:t>
      </w:r>
      <w:r w:rsidR="00CC6E46" w:rsidRPr="00B1515C">
        <w:t xml:space="preserve"> </w:t>
      </w:r>
      <w:r w:rsidR="001609BE" w:rsidRPr="00B1515C">
        <w:t>(n 12)</w:t>
      </w:r>
      <w:r w:rsidR="00CC6E46" w:rsidRPr="00B1515C">
        <w:t xml:space="preserve"> 8; IOSCO Decentralised Finance Report </w:t>
      </w:r>
      <w:r w:rsidR="001609BE" w:rsidRPr="00B1515C">
        <w:t>(n 127)</w:t>
      </w:r>
      <w:r w:rsidR="00CC6E46" w:rsidRPr="00B1515C">
        <w:t xml:space="preserve"> 14</w:t>
      </w:r>
      <w:r w:rsidR="00F75232">
        <w:t>-</w:t>
      </w:r>
      <w:r w:rsidR="00CC6E46" w:rsidRPr="00B1515C">
        <w:t>15.</w:t>
      </w:r>
    </w:p>
  </w:footnote>
  <w:footnote w:id="169">
    <w:p w14:paraId="348EFC83" w14:textId="696E3C49" w:rsidR="006D0B5E" w:rsidRPr="00B1515C" w:rsidRDefault="00815763" w:rsidP="00A01254">
      <w:pPr>
        <w:pStyle w:val="FootnoteText"/>
      </w:pPr>
      <w:r w:rsidRPr="00815763">
        <w:rPr>
          <w:rStyle w:val="FootnoteReference"/>
          <w:vertAlign w:val="baseline"/>
        </w:rPr>
        <w:footnoteRef/>
      </w:r>
      <w:r w:rsidR="006D0B5E" w:rsidRPr="00B1515C">
        <w:t xml:space="preserve"> </w:t>
      </w:r>
      <w:r w:rsidR="00FE31B9" w:rsidRPr="00B1515C">
        <w:tab/>
      </w:r>
      <w:r w:rsidR="006D0B5E" w:rsidRPr="00B1515C">
        <w:t xml:space="preserve">Marko Mihajlovic, </w:t>
      </w:r>
      <w:r w:rsidR="00F75232">
        <w:t>‘</w:t>
      </w:r>
      <w:hyperlink r:id="rId97" w:history="1">
        <w:r w:rsidR="006D0B5E" w:rsidRPr="002421E6">
          <w:rPr>
            <w:rStyle w:val="Hyperlink"/>
          </w:rPr>
          <w:t>What is Liquidity Mining</w:t>
        </w:r>
      </w:hyperlink>
      <w:r w:rsidR="00F75232">
        <w:t>’</w:t>
      </w:r>
      <w:r w:rsidR="00C7778D" w:rsidRPr="00B1515C">
        <w:t xml:space="preserve">, </w:t>
      </w:r>
      <w:r w:rsidR="00C7778D" w:rsidRPr="008B1C97">
        <w:rPr>
          <w:rStyle w:val="Emphasis"/>
        </w:rPr>
        <w:t>Shrimpy Academy</w:t>
      </w:r>
      <w:r w:rsidR="006D0B5E" w:rsidRPr="00B1515C">
        <w:t xml:space="preserve"> (</w:t>
      </w:r>
      <w:r w:rsidR="00C7778D" w:rsidRPr="00B1515C">
        <w:t xml:space="preserve">Web Page, </w:t>
      </w:r>
      <w:r w:rsidR="006D0B5E" w:rsidRPr="00B1515C">
        <w:t>8 May 2023)</w:t>
      </w:r>
      <w:r w:rsidR="007F22D0" w:rsidRPr="00B1515C">
        <w:t xml:space="preserve">; </w:t>
      </w:r>
      <w:r w:rsidR="008D1951" w:rsidRPr="00B1515C">
        <w:t>Anders Bylun</w:t>
      </w:r>
      <w:r w:rsidR="001C669C" w:rsidRPr="00B1515C">
        <w:t xml:space="preserve">d, </w:t>
      </w:r>
      <w:r w:rsidR="00F75232">
        <w:t>‘</w:t>
      </w:r>
      <w:hyperlink r:id="rId98" w:history="1">
        <w:r w:rsidR="00D33D8E">
          <w:rPr>
            <w:rStyle w:val="Hyperlink"/>
          </w:rPr>
          <w:t>What is Liquidity Mining?</w:t>
        </w:r>
      </w:hyperlink>
      <w:r w:rsidR="00F75232">
        <w:t>’</w:t>
      </w:r>
      <w:r w:rsidR="00C7778D" w:rsidRPr="00B1515C">
        <w:t xml:space="preserve">, </w:t>
      </w:r>
      <w:r w:rsidR="00C7778D" w:rsidRPr="008B1C97">
        <w:rPr>
          <w:rStyle w:val="Emphasis"/>
        </w:rPr>
        <w:t>The Motley Fool</w:t>
      </w:r>
      <w:r w:rsidR="001C669C" w:rsidRPr="00B1515C">
        <w:t xml:space="preserve"> (</w:t>
      </w:r>
      <w:r w:rsidR="00C7778D" w:rsidRPr="00B1515C">
        <w:t xml:space="preserve">Web Page, </w:t>
      </w:r>
      <w:r w:rsidR="001C669C" w:rsidRPr="00B1515C">
        <w:t>20 November 2023)</w:t>
      </w:r>
      <w:r w:rsidR="00EE6A6E">
        <w:t>.</w:t>
      </w:r>
    </w:p>
  </w:footnote>
  <w:footnote w:id="170">
    <w:p w14:paraId="755F2056" w14:textId="646E6000" w:rsidR="009927BD" w:rsidRPr="00B1515C" w:rsidRDefault="00815763" w:rsidP="00A01254">
      <w:pPr>
        <w:pStyle w:val="FootnoteText"/>
      </w:pPr>
      <w:r w:rsidRPr="00815763">
        <w:rPr>
          <w:rStyle w:val="FootnoteReference"/>
          <w:vertAlign w:val="baseline"/>
        </w:rPr>
        <w:footnoteRef/>
      </w:r>
      <w:r w:rsidR="009927BD" w:rsidRPr="00B1515C">
        <w:t xml:space="preserve"> </w:t>
      </w:r>
      <w:r w:rsidR="00FE31B9" w:rsidRPr="00B1515C">
        <w:tab/>
      </w:r>
      <w:r w:rsidR="00C7778D" w:rsidRPr="00B1515C">
        <w:t xml:space="preserve">Wharton Blockchain, </w:t>
      </w:r>
      <w:r w:rsidR="00C7778D" w:rsidRPr="008B1C97">
        <w:rPr>
          <w:rStyle w:val="Emphasis"/>
        </w:rPr>
        <w:t>DeFi Beyond the Hype</w:t>
      </w:r>
      <w:r w:rsidR="00C7778D" w:rsidRPr="00B1515C">
        <w:t xml:space="preserve"> </w:t>
      </w:r>
      <w:r w:rsidR="001609BE" w:rsidRPr="00B1515C">
        <w:t>(n 12)</w:t>
      </w:r>
      <w:r w:rsidR="00C7778D" w:rsidRPr="00B1515C">
        <w:t xml:space="preserve"> 8; IOSCO Decentralised Finance Report </w:t>
      </w:r>
      <w:r w:rsidR="001609BE" w:rsidRPr="00B1515C">
        <w:t>(n 127)</w:t>
      </w:r>
      <w:r w:rsidR="00C7778D" w:rsidRPr="00B1515C">
        <w:t xml:space="preserve"> 14</w:t>
      </w:r>
      <w:r w:rsidR="00F75232">
        <w:t>-</w:t>
      </w:r>
      <w:r w:rsidR="00C7778D" w:rsidRPr="00B1515C">
        <w:t>15.</w:t>
      </w:r>
    </w:p>
  </w:footnote>
  <w:footnote w:id="171">
    <w:p w14:paraId="4B7F50AC" w14:textId="686E1382" w:rsidR="00543020" w:rsidRPr="00B1515C" w:rsidRDefault="00815763" w:rsidP="00A01254">
      <w:pPr>
        <w:pStyle w:val="FootnoteText"/>
        <w:rPr>
          <w:szCs w:val="19"/>
        </w:rPr>
      </w:pPr>
      <w:r w:rsidRPr="00815763">
        <w:rPr>
          <w:rStyle w:val="FootnoteReference"/>
          <w:sz w:val="19"/>
          <w:szCs w:val="19"/>
          <w:vertAlign w:val="baseline"/>
        </w:rPr>
        <w:footnoteRef/>
      </w:r>
      <w:r w:rsidR="00543020" w:rsidRPr="00B1515C">
        <w:rPr>
          <w:szCs w:val="19"/>
        </w:rPr>
        <w:t xml:space="preserve"> </w:t>
      </w:r>
      <w:r w:rsidR="007D3A9B" w:rsidRPr="00B1515C">
        <w:rPr>
          <w:szCs w:val="19"/>
        </w:rPr>
        <w:tab/>
      </w:r>
      <w:r w:rsidR="00291E98" w:rsidRPr="00B1515C">
        <w:rPr>
          <w:szCs w:val="19"/>
        </w:rPr>
        <w:t xml:space="preserve">World Economic Forum, Decentralized Finance Toolkit </w:t>
      </w:r>
      <w:r w:rsidR="00795A41" w:rsidRPr="00B1515C">
        <w:rPr>
          <w:szCs w:val="19"/>
        </w:rPr>
        <w:t>(n 143)</w:t>
      </w:r>
      <w:r w:rsidR="00291E98" w:rsidRPr="00B1515C">
        <w:rPr>
          <w:szCs w:val="19"/>
        </w:rPr>
        <w:t xml:space="preserve"> </w:t>
      </w:r>
      <w:r w:rsidR="00543020" w:rsidRPr="00B1515C">
        <w:rPr>
          <w:szCs w:val="19"/>
        </w:rPr>
        <w:t>10.</w:t>
      </w:r>
    </w:p>
  </w:footnote>
  <w:footnote w:id="172">
    <w:p w14:paraId="359AA65F" w14:textId="71ACCD58" w:rsidR="00BB2570" w:rsidRPr="00B1515C" w:rsidRDefault="00815763" w:rsidP="00A01254">
      <w:pPr>
        <w:pStyle w:val="FootnoteText"/>
      </w:pPr>
      <w:r w:rsidRPr="00815763">
        <w:rPr>
          <w:rStyle w:val="FootnoteReference"/>
          <w:vertAlign w:val="baseline"/>
        </w:rPr>
        <w:footnoteRef/>
      </w:r>
      <w:r w:rsidR="00BB2570" w:rsidRPr="00B1515C">
        <w:t xml:space="preserve"> </w:t>
      </w:r>
      <w:r w:rsidR="00FE31B9" w:rsidRPr="00B1515C">
        <w:tab/>
      </w:r>
      <w:r w:rsidR="001D1361" w:rsidRPr="00B1515C">
        <w:t xml:space="preserve">OECD, </w:t>
      </w:r>
      <w:r w:rsidR="001D1361" w:rsidRPr="008B1C97">
        <w:rPr>
          <w:rStyle w:val="Emphasis"/>
        </w:rPr>
        <w:t>Taxing Virtual Currencies</w:t>
      </w:r>
      <w:r w:rsidR="001D1361" w:rsidRPr="00B1515C">
        <w:t xml:space="preserve"> </w:t>
      </w:r>
      <w:r w:rsidR="001609BE" w:rsidRPr="00B1515C">
        <w:t>(n 6)</w:t>
      </w:r>
      <w:r w:rsidR="001D1361" w:rsidRPr="00B1515C">
        <w:t xml:space="preserve"> </w:t>
      </w:r>
      <w:r w:rsidR="008B3C8F" w:rsidRPr="00B1515C">
        <w:t xml:space="preserve">14; </w:t>
      </w:r>
      <w:r w:rsidR="00F35EB5" w:rsidRPr="00B1515C">
        <w:t xml:space="preserve">Capaccioli, </w:t>
      </w:r>
      <w:r w:rsidR="00F35EB5" w:rsidRPr="008B1C97">
        <w:rPr>
          <w:rStyle w:val="Emphasis"/>
        </w:rPr>
        <w:t xml:space="preserve">Taxation of Cryptocurrencies </w:t>
      </w:r>
      <w:r w:rsidR="001609BE" w:rsidRPr="00B1515C">
        <w:t>(n 137)</w:t>
      </w:r>
      <w:r w:rsidR="00F35EB5" w:rsidRPr="00B1515C">
        <w:t xml:space="preserve"> </w:t>
      </w:r>
      <w:r w:rsidR="00BB2570" w:rsidRPr="00B1515C">
        <w:t>6</w:t>
      </w:r>
      <w:r w:rsidR="002A7C8C" w:rsidRPr="00B1515C">
        <w:t xml:space="preserve">; </w:t>
      </w:r>
      <w:r w:rsidR="00F75232">
        <w:t>‘</w:t>
      </w:r>
      <w:hyperlink r:id="rId99" w:anchor=":~:text=Coinbase.com%20is%20a%20centralized,a%20hosted%20digital%20asset%20wallet" w:history="1">
        <w:r w:rsidR="00CE48E9" w:rsidRPr="00EE6A6E">
          <w:rPr>
            <w:rStyle w:val="Hyperlink"/>
          </w:rPr>
          <w:t>What does Coinbase do with my digital assets</w:t>
        </w:r>
      </w:hyperlink>
      <w:r w:rsidR="00F75232">
        <w:t>’</w:t>
      </w:r>
      <w:r w:rsidR="00CE48E9" w:rsidRPr="00B1515C">
        <w:t xml:space="preserve">, </w:t>
      </w:r>
      <w:r w:rsidR="00CE48E9" w:rsidRPr="008B1C97">
        <w:rPr>
          <w:rStyle w:val="Emphasis"/>
        </w:rPr>
        <w:t xml:space="preserve">Coinbase </w:t>
      </w:r>
      <w:r w:rsidR="00CE48E9" w:rsidRPr="00B1515C">
        <w:t>(Web Page, accessed 27 January 2024</w:t>
      </w:r>
      <w:r w:rsidR="00A933F1" w:rsidRPr="00B1515C">
        <w:t>)</w:t>
      </w:r>
      <w:r w:rsidR="0071459D" w:rsidRPr="00B1515C">
        <w:t xml:space="preserve">; </w:t>
      </w:r>
      <w:r w:rsidR="00F75232">
        <w:t>‘</w:t>
      </w:r>
      <w:hyperlink r:id="rId100" w:history="1">
        <w:r w:rsidR="001B28BD" w:rsidRPr="00EE6A6E">
          <w:rPr>
            <w:rStyle w:val="Hyperlink"/>
          </w:rPr>
          <w:t>What are custodial and non</w:t>
        </w:r>
        <w:r w:rsidR="00F75232" w:rsidRPr="00EE6A6E">
          <w:rPr>
            <w:rStyle w:val="Hyperlink"/>
          </w:rPr>
          <w:t>-</w:t>
        </w:r>
        <w:r w:rsidR="001B28BD" w:rsidRPr="00EE6A6E">
          <w:rPr>
            <w:rStyle w:val="Hyperlink"/>
          </w:rPr>
          <w:t>custodial crypto wallets</w:t>
        </w:r>
      </w:hyperlink>
      <w:r w:rsidR="00F75232">
        <w:t>’</w:t>
      </w:r>
      <w:r w:rsidR="001B28BD" w:rsidRPr="00B1515C">
        <w:t xml:space="preserve">, </w:t>
      </w:r>
      <w:r w:rsidR="00A933F1" w:rsidRPr="008B1C97">
        <w:rPr>
          <w:rStyle w:val="Emphasis"/>
        </w:rPr>
        <w:t xml:space="preserve">Kraken </w:t>
      </w:r>
      <w:r w:rsidR="00A933F1" w:rsidRPr="00B1515C">
        <w:t>(Web Page</w:t>
      </w:r>
      <w:r w:rsidR="0068325A">
        <w:t>,</w:t>
      </w:r>
      <w:r w:rsidR="00A933F1" w:rsidRPr="00B1515C">
        <w:t xml:space="preserve"> accessed 27 January 2024)</w:t>
      </w:r>
      <w:r w:rsidR="00EE6A6E">
        <w:t>.</w:t>
      </w:r>
    </w:p>
  </w:footnote>
  <w:footnote w:id="173">
    <w:p w14:paraId="53CA1A91" w14:textId="0DA42131" w:rsidR="009522FB" w:rsidRPr="001D7787" w:rsidRDefault="00815763" w:rsidP="00A01254">
      <w:pPr>
        <w:pStyle w:val="FootnoteText"/>
        <w:rPr>
          <w:lang w:val="it-IT"/>
        </w:rPr>
      </w:pPr>
      <w:r w:rsidRPr="00815763">
        <w:rPr>
          <w:rStyle w:val="FootnoteReference"/>
          <w:vertAlign w:val="baseline"/>
        </w:rPr>
        <w:footnoteRef/>
      </w:r>
      <w:r w:rsidR="009522FB" w:rsidRPr="001D7787">
        <w:rPr>
          <w:lang w:val="it-IT"/>
        </w:rPr>
        <w:t xml:space="preserve"> </w:t>
      </w:r>
      <w:r w:rsidR="00FE31B9" w:rsidRPr="001D7787">
        <w:rPr>
          <w:lang w:val="it-IT"/>
        </w:rPr>
        <w:tab/>
      </w:r>
      <w:r w:rsidR="009522FB" w:rsidRPr="008B1C97">
        <w:rPr>
          <w:rStyle w:val="Emphasis"/>
          <w:lang w:val="it-IT"/>
        </w:rPr>
        <w:t>Rusco v Cryptopia Limited (in liq)</w:t>
      </w:r>
      <w:r w:rsidR="009522FB" w:rsidRPr="001D7787">
        <w:rPr>
          <w:lang w:val="it-IT"/>
        </w:rPr>
        <w:t xml:space="preserve"> [2020] N</w:t>
      </w:r>
      <w:r w:rsidR="0091250A" w:rsidRPr="001D7787">
        <w:rPr>
          <w:lang w:val="it-IT"/>
        </w:rPr>
        <w:t>Z</w:t>
      </w:r>
      <w:r w:rsidR="009522FB" w:rsidRPr="001D7787">
        <w:rPr>
          <w:lang w:val="it-IT"/>
        </w:rPr>
        <w:t>HC 728</w:t>
      </w:r>
      <w:r w:rsidR="0091250A" w:rsidRPr="001D7787">
        <w:rPr>
          <w:lang w:val="it-IT"/>
        </w:rPr>
        <w:t>; [2020] 2 NZLR 809</w:t>
      </w:r>
      <w:r w:rsidR="00A8103D" w:rsidRPr="001D7787">
        <w:rPr>
          <w:lang w:val="it-IT"/>
        </w:rPr>
        <w:t xml:space="preserve"> (Gendall J)</w:t>
      </w:r>
      <w:r w:rsidR="009522FB" w:rsidRPr="001D7787">
        <w:rPr>
          <w:lang w:val="it-IT"/>
        </w:rPr>
        <w:t>.</w:t>
      </w:r>
    </w:p>
  </w:footnote>
  <w:footnote w:id="174">
    <w:p w14:paraId="0F820334" w14:textId="1DCBEF12" w:rsidR="004613FA" w:rsidRPr="00B1515C" w:rsidRDefault="00815763" w:rsidP="00A01254">
      <w:pPr>
        <w:pStyle w:val="FootnoteText"/>
      </w:pPr>
      <w:r w:rsidRPr="00815763">
        <w:rPr>
          <w:rStyle w:val="FootnoteReference"/>
          <w:vertAlign w:val="baseline"/>
        </w:rPr>
        <w:footnoteRef/>
      </w:r>
      <w:r w:rsidR="004613FA" w:rsidRPr="00B1515C">
        <w:t xml:space="preserve"> </w:t>
      </w:r>
      <w:r w:rsidR="00FE31B9" w:rsidRPr="00B1515C">
        <w:tab/>
      </w:r>
      <w:r w:rsidR="00F75232">
        <w:t>‘</w:t>
      </w:r>
      <w:hyperlink r:id="rId101" w:history="1">
        <w:r w:rsidR="004613FA" w:rsidRPr="00EE6A6E">
          <w:rPr>
            <w:rStyle w:val="Hyperlink"/>
          </w:rPr>
          <w:t>What is Crypto OTC Trading and How Does it Work</w:t>
        </w:r>
      </w:hyperlink>
      <w:r w:rsidR="00F75232">
        <w:t>’</w:t>
      </w:r>
      <w:r w:rsidR="004613FA" w:rsidRPr="00B1515C">
        <w:t xml:space="preserve">, </w:t>
      </w:r>
      <w:r w:rsidR="004613FA" w:rsidRPr="008B1C97">
        <w:rPr>
          <w:rStyle w:val="Emphasis"/>
        </w:rPr>
        <w:t>Yellow Card</w:t>
      </w:r>
      <w:r w:rsidR="002B33CA" w:rsidRPr="00B1515C">
        <w:t xml:space="preserve"> (Web Page, 15 January 2024)</w:t>
      </w:r>
      <w:r w:rsidR="00EE6A6E">
        <w:t>;</w:t>
      </w:r>
      <w:r w:rsidR="002B33CA" w:rsidRPr="00B1515C">
        <w:t xml:space="preserve"> </w:t>
      </w:r>
      <w:r w:rsidR="00F35EB5" w:rsidRPr="00B1515C">
        <w:t xml:space="preserve">Capaccioli, </w:t>
      </w:r>
      <w:r w:rsidR="00F35EB5" w:rsidRPr="008B1C97">
        <w:rPr>
          <w:rStyle w:val="Emphasis"/>
        </w:rPr>
        <w:t xml:space="preserve">Taxation of Cryptocurrencies </w:t>
      </w:r>
      <w:r w:rsidR="001609BE" w:rsidRPr="00B1515C">
        <w:t>(n 137)</w:t>
      </w:r>
      <w:r w:rsidR="00F35EB5" w:rsidRPr="00B1515C">
        <w:t>.</w:t>
      </w:r>
      <w:r w:rsidR="004613FA" w:rsidRPr="00B1515C">
        <w:t>6</w:t>
      </w:r>
      <w:r w:rsidR="00526549" w:rsidRPr="00B1515C">
        <w:t xml:space="preserve">; Laura Sin, </w:t>
      </w:r>
      <w:hyperlink r:id="rId102" w:anchor=":~:text=Crypto%20OTC%20desks%20exist%20to,about%20their%20intention%20or%20transaction" w:history="1">
        <w:r w:rsidR="00F75232" w:rsidRPr="00EE6A6E">
          <w:t>‘</w:t>
        </w:r>
        <w:r w:rsidR="00526549" w:rsidRPr="00EE6A6E">
          <w:rPr>
            <w:rStyle w:val="Hyperlink"/>
          </w:rPr>
          <w:t>What Are Crypto OTC Desks and How Do They Work?</w:t>
        </w:r>
      </w:hyperlink>
      <w:r w:rsidR="00F75232">
        <w:t>’</w:t>
      </w:r>
      <w:r w:rsidR="00526549" w:rsidRPr="00B1515C">
        <w:t xml:space="preserve">, </w:t>
      </w:r>
      <w:r w:rsidR="00C72DDC" w:rsidRPr="008B1C97">
        <w:rPr>
          <w:rStyle w:val="Emphasis"/>
        </w:rPr>
        <w:t xml:space="preserve">Coindesk </w:t>
      </w:r>
      <w:r w:rsidR="00C72DDC" w:rsidRPr="00B1515C">
        <w:t xml:space="preserve">(Web Page, </w:t>
      </w:r>
      <w:r w:rsidR="00526549" w:rsidRPr="00B1515C">
        <w:t>12 January 2024</w:t>
      </w:r>
      <w:r w:rsidR="00C72DDC" w:rsidRPr="00B1515C">
        <w:t>)</w:t>
      </w:r>
      <w:r w:rsidR="00FE6344" w:rsidRPr="00B1515C">
        <w:t>.</w:t>
      </w:r>
    </w:p>
  </w:footnote>
  <w:footnote w:id="175">
    <w:p w14:paraId="51BBF346" w14:textId="740E5F0B" w:rsidR="006B53C4" w:rsidRPr="00B1515C" w:rsidRDefault="00815763" w:rsidP="00A01254">
      <w:pPr>
        <w:pStyle w:val="FootnoteText"/>
        <w:rPr>
          <w:sz w:val="18"/>
        </w:rPr>
      </w:pPr>
      <w:r w:rsidRPr="00815763">
        <w:rPr>
          <w:rStyle w:val="FootnoteReference"/>
          <w:sz w:val="18"/>
          <w:szCs w:val="18"/>
          <w:vertAlign w:val="baseline"/>
        </w:rPr>
        <w:footnoteRef/>
      </w:r>
      <w:r w:rsidR="006B53C4" w:rsidRPr="00B1515C">
        <w:rPr>
          <w:sz w:val="18"/>
        </w:rPr>
        <w:t xml:space="preserve"> </w:t>
      </w:r>
      <w:r w:rsidR="00FE31B9" w:rsidRPr="00B1515C">
        <w:rPr>
          <w:sz w:val="18"/>
        </w:rPr>
        <w:tab/>
      </w:r>
      <w:r w:rsidR="005F69E6" w:rsidRPr="00B1515C">
        <w:rPr>
          <w:rFonts w:cs="Calibri"/>
          <w:color w:val="000000"/>
          <w:sz w:val="18"/>
        </w:rPr>
        <w:t xml:space="preserve">Wharton Blockchain, </w:t>
      </w:r>
      <w:r w:rsidR="005F69E6" w:rsidRPr="008B1C97">
        <w:rPr>
          <w:rStyle w:val="Emphasis"/>
        </w:rPr>
        <w:t>DeFi Beyond the Hype</w:t>
      </w:r>
      <w:r w:rsidR="005F69E6" w:rsidRPr="00B1515C">
        <w:rPr>
          <w:rFonts w:cs="Calibri"/>
          <w:color w:val="000000"/>
          <w:sz w:val="18"/>
        </w:rPr>
        <w:t xml:space="preserve"> </w:t>
      </w:r>
      <w:r w:rsidR="001609BE" w:rsidRPr="00B1515C">
        <w:rPr>
          <w:rFonts w:cs="Calibri"/>
          <w:color w:val="000000"/>
          <w:sz w:val="18"/>
        </w:rPr>
        <w:t>(n 12)</w:t>
      </w:r>
      <w:r w:rsidR="006B53C4" w:rsidRPr="00B1515C">
        <w:rPr>
          <w:sz w:val="18"/>
        </w:rPr>
        <w:t xml:space="preserve"> 3.</w:t>
      </w:r>
    </w:p>
  </w:footnote>
  <w:footnote w:id="176">
    <w:p w14:paraId="67ADB9D5" w14:textId="7DB4D08B" w:rsidR="000044E5" w:rsidRPr="00B1515C" w:rsidRDefault="00815763" w:rsidP="00A01254">
      <w:pPr>
        <w:pStyle w:val="FootnoteText"/>
      </w:pPr>
      <w:r w:rsidRPr="00815763">
        <w:rPr>
          <w:rStyle w:val="FootnoteReference"/>
          <w:vertAlign w:val="baseline"/>
        </w:rPr>
        <w:footnoteRef/>
      </w:r>
      <w:r w:rsidR="000044E5" w:rsidRPr="00B1515C">
        <w:t xml:space="preserve"> </w:t>
      </w:r>
      <w:r w:rsidR="00FE31B9" w:rsidRPr="00B1515C">
        <w:tab/>
      </w:r>
      <w:r w:rsidR="000044E5" w:rsidRPr="00B1515C">
        <w:t>Submission A07, 10.</w:t>
      </w:r>
    </w:p>
  </w:footnote>
  <w:footnote w:id="177">
    <w:p w14:paraId="593BD266" w14:textId="09144219" w:rsidR="00194042" w:rsidRPr="00B1515C" w:rsidRDefault="00815763" w:rsidP="00A01254">
      <w:pPr>
        <w:pStyle w:val="FootnoteText"/>
      </w:pPr>
      <w:r w:rsidRPr="00815763">
        <w:rPr>
          <w:rStyle w:val="FootnoteReference"/>
          <w:vertAlign w:val="baseline"/>
        </w:rPr>
        <w:footnoteRef/>
      </w:r>
      <w:r w:rsidR="00194042" w:rsidRPr="00B1515C">
        <w:t xml:space="preserve"> </w:t>
      </w:r>
      <w:r w:rsidR="00FE31B9" w:rsidRPr="00B1515C">
        <w:tab/>
      </w:r>
      <w:r w:rsidR="00F35EB5" w:rsidRPr="00B1515C">
        <w:t xml:space="preserve">Capaccioli, </w:t>
      </w:r>
      <w:r w:rsidR="00F35EB5" w:rsidRPr="008B1C97">
        <w:rPr>
          <w:rStyle w:val="Emphasis"/>
        </w:rPr>
        <w:t xml:space="preserve">Taxation of Cryptocurrencies </w:t>
      </w:r>
      <w:r w:rsidR="001609BE" w:rsidRPr="00B1515C">
        <w:t>(n 137)</w:t>
      </w:r>
      <w:r w:rsidR="00F35EB5" w:rsidRPr="00B1515C">
        <w:t>.</w:t>
      </w:r>
      <w:r w:rsidR="00194042" w:rsidRPr="00B1515C">
        <w:t xml:space="preserve">5. Capaccioli further says </w:t>
      </w:r>
      <w:r w:rsidR="00F75232">
        <w:t>‘</w:t>
      </w:r>
      <w:r w:rsidR="00194042" w:rsidRPr="00B1515C">
        <w:t xml:space="preserve">The International Standard Organization (ISO 22739:2020) defined </w:t>
      </w:r>
      <w:r w:rsidR="00F75232">
        <w:t>“</w:t>
      </w:r>
      <w:r w:rsidR="00194042" w:rsidRPr="00B1515C">
        <w:t>3.84 wallet: application used to generate, manage, store or use private (3.62) and public keys (3.65) Note: A wallet can be implemented as a software or hardware module</w:t>
      </w:r>
      <w:r w:rsidR="00F75232">
        <w:t>”</w:t>
      </w:r>
      <w:r w:rsidR="00194042" w:rsidRPr="00B1515C">
        <w:t xml:space="preserve"> and National Institute of Standard and Technology (NIST</w:t>
      </w:r>
      <w:r w:rsidR="00F75232">
        <w:t>-</w:t>
      </w:r>
      <w:r w:rsidR="00194042" w:rsidRPr="00B1515C">
        <w:t xml:space="preserve">NISTIR 8301) </w:t>
      </w:r>
      <w:r w:rsidR="00F75232">
        <w:t>“</w:t>
      </w:r>
      <w:r w:rsidR="00194042" w:rsidRPr="00B1515C">
        <w:t>Wallet [20] An application used to generate, manage, store or use private and public keys. A wallet can be implemented as a software or hardware module</w:t>
      </w:r>
      <w:r w:rsidR="00F75232">
        <w:t>”</w:t>
      </w:r>
      <w:r w:rsidR="00194042" w:rsidRPr="00B1515C">
        <w:t>.</w:t>
      </w:r>
      <w:r w:rsidR="007236D1">
        <w:t>’.</w:t>
      </w:r>
    </w:p>
  </w:footnote>
  <w:footnote w:id="178">
    <w:p w14:paraId="5FD2595D" w14:textId="0B884717" w:rsidR="005303FA" w:rsidRPr="00B1515C" w:rsidRDefault="00815763" w:rsidP="00A01254">
      <w:pPr>
        <w:pStyle w:val="FootnoteText"/>
      </w:pPr>
      <w:r w:rsidRPr="00815763">
        <w:rPr>
          <w:rStyle w:val="FootnoteReference"/>
          <w:vertAlign w:val="baseline"/>
        </w:rPr>
        <w:footnoteRef/>
      </w:r>
      <w:r w:rsidR="005303FA" w:rsidRPr="00B1515C">
        <w:t xml:space="preserve"> </w:t>
      </w:r>
      <w:r w:rsidR="00FE31B9" w:rsidRPr="00B1515C">
        <w:tab/>
      </w:r>
      <w:r w:rsidR="00B024E8" w:rsidRPr="00B1515C">
        <w:rPr>
          <w:rFonts w:cs="Calibri"/>
          <w:color w:val="000000"/>
        </w:rPr>
        <w:t xml:space="preserve">Wharton Blockchain, </w:t>
      </w:r>
      <w:r w:rsidR="00B024E8" w:rsidRPr="008B1C97">
        <w:rPr>
          <w:rStyle w:val="Emphasis"/>
        </w:rPr>
        <w:t>DeFi Beyond the Hype</w:t>
      </w:r>
      <w:r w:rsidR="00B024E8" w:rsidRPr="00B1515C">
        <w:rPr>
          <w:rFonts w:cs="Calibri"/>
          <w:color w:val="000000"/>
        </w:rPr>
        <w:t xml:space="preserve"> </w:t>
      </w:r>
      <w:r w:rsidR="001609BE" w:rsidRPr="00B1515C">
        <w:rPr>
          <w:rFonts w:cs="Calibri"/>
          <w:color w:val="000000"/>
        </w:rPr>
        <w:t>(n 12)</w:t>
      </w:r>
      <w:r w:rsidR="00B024E8" w:rsidRPr="00B1515C">
        <w:t xml:space="preserve"> </w:t>
      </w:r>
      <w:r w:rsidR="005303FA" w:rsidRPr="00B1515C">
        <w:t>2.</w:t>
      </w:r>
    </w:p>
  </w:footnote>
  <w:footnote w:id="179">
    <w:p w14:paraId="25D1A85C" w14:textId="7CAAE3DE" w:rsidR="00194042" w:rsidRPr="00B1515C" w:rsidRDefault="00815763" w:rsidP="00A01254">
      <w:pPr>
        <w:pStyle w:val="FootnoteText"/>
      </w:pPr>
      <w:r w:rsidRPr="00815763">
        <w:rPr>
          <w:rStyle w:val="FootnoteReference"/>
          <w:vertAlign w:val="baseline"/>
        </w:rPr>
        <w:footnoteRef/>
      </w:r>
      <w:r w:rsidR="00194042" w:rsidRPr="00B1515C">
        <w:t xml:space="preserve"> </w:t>
      </w:r>
      <w:r w:rsidR="00FE31B9" w:rsidRPr="00B1515C">
        <w:tab/>
      </w:r>
      <w:r w:rsidR="008A0FE1" w:rsidRPr="00B1515C">
        <w:t>The Treasury</w:t>
      </w:r>
      <w:r w:rsidR="00194042" w:rsidRPr="00B1515C">
        <w:t xml:space="preserve">, </w:t>
      </w:r>
      <w:r w:rsidR="00194042" w:rsidRPr="008B1C97">
        <w:rPr>
          <w:rStyle w:val="Emphasis"/>
        </w:rPr>
        <w:t>Token Mapping Consultation Paper</w:t>
      </w:r>
      <w:r w:rsidR="00194042" w:rsidRPr="00B1515C">
        <w:t xml:space="preserve"> (n </w:t>
      </w:r>
      <w:r w:rsidR="008A0FE1" w:rsidRPr="00B1515C">
        <w:t>4</w:t>
      </w:r>
      <w:r w:rsidR="00194042" w:rsidRPr="00B1515C">
        <w:t xml:space="preserve">) </w:t>
      </w:r>
      <w:r w:rsidR="000E40AA" w:rsidRPr="00B1515C">
        <w:t>[</w:t>
      </w:r>
      <w:r w:rsidR="00194042" w:rsidRPr="00B1515C">
        <w:t>151</w:t>
      </w:r>
      <w:r w:rsidR="000E40AA" w:rsidRPr="00B1515C">
        <w:t>].</w:t>
      </w:r>
    </w:p>
  </w:footnote>
  <w:footnote w:id="180">
    <w:p w14:paraId="7734AA0F" w14:textId="77C2EE44" w:rsidR="00194042" w:rsidRPr="00B1515C" w:rsidRDefault="00815763" w:rsidP="00A01254">
      <w:pPr>
        <w:pStyle w:val="FootnoteText"/>
      </w:pPr>
      <w:r w:rsidRPr="00815763">
        <w:rPr>
          <w:rStyle w:val="FootnoteReference"/>
          <w:vertAlign w:val="baseline"/>
        </w:rPr>
        <w:footnoteRef/>
      </w:r>
      <w:r w:rsidR="00194042" w:rsidRPr="00B1515C">
        <w:t xml:space="preserve"> </w:t>
      </w:r>
      <w:r w:rsidR="00FE31B9" w:rsidRPr="00B1515C">
        <w:tab/>
      </w:r>
      <w:r w:rsidR="00F35EB5" w:rsidRPr="00B1515C">
        <w:t xml:space="preserve">Capaccioli, </w:t>
      </w:r>
      <w:r w:rsidR="00F35EB5" w:rsidRPr="008B1C97">
        <w:rPr>
          <w:rStyle w:val="Emphasis"/>
        </w:rPr>
        <w:t xml:space="preserve">Taxation of Cryptocurrencies </w:t>
      </w:r>
      <w:r w:rsidR="001609BE" w:rsidRPr="00B1515C">
        <w:t>(n 137)</w:t>
      </w:r>
      <w:r w:rsidR="00F35EB5" w:rsidRPr="00B1515C">
        <w:t>.</w:t>
      </w:r>
      <w:r w:rsidR="00194042" w:rsidRPr="00B1515C">
        <w:t>5.</w:t>
      </w:r>
    </w:p>
  </w:footnote>
  <w:footnote w:id="181">
    <w:p w14:paraId="3A6CFD15" w14:textId="4869284A" w:rsidR="00194042" w:rsidRPr="00B1515C" w:rsidRDefault="00815763" w:rsidP="00A01254">
      <w:pPr>
        <w:pStyle w:val="FootnoteText"/>
      </w:pPr>
      <w:r w:rsidRPr="00815763">
        <w:rPr>
          <w:rStyle w:val="FootnoteReference"/>
          <w:vertAlign w:val="baseline"/>
        </w:rPr>
        <w:footnoteRef/>
      </w:r>
      <w:r w:rsidR="00194042" w:rsidRPr="00B1515C">
        <w:t xml:space="preserve"> </w:t>
      </w:r>
      <w:r w:rsidR="00FE31B9" w:rsidRPr="00B1515C">
        <w:tab/>
      </w:r>
      <w:r w:rsidR="00194042" w:rsidRPr="00B1515C">
        <w:t>Submission A07, 10.</w:t>
      </w:r>
    </w:p>
  </w:footnote>
  <w:footnote w:id="182">
    <w:p w14:paraId="780E1B34" w14:textId="323C9985" w:rsidR="00194042" w:rsidRPr="00B1515C" w:rsidRDefault="00815763" w:rsidP="00A01254">
      <w:pPr>
        <w:pStyle w:val="FootnoteText"/>
      </w:pPr>
      <w:r w:rsidRPr="00815763">
        <w:rPr>
          <w:rStyle w:val="FootnoteReference"/>
          <w:vertAlign w:val="baseline"/>
        </w:rPr>
        <w:footnoteRef/>
      </w:r>
      <w:r w:rsidR="00194042" w:rsidRPr="00B1515C">
        <w:t xml:space="preserve"> </w:t>
      </w:r>
      <w:r w:rsidR="00FE31B9" w:rsidRPr="00B1515C">
        <w:tab/>
      </w:r>
      <w:r w:rsidR="00F35EB5" w:rsidRPr="00B1515C">
        <w:t xml:space="preserve">Capaccioli, </w:t>
      </w:r>
      <w:r w:rsidR="00F35EB5" w:rsidRPr="008B1C97">
        <w:rPr>
          <w:rStyle w:val="Emphasis"/>
        </w:rPr>
        <w:t xml:space="preserve">Taxation of Cryptocurrencies </w:t>
      </w:r>
      <w:r w:rsidR="001609BE" w:rsidRPr="00B1515C">
        <w:t>(n 137)</w:t>
      </w:r>
      <w:r w:rsidR="00F35EB5" w:rsidRPr="00B1515C">
        <w:t>.</w:t>
      </w:r>
      <w:r w:rsidR="00194042" w:rsidRPr="00B1515C">
        <w:t>5.</w:t>
      </w:r>
    </w:p>
  </w:footnote>
  <w:footnote w:id="183">
    <w:p w14:paraId="503689AF" w14:textId="43513503" w:rsidR="00194042" w:rsidRPr="00B1515C" w:rsidRDefault="00815763" w:rsidP="00A01254">
      <w:pPr>
        <w:pStyle w:val="FootnoteText"/>
      </w:pPr>
      <w:r w:rsidRPr="00815763">
        <w:rPr>
          <w:rStyle w:val="FootnoteReference"/>
          <w:vertAlign w:val="baseline"/>
        </w:rPr>
        <w:footnoteRef/>
      </w:r>
      <w:r w:rsidR="00194042" w:rsidRPr="00B1515C">
        <w:t xml:space="preserve"> </w:t>
      </w:r>
      <w:r w:rsidR="00FE31B9" w:rsidRPr="00B1515C">
        <w:tab/>
      </w:r>
      <w:r w:rsidR="00194042" w:rsidRPr="00B1515C">
        <w:t>Submission A07, 10.</w:t>
      </w:r>
    </w:p>
  </w:footnote>
  <w:footnote w:id="184">
    <w:p w14:paraId="1549FB8D" w14:textId="42E3D21D" w:rsidR="00E505EB" w:rsidRPr="00B1515C" w:rsidRDefault="00815763" w:rsidP="00A01254">
      <w:pPr>
        <w:pStyle w:val="FootnoteText"/>
      </w:pPr>
      <w:r w:rsidRPr="00815763">
        <w:rPr>
          <w:rStyle w:val="FootnoteReference"/>
          <w:vertAlign w:val="baseline"/>
        </w:rPr>
        <w:footnoteRef/>
      </w:r>
      <w:r w:rsidR="00E505EB" w:rsidRPr="00B1515C">
        <w:t xml:space="preserve"> </w:t>
      </w:r>
      <w:r w:rsidR="00FE31B9" w:rsidRPr="00B1515C">
        <w:tab/>
      </w:r>
      <w:r w:rsidR="00E505EB" w:rsidRPr="00B1515C">
        <w:t>Submission A07, 10</w:t>
      </w:r>
      <w:r w:rsidR="00972E11" w:rsidRPr="00B1515C">
        <w:t xml:space="preserve">; </w:t>
      </w:r>
      <w:r w:rsidR="00CF7B52" w:rsidRPr="00B1515C">
        <w:t xml:space="preserve">Siyu Ren Heinrich, </w:t>
      </w:r>
      <w:r w:rsidR="00F75232">
        <w:t>‘</w:t>
      </w:r>
      <w:hyperlink r:id="rId103" w:history="1">
        <w:r w:rsidR="00972E11" w:rsidRPr="00E7410D">
          <w:rPr>
            <w:rStyle w:val="Hyperlink"/>
          </w:rPr>
          <w:t>Custodial Wallets vs Self</w:t>
        </w:r>
        <w:r w:rsidR="00F75232" w:rsidRPr="00E7410D">
          <w:rPr>
            <w:rStyle w:val="Hyperlink"/>
          </w:rPr>
          <w:t>-</w:t>
        </w:r>
        <w:r w:rsidR="00972E11" w:rsidRPr="00E7410D">
          <w:rPr>
            <w:rStyle w:val="Hyperlink"/>
          </w:rPr>
          <w:t>Custody Wallets – which Crypto Wallet is Best?</w:t>
        </w:r>
      </w:hyperlink>
      <w:r w:rsidR="00F75232">
        <w:t>’</w:t>
      </w:r>
      <w:r w:rsidR="00972E11" w:rsidRPr="00B1515C">
        <w:t xml:space="preserve">, </w:t>
      </w:r>
      <w:r w:rsidR="00972E11" w:rsidRPr="008B1C97">
        <w:rPr>
          <w:rStyle w:val="Emphasis"/>
        </w:rPr>
        <w:t>tastycrypto</w:t>
      </w:r>
      <w:r w:rsidR="00CF7B52" w:rsidRPr="00B1515C">
        <w:t xml:space="preserve"> (Web Page,</w:t>
      </w:r>
      <w:r w:rsidR="00972E11" w:rsidRPr="00B1515C">
        <w:t xml:space="preserve"> 15 July 2023</w:t>
      </w:r>
      <w:r w:rsidR="00CF7B52" w:rsidRPr="00B1515C">
        <w:t>)</w:t>
      </w:r>
      <w:r w:rsidR="00E505EB" w:rsidRPr="00B1515C">
        <w:t>.</w:t>
      </w:r>
    </w:p>
  </w:footnote>
  <w:footnote w:id="185">
    <w:p w14:paraId="7CACFF0F" w14:textId="6EF45413" w:rsidR="00EB5964" w:rsidRPr="00B1515C" w:rsidRDefault="00815763" w:rsidP="00A01254">
      <w:pPr>
        <w:pStyle w:val="FootnoteText"/>
      </w:pPr>
      <w:r w:rsidRPr="00815763">
        <w:rPr>
          <w:rStyle w:val="FootnoteReference"/>
          <w:vertAlign w:val="baseline"/>
        </w:rPr>
        <w:footnoteRef/>
      </w:r>
      <w:r w:rsidR="00EB5964" w:rsidRPr="00B1515C">
        <w:t xml:space="preserve"> </w:t>
      </w:r>
      <w:r w:rsidR="00FE31B9" w:rsidRPr="00B1515C">
        <w:tab/>
      </w:r>
      <w:r w:rsidR="008A0FE1" w:rsidRPr="00B1515C">
        <w:t>The Treasury</w:t>
      </w:r>
      <w:r w:rsidR="00CF7B52" w:rsidRPr="00B1515C">
        <w:t xml:space="preserve">, </w:t>
      </w:r>
      <w:r w:rsidR="00CF7B52" w:rsidRPr="008B1C97">
        <w:rPr>
          <w:rStyle w:val="Emphasis"/>
        </w:rPr>
        <w:t>Token Mapping Consultation Paper</w:t>
      </w:r>
      <w:r w:rsidR="00CF7B52" w:rsidRPr="00B1515C">
        <w:t xml:space="preserve"> (n </w:t>
      </w:r>
      <w:r w:rsidR="008A0FE1" w:rsidRPr="00B1515C">
        <w:t>4</w:t>
      </w:r>
      <w:r w:rsidR="00CF7B52" w:rsidRPr="00B1515C">
        <w:t>) [</w:t>
      </w:r>
      <w:r w:rsidR="00EB5964" w:rsidRPr="00B1515C">
        <w:t>151</w:t>
      </w:r>
      <w:r w:rsidR="00CF7B52" w:rsidRPr="00B1515C">
        <w:t>]</w:t>
      </w:r>
      <w:r w:rsidR="00EB5964" w:rsidRPr="00B1515C">
        <w:t>.</w:t>
      </w:r>
    </w:p>
  </w:footnote>
  <w:footnote w:id="186">
    <w:p w14:paraId="46B1B24B" w14:textId="66E0B10B" w:rsidR="00067B3F" w:rsidRPr="00B1515C" w:rsidRDefault="00815763" w:rsidP="00A01254">
      <w:pPr>
        <w:pStyle w:val="FootnoteText"/>
      </w:pPr>
      <w:r w:rsidRPr="00815763">
        <w:rPr>
          <w:rStyle w:val="FootnoteReference"/>
          <w:vertAlign w:val="baseline"/>
        </w:rPr>
        <w:footnoteRef/>
      </w:r>
      <w:r w:rsidR="00067B3F" w:rsidRPr="00B1515C">
        <w:t xml:space="preserve"> </w:t>
      </w:r>
      <w:r w:rsidR="00FE31B9" w:rsidRPr="00B1515C">
        <w:tab/>
      </w:r>
      <w:r w:rsidR="00AD0DEA" w:rsidRPr="00B1515C">
        <w:rPr>
          <w:rFonts w:cs="Calibri"/>
          <w:color w:val="000000"/>
        </w:rPr>
        <w:t xml:space="preserve">World Economic Forum, </w:t>
      </w:r>
      <w:r w:rsidR="00AD0DEA" w:rsidRPr="0084535D">
        <w:rPr>
          <w:rStyle w:val="Emphasis"/>
        </w:rPr>
        <w:t xml:space="preserve">Decentralized Finance Toolkit </w:t>
      </w:r>
      <w:r w:rsidR="00795A41" w:rsidRPr="00B1515C">
        <w:rPr>
          <w:rFonts w:cs="Calibri"/>
          <w:color w:val="000000"/>
        </w:rPr>
        <w:t>(n 143)</w:t>
      </w:r>
      <w:r w:rsidR="00AD0DEA" w:rsidRPr="00B1515C">
        <w:rPr>
          <w:rFonts w:cs="Calibri"/>
          <w:color w:val="000000"/>
        </w:rPr>
        <w:t xml:space="preserve"> </w:t>
      </w:r>
      <w:r w:rsidR="00067B3F" w:rsidRPr="00B1515C">
        <w:t xml:space="preserve">10; also see </w:t>
      </w:r>
      <w:r w:rsidR="00CE7325" w:rsidRPr="00B1515C">
        <w:t xml:space="preserve">Wharton Blockchain, </w:t>
      </w:r>
      <w:r w:rsidR="00CE7325" w:rsidRPr="0084535D">
        <w:rPr>
          <w:rStyle w:val="Emphasis"/>
        </w:rPr>
        <w:t>DeFi Beyond the Hype</w:t>
      </w:r>
      <w:r w:rsidR="00CE7325" w:rsidRPr="00B1515C">
        <w:t xml:space="preserve"> </w:t>
      </w:r>
      <w:r w:rsidR="001609BE" w:rsidRPr="00B1515C">
        <w:t>(n 12)</w:t>
      </w:r>
      <w:r w:rsidR="00CE7325" w:rsidRPr="00B1515C">
        <w:t xml:space="preserve"> </w:t>
      </w:r>
      <w:r w:rsidR="00067B3F" w:rsidRPr="00B1515C">
        <w:t>8</w:t>
      </w:r>
      <w:r w:rsidR="00CE7325" w:rsidRPr="00B1515C">
        <w:t>.</w:t>
      </w:r>
    </w:p>
  </w:footnote>
  <w:footnote w:id="187">
    <w:p w14:paraId="4391502C" w14:textId="62F6A701" w:rsidR="00B06F39" w:rsidRPr="00B1515C" w:rsidRDefault="00815763" w:rsidP="00A01254">
      <w:pPr>
        <w:pStyle w:val="FootnoteText"/>
      </w:pPr>
      <w:r w:rsidRPr="00815763">
        <w:rPr>
          <w:rStyle w:val="FootnoteReference"/>
          <w:vertAlign w:val="baseline"/>
        </w:rPr>
        <w:footnoteRef/>
      </w:r>
      <w:r w:rsidR="00B06F39" w:rsidRPr="00B1515C">
        <w:t xml:space="preserve"> </w:t>
      </w:r>
      <w:r w:rsidR="00FE31B9" w:rsidRPr="00B1515C">
        <w:tab/>
      </w:r>
      <w:r w:rsidR="002E1622" w:rsidRPr="00B1515C">
        <w:t xml:space="preserve">IOSCO Decentralised Finance Report </w:t>
      </w:r>
      <w:r w:rsidR="001609BE" w:rsidRPr="00B1515C">
        <w:t>(n 127)</w:t>
      </w:r>
      <w:r w:rsidR="002E1622" w:rsidRPr="00B1515C">
        <w:t>.</w:t>
      </w:r>
    </w:p>
  </w:footnote>
  <w:footnote w:id="188">
    <w:p w14:paraId="663661C9" w14:textId="55F29F6E" w:rsidR="00E20A21" w:rsidRPr="00B1515C" w:rsidRDefault="00815763" w:rsidP="00A01254">
      <w:pPr>
        <w:pStyle w:val="FootnoteText"/>
      </w:pPr>
      <w:r w:rsidRPr="00815763">
        <w:rPr>
          <w:rStyle w:val="FootnoteReference"/>
          <w:vertAlign w:val="baseline"/>
        </w:rPr>
        <w:footnoteRef/>
      </w:r>
      <w:r w:rsidR="00E20A21" w:rsidRPr="00B1515C">
        <w:t xml:space="preserve"> </w:t>
      </w:r>
      <w:r w:rsidR="00FE31B9" w:rsidRPr="00B1515C">
        <w:tab/>
      </w:r>
      <w:r w:rsidR="002E1622" w:rsidRPr="00B1515C">
        <w:t xml:space="preserve">IOSCO Decentralised Finance Report </w:t>
      </w:r>
      <w:r w:rsidR="001609BE" w:rsidRPr="00B1515C">
        <w:t>(n 127)</w:t>
      </w:r>
      <w:r w:rsidR="002E1622" w:rsidRPr="00B1515C">
        <w:t xml:space="preserve"> </w:t>
      </w:r>
      <w:r w:rsidR="00E20A21" w:rsidRPr="00B1515C">
        <w:t>8</w:t>
      </w:r>
      <w:r w:rsidR="00F75232">
        <w:t>-</w:t>
      </w:r>
      <w:r w:rsidR="00E20A21" w:rsidRPr="00B1515C">
        <w:t>9.</w:t>
      </w:r>
    </w:p>
  </w:footnote>
  <w:footnote w:id="189">
    <w:p w14:paraId="2BDA3188" w14:textId="6B2888FC" w:rsidR="004C14E0" w:rsidRPr="00B1515C" w:rsidRDefault="00815763" w:rsidP="00A01254">
      <w:pPr>
        <w:pStyle w:val="FootnoteText"/>
      </w:pPr>
      <w:r w:rsidRPr="00815763">
        <w:rPr>
          <w:rStyle w:val="FootnoteReference"/>
          <w:vertAlign w:val="baseline"/>
        </w:rPr>
        <w:footnoteRef/>
      </w:r>
      <w:r w:rsidR="004C14E0" w:rsidRPr="00B1515C">
        <w:t xml:space="preserve"> </w:t>
      </w:r>
      <w:r w:rsidR="00FE31B9" w:rsidRPr="00B1515C">
        <w:tab/>
      </w:r>
      <w:r w:rsidR="002E1622" w:rsidRPr="00B1515C">
        <w:t xml:space="preserve">IOSCO Decentralised Finance Report </w:t>
      </w:r>
      <w:r w:rsidR="001609BE" w:rsidRPr="00B1515C">
        <w:t>(n 127)</w:t>
      </w:r>
      <w:r w:rsidR="002E1622" w:rsidRPr="00B1515C">
        <w:t xml:space="preserve"> </w:t>
      </w:r>
      <w:r w:rsidR="004C14E0" w:rsidRPr="00B1515C">
        <w:t>11.</w:t>
      </w:r>
    </w:p>
  </w:footnote>
  <w:footnote w:id="190">
    <w:p w14:paraId="6911B91A" w14:textId="52F75C8E" w:rsidR="00515DE6" w:rsidRPr="00B1515C" w:rsidRDefault="00815763" w:rsidP="00A01254">
      <w:pPr>
        <w:pStyle w:val="FootnoteText"/>
      </w:pPr>
      <w:r w:rsidRPr="00815763">
        <w:rPr>
          <w:rStyle w:val="FootnoteReference"/>
          <w:vertAlign w:val="baseline"/>
        </w:rPr>
        <w:footnoteRef/>
      </w:r>
      <w:r w:rsidR="00515DE6" w:rsidRPr="00B1515C">
        <w:t xml:space="preserve"> </w:t>
      </w:r>
      <w:r w:rsidR="00FE31B9" w:rsidRPr="00B1515C">
        <w:tab/>
      </w:r>
      <w:r w:rsidR="002E1622" w:rsidRPr="00B1515C">
        <w:t xml:space="preserve">IOSCO Decentralised Finance Report </w:t>
      </w:r>
      <w:r w:rsidR="001609BE" w:rsidRPr="00B1515C">
        <w:t>(n 127)</w:t>
      </w:r>
      <w:r w:rsidR="002E1622" w:rsidRPr="00B1515C">
        <w:t xml:space="preserve"> </w:t>
      </w:r>
      <w:r w:rsidR="00515DE6" w:rsidRPr="00B1515C">
        <w:t>11.</w:t>
      </w:r>
    </w:p>
  </w:footnote>
  <w:footnote w:id="191">
    <w:p w14:paraId="23459B13" w14:textId="07232B32" w:rsidR="000C1775" w:rsidRPr="00B1515C" w:rsidRDefault="00815763" w:rsidP="00A01254">
      <w:pPr>
        <w:pStyle w:val="FootnoteText"/>
      </w:pPr>
      <w:r w:rsidRPr="00815763">
        <w:rPr>
          <w:rStyle w:val="FootnoteReference"/>
          <w:vertAlign w:val="baseline"/>
        </w:rPr>
        <w:footnoteRef/>
      </w:r>
      <w:r w:rsidR="000C1775" w:rsidRPr="00B1515C">
        <w:t xml:space="preserve"> </w:t>
      </w:r>
      <w:r w:rsidR="00FE31B9" w:rsidRPr="00B1515C">
        <w:tab/>
      </w:r>
      <w:r w:rsidR="002E1622" w:rsidRPr="00B1515C">
        <w:t xml:space="preserve">IOSCO Decentralised Finance Report </w:t>
      </w:r>
      <w:r w:rsidR="001609BE" w:rsidRPr="00B1515C">
        <w:t>(n 127)</w:t>
      </w:r>
      <w:r w:rsidR="002E1622" w:rsidRPr="00B1515C">
        <w:t xml:space="preserve"> </w:t>
      </w:r>
      <w:r w:rsidR="000C1775" w:rsidRPr="00B1515C">
        <w:t>11.</w:t>
      </w:r>
    </w:p>
  </w:footnote>
  <w:footnote w:id="192">
    <w:p w14:paraId="6814D273" w14:textId="097A6625" w:rsidR="009E1F35" w:rsidRPr="00B1515C" w:rsidRDefault="00815763" w:rsidP="00A01254">
      <w:pPr>
        <w:pStyle w:val="FootnoteText"/>
      </w:pPr>
      <w:r w:rsidRPr="00815763">
        <w:rPr>
          <w:rStyle w:val="FootnoteReference"/>
          <w:vertAlign w:val="baseline"/>
        </w:rPr>
        <w:footnoteRef/>
      </w:r>
      <w:r w:rsidR="009E1F35" w:rsidRPr="00B1515C">
        <w:t xml:space="preserve"> </w:t>
      </w:r>
      <w:r w:rsidR="00FE31B9" w:rsidRPr="00B1515C">
        <w:tab/>
      </w:r>
      <w:r w:rsidR="002E1622" w:rsidRPr="00B1515C">
        <w:t xml:space="preserve">IOSCO Decentralised Finance Report </w:t>
      </w:r>
      <w:r w:rsidR="001609BE" w:rsidRPr="00B1515C">
        <w:t>(n 127)</w:t>
      </w:r>
      <w:r w:rsidR="002E1622" w:rsidRPr="00B1515C">
        <w:t xml:space="preserve"> </w:t>
      </w:r>
      <w:r w:rsidR="009E1F35" w:rsidRPr="00B1515C">
        <w:t>11.</w:t>
      </w:r>
    </w:p>
  </w:footnote>
  <w:footnote w:id="193">
    <w:p w14:paraId="6C7BF2B8" w14:textId="4E4D6E12" w:rsidR="00707DAE" w:rsidRPr="00B1515C" w:rsidRDefault="00815763" w:rsidP="00A01254">
      <w:pPr>
        <w:pStyle w:val="FootnoteText"/>
      </w:pPr>
      <w:r w:rsidRPr="00815763">
        <w:rPr>
          <w:rStyle w:val="FootnoteReference"/>
          <w:vertAlign w:val="baseline"/>
        </w:rPr>
        <w:footnoteRef/>
      </w:r>
      <w:r w:rsidR="00707DAE" w:rsidRPr="00B1515C">
        <w:t xml:space="preserve"> </w:t>
      </w:r>
      <w:r w:rsidR="00FE31B9" w:rsidRPr="00B1515C">
        <w:tab/>
      </w:r>
      <w:r w:rsidR="002E1622" w:rsidRPr="00B1515C">
        <w:t xml:space="preserve">IOSCO Decentralised Finance Report </w:t>
      </w:r>
      <w:r w:rsidR="001609BE" w:rsidRPr="00B1515C">
        <w:t>(n 127)</w:t>
      </w:r>
      <w:r w:rsidR="002E1622" w:rsidRPr="00B1515C">
        <w:t xml:space="preserve"> </w:t>
      </w:r>
      <w:r w:rsidR="00707DAE" w:rsidRPr="00B1515C">
        <w:t>11.</w:t>
      </w:r>
    </w:p>
  </w:footnote>
  <w:footnote w:id="194">
    <w:p w14:paraId="3B5FD102" w14:textId="5EE10437" w:rsidR="00C800B4" w:rsidRPr="00B1515C" w:rsidRDefault="00815763" w:rsidP="00A01254">
      <w:pPr>
        <w:pStyle w:val="FootnoteText"/>
      </w:pPr>
      <w:r w:rsidRPr="00815763">
        <w:rPr>
          <w:rStyle w:val="FootnoteReference"/>
          <w:vertAlign w:val="baseline"/>
        </w:rPr>
        <w:footnoteRef/>
      </w:r>
      <w:r w:rsidR="00C800B4" w:rsidRPr="00B1515C">
        <w:t xml:space="preserve"> </w:t>
      </w:r>
      <w:r w:rsidR="00FE31B9" w:rsidRPr="00B1515C">
        <w:tab/>
      </w:r>
      <w:r w:rsidR="002E1622" w:rsidRPr="00B1515C">
        <w:t xml:space="preserve">IOSCO Decentralised Finance Report </w:t>
      </w:r>
      <w:r w:rsidR="001609BE" w:rsidRPr="00B1515C">
        <w:t>(n 127)</w:t>
      </w:r>
      <w:r w:rsidR="002E1622" w:rsidRPr="00B1515C">
        <w:t xml:space="preserve"> </w:t>
      </w:r>
      <w:r w:rsidR="00C800B4" w:rsidRPr="00B1515C">
        <w:t>11.</w:t>
      </w:r>
    </w:p>
  </w:footnote>
  <w:footnote w:id="195">
    <w:p w14:paraId="0249EBF0" w14:textId="12617EA0" w:rsidR="00362B06" w:rsidRPr="00B1515C" w:rsidRDefault="00815763" w:rsidP="00A01254">
      <w:pPr>
        <w:pStyle w:val="FootnoteText"/>
      </w:pPr>
      <w:r w:rsidRPr="00815763">
        <w:rPr>
          <w:rStyle w:val="FootnoteReference"/>
          <w:vertAlign w:val="baseline"/>
        </w:rPr>
        <w:footnoteRef/>
      </w:r>
      <w:r w:rsidR="00362B06" w:rsidRPr="00B1515C">
        <w:t xml:space="preserve"> </w:t>
      </w:r>
      <w:r w:rsidR="00FE31B9" w:rsidRPr="00B1515C">
        <w:tab/>
      </w:r>
      <w:r w:rsidR="00F75232">
        <w:t>‘</w:t>
      </w:r>
      <w:hyperlink r:id="rId104" w:history="1">
        <w:r w:rsidR="007409BB">
          <w:rPr>
            <w:rStyle w:val="Hyperlink"/>
          </w:rPr>
          <w:t>What are Flash Loans?</w:t>
        </w:r>
      </w:hyperlink>
      <w:r w:rsidR="00F75232">
        <w:t>’</w:t>
      </w:r>
      <w:r w:rsidR="00F006AE" w:rsidRPr="00B1515C">
        <w:t xml:space="preserve">, </w:t>
      </w:r>
      <w:r w:rsidR="00F006AE" w:rsidRPr="0084535D">
        <w:rPr>
          <w:rStyle w:val="Emphasis"/>
        </w:rPr>
        <w:t>Chainlink</w:t>
      </w:r>
      <w:r w:rsidR="00F006AE" w:rsidRPr="00B1515C">
        <w:t xml:space="preserve"> (Web Page, 24 May 2023)</w:t>
      </w:r>
      <w:r w:rsidR="00362B06" w:rsidRPr="00B1515C">
        <w:t>.</w:t>
      </w:r>
      <w:r w:rsidR="00925721" w:rsidRPr="00B1515C">
        <w:t xml:space="preserve"> One example of the exploitation of a </w:t>
      </w:r>
      <w:r w:rsidR="00715DB0" w:rsidRPr="00B1515C">
        <w:t>vulnerability</w:t>
      </w:r>
      <w:r w:rsidR="00925721" w:rsidRPr="00B1515C">
        <w:t xml:space="preserve"> in </w:t>
      </w:r>
      <w:r w:rsidR="00715DB0" w:rsidRPr="00B1515C">
        <w:t xml:space="preserve">a protocol was the hack of The DAO which occurred in 2017 (see </w:t>
      </w:r>
      <w:r w:rsidR="00F75232">
        <w:t>‘</w:t>
      </w:r>
      <w:r w:rsidR="00715DB0" w:rsidRPr="00B1515C">
        <w:t>Forks</w:t>
      </w:r>
      <w:r w:rsidR="00F75232">
        <w:t>’</w:t>
      </w:r>
      <w:r w:rsidR="00715DB0" w:rsidRPr="00B1515C">
        <w:t xml:space="preserve"> above).</w:t>
      </w:r>
    </w:p>
  </w:footnote>
  <w:footnote w:id="196">
    <w:p w14:paraId="144D8B00" w14:textId="14E62D4F" w:rsidR="00C823B2" w:rsidRPr="00B1515C" w:rsidRDefault="00815763" w:rsidP="00A01254">
      <w:pPr>
        <w:pStyle w:val="FootnoteText"/>
      </w:pPr>
      <w:r w:rsidRPr="00815763">
        <w:rPr>
          <w:rStyle w:val="FootnoteReference"/>
          <w:vertAlign w:val="baseline"/>
        </w:rPr>
        <w:footnoteRef/>
      </w:r>
      <w:r w:rsidR="00C823B2" w:rsidRPr="00B1515C">
        <w:t xml:space="preserve"> </w:t>
      </w:r>
      <w:r w:rsidR="00FE31B9" w:rsidRPr="00B1515C">
        <w:tab/>
      </w:r>
      <w:r w:rsidR="00DD091C" w:rsidRPr="00B1515C">
        <w:t xml:space="preserve">Wharton Blockchain, DeFi Beyond the Hype </w:t>
      </w:r>
      <w:r w:rsidR="001609BE" w:rsidRPr="00B1515C">
        <w:t>(n 12)</w:t>
      </w:r>
      <w:r w:rsidR="00DD091C" w:rsidRPr="00B1515C">
        <w:t xml:space="preserve"> </w:t>
      </w:r>
      <w:r w:rsidR="00C823B2" w:rsidRPr="00B1515C">
        <w:t>8.</w:t>
      </w:r>
    </w:p>
  </w:footnote>
  <w:footnote w:id="197">
    <w:p w14:paraId="695C5A7B" w14:textId="7EA13CE1" w:rsidR="001435AD" w:rsidRPr="00B1515C" w:rsidRDefault="00815763" w:rsidP="00A01254">
      <w:pPr>
        <w:pStyle w:val="FootnoteText"/>
      </w:pPr>
      <w:r w:rsidRPr="00815763">
        <w:rPr>
          <w:rStyle w:val="FootnoteReference"/>
          <w:vertAlign w:val="baseline"/>
        </w:rPr>
        <w:footnoteRef/>
      </w:r>
      <w:r w:rsidR="001435AD" w:rsidRPr="00B1515C">
        <w:t xml:space="preserve"> </w:t>
      </w:r>
      <w:r w:rsidR="00FE31B9" w:rsidRPr="00B1515C">
        <w:tab/>
      </w:r>
      <w:r w:rsidR="00F006AE" w:rsidRPr="00B1515C">
        <w:t xml:space="preserve">IOSCO Decentralised Finance Report </w:t>
      </w:r>
      <w:r w:rsidR="001609BE" w:rsidRPr="00B1515C">
        <w:t>(n 127)</w:t>
      </w:r>
      <w:r w:rsidR="00F006AE" w:rsidRPr="00B1515C">
        <w:t xml:space="preserve"> </w:t>
      </w:r>
      <w:r w:rsidR="001435AD" w:rsidRPr="00B1515C">
        <w:t>13.</w:t>
      </w:r>
    </w:p>
  </w:footnote>
  <w:footnote w:id="198">
    <w:p w14:paraId="415A5FEC" w14:textId="09DB438F" w:rsidR="00415807" w:rsidRPr="00B1515C" w:rsidRDefault="00815763" w:rsidP="00A01254">
      <w:pPr>
        <w:pStyle w:val="FootnoteText"/>
      </w:pPr>
      <w:r w:rsidRPr="00815763">
        <w:rPr>
          <w:rStyle w:val="FootnoteReference"/>
          <w:vertAlign w:val="baseline"/>
        </w:rPr>
        <w:footnoteRef/>
      </w:r>
      <w:r w:rsidR="00415807" w:rsidRPr="00B1515C">
        <w:t xml:space="preserve"> </w:t>
      </w:r>
      <w:r w:rsidR="00FE31B9" w:rsidRPr="00B1515C">
        <w:tab/>
      </w:r>
      <w:r w:rsidR="00F006AE" w:rsidRPr="00B1515C">
        <w:t xml:space="preserve">IOSCO Decentralised Finance Report </w:t>
      </w:r>
      <w:r w:rsidR="001609BE" w:rsidRPr="00B1515C">
        <w:t>(n 127)</w:t>
      </w:r>
      <w:r w:rsidR="00F006AE" w:rsidRPr="00B1515C">
        <w:t xml:space="preserve"> </w:t>
      </w:r>
      <w:r w:rsidR="00415807" w:rsidRPr="00B1515C">
        <w:t>13.</w:t>
      </w:r>
    </w:p>
  </w:footnote>
  <w:footnote w:id="199">
    <w:p w14:paraId="4F9D0C06" w14:textId="7386C6B4" w:rsidR="0045656C" w:rsidRPr="00B1515C" w:rsidRDefault="00815763" w:rsidP="00A01254">
      <w:pPr>
        <w:pStyle w:val="FootnoteText"/>
      </w:pPr>
      <w:r w:rsidRPr="00815763">
        <w:rPr>
          <w:rStyle w:val="FootnoteReference"/>
          <w:vertAlign w:val="baseline"/>
        </w:rPr>
        <w:footnoteRef/>
      </w:r>
      <w:r w:rsidR="0045656C" w:rsidRPr="00B1515C">
        <w:t xml:space="preserve"> </w:t>
      </w:r>
      <w:r w:rsidR="00FE31B9" w:rsidRPr="00B1515C">
        <w:tab/>
      </w:r>
      <w:r w:rsidR="00673728" w:rsidRPr="00B1515C">
        <w:t xml:space="preserve">World Economic Forum, Decentralized Finance Toolkit </w:t>
      </w:r>
      <w:r w:rsidR="00795A41" w:rsidRPr="00B1515C">
        <w:t>(n 143)</w:t>
      </w:r>
      <w:r w:rsidR="0045656C" w:rsidRPr="00B1515C">
        <w:t xml:space="preserve"> 11.</w:t>
      </w:r>
    </w:p>
  </w:footnote>
  <w:footnote w:id="200">
    <w:p w14:paraId="02BC8D31" w14:textId="2A2F80BE" w:rsidR="00C25666" w:rsidRPr="00B1515C" w:rsidRDefault="00815763" w:rsidP="00A01254">
      <w:pPr>
        <w:pStyle w:val="FootnoteText"/>
      </w:pPr>
      <w:r w:rsidRPr="00815763">
        <w:rPr>
          <w:rStyle w:val="FootnoteReference"/>
          <w:vertAlign w:val="baseline"/>
        </w:rPr>
        <w:footnoteRef/>
      </w:r>
      <w:r w:rsidR="00C25666" w:rsidRPr="00B1515C">
        <w:t xml:space="preserve"> </w:t>
      </w:r>
      <w:r w:rsidR="00FE31B9" w:rsidRPr="00B1515C">
        <w:tab/>
      </w:r>
      <w:r w:rsidR="00C25666" w:rsidRPr="00B1515C">
        <w:t xml:space="preserve">Sometimes </w:t>
      </w:r>
      <w:r w:rsidR="00EC6EBB" w:rsidRPr="00B1515C">
        <w:t xml:space="preserve">referred to as </w:t>
      </w:r>
      <w:r w:rsidR="00F75232">
        <w:t>‘</w:t>
      </w:r>
      <w:r w:rsidR="00EC6EBB" w:rsidRPr="00B1515C">
        <w:t>Bots</w:t>
      </w:r>
      <w:r w:rsidR="00F75232">
        <w:t>’</w:t>
      </w:r>
      <w:r w:rsidR="00EC6EBB" w:rsidRPr="00B1515C">
        <w:t>.</w:t>
      </w:r>
    </w:p>
  </w:footnote>
  <w:footnote w:id="201">
    <w:p w14:paraId="22013306" w14:textId="6CFDE420" w:rsidR="009840B9" w:rsidRPr="00B1515C" w:rsidRDefault="00815763" w:rsidP="00A01254">
      <w:pPr>
        <w:pStyle w:val="FootnoteText"/>
      </w:pPr>
      <w:r w:rsidRPr="00815763">
        <w:rPr>
          <w:rStyle w:val="FootnoteReference"/>
          <w:vertAlign w:val="baseline"/>
        </w:rPr>
        <w:footnoteRef/>
      </w:r>
      <w:r w:rsidR="009840B9" w:rsidRPr="00B1515C">
        <w:t xml:space="preserve"> </w:t>
      </w:r>
      <w:r w:rsidR="00FE31B9" w:rsidRPr="00B1515C">
        <w:tab/>
      </w:r>
      <w:r w:rsidR="00673728" w:rsidRPr="00B1515C">
        <w:t xml:space="preserve">IOSCO Decentralised Finance Report </w:t>
      </w:r>
      <w:r w:rsidR="001609BE" w:rsidRPr="00B1515C">
        <w:t>(n 127)</w:t>
      </w:r>
      <w:r w:rsidR="00673728" w:rsidRPr="00B1515C">
        <w:t xml:space="preserve"> </w:t>
      </w:r>
      <w:r w:rsidR="00306ADB" w:rsidRPr="00B1515C">
        <w:t>15.</w:t>
      </w:r>
    </w:p>
  </w:footnote>
  <w:footnote w:id="202">
    <w:p w14:paraId="261272FE" w14:textId="1A6DAF72" w:rsidR="001C229E" w:rsidRPr="00B1515C" w:rsidRDefault="00815763" w:rsidP="00A01254">
      <w:pPr>
        <w:pStyle w:val="FootnoteText"/>
      </w:pPr>
      <w:r w:rsidRPr="00815763">
        <w:rPr>
          <w:rStyle w:val="FootnoteReference"/>
          <w:vertAlign w:val="baseline"/>
        </w:rPr>
        <w:footnoteRef/>
      </w:r>
      <w:r w:rsidR="001C229E" w:rsidRPr="00B1515C">
        <w:t xml:space="preserve"> </w:t>
      </w:r>
      <w:r w:rsidR="00FE31B9" w:rsidRPr="00B1515C">
        <w:tab/>
      </w:r>
      <w:r w:rsidR="00673728" w:rsidRPr="00B1515C">
        <w:t xml:space="preserve">IOSCO Decentralised Finance Report </w:t>
      </w:r>
      <w:r w:rsidR="001609BE" w:rsidRPr="00B1515C">
        <w:t>(n 127)</w:t>
      </w:r>
      <w:r w:rsidR="00673728" w:rsidRPr="00B1515C">
        <w:t xml:space="preserve"> </w:t>
      </w:r>
      <w:r w:rsidR="003C71CC" w:rsidRPr="00B1515C">
        <w:t>15</w:t>
      </w:r>
      <w:r w:rsidR="00EE1E34">
        <w:t>–</w:t>
      </w:r>
      <w:r w:rsidR="003C71CC" w:rsidRPr="00B1515C">
        <w:t>16.</w:t>
      </w:r>
    </w:p>
  </w:footnote>
  <w:footnote w:id="203">
    <w:p w14:paraId="66204932" w14:textId="58447211" w:rsidR="000B4BC8" w:rsidRPr="00B1515C" w:rsidRDefault="00815763" w:rsidP="00A01254">
      <w:pPr>
        <w:pStyle w:val="FootnoteText"/>
      </w:pPr>
      <w:r w:rsidRPr="00815763">
        <w:rPr>
          <w:rStyle w:val="FootnoteReference"/>
          <w:vertAlign w:val="baseline"/>
        </w:rPr>
        <w:footnoteRef/>
      </w:r>
      <w:r w:rsidR="000B4BC8" w:rsidRPr="00B1515C">
        <w:t xml:space="preserve"> </w:t>
      </w:r>
      <w:r w:rsidR="00FE31B9" w:rsidRPr="00B1515C">
        <w:tab/>
      </w:r>
      <w:r w:rsidR="00673728" w:rsidRPr="00B1515C">
        <w:t xml:space="preserve">IOSCO Decentralised Finance Report </w:t>
      </w:r>
      <w:r w:rsidR="001609BE" w:rsidRPr="00B1515C">
        <w:t>(n 127)</w:t>
      </w:r>
      <w:r w:rsidR="00673728" w:rsidRPr="00B1515C">
        <w:t xml:space="preserve"> </w:t>
      </w:r>
      <w:r w:rsidR="00356B29" w:rsidRPr="00B1515C">
        <w:t>20</w:t>
      </w:r>
      <w:r w:rsidR="0024535F" w:rsidRPr="00B1515C">
        <w:t>–</w:t>
      </w:r>
      <w:r w:rsidR="00356B29" w:rsidRPr="00B1515C">
        <w:t>21</w:t>
      </w:r>
      <w:r w:rsidR="009714C8" w:rsidRPr="00B1515C">
        <w:t xml:space="preserve">; </w:t>
      </w:r>
      <w:r w:rsidR="0010332E" w:rsidRPr="00B1515C">
        <w:t xml:space="preserve">Also see </w:t>
      </w:r>
      <w:r w:rsidR="00504463" w:rsidRPr="00B1515C">
        <w:t xml:space="preserve">World Economic Forum, Decentralized Finance Toolkit </w:t>
      </w:r>
      <w:r w:rsidR="00795A41" w:rsidRPr="00B1515C">
        <w:t>(n</w:t>
      </w:r>
      <w:r w:rsidR="00651CE8">
        <w:t> </w:t>
      </w:r>
      <w:r w:rsidR="00795A41" w:rsidRPr="00B1515C">
        <w:t>143)</w:t>
      </w:r>
      <w:r w:rsidR="00504463" w:rsidRPr="00B1515C">
        <w:t xml:space="preserve"> </w:t>
      </w:r>
      <w:r w:rsidR="0010332E" w:rsidRPr="00B1515C">
        <w:t>11.</w:t>
      </w:r>
    </w:p>
  </w:footnote>
  <w:footnote w:id="204">
    <w:p w14:paraId="3AE4D841" w14:textId="1DBCA062" w:rsidR="00A42753" w:rsidRPr="00B1515C" w:rsidRDefault="00815763" w:rsidP="00A01254">
      <w:pPr>
        <w:pStyle w:val="FootnoteText"/>
      </w:pPr>
      <w:r w:rsidRPr="00815763">
        <w:rPr>
          <w:rStyle w:val="FootnoteReference"/>
          <w:vertAlign w:val="baseline"/>
        </w:rPr>
        <w:footnoteRef/>
      </w:r>
      <w:r w:rsidR="00A42753" w:rsidRPr="00B1515C">
        <w:t xml:space="preserve"> </w:t>
      </w:r>
      <w:r w:rsidR="00FE31B9" w:rsidRPr="00B1515C">
        <w:tab/>
      </w:r>
      <w:r w:rsidR="00A42753" w:rsidRPr="00B1515C">
        <w:t xml:space="preserve">The following is largely based </w:t>
      </w:r>
      <w:r w:rsidR="00504463" w:rsidRPr="00B1515C">
        <w:t xml:space="preserve">on IOSCO Decentralised Finance Report </w:t>
      </w:r>
      <w:r w:rsidR="001609BE" w:rsidRPr="00B1515C">
        <w:t>(n 127)</w:t>
      </w:r>
      <w:r w:rsidR="00504463" w:rsidRPr="00B1515C">
        <w:t xml:space="preserve"> </w:t>
      </w:r>
      <w:r w:rsidR="00A42753" w:rsidRPr="00B1515C">
        <w:t>21</w:t>
      </w:r>
      <w:r w:rsidR="0024535F" w:rsidRPr="00B1515C">
        <w:t>–</w:t>
      </w:r>
      <w:r w:rsidR="00A42753" w:rsidRPr="00B1515C">
        <w:t>22.</w:t>
      </w:r>
    </w:p>
  </w:footnote>
  <w:footnote w:id="205">
    <w:p w14:paraId="26F75685" w14:textId="10467A76" w:rsidR="000234E5" w:rsidRPr="00B1515C" w:rsidRDefault="00815763" w:rsidP="00A01254">
      <w:pPr>
        <w:pStyle w:val="FootnoteText"/>
      </w:pPr>
      <w:r w:rsidRPr="00815763">
        <w:rPr>
          <w:rStyle w:val="FootnoteReference"/>
          <w:vertAlign w:val="baseline"/>
        </w:rPr>
        <w:footnoteRef/>
      </w:r>
      <w:r w:rsidR="000234E5" w:rsidRPr="00B1515C">
        <w:t xml:space="preserve"> </w:t>
      </w:r>
      <w:r w:rsidR="00FE31B9" w:rsidRPr="00B1515C">
        <w:tab/>
      </w:r>
      <w:r w:rsidR="00D9633C" w:rsidRPr="00B1515C">
        <w:t xml:space="preserve">World Economic Forum, </w:t>
      </w:r>
      <w:r w:rsidR="00D9633C" w:rsidRPr="0084535D">
        <w:rPr>
          <w:rStyle w:val="Emphasis"/>
        </w:rPr>
        <w:t xml:space="preserve">Decentralized Finance Toolkit </w:t>
      </w:r>
      <w:r w:rsidR="00795A41" w:rsidRPr="00B1515C">
        <w:t>(n 143)</w:t>
      </w:r>
      <w:r w:rsidR="00D9633C" w:rsidRPr="00B1515C">
        <w:t xml:space="preserve"> </w:t>
      </w:r>
      <w:r w:rsidR="000234E5" w:rsidRPr="00B1515C">
        <w:t>11.</w:t>
      </w:r>
    </w:p>
  </w:footnote>
  <w:footnote w:id="206">
    <w:p w14:paraId="6428A6A9" w14:textId="059066DA"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D9633C" w:rsidRPr="00B1515C">
        <w:t xml:space="preserve">World Economic Forum, </w:t>
      </w:r>
      <w:r w:rsidR="00D9633C" w:rsidRPr="0084535D">
        <w:rPr>
          <w:rStyle w:val="Emphasis"/>
        </w:rPr>
        <w:t xml:space="preserve">Decentralized Finance Toolkit </w:t>
      </w:r>
      <w:r w:rsidR="00795A41" w:rsidRPr="00B1515C">
        <w:t>(n 143)</w:t>
      </w:r>
      <w:r w:rsidR="00D9633C" w:rsidRPr="00B1515C">
        <w:t xml:space="preserve"> </w:t>
      </w:r>
      <w:r w:rsidR="00255659" w:rsidRPr="00B1515C">
        <w:t xml:space="preserve">10; </w:t>
      </w:r>
      <w:r w:rsidR="00E044CF" w:rsidRPr="00B1515C">
        <w:t xml:space="preserve">Wharton Blockchain, </w:t>
      </w:r>
      <w:r w:rsidR="00E044CF" w:rsidRPr="0084535D">
        <w:rPr>
          <w:rStyle w:val="Emphasis"/>
        </w:rPr>
        <w:t>DeFi Beyond the Hype</w:t>
      </w:r>
      <w:r w:rsidR="00E044CF" w:rsidRPr="00B1515C">
        <w:t xml:space="preserve"> </w:t>
      </w:r>
      <w:r w:rsidR="001609BE" w:rsidRPr="00B1515C">
        <w:t>(n</w:t>
      </w:r>
      <w:r w:rsidR="00DF49CF">
        <w:t> </w:t>
      </w:r>
      <w:r w:rsidR="001609BE" w:rsidRPr="00B1515C">
        <w:t>12)</w:t>
      </w:r>
      <w:r w:rsidR="00DF49CF">
        <w:t> </w:t>
      </w:r>
      <w:r w:rsidR="00301B95" w:rsidRPr="00B1515C">
        <w:t>6</w:t>
      </w:r>
      <w:r w:rsidR="00255659" w:rsidRPr="00B1515C">
        <w:t>.</w:t>
      </w:r>
      <w:r w:rsidR="001D3C2D" w:rsidRPr="00B1515C">
        <w:t xml:space="preserve"> </w:t>
      </w:r>
    </w:p>
  </w:footnote>
  <w:footnote w:id="207">
    <w:p w14:paraId="0E3044CB" w14:textId="2950F074" w:rsidR="00052FC3" w:rsidRPr="00B1515C" w:rsidRDefault="00815763" w:rsidP="00A01254">
      <w:pPr>
        <w:pStyle w:val="FootnoteText"/>
      </w:pPr>
      <w:r w:rsidRPr="00815763">
        <w:rPr>
          <w:rStyle w:val="FootnoteReference"/>
          <w:vertAlign w:val="baseline"/>
        </w:rPr>
        <w:footnoteRef/>
      </w:r>
      <w:r w:rsidR="007A0058" w:rsidRPr="00B1515C">
        <w:t xml:space="preserve"> </w:t>
      </w:r>
      <w:r w:rsidR="00FE31B9" w:rsidRPr="00B1515C">
        <w:tab/>
      </w:r>
      <w:r w:rsidR="00E044CF" w:rsidRPr="00B1515C">
        <w:t xml:space="preserve">World Economic Forum, </w:t>
      </w:r>
      <w:r w:rsidR="00E044CF" w:rsidRPr="0084535D">
        <w:rPr>
          <w:rStyle w:val="Emphasis"/>
        </w:rPr>
        <w:t xml:space="preserve">Decentralized Finance Toolkit </w:t>
      </w:r>
      <w:r w:rsidR="00795A41" w:rsidRPr="00B1515C">
        <w:t>(n 143)</w:t>
      </w:r>
      <w:r w:rsidR="00E044CF" w:rsidRPr="00B1515C">
        <w:t xml:space="preserve"> 10; Wharton Blockchain, </w:t>
      </w:r>
      <w:r w:rsidR="00E044CF" w:rsidRPr="0084535D">
        <w:rPr>
          <w:rStyle w:val="Emphasis"/>
        </w:rPr>
        <w:t>DeFi Beyond the Hype</w:t>
      </w:r>
      <w:r w:rsidR="00E044CF" w:rsidRPr="00B1515C">
        <w:t xml:space="preserve"> </w:t>
      </w:r>
      <w:r w:rsidR="001609BE" w:rsidRPr="00B1515C">
        <w:t>(n</w:t>
      </w:r>
      <w:r w:rsidR="00DF49CF">
        <w:t> </w:t>
      </w:r>
      <w:r w:rsidR="001609BE" w:rsidRPr="00B1515C">
        <w:t>12)</w:t>
      </w:r>
      <w:r w:rsidR="00DF49CF">
        <w:t> </w:t>
      </w:r>
      <w:r w:rsidR="00E044CF" w:rsidRPr="00B1515C">
        <w:t>6</w:t>
      </w:r>
      <w:r w:rsidR="0024535F" w:rsidRPr="00B1515C">
        <w:t>.</w:t>
      </w:r>
    </w:p>
  </w:footnote>
  <w:footnote w:id="208">
    <w:p w14:paraId="5D0C74A4" w14:textId="573DC55D" w:rsidR="00915B4C" w:rsidRPr="00B1515C" w:rsidRDefault="00815763" w:rsidP="00A01254">
      <w:pPr>
        <w:pStyle w:val="FootnoteText"/>
      </w:pPr>
      <w:r w:rsidRPr="00815763">
        <w:rPr>
          <w:rStyle w:val="FootnoteReference"/>
          <w:vertAlign w:val="baseline"/>
        </w:rPr>
        <w:footnoteRef/>
      </w:r>
      <w:r w:rsidR="00915B4C" w:rsidRPr="00B1515C">
        <w:t xml:space="preserve"> </w:t>
      </w:r>
      <w:r w:rsidR="00FE31B9" w:rsidRPr="00B1515C">
        <w:tab/>
      </w:r>
      <w:r w:rsidR="003A2C05" w:rsidRPr="00B1515C">
        <w:t xml:space="preserve">IOSCO Decentralised Finance Report </w:t>
      </w:r>
      <w:r w:rsidR="001609BE" w:rsidRPr="00B1515C">
        <w:t>(n 127)</w:t>
      </w:r>
      <w:r w:rsidR="003A2C05" w:rsidRPr="00B1515C">
        <w:t xml:space="preserve"> </w:t>
      </w:r>
      <w:r w:rsidR="00915B4C" w:rsidRPr="00B1515C">
        <w:t>21.</w:t>
      </w:r>
    </w:p>
  </w:footnote>
  <w:footnote w:id="209">
    <w:p w14:paraId="2D4A5D8A" w14:textId="25C4B7D8" w:rsidR="00EC44F0" w:rsidRPr="00B1515C" w:rsidRDefault="00815763" w:rsidP="00A01254">
      <w:pPr>
        <w:pStyle w:val="FootnoteText"/>
      </w:pPr>
      <w:r w:rsidRPr="00815763">
        <w:rPr>
          <w:rStyle w:val="FootnoteReference"/>
          <w:vertAlign w:val="baseline"/>
        </w:rPr>
        <w:footnoteRef/>
      </w:r>
      <w:r w:rsidR="004F0A51" w:rsidRPr="00B1515C">
        <w:t xml:space="preserve"> </w:t>
      </w:r>
      <w:r w:rsidR="00FE31B9" w:rsidRPr="00B1515C">
        <w:tab/>
      </w:r>
      <w:r w:rsidR="0051481D" w:rsidRPr="00B1515C">
        <w:t>Carol R</w:t>
      </w:r>
      <w:r w:rsidR="00314CAC" w:rsidRPr="00B1515C">
        <w:t xml:space="preserve"> Goforth</w:t>
      </w:r>
      <w:r w:rsidR="00A53E5E" w:rsidRPr="00B1515C">
        <w:t xml:space="preserve">, </w:t>
      </w:r>
      <w:r w:rsidR="00F75232">
        <w:t>‘</w:t>
      </w:r>
      <w:r w:rsidR="0051481D" w:rsidRPr="00B1515C">
        <w:t>It</w:t>
      </w:r>
      <w:r w:rsidR="00F75232">
        <w:t>’</w:t>
      </w:r>
      <w:r w:rsidR="0051481D" w:rsidRPr="00B1515C">
        <w:t>s Raining Crypto: The Need for Regulatory Clarification When it Comes to Airdrops</w:t>
      </w:r>
      <w:r w:rsidR="00F75232">
        <w:t>’</w:t>
      </w:r>
      <w:r w:rsidR="0051481D" w:rsidRPr="00B1515C">
        <w:t xml:space="preserve"> </w:t>
      </w:r>
      <w:r w:rsidR="009C0E03" w:rsidRPr="00B1515C">
        <w:t xml:space="preserve">(2019) 15(2) </w:t>
      </w:r>
      <w:r w:rsidR="0051481D" w:rsidRPr="0084535D">
        <w:rPr>
          <w:rStyle w:val="Emphasis"/>
        </w:rPr>
        <w:t>Indian Journal of Law and Technology</w:t>
      </w:r>
      <w:r w:rsidR="003701C1" w:rsidRPr="00B1515C">
        <w:t xml:space="preserve"> </w:t>
      </w:r>
      <w:r w:rsidR="00F23F98" w:rsidRPr="00B1515C">
        <w:t>324</w:t>
      </w:r>
      <w:r w:rsidR="003701C1" w:rsidRPr="00B1515C">
        <w:t>,</w:t>
      </w:r>
      <w:r w:rsidR="00F23F98" w:rsidRPr="00B1515C">
        <w:t xml:space="preserve"> q</w:t>
      </w:r>
      <w:r w:rsidR="00F21FE9" w:rsidRPr="00B1515C">
        <w:t xml:space="preserve">uoted in </w:t>
      </w:r>
      <w:r w:rsidR="00F35EB5" w:rsidRPr="00B1515C">
        <w:t xml:space="preserve">Allen, Berg and Lane (2023) </w:t>
      </w:r>
      <w:r w:rsidR="001609BE" w:rsidRPr="00B1515C">
        <w:t>(n 105)</w:t>
      </w:r>
      <w:r w:rsidR="00F35EB5" w:rsidRPr="00B1515C">
        <w:t>.</w:t>
      </w:r>
      <w:r w:rsidR="00F23F98" w:rsidRPr="00B1515C">
        <w:t>3</w:t>
      </w:r>
      <w:r w:rsidR="004B4C34" w:rsidRPr="00B1515C">
        <w:t>; Also Submission A10,</w:t>
      </w:r>
      <w:r w:rsidR="00A26BCE" w:rsidRPr="00B1515C">
        <w:t xml:space="preserve"> </w:t>
      </w:r>
      <w:r w:rsidR="004B4C34" w:rsidRPr="00B1515C">
        <w:t>8.</w:t>
      </w:r>
    </w:p>
  </w:footnote>
  <w:footnote w:id="210">
    <w:p w14:paraId="01430A59" w14:textId="2D66FDC4" w:rsidR="004E2ADF" w:rsidRPr="00B1515C" w:rsidRDefault="00815763" w:rsidP="00A01254">
      <w:pPr>
        <w:pStyle w:val="FootnoteText"/>
      </w:pPr>
      <w:r w:rsidRPr="00815763">
        <w:rPr>
          <w:rStyle w:val="FootnoteReference"/>
          <w:vertAlign w:val="baseline"/>
        </w:rPr>
        <w:footnoteRef/>
      </w:r>
      <w:r w:rsidR="004E2ADF" w:rsidRPr="00B1515C">
        <w:t xml:space="preserve"> </w:t>
      </w:r>
      <w:r w:rsidR="00FE31B9" w:rsidRPr="00B1515C">
        <w:tab/>
      </w:r>
      <w:r w:rsidR="004E2ADF" w:rsidRPr="00B1515C">
        <w:t>Allen, Berg and Lan</w:t>
      </w:r>
      <w:r w:rsidR="00F35EB5" w:rsidRPr="00B1515C">
        <w:t>e (2023)</w:t>
      </w:r>
      <w:r w:rsidR="004E2ADF" w:rsidRPr="00B1515C">
        <w:t xml:space="preserve"> </w:t>
      </w:r>
      <w:r w:rsidR="001609BE" w:rsidRPr="00B1515C">
        <w:t>(n 105)</w:t>
      </w:r>
      <w:r w:rsidR="004E2ADF" w:rsidRPr="00B1515C">
        <w:t xml:space="preserve"> 4</w:t>
      </w:r>
      <w:r w:rsidR="00C66BE4" w:rsidRPr="00B1515C">
        <w:t>–</w:t>
      </w:r>
      <w:r w:rsidR="004E2ADF" w:rsidRPr="00B1515C">
        <w:t>5.</w:t>
      </w:r>
    </w:p>
  </w:footnote>
  <w:footnote w:id="211">
    <w:p w14:paraId="6554DEC3" w14:textId="498F82A5" w:rsidR="00796BD4" w:rsidRPr="00B1515C" w:rsidRDefault="00815763" w:rsidP="00A01254">
      <w:pPr>
        <w:pStyle w:val="FootnoteText"/>
      </w:pPr>
      <w:r w:rsidRPr="00815763">
        <w:rPr>
          <w:rStyle w:val="FootnoteReference"/>
          <w:vertAlign w:val="baseline"/>
        </w:rPr>
        <w:footnoteRef/>
      </w:r>
      <w:r w:rsidR="00796BD4" w:rsidRPr="00B1515C">
        <w:t xml:space="preserve"> </w:t>
      </w:r>
      <w:r w:rsidR="00FE31B9" w:rsidRPr="00B1515C">
        <w:tab/>
      </w:r>
      <w:r w:rsidR="00F35EB5" w:rsidRPr="00B1515C">
        <w:t xml:space="preserve">Allen, Berg and Lane (2023) </w:t>
      </w:r>
      <w:r w:rsidR="001609BE" w:rsidRPr="00B1515C">
        <w:t>(n 105)</w:t>
      </w:r>
      <w:r w:rsidR="00F35EB5" w:rsidRPr="00B1515C">
        <w:t xml:space="preserve"> </w:t>
      </w:r>
      <w:r w:rsidR="00796BD4" w:rsidRPr="00B1515C">
        <w:t>4.</w:t>
      </w:r>
    </w:p>
  </w:footnote>
  <w:footnote w:id="212">
    <w:p w14:paraId="0C4F9373" w14:textId="0289D99E" w:rsidR="00273513" w:rsidRPr="00B1515C" w:rsidRDefault="00815763" w:rsidP="00A01254">
      <w:pPr>
        <w:pStyle w:val="FootnoteText"/>
      </w:pPr>
      <w:r w:rsidRPr="00815763">
        <w:rPr>
          <w:rStyle w:val="FootnoteReference"/>
          <w:vertAlign w:val="baseline"/>
        </w:rPr>
        <w:footnoteRef/>
      </w:r>
      <w:r w:rsidR="00273513" w:rsidRPr="00B1515C">
        <w:t xml:space="preserve"> </w:t>
      </w:r>
      <w:r w:rsidR="00FE31B9" w:rsidRPr="00B1515C">
        <w:tab/>
      </w:r>
      <w:r w:rsidR="00F35EB5" w:rsidRPr="00B1515C">
        <w:t xml:space="preserve">Allen, Berg and Lane (2023) </w:t>
      </w:r>
      <w:r w:rsidR="001609BE" w:rsidRPr="00B1515C">
        <w:t>(n 105)</w:t>
      </w:r>
      <w:r w:rsidR="00F35EB5" w:rsidRPr="00B1515C">
        <w:t xml:space="preserve"> </w:t>
      </w:r>
      <w:r w:rsidR="00273513" w:rsidRPr="00B1515C">
        <w:t>2</w:t>
      </w:r>
      <w:r w:rsidR="00C66BE4" w:rsidRPr="00B1515C">
        <w:t>–</w:t>
      </w:r>
      <w:r w:rsidR="00273513" w:rsidRPr="00B1515C">
        <w:t>3 and the citations therein.</w:t>
      </w:r>
    </w:p>
  </w:footnote>
  <w:footnote w:id="213">
    <w:p w14:paraId="2234647B" w14:textId="2EF12798" w:rsidR="00C63460" w:rsidRPr="00B1515C" w:rsidRDefault="00815763" w:rsidP="00A01254">
      <w:pPr>
        <w:pStyle w:val="FootnoteText"/>
      </w:pPr>
      <w:r w:rsidRPr="00815763">
        <w:rPr>
          <w:rStyle w:val="FootnoteReference"/>
          <w:vertAlign w:val="baseline"/>
        </w:rPr>
        <w:footnoteRef/>
      </w:r>
      <w:r w:rsidR="00C63460" w:rsidRPr="00B1515C">
        <w:t xml:space="preserve"> </w:t>
      </w:r>
      <w:r w:rsidR="00FE31B9" w:rsidRPr="00B1515C">
        <w:tab/>
      </w:r>
      <w:r w:rsidR="00F35EB5" w:rsidRPr="00B1515C">
        <w:t xml:space="preserve">Allen, Berg and Lane (2023) </w:t>
      </w:r>
      <w:r w:rsidR="001609BE" w:rsidRPr="00B1515C">
        <w:t>(n 105)</w:t>
      </w:r>
      <w:r w:rsidR="00F35EB5" w:rsidRPr="00B1515C">
        <w:t xml:space="preserve"> </w:t>
      </w:r>
      <w:r w:rsidR="00C63460" w:rsidRPr="00B1515C">
        <w:t>7.</w:t>
      </w:r>
    </w:p>
  </w:footnote>
  <w:footnote w:id="214">
    <w:p w14:paraId="610827A7" w14:textId="268A7BCD" w:rsidR="00643599" w:rsidRPr="00B1515C" w:rsidRDefault="00815763" w:rsidP="00A01254">
      <w:pPr>
        <w:pStyle w:val="FootnoteText"/>
      </w:pPr>
      <w:r w:rsidRPr="00815763">
        <w:rPr>
          <w:rStyle w:val="FootnoteReference"/>
          <w:vertAlign w:val="baseline"/>
        </w:rPr>
        <w:footnoteRef/>
      </w:r>
      <w:r w:rsidR="00643599" w:rsidRPr="00B1515C">
        <w:t xml:space="preserve"> </w:t>
      </w:r>
      <w:r w:rsidR="00FE31B9" w:rsidRPr="00B1515C">
        <w:tab/>
      </w:r>
      <w:r w:rsidR="00720357" w:rsidRPr="00B1515C">
        <w:t xml:space="preserve">IOSCO Decentralised Finance Report </w:t>
      </w:r>
      <w:r w:rsidR="001609BE" w:rsidRPr="00B1515C">
        <w:t>(n 127)</w:t>
      </w:r>
      <w:r w:rsidR="00720357" w:rsidRPr="00B1515C">
        <w:t xml:space="preserve"> </w:t>
      </w:r>
      <w:r w:rsidR="00643599" w:rsidRPr="00B1515C">
        <w:t>30.</w:t>
      </w:r>
    </w:p>
  </w:footnote>
  <w:footnote w:id="215">
    <w:p w14:paraId="7EDE3172" w14:textId="209C2DFE" w:rsidR="00B136BC" w:rsidRPr="00B1515C" w:rsidRDefault="00815763" w:rsidP="00A01254">
      <w:pPr>
        <w:pStyle w:val="FootnoteText"/>
      </w:pPr>
      <w:r w:rsidRPr="00815763">
        <w:rPr>
          <w:rStyle w:val="FootnoteReference"/>
          <w:vertAlign w:val="baseline"/>
        </w:rPr>
        <w:footnoteRef/>
      </w:r>
      <w:r w:rsidR="00B136BC" w:rsidRPr="00B1515C">
        <w:t xml:space="preserve"> </w:t>
      </w:r>
      <w:r w:rsidR="00FE31B9" w:rsidRPr="00B1515C">
        <w:tab/>
      </w:r>
      <w:r w:rsidR="00B136BC" w:rsidRPr="00B1515C">
        <w:t xml:space="preserve">James Howell, </w:t>
      </w:r>
      <w:r w:rsidR="00F75232">
        <w:t>‘</w:t>
      </w:r>
      <w:hyperlink r:id="rId105" w:history="1">
        <w:r w:rsidR="00515B0A" w:rsidRPr="00622BA7">
          <w:rPr>
            <w:rStyle w:val="Hyperlink"/>
          </w:rPr>
          <w:t>Crypto Airdrop A Definitive Guide</w:t>
        </w:r>
      </w:hyperlink>
      <w:r w:rsidR="00F75232">
        <w:t>’</w:t>
      </w:r>
      <w:r w:rsidR="00515B0A" w:rsidRPr="00B1515C">
        <w:t>,</w:t>
      </w:r>
      <w:r w:rsidR="0072451A" w:rsidRPr="00B1515C">
        <w:t xml:space="preserve"> </w:t>
      </w:r>
      <w:r w:rsidR="0072451A" w:rsidRPr="0084535D">
        <w:rPr>
          <w:rStyle w:val="Emphasis"/>
        </w:rPr>
        <w:t>101 Blockchains</w:t>
      </w:r>
      <w:r w:rsidR="0072451A" w:rsidRPr="00B1515C">
        <w:t xml:space="preserve"> (Web Page,</w:t>
      </w:r>
      <w:r w:rsidR="00515B0A" w:rsidRPr="00B1515C">
        <w:t xml:space="preserve"> </w:t>
      </w:r>
      <w:r w:rsidR="00B136BC" w:rsidRPr="00B1515C">
        <w:t>16 September 2022</w:t>
      </w:r>
      <w:r w:rsidR="0072451A" w:rsidRPr="00B1515C">
        <w:t>)</w:t>
      </w:r>
      <w:r w:rsidR="00622BA7">
        <w:t>;</w:t>
      </w:r>
      <w:r w:rsidR="0000469E" w:rsidRPr="00B1515C">
        <w:t xml:space="preserve"> </w:t>
      </w:r>
      <w:r w:rsidR="00515B0A" w:rsidRPr="00B1515C">
        <w:t xml:space="preserve">Jake Frankenfield, </w:t>
      </w:r>
      <w:r w:rsidR="00F75232">
        <w:t>‘</w:t>
      </w:r>
      <w:hyperlink r:id="rId106" w:history="1">
        <w:r w:rsidR="00515B0A" w:rsidRPr="00622BA7">
          <w:rPr>
            <w:rStyle w:val="Hyperlink"/>
          </w:rPr>
          <w:t>C</w:t>
        </w:r>
        <w:r w:rsidR="0000469E" w:rsidRPr="00622BA7">
          <w:rPr>
            <w:rStyle w:val="Hyperlink"/>
          </w:rPr>
          <w:t>ryptocurrency Airdrop: What Is It and How Does It Work</w:t>
        </w:r>
      </w:hyperlink>
      <w:r w:rsidR="00F75232">
        <w:t>’</w:t>
      </w:r>
      <w:r w:rsidR="005237E7" w:rsidRPr="00BC3190">
        <w:t xml:space="preserve">, </w:t>
      </w:r>
      <w:r w:rsidR="005237E7" w:rsidRPr="0084535D">
        <w:rPr>
          <w:rStyle w:val="Emphasis"/>
        </w:rPr>
        <w:t>Investopedia</w:t>
      </w:r>
      <w:r w:rsidR="005237E7" w:rsidRPr="00B1515C">
        <w:t xml:space="preserve"> (Web Page, </w:t>
      </w:r>
      <w:r w:rsidR="00515B0A" w:rsidRPr="00B1515C">
        <w:t>13</w:t>
      </w:r>
      <w:r w:rsidR="00651CE8">
        <w:t> </w:t>
      </w:r>
      <w:r w:rsidR="00515B0A" w:rsidRPr="00B1515C">
        <w:t>September</w:t>
      </w:r>
      <w:r w:rsidR="00651CE8">
        <w:t> </w:t>
      </w:r>
      <w:r w:rsidR="00515B0A" w:rsidRPr="00B1515C">
        <w:t>2022</w:t>
      </w:r>
      <w:r w:rsidR="005237E7" w:rsidRPr="00B1515C">
        <w:t>)</w:t>
      </w:r>
      <w:r w:rsidR="00E40F63" w:rsidRPr="00B1515C">
        <w:t xml:space="preserve">; Submission A09, </w:t>
      </w:r>
      <w:r w:rsidR="005237E7" w:rsidRPr="00B1515C">
        <w:t>1</w:t>
      </w:r>
      <w:r w:rsidR="00E40F63" w:rsidRPr="00B1515C">
        <w:t>9</w:t>
      </w:r>
      <w:r w:rsidR="00515B0A" w:rsidRPr="00B1515C">
        <w:t>.</w:t>
      </w:r>
      <w:r w:rsidR="004A5E5C" w:rsidRPr="00B1515C">
        <w:t xml:space="preserve"> </w:t>
      </w:r>
    </w:p>
  </w:footnote>
  <w:footnote w:id="216">
    <w:p w14:paraId="636FEADB" w14:textId="547CB104" w:rsidR="009633A7" w:rsidRPr="00B1515C" w:rsidRDefault="00815763" w:rsidP="00A01254">
      <w:pPr>
        <w:pStyle w:val="FootnoteText"/>
      </w:pPr>
      <w:r w:rsidRPr="00815763">
        <w:rPr>
          <w:rStyle w:val="FootnoteReference"/>
          <w:vertAlign w:val="baseline"/>
        </w:rPr>
        <w:footnoteRef/>
      </w:r>
      <w:r w:rsidR="009633A7" w:rsidRPr="00B1515C">
        <w:t xml:space="preserve"> </w:t>
      </w:r>
      <w:r w:rsidR="00FE31B9" w:rsidRPr="00B1515C">
        <w:tab/>
      </w:r>
      <w:r w:rsidR="00F75232">
        <w:t>‘</w:t>
      </w:r>
      <w:hyperlink r:id="rId107" w:anchor=":~:text=At%20their%20peak%2C%20ICOs%20had,angel%20and%20seed%20VC%20investments" w:history="1">
        <w:r w:rsidR="009633A7" w:rsidRPr="00FF04B3">
          <w:rPr>
            <w:rStyle w:val="Hyperlink"/>
          </w:rPr>
          <w:t>Comparing the ICO Boom of 2017/18 and the NFT Boom of 2021</w:t>
        </w:r>
      </w:hyperlink>
      <w:r w:rsidR="00F75232">
        <w:t>’</w:t>
      </w:r>
      <w:r w:rsidR="009633A7" w:rsidRPr="00B1515C">
        <w:t>,</w:t>
      </w:r>
      <w:r w:rsidR="00954886" w:rsidRPr="00B1515C">
        <w:t xml:space="preserve"> </w:t>
      </w:r>
      <w:r w:rsidR="00954886" w:rsidRPr="0084535D">
        <w:rPr>
          <w:rStyle w:val="Emphasis"/>
        </w:rPr>
        <w:t xml:space="preserve">NFT Tech </w:t>
      </w:r>
      <w:r w:rsidR="00954886" w:rsidRPr="00B1515C">
        <w:t>(Web Page,</w:t>
      </w:r>
      <w:r w:rsidR="009633A7" w:rsidRPr="00B1515C">
        <w:t xml:space="preserve"> 11 January 2022</w:t>
      </w:r>
      <w:r w:rsidR="00954886" w:rsidRPr="00B1515C">
        <w:t>)</w:t>
      </w:r>
      <w:r w:rsidR="00FF04B3">
        <w:t>.</w:t>
      </w:r>
      <w:r w:rsidR="009633A7" w:rsidRPr="00B1515C">
        <w:t xml:space="preserve"> </w:t>
      </w:r>
    </w:p>
  </w:footnote>
  <w:footnote w:id="217">
    <w:p w14:paraId="529EE8C1" w14:textId="190BBB9C" w:rsidR="00DF7C62" w:rsidRPr="00B1515C" w:rsidRDefault="00815763" w:rsidP="00A01254">
      <w:pPr>
        <w:pStyle w:val="FootnoteText"/>
      </w:pPr>
      <w:r w:rsidRPr="00815763">
        <w:rPr>
          <w:rStyle w:val="FootnoteReference"/>
          <w:vertAlign w:val="baseline"/>
        </w:rPr>
        <w:footnoteRef/>
      </w:r>
      <w:r w:rsidR="00DF7C62" w:rsidRPr="00B1515C">
        <w:t xml:space="preserve"> </w:t>
      </w:r>
      <w:r w:rsidR="00FE31B9" w:rsidRPr="00B1515C">
        <w:tab/>
      </w:r>
      <w:r w:rsidR="00FF04B3">
        <w:t>‘</w:t>
      </w:r>
      <w:hyperlink r:id="rId108" w:anchor=":~:text=At%20their%20peak%2C%20ICOs%20had,angel%20and%20seed%20VC%20investments" w:history="1">
        <w:r w:rsidR="00FF04B3" w:rsidRPr="00FF04B3">
          <w:rPr>
            <w:rStyle w:val="Hyperlink"/>
          </w:rPr>
          <w:t>Comparing the ICO Boom of 2017/18 and the NFT Boom of 2021</w:t>
        </w:r>
      </w:hyperlink>
      <w:r w:rsidR="00FF04B3">
        <w:t>’</w:t>
      </w:r>
      <w:r w:rsidR="00FF04B3" w:rsidRPr="00B1515C">
        <w:t xml:space="preserve">, </w:t>
      </w:r>
      <w:r w:rsidR="00FF04B3" w:rsidRPr="0084535D">
        <w:rPr>
          <w:rStyle w:val="Emphasis"/>
        </w:rPr>
        <w:t xml:space="preserve">NFT Tech </w:t>
      </w:r>
      <w:r w:rsidR="00FF04B3" w:rsidRPr="00B1515C">
        <w:t>(Web Page, 11 January 2022)</w:t>
      </w:r>
      <w:r w:rsidR="00FF04B3">
        <w:t>.</w:t>
      </w:r>
    </w:p>
  </w:footnote>
  <w:footnote w:id="218">
    <w:p w14:paraId="1795C35A" w14:textId="36939B35" w:rsidR="000A1748" w:rsidRPr="00B1515C" w:rsidRDefault="00815763" w:rsidP="00A01254">
      <w:pPr>
        <w:pStyle w:val="FootnoteText"/>
      </w:pPr>
      <w:r w:rsidRPr="00815763">
        <w:rPr>
          <w:rStyle w:val="FootnoteReference"/>
          <w:vertAlign w:val="baseline"/>
        </w:rPr>
        <w:footnoteRef/>
      </w:r>
      <w:r w:rsidR="000A1748" w:rsidRPr="00B1515C">
        <w:t xml:space="preserve"> </w:t>
      </w:r>
      <w:r w:rsidR="00FE31B9" w:rsidRPr="00B1515C">
        <w:tab/>
      </w:r>
      <w:r w:rsidR="0068009F" w:rsidRPr="00B1515C">
        <w:t xml:space="preserve">OECD, </w:t>
      </w:r>
      <w:r w:rsidR="0068009F" w:rsidRPr="0084535D">
        <w:rPr>
          <w:rStyle w:val="Emphasis"/>
        </w:rPr>
        <w:t>Taxing Virtual Currencies</w:t>
      </w:r>
      <w:r w:rsidR="0068009F" w:rsidRPr="00B1515C">
        <w:t xml:space="preserve"> </w:t>
      </w:r>
      <w:r w:rsidR="001609BE" w:rsidRPr="00B1515C">
        <w:t>(n 6)</w:t>
      </w:r>
      <w:r w:rsidR="0068009F" w:rsidRPr="00B1515C">
        <w:t xml:space="preserve"> </w:t>
      </w:r>
      <w:r w:rsidR="00901D15" w:rsidRPr="00B1515C">
        <w:t>13.</w:t>
      </w:r>
    </w:p>
  </w:footnote>
  <w:footnote w:id="219">
    <w:p w14:paraId="0ED4415B" w14:textId="721B0EDA" w:rsidR="00F011BD" w:rsidRPr="00B1515C" w:rsidRDefault="00815763" w:rsidP="00A01254">
      <w:pPr>
        <w:pStyle w:val="FootnoteText"/>
      </w:pPr>
      <w:r w:rsidRPr="00815763">
        <w:rPr>
          <w:rStyle w:val="FootnoteReference"/>
          <w:vertAlign w:val="baseline"/>
        </w:rPr>
        <w:footnoteRef/>
      </w:r>
      <w:r w:rsidR="00F011BD" w:rsidRPr="00B1515C">
        <w:t xml:space="preserve"> </w:t>
      </w:r>
      <w:r w:rsidR="00FE31B9" w:rsidRPr="00B1515C">
        <w:tab/>
      </w:r>
      <w:r w:rsidR="00FF04B3">
        <w:t>‘</w:t>
      </w:r>
      <w:hyperlink r:id="rId109" w:anchor=":~:text=At%20their%20peak%2C%20ICOs%20had,angel%20and%20seed%20VC%20investments" w:history="1">
        <w:r w:rsidR="00FF04B3" w:rsidRPr="00FF04B3">
          <w:rPr>
            <w:rStyle w:val="Hyperlink"/>
          </w:rPr>
          <w:t>Comparing the ICO Boom of 2017/18 and the NFT Boom of 2021</w:t>
        </w:r>
      </w:hyperlink>
      <w:r w:rsidR="00FF04B3">
        <w:t>’</w:t>
      </w:r>
      <w:r w:rsidR="00FF04B3" w:rsidRPr="00B1515C">
        <w:t xml:space="preserve">, </w:t>
      </w:r>
      <w:r w:rsidR="00FF04B3" w:rsidRPr="0084535D">
        <w:rPr>
          <w:rStyle w:val="Emphasis"/>
        </w:rPr>
        <w:t xml:space="preserve">NFT Tech </w:t>
      </w:r>
      <w:r w:rsidR="00FF04B3" w:rsidRPr="00B1515C">
        <w:t>(Web Page, 11 January 2022)</w:t>
      </w:r>
      <w:r w:rsidR="008D4D27" w:rsidRPr="00B1515C">
        <w:t xml:space="preserve">; </w:t>
      </w:r>
      <w:r w:rsidR="005C67D3" w:rsidRPr="00B1515C">
        <w:t xml:space="preserve">OECD, </w:t>
      </w:r>
      <w:r w:rsidR="005C67D3" w:rsidRPr="0084535D">
        <w:rPr>
          <w:rStyle w:val="Emphasis"/>
        </w:rPr>
        <w:t>Taxing Virtual Currencies</w:t>
      </w:r>
      <w:r w:rsidR="005C67D3" w:rsidRPr="00B1515C">
        <w:t xml:space="preserve"> </w:t>
      </w:r>
      <w:r w:rsidR="001609BE" w:rsidRPr="00B1515C">
        <w:t>(n 6)</w:t>
      </w:r>
      <w:r w:rsidR="005C67D3" w:rsidRPr="00B1515C">
        <w:t xml:space="preserve"> 13</w:t>
      </w:r>
      <w:r w:rsidR="00F011BD" w:rsidRPr="00B1515C">
        <w:t>.</w:t>
      </w:r>
    </w:p>
  </w:footnote>
  <w:footnote w:id="220">
    <w:p w14:paraId="5CEFA731" w14:textId="5C3E1C4E" w:rsidR="007F051E" w:rsidRPr="00B1515C" w:rsidRDefault="00815763" w:rsidP="00A01254">
      <w:pPr>
        <w:pStyle w:val="FootnoteText"/>
      </w:pPr>
      <w:r w:rsidRPr="00815763">
        <w:rPr>
          <w:rStyle w:val="FootnoteReference"/>
          <w:vertAlign w:val="baseline"/>
        </w:rPr>
        <w:footnoteRef/>
      </w:r>
      <w:r w:rsidR="007F051E" w:rsidRPr="00B1515C">
        <w:t xml:space="preserve"> </w:t>
      </w:r>
      <w:r w:rsidR="00FE31B9" w:rsidRPr="00B1515C">
        <w:tab/>
      </w:r>
      <w:r w:rsidR="00F75232">
        <w:t>‘</w:t>
      </w:r>
      <w:hyperlink r:id="rId110" w:history="1">
        <w:r w:rsidR="005C67D3" w:rsidRPr="00FF04B3">
          <w:rPr>
            <w:rStyle w:val="Hyperlink"/>
          </w:rPr>
          <w:t>What is GameFi</w:t>
        </w:r>
      </w:hyperlink>
      <w:r w:rsidR="00F75232">
        <w:t>’</w:t>
      </w:r>
      <w:r w:rsidR="005C67D3" w:rsidRPr="00B1515C">
        <w:t xml:space="preserve">, </w:t>
      </w:r>
      <w:r w:rsidR="005C67D3" w:rsidRPr="0084535D">
        <w:rPr>
          <w:rStyle w:val="Emphasis"/>
        </w:rPr>
        <w:t>LimeChain</w:t>
      </w:r>
      <w:r w:rsidR="005C67D3" w:rsidRPr="00B1515C">
        <w:t xml:space="preserve"> (Web Page</w:t>
      </w:r>
      <w:r w:rsidR="001E082D" w:rsidRPr="00B1515C">
        <w:t>,</w:t>
      </w:r>
      <w:r w:rsidR="007F051E" w:rsidRPr="00B1515C">
        <w:t xml:space="preserve"> 13 June 2023</w:t>
      </w:r>
      <w:r w:rsidR="002549E2" w:rsidRPr="00B1515C">
        <w:t>)</w:t>
      </w:r>
      <w:r w:rsidR="00FF04B3">
        <w:t>.</w:t>
      </w:r>
    </w:p>
  </w:footnote>
  <w:footnote w:id="221">
    <w:p w14:paraId="2EE62F90" w14:textId="26956C3F" w:rsidR="002F7F42" w:rsidRPr="00B1515C" w:rsidRDefault="00815763" w:rsidP="00A01254">
      <w:pPr>
        <w:pStyle w:val="FootnoteText"/>
      </w:pPr>
      <w:r w:rsidRPr="00815763">
        <w:rPr>
          <w:rStyle w:val="FootnoteReference"/>
          <w:vertAlign w:val="baseline"/>
        </w:rPr>
        <w:footnoteRef/>
      </w:r>
      <w:r w:rsidR="002F7F42" w:rsidRPr="00B1515C">
        <w:t xml:space="preserve"> </w:t>
      </w:r>
      <w:r w:rsidR="00FE31B9" w:rsidRPr="00B1515C">
        <w:tab/>
      </w:r>
      <w:r w:rsidR="00F75232">
        <w:t>‘</w:t>
      </w:r>
      <w:hyperlink r:id="rId111" w:history="1">
        <w:r w:rsidR="002F7F42" w:rsidRPr="00FF04B3">
          <w:rPr>
            <w:rStyle w:val="Hyperlink"/>
          </w:rPr>
          <w:t>A beginner</w:t>
        </w:r>
        <w:r w:rsidR="00F75232" w:rsidRPr="00FF04B3">
          <w:rPr>
            <w:rStyle w:val="Hyperlink"/>
          </w:rPr>
          <w:t>’</w:t>
        </w:r>
        <w:r w:rsidR="002F7F42" w:rsidRPr="00FF04B3">
          <w:rPr>
            <w:rStyle w:val="Hyperlink"/>
          </w:rPr>
          <w:t>s guide to the GameFi ecosystem</w:t>
        </w:r>
      </w:hyperlink>
      <w:r w:rsidR="00F75232">
        <w:t>’</w:t>
      </w:r>
      <w:r w:rsidR="002F7F42" w:rsidRPr="00B1515C">
        <w:t xml:space="preserve">, </w:t>
      </w:r>
      <w:r w:rsidR="002F7F42" w:rsidRPr="0084535D">
        <w:rPr>
          <w:rStyle w:val="Emphasis"/>
        </w:rPr>
        <w:t>Cointelegraph</w:t>
      </w:r>
      <w:r w:rsidR="002549E2" w:rsidRPr="00B1515C">
        <w:t xml:space="preserve"> (Web Page, accessed 12 January 2024)</w:t>
      </w:r>
      <w:r w:rsidR="00FF04B3">
        <w:t>.</w:t>
      </w:r>
    </w:p>
  </w:footnote>
  <w:footnote w:id="222">
    <w:p w14:paraId="7CB90DB3" w14:textId="0341C273" w:rsidR="00C85038" w:rsidRPr="00B1515C" w:rsidRDefault="00815763" w:rsidP="00A01254">
      <w:pPr>
        <w:pStyle w:val="FootnoteText"/>
      </w:pPr>
      <w:r w:rsidRPr="00815763">
        <w:rPr>
          <w:rStyle w:val="FootnoteReference"/>
          <w:vertAlign w:val="baseline"/>
        </w:rPr>
        <w:footnoteRef/>
      </w:r>
      <w:r w:rsidR="00C85038" w:rsidRPr="00B1515C">
        <w:t xml:space="preserve"> </w:t>
      </w:r>
      <w:r w:rsidR="00FE31B9" w:rsidRPr="00B1515C">
        <w:tab/>
      </w:r>
      <w:r w:rsidR="00F75232">
        <w:t>‘</w:t>
      </w:r>
      <w:hyperlink r:id="rId112" w:history="1">
        <w:r w:rsidR="00C85038" w:rsidRPr="00FF04B3">
          <w:rPr>
            <w:rStyle w:val="Hyperlink"/>
          </w:rPr>
          <w:t>What is GameFi – and how could crypto regulations shape it?</w:t>
        </w:r>
      </w:hyperlink>
      <w:r w:rsidR="00F75232">
        <w:t>’</w:t>
      </w:r>
      <w:r w:rsidR="00C85038" w:rsidRPr="00B1515C">
        <w:t xml:space="preserve">, </w:t>
      </w:r>
      <w:r w:rsidR="002549E2" w:rsidRPr="0084535D">
        <w:rPr>
          <w:rStyle w:val="Emphasis"/>
        </w:rPr>
        <w:t>World Economic Forum</w:t>
      </w:r>
      <w:r w:rsidR="002549E2" w:rsidRPr="00B1515C">
        <w:t xml:space="preserve"> (Web Page, </w:t>
      </w:r>
      <w:r w:rsidR="00C85038" w:rsidRPr="00B1515C">
        <w:t>23</w:t>
      </w:r>
      <w:r w:rsidR="00651CE8">
        <w:t> </w:t>
      </w:r>
      <w:r w:rsidR="00C85038" w:rsidRPr="00B1515C">
        <w:t>November</w:t>
      </w:r>
      <w:r w:rsidR="00651CE8">
        <w:t> </w:t>
      </w:r>
      <w:r w:rsidR="00C85038" w:rsidRPr="00B1515C">
        <w:t>2022</w:t>
      </w:r>
      <w:r w:rsidR="002549E2" w:rsidRPr="00B1515C">
        <w:t>)</w:t>
      </w:r>
      <w:r w:rsidR="00FF04B3">
        <w:t>.</w:t>
      </w:r>
    </w:p>
  </w:footnote>
  <w:footnote w:id="223">
    <w:p w14:paraId="3379E88B" w14:textId="3E9D91BE" w:rsidR="005B77A7" w:rsidRPr="00B1515C" w:rsidRDefault="00815763" w:rsidP="00A01254">
      <w:pPr>
        <w:pStyle w:val="FootnoteText"/>
      </w:pPr>
      <w:r w:rsidRPr="00815763">
        <w:rPr>
          <w:rStyle w:val="FootnoteReference"/>
          <w:vertAlign w:val="baseline"/>
        </w:rPr>
        <w:footnoteRef/>
      </w:r>
      <w:r w:rsidR="005B77A7" w:rsidRPr="00B1515C">
        <w:t xml:space="preserve"> </w:t>
      </w:r>
      <w:r w:rsidR="00FE31B9" w:rsidRPr="00B1515C">
        <w:tab/>
      </w:r>
      <w:r w:rsidR="005B77A7" w:rsidRPr="00B1515C">
        <w:t xml:space="preserve">Shamani Joshi, </w:t>
      </w:r>
      <w:r w:rsidR="00F75232">
        <w:t>‘</w:t>
      </w:r>
      <w:hyperlink r:id="rId113" w:history="1">
        <w:r w:rsidR="005B77A7" w:rsidRPr="00FF04B3">
          <w:rPr>
            <w:rStyle w:val="Hyperlink"/>
          </w:rPr>
          <w:t>What is the Metaverse</w:t>
        </w:r>
        <w:r w:rsidR="0094642C" w:rsidRPr="00FF04B3">
          <w:rPr>
            <w:rStyle w:val="Hyperlink"/>
          </w:rPr>
          <w:t>?</w:t>
        </w:r>
        <w:r w:rsidR="004F0A51" w:rsidRPr="00FF04B3">
          <w:rPr>
            <w:rStyle w:val="Hyperlink"/>
          </w:rPr>
          <w:t xml:space="preserve"> </w:t>
        </w:r>
        <w:r w:rsidR="0094642C" w:rsidRPr="00FF04B3">
          <w:rPr>
            <w:rStyle w:val="Hyperlink"/>
          </w:rPr>
          <w:t>An Explanation for People Who Don</w:t>
        </w:r>
        <w:r w:rsidR="00F75232" w:rsidRPr="00FF04B3">
          <w:rPr>
            <w:rStyle w:val="Hyperlink"/>
          </w:rPr>
          <w:t>’</w:t>
        </w:r>
        <w:r w:rsidR="0094642C" w:rsidRPr="00FF04B3">
          <w:rPr>
            <w:rStyle w:val="Hyperlink"/>
          </w:rPr>
          <w:t>t Get it</w:t>
        </w:r>
      </w:hyperlink>
      <w:r w:rsidR="00F75232">
        <w:t>’</w:t>
      </w:r>
      <w:r w:rsidR="0094642C" w:rsidRPr="00B1515C">
        <w:t xml:space="preserve">, </w:t>
      </w:r>
      <w:r w:rsidR="007C4BEF" w:rsidRPr="0084535D">
        <w:rPr>
          <w:rStyle w:val="Emphasis"/>
        </w:rPr>
        <w:t>Vice</w:t>
      </w:r>
      <w:r w:rsidR="007C4BEF" w:rsidRPr="00B1515C">
        <w:t xml:space="preserve"> (Web Page, </w:t>
      </w:r>
      <w:r w:rsidR="0094642C" w:rsidRPr="00B1515C">
        <w:t>15</w:t>
      </w:r>
      <w:r w:rsidR="00DF49CF">
        <w:t> </w:t>
      </w:r>
      <w:r w:rsidR="0094642C" w:rsidRPr="00B1515C">
        <w:t>March</w:t>
      </w:r>
      <w:r w:rsidR="00DF49CF">
        <w:t> </w:t>
      </w:r>
      <w:r w:rsidR="0094642C" w:rsidRPr="00B1515C">
        <w:t>2022</w:t>
      </w:r>
      <w:r w:rsidR="007C4BEF" w:rsidRPr="00B1515C">
        <w:t>)</w:t>
      </w:r>
      <w:r w:rsidR="00FF04B3">
        <w:t>.</w:t>
      </w:r>
    </w:p>
  </w:footnote>
  <w:footnote w:id="224">
    <w:p w14:paraId="3FE320EB" w14:textId="6122DF61" w:rsidR="00DD761D" w:rsidRPr="00B1515C" w:rsidRDefault="00815763" w:rsidP="00A01254">
      <w:pPr>
        <w:pStyle w:val="FootnoteText"/>
      </w:pPr>
      <w:r w:rsidRPr="00815763">
        <w:rPr>
          <w:rStyle w:val="FootnoteReference"/>
          <w:vertAlign w:val="baseline"/>
        </w:rPr>
        <w:footnoteRef/>
      </w:r>
      <w:r w:rsidR="00DD761D" w:rsidRPr="00B1515C">
        <w:t xml:space="preserve"> </w:t>
      </w:r>
      <w:r w:rsidR="00FE31B9" w:rsidRPr="00B1515C">
        <w:tab/>
      </w:r>
      <w:r w:rsidR="00DD761D" w:rsidRPr="00B1515C">
        <w:t xml:space="preserve">Matthew Ball, </w:t>
      </w:r>
      <w:r w:rsidR="00F75232">
        <w:t>‘</w:t>
      </w:r>
      <w:hyperlink r:id="rId114" w:history="1">
        <w:r w:rsidR="00DD761D" w:rsidRPr="00FF04B3">
          <w:rPr>
            <w:rStyle w:val="Hyperlink"/>
          </w:rPr>
          <w:t>Framework for the Metaverse</w:t>
        </w:r>
      </w:hyperlink>
      <w:r w:rsidR="00F75232">
        <w:t>’</w:t>
      </w:r>
      <w:r w:rsidR="00DD761D" w:rsidRPr="00BC3190">
        <w:t xml:space="preserve">, </w:t>
      </w:r>
      <w:r w:rsidR="00DD761D" w:rsidRPr="0084535D">
        <w:rPr>
          <w:rStyle w:val="Emphasis"/>
        </w:rPr>
        <w:t xml:space="preserve">MatthewBall.co </w:t>
      </w:r>
      <w:r w:rsidR="00DD761D" w:rsidRPr="00B1515C">
        <w:t>(Essay, 29 June 2021)</w:t>
      </w:r>
      <w:r w:rsidR="00FF04B3">
        <w:t>.</w:t>
      </w:r>
    </w:p>
  </w:footnote>
  <w:footnote w:id="225">
    <w:p w14:paraId="0772ADEB" w14:textId="19284F47" w:rsidR="00DD761D" w:rsidRPr="00B1515C" w:rsidRDefault="00815763" w:rsidP="00A01254">
      <w:pPr>
        <w:pStyle w:val="FootnoteText"/>
      </w:pPr>
      <w:r w:rsidRPr="00815763">
        <w:rPr>
          <w:rStyle w:val="FootnoteReference"/>
          <w:vertAlign w:val="baseline"/>
        </w:rPr>
        <w:footnoteRef/>
      </w:r>
      <w:r w:rsidR="00DD761D" w:rsidRPr="00B1515C">
        <w:t xml:space="preserve"> </w:t>
      </w:r>
      <w:r w:rsidR="00FE31B9" w:rsidRPr="00B1515C">
        <w:tab/>
      </w:r>
      <w:r w:rsidR="00DD761D" w:rsidRPr="00B1515C">
        <w:t>Submission A10, 20.</w:t>
      </w:r>
    </w:p>
  </w:footnote>
  <w:footnote w:id="226">
    <w:p w14:paraId="30843724" w14:textId="4EE9E36D" w:rsidR="00182CD5" w:rsidRPr="00B1515C" w:rsidRDefault="00815763" w:rsidP="00A01254">
      <w:pPr>
        <w:pStyle w:val="FootnoteText"/>
      </w:pPr>
      <w:r w:rsidRPr="00815763">
        <w:rPr>
          <w:rStyle w:val="FootnoteReference"/>
          <w:vertAlign w:val="baseline"/>
        </w:rPr>
        <w:footnoteRef/>
      </w:r>
      <w:r w:rsidR="0063124B" w:rsidRPr="00B1515C">
        <w:t xml:space="preserve"> </w:t>
      </w:r>
      <w:r w:rsidR="00FE31B9" w:rsidRPr="00B1515C">
        <w:tab/>
      </w:r>
      <w:r w:rsidR="00F75232">
        <w:t>‘</w:t>
      </w:r>
      <w:hyperlink r:id="rId115" w:history="1">
        <w:r w:rsidR="00AF0F1C" w:rsidRPr="00FF04B3">
          <w:rPr>
            <w:rStyle w:val="Hyperlink"/>
          </w:rPr>
          <w:t>What is the metaverse</w:t>
        </w:r>
      </w:hyperlink>
      <w:r w:rsidR="00F75232">
        <w:t>’</w:t>
      </w:r>
      <w:r w:rsidR="00AF0F1C" w:rsidRPr="00B1515C">
        <w:t xml:space="preserve">, </w:t>
      </w:r>
      <w:r w:rsidR="0063124B" w:rsidRPr="0084535D">
        <w:rPr>
          <w:rStyle w:val="Emphasis"/>
        </w:rPr>
        <w:t>McKinsey &amp; Company</w:t>
      </w:r>
      <w:r w:rsidR="0063124B" w:rsidRPr="00B1515C">
        <w:t xml:space="preserve"> </w:t>
      </w:r>
      <w:r w:rsidR="00DF6EA4" w:rsidRPr="00B1515C">
        <w:t xml:space="preserve">(Web Page, </w:t>
      </w:r>
      <w:r w:rsidR="00AF0F1C" w:rsidRPr="00B1515C">
        <w:t>17 August 2022</w:t>
      </w:r>
      <w:r w:rsidR="00DF6EA4" w:rsidRPr="00B1515C">
        <w:t>).</w:t>
      </w:r>
    </w:p>
  </w:footnote>
  <w:footnote w:id="227">
    <w:p w14:paraId="38D016DE" w14:textId="61DA4BCE" w:rsidR="00DD761D" w:rsidRPr="00B1515C" w:rsidRDefault="00815763" w:rsidP="00A01254">
      <w:pPr>
        <w:pStyle w:val="FootnoteText"/>
      </w:pPr>
      <w:r w:rsidRPr="00815763">
        <w:rPr>
          <w:rStyle w:val="FootnoteReference"/>
          <w:vertAlign w:val="baseline"/>
        </w:rPr>
        <w:footnoteRef/>
      </w:r>
      <w:r w:rsidR="00DD761D" w:rsidRPr="00B1515C">
        <w:t xml:space="preserve"> </w:t>
      </w:r>
      <w:r w:rsidR="00FE31B9" w:rsidRPr="00B1515C">
        <w:tab/>
      </w:r>
      <w:r w:rsidR="0083561D" w:rsidRPr="00B1515C">
        <w:t xml:space="preserve">Steven Ehrlich, </w:t>
      </w:r>
      <w:r w:rsidR="00FF04B3">
        <w:t>‘</w:t>
      </w:r>
      <w:hyperlink r:id="rId116" w:history="1">
        <w:r w:rsidR="0083561D" w:rsidRPr="00FF04B3">
          <w:rPr>
            <w:rStyle w:val="Hyperlink"/>
          </w:rPr>
          <w:t>The Metaverse Explained</w:t>
        </w:r>
      </w:hyperlink>
      <w:r w:rsidR="00FF04B3">
        <w:t>’</w:t>
      </w:r>
      <w:r w:rsidR="0083561D" w:rsidRPr="00B1515C">
        <w:t xml:space="preserve">, </w:t>
      </w:r>
      <w:r w:rsidR="0083561D" w:rsidRPr="0084535D">
        <w:rPr>
          <w:rStyle w:val="Emphasis"/>
        </w:rPr>
        <w:t>For</w:t>
      </w:r>
      <w:r w:rsidR="00DF6EA4" w:rsidRPr="0084535D">
        <w:rPr>
          <w:rStyle w:val="Emphasis"/>
        </w:rPr>
        <w:t>be</w:t>
      </w:r>
      <w:r w:rsidR="0083561D" w:rsidRPr="0084535D">
        <w:rPr>
          <w:rStyle w:val="Emphasis"/>
        </w:rPr>
        <w:t>s</w:t>
      </w:r>
      <w:r w:rsidR="0083561D" w:rsidRPr="00B1515C">
        <w:t xml:space="preserve"> </w:t>
      </w:r>
      <w:r w:rsidR="00DF6EA4" w:rsidRPr="00B1515C">
        <w:t xml:space="preserve">(Web Page, </w:t>
      </w:r>
      <w:r w:rsidR="0083561D" w:rsidRPr="00B1515C">
        <w:t>10 March 2023</w:t>
      </w:r>
      <w:r w:rsidR="00DF6EA4" w:rsidRPr="00B1515C">
        <w:t>)</w:t>
      </w:r>
      <w:r w:rsidR="00A51D60">
        <w:t>.</w:t>
      </w:r>
      <w:r w:rsidR="004F0A51" w:rsidRPr="00B1515C">
        <w:t xml:space="preserve"> </w:t>
      </w:r>
    </w:p>
  </w:footnote>
  <w:footnote w:id="228">
    <w:p w14:paraId="068E8A4C" w14:textId="652E23BF"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8A0FE1" w:rsidRPr="00B1515C">
        <w:t>The Treasury</w:t>
      </w:r>
      <w:r w:rsidR="0097706B" w:rsidRPr="00B1515C">
        <w:t xml:space="preserve">, </w:t>
      </w:r>
      <w:r w:rsidR="0097706B" w:rsidRPr="0084535D">
        <w:rPr>
          <w:rStyle w:val="Emphasis"/>
        </w:rPr>
        <w:t>Regulating Digital Asset Platforms</w:t>
      </w:r>
      <w:r w:rsidR="0097706B" w:rsidRPr="00B1515C">
        <w:t xml:space="preserve"> </w:t>
      </w:r>
      <w:r w:rsidR="001609BE" w:rsidRPr="00B1515C">
        <w:t>(n 10)</w:t>
      </w:r>
      <w:r w:rsidR="0097706B" w:rsidRPr="00B1515C" w:rsidDel="0097706B">
        <w:t xml:space="preserve"> </w:t>
      </w:r>
      <w:r w:rsidR="00301B95" w:rsidRPr="00B1515C">
        <w:t>3.</w:t>
      </w:r>
    </w:p>
  </w:footnote>
  <w:footnote w:id="229">
    <w:p w14:paraId="255C447A" w14:textId="3F5B2136"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8A0FE1" w:rsidRPr="00B1515C">
        <w:t>The Treasury</w:t>
      </w:r>
      <w:r w:rsidR="0097706B" w:rsidRPr="00B1515C">
        <w:t xml:space="preserve">, </w:t>
      </w:r>
      <w:r w:rsidR="0097706B" w:rsidRPr="0084535D">
        <w:rPr>
          <w:rStyle w:val="Emphasis"/>
        </w:rPr>
        <w:t>Regulating Digital Asset Platforms</w:t>
      </w:r>
      <w:r w:rsidR="0097706B" w:rsidRPr="00B1515C">
        <w:t xml:space="preserve"> </w:t>
      </w:r>
      <w:r w:rsidR="001609BE" w:rsidRPr="00B1515C">
        <w:t>(n 10)</w:t>
      </w:r>
      <w:r w:rsidR="0097706B" w:rsidRPr="00B1515C" w:rsidDel="0097706B">
        <w:t xml:space="preserve"> </w:t>
      </w:r>
      <w:r w:rsidR="00301B95" w:rsidRPr="00B1515C">
        <w:t>4.</w:t>
      </w:r>
    </w:p>
  </w:footnote>
  <w:footnote w:id="230">
    <w:p w14:paraId="5FBBBF01" w14:textId="1F7B4166" w:rsidR="00301B95" w:rsidRPr="00B1515C" w:rsidRDefault="00815763" w:rsidP="00A01254">
      <w:pPr>
        <w:pStyle w:val="FootnoteText"/>
      </w:pPr>
      <w:r w:rsidRPr="00815763">
        <w:rPr>
          <w:rStyle w:val="FootnoteReference"/>
          <w:vertAlign w:val="baseline"/>
        </w:rPr>
        <w:footnoteRef/>
      </w:r>
      <w:r w:rsidR="00301B95" w:rsidRPr="00B1515C">
        <w:t xml:space="preserve"> </w:t>
      </w:r>
      <w:r w:rsidR="00FE31B9" w:rsidRPr="00B1515C">
        <w:tab/>
      </w:r>
      <w:r w:rsidR="008A0FE1" w:rsidRPr="00B1515C">
        <w:t>The Treasury</w:t>
      </w:r>
      <w:r w:rsidR="0097706B" w:rsidRPr="00B1515C">
        <w:t xml:space="preserve">, </w:t>
      </w:r>
      <w:r w:rsidR="0097706B" w:rsidRPr="0084535D">
        <w:rPr>
          <w:rStyle w:val="Emphasis"/>
        </w:rPr>
        <w:t>Regulating Digital Asset Platforms</w:t>
      </w:r>
      <w:r w:rsidR="0097706B" w:rsidRPr="00B1515C">
        <w:t xml:space="preserve"> </w:t>
      </w:r>
      <w:r w:rsidR="001609BE" w:rsidRPr="00B1515C">
        <w:t>(n 10)</w:t>
      </w:r>
      <w:r w:rsidR="0097706B" w:rsidRPr="00B1515C" w:rsidDel="0097706B">
        <w:t xml:space="preserve"> </w:t>
      </w:r>
      <w:r w:rsidR="00301B95" w:rsidRPr="00B1515C">
        <w:t>4.</w:t>
      </w:r>
    </w:p>
  </w:footnote>
  <w:footnote w:id="231">
    <w:p w14:paraId="63CE6F25" w14:textId="7426CEC6"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8F56FE" w:rsidRPr="00B1515C">
        <w:t xml:space="preserve">Vincent Ooi, </w:t>
      </w:r>
      <w:r w:rsidR="00F75232">
        <w:t>‘</w:t>
      </w:r>
      <w:r w:rsidR="008F56FE" w:rsidRPr="00B1515C">
        <w:t>A Framework for Understanding the Taxation of Digital Tokens</w:t>
      </w:r>
      <w:r w:rsidR="00F75232">
        <w:t>’</w:t>
      </w:r>
      <w:r w:rsidR="008F56FE" w:rsidRPr="00B1515C">
        <w:t xml:space="preserve"> (2021) 50(4) </w:t>
      </w:r>
      <w:r w:rsidR="008F56FE" w:rsidRPr="0084535D">
        <w:rPr>
          <w:rStyle w:val="Emphasis"/>
        </w:rPr>
        <w:t>Australian</w:t>
      </w:r>
      <w:r w:rsidR="004909D2" w:rsidRPr="0084535D">
        <w:rPr>
          <w:rStyle w:val="Emphasis"/>
        </w:rPr>
        <w:t xml:space="preserve"> </w:t>
      </w:r>
      <w:r w:rsidR="008F56FE" w:rsidRPr="0084535D">
        <w:rPr>
          <w:rStyle w:val="Emphasis"/>
        </w:rPr>
        <w:t>Tax Review</w:t>
      </w:r>
      <w:r w:rsidR="008F56FE" w:rsidRPr="00B1515C">
        <w:t xml:space="preserve"> 260, 261.</w:t>
      </w:r>
    </w:p>
  </w:footnote>
  <w:footnote w:id="232">
    <w:p w14:paraId="018ADCD9" w14:textId="007D2443"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8F56FE" w:rsidRPr="00B1515C">
        <w:t xml:space="preserve">United Kingdom, </w:t>
      </w:r>
      <w:hyperlink r:id="rId117" w:history="1">
        <w:r w:rsidR="008F56FE" w:rsidRPr="00A51D60">
          <w:rPr>
            <w:rStyle w:val="Hyperlink"/>
            <w:i/>
            <w:iCs/>
          </w:rPr>
          <w:t>Cryptoassets Taskforce: final report</w:t>
        </w:r>
      </w:hyperlink>
      <w:r w:rsidR="008F56FE" w:rsidRPr="00B1515C">
        <w:t xml:space="preserve"> (</w:t>
      </w:r>
      <w:r w:rsidR="00D94636" w:rsidRPr="00B1515C">
        <w:t xml:space="preserve">Final Report, </w:t>
      </w:r>
      <w:r w:rsidR="008F56FE" w:rsidRPr="00B1515C">
        <w:t>October 2018) 11</w:t>
      </w:r>
      <w:r w:rsidR="00A51D60">
        <w:t>.</w:t>
      </w:r>
      <w:r w:rsidR="008F56FE" w:rsidRPr="00B1515C">
        <w:t xml:space="preserve"> </w:t>
      </w:r>
    </w:p>
  </w:footnote>
  <w:footnote w:id="233">
    <w:p w14:paraId="474734B8" w14:textId="57CBA2A8"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68009F" w:rsidRPr="00B1515C">
        <w:t xml:space="preserve">OECD, </w:t>
      </w:r>
      <w:r w:rsidR="0068009F" w:rsidRPr="0084535D">
        <w:rPr>
          <w:rStyle w:val="Emphasis"/>
        </w:rPr>
        <w:t>Taxing Virtual Currencies</w:t>
      </w:r>
      <w:r w:rsidR="0068009F" w:rsidRPr="00B1515C">
        <w:t xml:space="preserve"> </w:t>
      </w:r>
      <w:r w:rsidR="001609BE" w:rsidRPr="00B1515C">
        <w:t>(n 6)</w:t>
      </w:r>
      <w:r w:rsidR="0068009F" w:rsidRPr="00B1515C">
        <w:t xml:space="preserve"> </w:t>
      </w:r>
      <w:r w:rsidR="008F56FE" w:rsidRPr="00B1515C">
        <w:t>12.</w:t>
      </w:r>
    </w:p>
  </w:footnote>
  <w:footnote w:id="234">
    <w:p w14:paraId="2C798D3B" w14:textId="505AC3BC" w:rsidR="005E49EA" w:rsidRPr="00B1515C" w:rsidRDefault="00815763" w:rsidP="00A01254">
      <w:pPr>
        <w:pStyle w:val="FootnoteText"/>
      </w:pPr>
      <w:r w:rsidRPr="00815763">
        <w:rPr>
          <w:rStyle w:val="FootnoteReference"/>
          <w:vertAlign w:val="baseline"/>
        </w:rPr>
        <w:footnoteRef/>
      </w:r>
      <w:r w:rsidR="005E49EA" w:rsidRPr="00B1515C">
        <w:t xml:space="preserve"> </w:t>
      </w:r>
      <w:r w:rsidR="00FE31B9" w:rsidRPr="00B1515C">
        <w:tab/>
      </w:r>
      <w:r w:rsidR="005E49EA" w:rsidRPr="00B1515C">
        <w:t>The tZero exchange announced its closure on 6 March 2023.</w:t>
      </w:r>
    </w:p>
  </w:footnote>
  <w:footnote w:id="235">
    <w:p w14:paraId="11BE400E" w14:textId="7BD1FB29"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68009F" w:rsidRPr="00B1515C">
        <w:t xml:space="preserve">OECD, </w:t>
      </w:r>
      <w:r w:rsidR="0068009F" w:rsidRPr="0084535D">
        <w:rPr>
          <w:rStyle w:val="Emphasis"/>
        </w:rPr>
        <w:t>Taxing Virtual Currencies</w:t>
      </w:r>
      <w:r w:rsidR="0068009F" w:rsidRPr="00B1515C">
        <w:t xml:space="preserve"> </w:t>
      </w:r>
      <w:r w:rsidR="001609BE" w:rsidRPr="00B1515C">
        <w:t>(n 6)</w:t>
      </w:r>
      <w:r w:rsidR="0068009F" w:rsidRPr="00B1515C">
        <w:t xml:space="preserve"> </w:t>
      </w:r>
      <w:r w:rsidR="008F56FE" w:rsidRPr="00B1515C">
        <w:t>13.</w:t>
      </w:r>
    </w:p>
  </w:footnote>
  <w:footnote w:id="236">
    <w:p w14:paraId="4AAC036C" w14:textId="5315B50C"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8F56FE" w:rsidRPr="00B1515C">
        <w:t xml:space="preserve">Also see </w:t>
      </w:r>
      <w:r w:rsidR="00F35EB5" w:rsidRPr="00B1515C">
        <w:t xml:space="preserve">Allen, Berg and Lane (2023) </w:t>
      </w:r>
      <w:r w:rsidR="001609BE" w:rsidRPr="00B1515C">
        <w:t>(n 105)</w:t>
      </w:r>
      <w:r w:rsidR="00F35EB5" w:rsidRPr="00B1515C">
        <w:t xml:space="preserve"> </w:t>
      </w:r>
      <w:r w:rsidR="008F56FE" w:rsidRPr="00B1515C">
        <w:t>5</w:t>
      </w:r>
      <w:r w:rsidR="0068009F" w:rsidRPr="00B1515C">
        <w:t>—</w:t>
      </w:r>
      <w:r w:rsidR="008F56FE" w:rsidRPr="00B1515C">
        <w:t>8.</w:t>
      </w:r>
    </w:p>
  </w:footnote>
  <w:footnote w:id="237">
    <w:p w14:paraId="440C11C3" w14:textId="615BB0FA"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8F56FE" w:rsidRPr="00B1515C">
        <w:t>S</w:t>
      </w:r>
      <w:r w:rsidR="00B34E65" w:rsidRPr="00B1515C">
        <w:t>haun</w:t>
      </w:r>
      <w:r w:rsidR="008F56FE" w:rsidRPr="00B1515C">
        <w:t xml:space="preserve"> Parsons, </w:t>
      </w:r>
      <w:r w:rsidR="008F56FE" w:rsidRPr="0084535D">
        <w:rPr>
          <w:rStyle w:val="Emphasis"/>
        </w:rPr>
        <w:t>Taxing Crypto</w:t>
      </w:r>
      <w:r w:rsidR="00F75232">
        <w:rPr>
          <w:rStyle w:val="Emphasis"/>
        </w:rPr>
        <w:t>-</w:t>
      </w:r>
      <w:r w:rsidR="008F56FE" w:rsidRPr="0084535D">
        <w:rPr>
          <w:rStyle w:val="Emphasis"/>
        </w:rPr>
        <w:t>Asset Transactions: Foundations for a Globally Coordinated Approach</w:t>
      </w:r>
      <w:r w:rsidR="008F56FE" w:rsidRPr="00B1515C">
        <w:t xml:space="preserve"> (IBFD 2023) </w:t>
      </w:r>
      <w:r w:rsidR="00691DAA" w:rsidRPr="00B1515C">
        <w:t>Ch</w:t>
      </w:r>
      <w:r w:rsidR="00EB4C27" w:rsidRPr="00B1515C">
        <w:t xml:space="preserve"> 5 [</w:t>
      </w:r>
      <w:r w:rsidR="008F56FE" w:rsidRPr="00B1515C">
        <w:t>5.3.2</w:t>
      </w:r>
      <w:r w:rsidR="007D0FF6" w:rsidRPr="00B1515C">
        <w:t>].</w:t>
      </w:r>
      <w:r w:rsidR="008F56FE" w:rsidRPr="00B1515C">
        <w:t xml:space="preserve"> </w:t>
      </w:r>
    </w:p>
  </w:footnote>
  <w:footnote w:id="238">
    <w:p w14:paraId="1E124347" w14:textId="447A8B2A"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7D0FF6" w:rsidRPr="00B1515C">
        <w:t xml:space="preserve">Shaun Parsons, </w:t>
      </w:r>
      <w:r w:rsidR="007D0FF6" w:rsidRPr="0084535D">
        <w:rPr>
          <w:rStyle w:val="Emphasis"/>
        </w:rPr>
        <w:t>Taxing Crypto</w:t>
      </w:r>
      <w:r w:rsidR="00F75232">
        <w:rPr>
          <w:rStyle w:val="Emphasis"/>
        </w:rPr>
        <w:t>-</w:t>
      </w:r>
      <w:r w:rsidR="007D0FF6" w:rsidRPr="0084535D">
        <w:rPr>
          <w:rStyle w:val="Emphasis"/>
        </w:rPr>
        <w:t>Asset Transactions: Foundations for a Globally Coordinated Approach</w:t>
      </w:r>
      <w:r w:rsidR="007D0FF6" w:rsidRPr="00B1515C">
        <w:t xml:space="preserve"> (IBFD 2023) </w:t>
      </w:r>
      <w:r w:rsidR="00691DAA" w:rsidRPr="00B1515C">
        <w:t>Ch</w:t>
      </w:r>
      <w:r w:rsidR="007D0FF6" w:rsidRPr="00B1515C">
        <w:t xml:space="preserve"> 5 [5.3.2]. </w:t>
      </w:r>
    </w:p>
  </w:footnote>
  <w:footnote w:id="239">
    <w:p w14:paraId="3DABC1AD" w14:textId="4F859C45"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7D0FF6" w:rsidRPr="00B1515C">
        <w:t xml:space="preserve">Shaun Parsons, </w:t>
      </w:r>
      <w:r w:rsidR="007D0FF6" w:rsidRPr="0084535D">
        <w:rPr>
          <w:rStyle w:val="Emphasis"/>
        </w:rPr>
        <w:t>Taxing Crypto</w:t>
      </w:r>
      <w:r w:rsidR="00F75232">
        <w:rPr>
          <w:rStyle w:val="Emphasis"/>
        </w:rPr>
        <w:t>-</w:t>
      </w:r>
      <w:r w:rsidR="007D0FF6" w:rsidRPr="0084535D">
        <w:rPr>
          <w:rStyle w:val="Emphasis"/>
        </w:rPr>
        <w:t>Asset Transactions: Foundations for a Globally Coordinated Approach</w:t>
      </w:r>
      <w:r w:rsidR="007D0FF6" w:rsidRPr="00B1515C">
        <w:t xml:space="preserve"> (IBFD 2023) </w:t>
      </w:r>
      <w:r w:rsidR="00691DAA" w:rsidRPr="00B1515C">
        <w:t>Ch</w:t>
      </w:r>
      <w:r w:rsidR="007D0FF6" w:rsidRPr="00B1515C">
        <w:t xml:space="preserve"> 5 [5.3.2]. </w:t>
      </w:r>
    </w:p>
  </w:footnote>
  <w:footnote w:id="240">
    <w:p w14:paraId="0131DD3F" w14:textId="27184474"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7D0FF6" w:rsidRPr="00B1515C">
        <w:t xml:space="preserve">Shaun Parsons, </w:t>
      </w:r>
      <w:r w:rsidR="007D0FF6" w:rsidRPr="0084535D">
        <w:rPr>
          <w:rStyle w:val="Emphasis"/>
        </w:rPr>
        <w:t>Taxing Crypto</w:t>
      </w:r>
      <w:r w:rsidR="00F75232">
        <w:rPr>
          <w:rStyle w:val="Emphasis"/>
        </w:rPr>
        <w:t>-</w:t>
      </w:r>
      <w:r w:rsidR="007D0FF6" w:rsidRPr="0084535D">
        <w:rPr>
          <w:rStyle w:val="Emphasis"/>
        </w:rPr>
        <w:t>Asset Transactions: Foundations for a Globally Coordinated Approach</w:t>
      </w:r>
      <w:r w:rsidR="007D0FF6" w:rsidRPr="00B1515C">
        <w:t xml:space="preserve"> (IBFD 2023) </w:t>
      </w:r>
      <w:r w:rsidR="00691DAA" w:rsidRPr="00B1515C">
        <w:t>Ch</w:t>
      </w:r>
      <w:r w:rsidR="007D0FF6" w:rsidRPr="00B1515C">
        <w:t xml:space="preserve"> 5 [5.3.2.1]. </w:t>
      </w:r>
    </w:p>
  </w:footnote>
  <w:footnote w:id="241">
    <w:p w14:paraId="710173BB" w14:textId="60F351BE"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7D0FF6" w:rsidRPr="00B1515C">
        <w:t xml:space="preserve">Shaun Parsons, </w:t>
      </w:r>
      <w:r w:rsidR="007D0FF6" w:rsidRPr="0084535D">
        <w:rPr>
          <w:rStyle w:val="Emphasis"/>
        </w:rPr>
        <w:t>Taxing Crypto</w:t>
      </w:r>
      <w:r w:rsidR="00F75232">
        <w:rPr>
          <w:rStyle w:val="Emphasis"/>
        </w:rPr>
        <w:t>-</w:t>
      </w:r>
      <w:r w:rsidR="007D0FF6" w:rsidRPr="0084535D">
        <w:rPr>
          <w:rStyle w:val="Emphasis"/>
        </w:rPr>
        <w:t>Asset Transactions: Foundations for a Globally Coordinated Approach</w:t>
      </w:r>
      <w:r w:rsidR="007D0FF6" w:rsidRPr="00B1515C">
        <w:t xml:space="preserve"> (IBFD 2023) </w:t>
      </w:r>
      <w:r w:rsidR="00691DAA" w:rsidRPr="00B1515C">
        <w:t>Ch</w:t>
      </w:r>
      <w:r w:rsidR="007D0FF6" w:rsidRPr="00B1515C">
        <w:t xml:space="preserve"> 5 [5.3.2.2]. </w:t>
      </w:r>
    </w:p>
  </w:footnote>
  <w:footnote w:id="242">
    <w:p w14:paraId="5FC1AF77" w14:textId="6895DB50"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7D0FF6" w:rsidRPr="00B1515C">
        <w:t xml:space="preserve">Shaun Parsons, </w:t>
      </w:r>
      <w:r w:rsidR="007D0FF6" w:rsidRPr="0084535D">
        <w:rPr>
          <w:rStyle w:val="Emphasis"/>
        </w:rPr>
        <w:t>Taxing Crypto</w:t>
      </w:r>
      <w:r w:rsidR="00F75232">
        <w:rPr>
          <w:rStyle w:val="Emphasis"/>
        </w:rPr>
        <w:t>-</w:t>
      </w:r>
      <w:r w:rsidR="007D0FF6" w:rsidRPr="0084535D">
        <w:rPr>
          <w:rStyle w:val="Emphasis"/>
        </w:rPr>
        <w:t>Asset Transactions: Foundations for a Globally Coordinated Approach</w:t>
      </w:r>
      <w:r w:rsidR="007D0FF6" w:rsidRPr="00B1515C">
        <w:t xml:space="preserve"> (IBFD 2023) </w:t>
      </w:r>
      <w:r w:rsidR="00691DAA" w:rsidRPr="00B1515C">
        <w:t>Ch</w:t>
      </w:r>
      <w:r w:rsidR="007D0FF6" w:rsidRPr="00B1515C">
        <w:t xml:space="preserve"> 5 [5.3.2.2]. </w:t>
      </w:r>
    </w:p>
  </w:footnote>
  <w:footnote w:id="243">
    <w:p w14:paraId="24754837" w14:textId="477CA992" w:rsidR="008F56FE" w:rsidRPr="00B1515C" w:rsidRDefault="00815763" w:rsidP="00A01254">
      <w:pPr>
        <w:pStyle w:val="FootnoteText"/>
      </w:pPr>
      <w:r w:rsidRPr="00815763">
        <w:rPr>
          <w:rStyle w:val="FootnoteReference"/>
          <w:vertAlign w:val="baseline"/>
        </w:rPr>
        <w:footnoteRef/>
      </w:r>
      <w:r w:rsidR="008F56FE" w:rsidRPr="00B1515C">
        <w:t xml:space="preserve"> </w:t>
      </w:r>
      <w:r w:rsidR="00FE31B9" w:rsidRPr="00B1515C">
        <w:tab/>
      </w:r>
      <w:r w:rsidR="008F56FE" w:rsidRPr="00B1515C">
        <w:t>UK Jurisdiction Taskforce</w:t>
      </w:r>
      <w:r w:rsidR="009E1632" w:rsidRPr="00B1515C">
        <w:t>,</w:t>
      </w:r>
      <w:r w:rsidR="008F56FE" w:rsidRPr="00B1515C">
        <w:t xml:space="preserve"> </w:t>
      </w:r>
      <w:hyperlink r:id="rId118" w:history="1">
        <w:r w:rsidR="008F56FE" w:rsidRPr="004A619C">
          <w:rPr>
            <w:rStyle w:val="Hyperlink"/>
            <w:i/>
            <w:iCs/>
          </w:rPr>
          <w:t>Legal Statement on Cryptoassets and Smart Contracts</w:t>
        </w:r>
      </w:hyperlink>
      <w:r w:rsidR="008F56FE" w:rsidRPr="0084535D">
        <w:rPr>
          <w:rStyle w:val="Emphasis"/>
        </w:rPr>
        <w:t xml:space="preserve"> </w:t>
      </w:r>
      <w:r w:rsidR="008F56FE" w:rsidRPr="00B1515C">
        <w:t>(</w:t>
      </w:r>
      <w:r w:rsidR="00BC6AF4" w:rsidRPr="00B1515C">
        <w:t xml:space="preserve">Statement: </w:t>
      </w:r>
      <w:r w:rsidR="008F56FE" w:rsidRPr="00B1515C">
        <w:t xml:space="preserve">The LawTech Delivery Panel, November 2019) [33] quoted with approval in </w:t>
      </w:r>
      <w:r w:rsidR="008F56FE" w:rsidRPr="0084535D">
        <w:rPr>
          <w:rStyle w:val="Emphasis"/>
        </w:rPr>
        <w:t xml:space="preserve">Ruscoe and Moore v Cryptopia Limited (in Liquidation) </w:t>
      </w:r>
      <w:r w:rsidR="008F56FE" w:rsidRPr="00B1515C">
        <w:t>[2020] NZHC 728.</w:t>
      </w:r>
    </w:p>
  </w:footnote>
  <w:footnote w:id="244">
    <w:p w14:paraId="1D1D659D" w14:textId="1FC216DE"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9A775F" w:rsidRPr="00B1515C">
        <w:t>At 1247</w:t>
      </w:r>
      <w:r w:rsidR="00B3458E" w:rsidRPr="00B1515C">
        <w:t xml:space="preserve">, </w:t>
      </w:r>
      <w:r w:rsidR="009A775F" w:rsidRPr="00B1515C">
        <w:t>1248</w:t>
      </w:r>
      <w:r w:rsidR="00C603A5" w:rsidRPr="00B1515C">
        <w:t>.</w:t>
      </w:r>
    </w:p>
  </w:footnote>
  <w:footnote w:id="245">
    <w:p w14:paraId="0BD00A76" w14:textId="4E874DD7"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9A775F" w:rsidRPr="00B1515C">
        <w:rPr>
          <w:rFonts w:asciiTheme="minorHAnsi" w:hAnsiTheme="minorHAnsi" w:cstheme="minorHAnsi"/>
          <w:color w:val="333333"/>
          <w:shd w:val="clear" w:color="auto" w:fill="FFFFFF"/>
        </w:rPr>
        <w:t>Mason J in </w:t>
      </w:r>
      <w:r w:rsidR="009A775F" w:rsidRPr="0084535D">
        <w:rPr>
          <w:rStyle w:val="Emphasis"/>
        </w:rPr>
        <w:t>R v Toohey &amp; Anor; ex parte Meneling Station Pty Ltd &amp; Ors</w:t>
      </w:r>
      <w:r w:rsidR="009A775F" w:rsidRPr="00B1515C">
        <w:rPr>
          <w:rFonts w:asciiTheme="minorHAnsi" w:hAnsiTheme="minorHAnsi" w:cstheme="minorHAnsi"/>
          <w:color w:val="333333"/>
          <w:shd w:val="clear" w:color="auto" w:fill="FFFFFF"/>
        </w:rPr>
        <w:t> </w:t>
      </w:r>
      <w:r w:rsidR="009A775F" w:rsidRPr="00B1515C">
        <w:rPr>
          <w:rFonts w:asciiTheme="minorHAnsi" w:hAnsiTheme="minorHAnsi" w:cstheme="minorHAnsi"/>
          <w:shd w:val="clear" w:color="auto" w:fill="FFFFFF"/>
        </w:rPr>
        <w:t>(1982) 158 CLR 327</w:t>
      </w:r>
      <w:r w:rsidR="009A775F" w:rsidRPr="00B1515C">
        <w:rPr>
          <w:rFonts w:asciiTheme="minorHAnsi" w:hAnsiTheme="minorHAnsi" w:cstheme="minorHAnsi"/>
          <w:color w:val="333333"/>
          <w:shd w:val="clear" w:color="auto" w:fill="FFFFFF"/>
        </w:rPr>
        <w:t> </w:t>
      </w:r>
      <w:r w:rsidR="00CA19D9" w:rsidRPr="00B1515C">
        <w:rPr>
          <w:rFonts w:asciiTheme="minorHAnsi" w:hAnsiTheme="minorHAnsi" w:cstheme="minorHAnsi"/>
          <w:color w:val="333333"/>
          <w:shd w:val="clear" w:color="auto" w:fill="FFFFFF"/>
        </w:rPr>
        <w:t>[</w:t>
      </w:r>
      <w:r w:rsidR="009A775F" w:rsidRPr="00B1515C">
        <w:rPr>
          <w:rFonts w:asciiTheme="minorHAnsi" w:hAnsiTheme="minorHAnsi" w:cstheme="minorHAnsi"/>
          <w:color w:val="333333"/>
          <w:shd w:val="clear" w:color="auto" w:fill="FFFFFF"/>
        </w:rPr>
        <w:t>342</w:t>
      </w:r>
      <w:r w:rsidR="00CA19D9" w:rsidRPr="00B1515C">
        <w:rPr>
          <w:rFonts w:asciiTheme="minorHAnsi" w:hAnsiTheme="minorHAnsi" w:cstheme="minorHAnsi"/>
          <w:color w:val="333333"/>
          <w:shd w:val="clear" w:color="auto" w:fill="FFFFFF"/>
        </w:rPr>
        <w:t>]</w:t>
      </w:r>
      <w:r w:rsidR="00D538FD" w:rsidRPr="00B1515C">
        <w:rPr>
          <w:rFonts w:asciiTheme="minorHAnsi" w:hAnsiTheme="minorHAnsi" w:cstheme="minorHAnsi"/>
          <w:color w:val="333333"/>
          <w:shd w:val="clear" w:color="auto" w:fill="FFFFFF"/>
        </w:rPr>
        <w:t>.</w:t>
      </w:r>
    </w:p>
  </w:footnote>
  <w:footnote w:id="246">
    <w:p w14:paraId="472DFCDA" w14:textId="15DEDDDA"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701355" w:rsidRPr="00B1515C">
        <w:t xml:space="preserve">ATO, </w:t>
      </w:r>
      <w:r w:rsidR="00AE2528" w:rsidRPr="0084535D">
        <w:rPr>
          <w:rStyle w:val="Emphasis"/>
        </w:rPr>
        <w:t>Cryptocurrency – non</w:t>
      </w:r>
      <w:r w:rsidR="00F75232">
        <w:rPr>
          <w:rStyle w:val="Emphasis"/>
        </w:rPr>
        <w:t>-</w:t>
      </w:r>
      <w:r w:rsidR="00AE2528" w:rsidRPr="0084535D">
        <w:rPr>
          <w:rStyle w:val="Emphasis"/>
        </w:rPr>
        <w:t>fungible tokens</w:t>
      </w:r>
      <w:r w:rsidR="00AE2528" w:rsidRPr="00B1515C">
        <w:t xml:space="preserve"> (PBR Authorisation Number </w:t>
      </w:r>
      <w:r w:rsidR="00F52DF9" w:rsidRPr="00B1515C">
        <w:t>1051694175099, 1 October 2020).</w:t>
      </w:r>
    </w:p>
  </w:footnote>
  <w:footnote w:id="247">
    <w:p w14:paraId="4A4A0293" w14:textId="6C0C8806"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1B2AD5" w:rsidRPr="00B1515C">
        <w:rPr>
          <w:rFonts w:cs="Calibri"/>
        </w:rPr>
        <w:t xml:space="preserve">ATO, </w:t>
      </w:r>
      <w:r w:rsidR="001B2AD5" w:rsidRPr="0084535D">
        <w:rPr>
          <w:rStyle w:val="Emphasis"/>
        </w:rPr>
        <w:t xml:space="preserve">Income tax: is bitcoin a </w:t>
      </w:r>
      <w:r w:rsidR="00F75232">
        <w:rPr>
          <w:rStyle w:val="Emphasis"/>
        </w:rPr>
        <w:t>‘</w:t>
      </w:r>
      <w:r w:rsidR="001B2AD5" w:rsidRPr="0084535D">
        <w:rPr>
          <w:rStyle w:val="Emphasis"/>
        </w:rPr>
        <w:t xml:space="preserve">CGT </w:t>
      </w:r>
      <w:r w:rsidR="005905B7" w:rsidRPr="0084535D">
        <w:rPr>
          <w:rStyle w:val="Emphasis"/>
        </w:rPr>
        <w:t>a</w:t>
      </w:r>
      <w:r w:rsidR="001B2AD5" w:rsidRPr="0084535D">
        <w:rPr>
          <w:rStyle w:val="Emphasis"/>
        </w:rPr>
        <w:t>sset</w:t>
      </w:r>
      <w:r w:rsidR="00F75232">
        <w:rPr>
          <w:rStyle w:val="Emphasis"/>
        </w:rPr>
        <w:t>’</w:t>
      </w:r>
      <w:r w:rsidR="001B2AD5" w:rsidRPr="0084535D">
        <w:rPr>
          <w:rStyle w:val="Emphasis"/>
        </w:rPr>
        <w:t xml:space="preserve"> for the purposes of subsection 108</w:t>
      </w:r>
      <w:r w:rsidR="00F75232">
        <w:rPr>
          <w:rStyle w:val="Emphasis"/>
        </w:rPr>
        <w:t>-</w:t>
      </w:r>
      <w:r w:rsidR="001B2AD5" w:rsidRPr="0084535D">
        <w:rPr>
          <w:rStyle w:val="Emphasis"/>
        </w:rPr>
        <w:t xml:space="preserve">5(1) of the Income Tax Assessment Act 1997? </w:t>
      </w:r>
      <w:r w:rsidR="001B2AD5" w:rsidRPr="00B1515C">
        <w:rPr>
          <w:rFonts w:cs="Calibri"/>
        </w:rPr>
        <w:t>(</w:t>
      </w:r>
      <w:hyperlink r:id="rId119" w:history="1">
        <w:r w:rsidR="001B2AD5" w:rsidRPr="00F63C1F">
          <w:rPr>
            <w:rStyle w:val="Hyperlink"/>
            <w:rFonts w:cs="Calibri"/>
            <w:color w:val="002060"/>
          </w:rPr>
          <w:t>TD 2014/26</w:t>
        </w:r>
        <w:r w:rsidR="001B2AD5" w:rsidRPr="00B1515C">
          <w:rPr>
            <w:rStyle w:val="Hyperlink"/>
            <w:rFonts w:cs="Calibri"/>
            <w:color w:val="auto"/>
            <w:u w:val="none"/>
          </w:rPr>
          <w:t>,</w:t>
        </w:r>
      </w:hyperlink>
      <w:r w:rsidR="001B2AD5" w:rsidRPr="00B1515C">
        <w:rPr>
          <w:rFonts w:cs="Calibri"/>
        </w:rPr>
        <w:t xml:space="preserve"> 17 December 2014) [11] (</w:t>
      </w:r>
      <w:r w:rsidR="00F75232">
        <w:rPr>
          <w:rFonts w:cs="Calibri"/>
        </w:rPr>
        <w:t>‘</w:t>
      </w:r>
      <w:r w:rsidR="009A775F" w:rsidRPr="00B1515C">
        <w:t>TD 2014/26</w:t>
      </w:r>
      <w:r w:rsidR="00F75232">
        <w:t>’</w:t>
      </w:r>
      <w:r w:rsidR="001B2AD5" w:rsidRPr="00B1515C">
        <w:t>).</w:t>
      </w:r>
    </w:p>
  </w:footnote>
  <w:footnote w:id="248">
    <w:p w14:paraId="145190E7" w14:textId="160DBD11" w:rsidR="009A775F" w:rsidRPr="00B1515C" w:rsidRDefault="00815763" w:rsidP="00A01254">
      <w:pPr>
        <w:pStyle w:val="FootnoteText"/>
        <w:rPr>
          <w:rFonts w:asciiTheme="minorHAnsi" w:hAnsiTheme="minorHAnsi" w:cstheme="minorHAnsi"/>
        </w:rPr>
      </w:pPr>
      <w:r w:rsidRPr="00815763">
        <w:rPr>
          <w:rStyle w:val="FootnoteReference"/>
          <w:rFonts w:asciiTheme="minorHAnsi" w:hAnsiTheme="minorHAnsi" w:cstheme="minorHAnsi"/>
          <w:sz w:val="18"/>
          <w:szCs w:val="18"/>
          <w:vertAlign w:val="baseline"/>
        </w:rPr>
        <w:footnoteRef/>
      </w:r>
      <w:r w:rsidR="004F0A51" w:rsidRPr="00B1515C">
        <w:rPr>
          <w:rFonts w:asciiTheme="minorHAnsi" w:hAnsiTheme="minorHAnsi" w:cstheme="minorHAnsi"/>
        </w:rPr>
        <w:t xml:space="preserve"> </w:t>
      </w:r>
      <w:r w:rsidR="00FE31B9" w:rsidRPr="00B1515C">
        <w:rPr>
          <w:rFonts w:asciiTheme="minorHAnsi" w:hAnsiTheme="minorHAnsi" w:cstheme="minorHAnsi"/>
        </w:rPr>
        <w:tab/>
      </w:r>
      <w:r w:rsidR="009A775F" w:rsidRPr="0084535D">
        <w:rPr>
          <w:rStyle w:val="Emphasis"/>
        </w:rPr>
        <w:t>B2C2 Ltd v Quoine Pte Ltd</w:t>
      </w:r>
      <w:r w:rsidR="009A775F" w:rsidRPr="00B1515C">
        <w:rPr>
          <w:rFonts w:asciiTheme="minorHAnsi" w:hAnsiTheme="minorHAnsi" w:cstheme="minorHAnsi"/>
          <w:color w:val="212529"/>
          <w:shd w:val="clear" w:color="auto" w:fill="FFFFFF"/>
        </w:rPr>
        <w:t xml:space="preserve"> [2019] SGHC(I) 03, </w:t>
      </w:r>
      <w:r w:rsidR="00C603A5" w:rsidRPr="00B1515C">
        <w:rPr>
          <w:rFonts w:asciiTheme="minorHAnsi" w:hAnsiTheme="minorHAnsi" w:cstheme="minorHAnsi"/>
          <w:color w:val="212529"/>
          <w:shd w:val="clear" w:color="auto" w:fill="FFFFFF"/>
        </w:rPr>
        <w:t>[</w:t>
      </w:r>
      <w:r w:rsidR="009A775F" w:rsidRPr="00B1515C">
        <w:rPr>
          <w:rFonts w:asciiTheme="minorHAnsi" w:hAnsiTheme="minorHAnsi" w:cstheme="minorHAnsi"/>
          <w:color w:val="212529"/>
          <w:shd w:val="clear" w:color="auto" w:fill="FFFFFF"/>
        </w:rPr>
        <w:t>142</w:t>
      </w:r>
      <w:r w:rsidR="00C603A5" w:rsidRPr="00B1515C">
        <w:rPr>
          <w:rFonts w:asciiTheme="minorHAnsi" w:hAnsiTheme="minorHAnsi" w:cstheme="minorHAnsi"/>
          <w:color w:val="212529"/>
          <w:shd w:val="clear" w:color="auto" w:fill="FFFFFF"/>
        </w:rPr>
        <w:t>].</w:t>
      </w:r>
    </w:p>
  </w:footnote>
  <w:footnote w:id="249">
    <w:p w14:paraId="1830BD0C" w14:textId="0D04132E"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9A775F" w:rsidRPr="0084535D">
        <w:rPr>
          <w:rStyle w:val="Emphasis"/>
        </w:rPr>
        <w:t>Ruscoe and Moore v Cryptopia Limited (in Liquidation)</w:t>
      </w:r>
      <w:r w:rsidR="009A775F" w:rsidRPr="00B1515C">
        <w:t xml:space="preserve"> [2020] NZHC 728</w:t>
      </w:r>
      <w:r w:rsidR="00A30052" w:rsidRPr="00B1515C">
        <w:t xml:space="preserve"> (</w:t>
      </w:r>
      <w:r w:rsidR="00F75232">
        <w:t>‘</w:t>
      </w:r>
      <w:r w:rsidR="00A30052" w:rsidRPr="0084535D">
        <w:rPr>
          <w:rStyle w:val="Emphasis"/>
        </w:rPr>
        <w:t xml:space="preserve">Ruscoe and Moore </w:t>
      </w:r>
      <w:r w:rsidR="00A30052" w:rsidRPr="00B1515C">
        <w:t>(2020)</w:t>
      </w:r>
      <w:r w:rsidR="00F75232">
        <w:t>’</w:t>
      </w:r>
      <w:r w:rsidR="00A30052" w:rsidRPr="00B1515C">
        <w:t>)</w:t>
      </w:r>
      <w:r w:rsidR="00C603A5" w:rsidRPr="00B1515C">
        <w:t>.</w:t>
      </w:r>
    </w:p>
  </w:footnote>
  <w:footnote w:id="250">
    <w:p w14:paraId="20D121A5" w14:textId="2A3D1244"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6E03AA" w:rsidRPr="0084535D">
        <w:rPr>
          <w:rStyle w:val="Emphasis"/>
        </w:rPr>
        <w:t>Ruscoe and Moore</w:t>
      </w:r>
      <w:r w:rsidR="006E03AA" w:rsidRPr="00B1515C">
        <w:t xml:space="preserve"> (2020) </w:t>
      </w:r>
      <w:r w:rsidR="00795A41" w:rsidRPr="00B1515C">
        <w:t>(n 248)</w:t>
      </w:r>
      <w:r w:rsidR="006E03AA" w:rsidRPr="00B1515C">
        <w:t xml:space="preserve"> </w:t>
      </w:r>
      <w:r w:rsidR="009A775F" w:rsidRPr="00B1515C">
        <w:t>[120].</w:t>
      </w:r>
    </w:p>
  </w:footnote>
  <w:footnote w:id="251">
    <w:p w14:paraId="120477D5" w14:textId="081B7CC0"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9A775F" w:rsidRPr="00B1515C">
        <w:t xml:space="preserve">Also referred to as </w:t>
      </w:r>
      <w:r w:rsidR="00F75232">
        <w:t>‘</w:t>
      </w:r>
      <w:r w:rsidR="009A775F" w:rsidRPr="00B1515C">
        <w:t>thing in action</w:t>
      </w:r>
      <w:r w:rsidR="00F75232">
        <w:t>’</w:t>
      </w:r>
      <w:r w:rsidR="009A775F" w:rsidRPr="00B1515C">
        <w:t xml:space="preserve"> or </w:t>
      </w:r>
      <w:r w:rsidR="00F75232">
        <w:t>‘</w:t>
      </w:r>
      <w:r w:rsidR="009A775F" w:rsidRPr="00B1515C">
        <w:t>thing in possession</w:t>
      </w:r>
      <w:r w:rsidR="00F75232">
        <w:t>’</w:t>
      </w:r>
      <w:r w:rsidR="009A775F" w:rsidRPr="00B1515C">
        <w:t>.</w:t>
      </w:r>
    </w:p>
  </w:footnote>
  <w:footnote w:id="252">
    <w:p w14:paraId="5075E565" w14:textId="15E95CE3"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6E03AA" w:rsidRPr="0084535D">
        <w:rPr>
          <w:rStyle w:val="Emphasis"/>
        </w:rPr>
        <w:t>Ruscoe and Moore</w:t>
      </w:r>
      <w:r w:rsidR="006E03AA" w:rsidRPr="00B1515C">
        <w:t xml:space="preserve"> (2020) </w:t>
      </w:r>
      <w:r w:rsidR="00795A41" w:rsidRPr="00B1515C">
        <w:t>(n 248)</w:t>
      </w:r>
      <w:r w:rsidR="009A775F" w:rsidRPr="00B1515C">
        <w:t xml:space="preserve"> [123].</w:t>
      </w:r>
    </w:p>
  </w:footnote>
  <w:footnote w:id="253">
    <w:p w14:paraId="55EE2450" w14:textId="6E50BC3F"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9A775F" w:rsidRPr="0084535D">
        <w:rPr>
          <w:rStyle w:val="Emphasis"/>
        </w:rPr>
        <w:t>Boardman v Phipps</w:t>
      </w:r>
      <w:r w:rsidR="009A775F" w:rsidRPr="00B1515C">
        <w:t xml:space="preserve"> [1967] 2 AC 46, 127 (Lord Upjohn) (HL).</w:t>
      </w:r>
    </w:p>
  </w:footnote>
  <w:footnote w:id="254">
    <w:p w14:paraId="2BF3FBFD" w14:textId="598392EC"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9A775F" w:rsidRPr="00B1515C">
        <w:t xml:space="preserve">Summary from Paul Babie, David Brown, Ryan Catterwell and Mark Giancaspro, </w:t>
      </w:r>
      <w:r w:rsidR="009A775F" w:rsidRPr="0084535D">
        <w:rPr>
          <w:rStyle w:val="Emphasis"/>
        </w:rPr>
        <w:t>Case</w:t>
      </w:r>
      <w:r w:rsidR="009A775F" w:rsidRPr="00B1515C">
        <w:t xml:space="preserve"> </w:t>
      </w:r>
      <w:r w:rsidR="009A775F" w:rsidRPr="0084535D">
        <w:rPr>
          <w:rStyle w:val="Emphasis"/>
        </w:rPr>
        <w:t>Note Cryptocurrencies as Property: Ruscoe and Moore v Cryptopia Limited (In Liquidation) [2020] NZHC 728</w:t>
      </w:r>
      <w:r w:rsidR="007118AC" w:rsidRPr="0084535D">
        <w:rPr>
          <w:rStyle w:val="Emphasis"/>
        </w:rPr>
        <w:t>.</w:t>
      </w:r>
    </w:p>
  </w:footnote>
  <w:footnote w:id="255">
    <w:p w14:paraId="4A16D41A" w14:textId="4688985C"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8C0307" w:rsidRPr="00B1515C">
        <w:t xml:space="preserve">UK Law Commission, </w:t>
      </w:r>
      <w:r w:rsidR="008C0307" w:rsidRPr="0084535D">
        <w:rPr>
          <w:rStyle w:val="Emphasis"/>
        </w:rPr>
        <w:t>Digital Assets: Final Report</w:t>
      </w:r>
      <w:r w:rsidR="008C0307" w:rsidRPr="00B1515C">
        <w:t xml:space="preserve"> </w:t>
      </w:r>
      <w:r w:rsidR="001609BE" w:rsidRPr="00B1515C">
        <w:t>(n 8)</w:t>
      </w:r>
      <w:r w:rsidR="008C0307" w:rsidRPr="00B1515C">
        <w:t>.</w:t>
      </w:r>
    </w:p>
  </w:footnote>
  <w:footnote w:id="256">
    <w:p w14:paraId="4525BA1E" w14:textId="6C100885" w:rsidR="007B3603" w:rsidRPr="00B1515C" w:rsidRDefault="00815763" w:rsidP="00A01254">
      <w:pPr>
        <w:pStyle w:val="FootnoteText"/>
      </w:pPr>
      <w:r w:rsidRPr="00815763">
        <w:rPr>
          <w:rStyle w:val="FootnoteReference"/>
          <w:vertAlign w:val="baseline"/>
        </w:rPr>
        <w:footnoteRef/>
      </w:r>
      <w:r w:rsidR="007B3603" w:rsidRPr="00B1515C">
        <w:t xml:space="preserve"> </w:t>
      </w:r>
      <w:r w:rsidR="00FE31B9" w:rsidRPr="00B1515C">
        <w:tab/>
      </w:r>
      <w:r w:rsidR="00991D3A" w:rsidRPr="00B1515C">
        <w:t xml:space="preserve">UK Law Commission, </w:t>
      </w:r>
      <w:hyperlink r:id="rId120" w:history="1">
        <w:r w:rsidR="00991D3A" w:rsidRPr="004A619C">
          <w:rPr>
            <w:rStyle w:val="Hyperlink"/>
            <w:i/>
            <w:iCs/>
          </w:rPr>
          <w:t xml:space="preserve">Digital Assets: </w:t>
        </w:r>
        <w:r w:rsidR="004948D8" w:rsidRPr="004A619C">
          <w:rPr>
            <w:rStyle w:val="Hyperlink"/>
            <w:i/>
            <w:iCs/>
          </w:rPr>
          <w:t>Summary of f</w:t>
        </w:r>
        <w:r w:rsidR="00991D3A" w:rsidRPr="004A619C">
          <w:rPr>
            <w:rStyle w:val="Hyperlink"/>
            <w:i/>
            <w:iCs/>
          </w:rPr>
          <w:t>inal report</w:t>
        </w:r>
      </w:hyperlink>
      <w:r w:rsidR="00991D3A" w:rsidRPr="00B1515C">
        <w:t xml:space="preserve"> (</w:t>
      </w:r>
      <w:r w:rsidR="004948D8" w:rsidRPr="00B1515C">
        <w:t xml:space="preserve">Report, </w:t>
      </w:r>
      <w:r w:rsidR="00991D3A" w:rsidRPr="00B1515C">
        <w:t>2</w:t>
      </w:r>
      <w:r w:rsidR="001B4D88" w:rsidRPr="00B1515C">
        <w:t>8</w:t>
      </w:r>
      <w:r w:rsidR="00991D3A" w:rsidRPr="00B1515C">
        <w:t xml:space="preserve"> June 2023) </w:t>
      </w:r>
      <w:r w:rsidR="001B4D88" w:rsidRPr="00B1515C">
        <w:t>5</w:t>
      </w:r>
      <w:r w:rsidR="007B3603" w:rsidRPr="00B1515C" w:rsidDel="00991D3A">
        <w:t xml:space="preserve"> </w:t>
      </w:r>
      <w:r w:rsidR="001B4D88" w:rsidRPr="00B1515C">
        <w:t>(</w:t>
      </w:r>
      <w:r w:rsidR="00F75232">
        <w:t>‘</w:t>
      </w:r>
      <w:r w:rsidR="001B4D88" w:rsidRPr="00B1515C">
        <w:t xml:space="preserve">UK Law Commission, </w:t>
      </w:r>
      <w:r w:rsidR="001B4D88" w:rsidRPr="0084535D">
        <w:rPr>
          <w:rStyle w:val="Emphasis"/>
        </w:rPr>
        <w:t>Digital Assets: Summary of final report</w:t>
      </w:r>
      <w:r w:rsidR="00F75232">
        <w:rPr>
          <w:rStyle w:val="Emphasis"/>
        </w:rPr>
        <w:t>’</w:t>
      </w:r>
      <w:r w:rsidR="001B4D88" w:rsidRPr="00F63C1F">
        <w:rPr>
          <w:rStyle w:val="Emphasis"/>
          <w:i w:val="0"/>
          <w:iCs w:val="0"/>
        </w:rPr>
        <w:t>)</w:t>
      </w:r>
      <w:r w:rsidR="007E7A5D" w:rsidRPr="00F63C1F" w:rsidDel="001B4D88">
        <w:rPr>
          <w:i/>
        </w:rPr>
        <w:t>.</w:t>
      </w:r>
    </w:p>
  </w:footnote>
  <w:footnote w:id="257">
    <w:p w14:paraId="1E07840B" w14:textId="5362103D" w:rsidR="007B3603" w:rsidRPr="00B1515C" w:rsidRDefault="00815763" w:rsidP="00A01254">
      <w:pPr>
        <w:pStyle w:val="FootnoteText"/>
      </w:pPr>
      <w:r w:rsidRPr="00815763">
        <w:rPr>
          <w:rStyle w:val="FootnoteReference"/>
          <w:vertAlign w:val="baseline"/>
        </w:rPr>
        <w:footnoteRef/>
      </w:r>
      <w:r w:rsidR="007B3603" w:rsidRPr="00B1515C">
        <w:t xml:space="preserve"> </w:t>
      </w:r>
      <w:r w:rsidR="00FE31B9" w:rsidRPr="00B1515C">
        <w:tab/>
      </w:r>
      <w:r w:rsidR="001B4D88" w:rsidRPr="00B1515C">
        <w:t xml:space="preserve">UK Law Commission, </w:t>
      </w:r>
      <w:r w:rsidR="001B4D88" w:rsidRPr="0084535D">
        <w:rPr>
          <w:rStyle w:val="Emphasis"/>
        </w:rPr>
        <w:t>Digital Assets: Summary of final report</w:t>
      </w:r>
      <w:r w:rsidR="001B4D88" w:rsidRPr="00B1515C">
        <w:t xml:space="preserve"> </w:t>
      </w:r>
      <w:r w:rsidR="00795A41" w:rsidRPr="00B1515C">
        <w:t>(n 255)</w:t>
      </w:r>
      <w:r w:rsidR="001B4D88" w:rsidRPr="00B1515C">
        <w:t xml:space="preserve"> </w:t>
      </w:r>
      <w:r w:rsidR="0005325D" w:rsidRPr="00B1515C">
        <w:t>7</w:t>
      </w:r>
      <w:r w:rsidR="007E7A5D" w:rsidRPr="00B1515C">
        <w:t>.</w:t>
      </w:r>
    </w:p>
  </w:footnote>
  <w:footnote w:id="258">
    <w:p w14:paraId="06E91B07" w14:textId="6A15989A" w:rsidR="0045321E" w:rsidRPr="00B1515C" w:rsidRDefault="00815763" w:rsidP="00A01254">
      <w:pPr>
        <w:pStyle w:val="FootnoteText"/>
      </w:pPr>
      <w:r w:rsidRPr="00815763">
        <w:rPr>
          <w:rStyle w:val="FootnoteReference"/>
          <w:vertAlign w:val="baseline"/>
        </w:rPr>
        <w:footnoteRef/>
      </w:r>
      <w:r w:rsidR="0045321E" w:rsidRPr="00B1515C">
        <w:t xml:space="preserve"> </w:t>
      </w:r>
      <w:r w:rsidR="00FE31B9" w:rsidRPr="00B1515C">
        <w:tab/>
      </w:r>
      <w:r w:rsidR="001B4D88" w:rsidRPr="00B1515C">
        <w:t xml:space="preserve">UK Law Commission, </w:t>
      </w:r>
      <w:r w:rsidR="001B4D88" w:rsidRPr="0084535D">
        <w:rPr>
          <w:rStyle w:val="Emphasis"/>
        </w:rPr>
        <w:t>Digital Assets: Summary of final report</w:t>
      </w:r>
      <w:r w:rsidR="001B4D88" w:rsidRPr="00B1515C">
        <w:t xml:space="preserve"> </w:t>
      </w:r>
      <w:r w:rsidR="00795A41" w:rsidRPr="00B1515C">
        <w:t>(n 255)</w:t>
      </w:r>
      <w:r w:rsidR="001B4D88" w:rsidRPr="00B1515C">
        <w:t xml:space="preserve"> </w:t>
      </w:r>
      <w:r w:rsidR="0045321E" w:rsidRPr="00B1515C">
        <w:t>8.</w:t>
      </w:r>
      <w:r w:rsidR="004F0A51" w:rsidRPr="00B1515C">
        <w:t xml:space="preserve"> </w:t>
      </w:r>
      <w:r w:rsidR="0005325D" w:rsidRPr="00B1515C">
        <w:t xml:space="preserve">See also </w:t>
      </w:r>
      <w:r w:rsidR="001B4D88" w:rsidRPr="00B1515C">
        <w:t xml:space="preserve">UK Law Commission, </w:t>
      </w:r>
      <w:r w:rsidR="001B4D88" w:rsidRPr="0084535D">
        <w:rPr>
          <w:rStyle w:val="Emphasis"/>
        </w:rPr>
        <w:t>Digital Assets: Final Report</w:t>
      </w:r>
      <w:r w:rsidR="001B4D88" w:rsidRPr="00B1515C">
        <w:t xml:space="preserve"> </w:t>
      </w:r>
      <w:r w:rsidR="001609BE" w:rsidRPr="00B1515C">
        <w:t>(n 8)</w:t>
      </w:r>
      <w:r w:rsidR="001B4D88" w:rsidRPr="00B1515C">
        <w:t xml:space="preserve"> </w:t>
      </w:r>
      <w:r w:rsidR="0005325D" w:rsidRPr="00B1515C">
        <w:t xml:space="preserve">44, [3.40], referencing </w:t>
      </w:r>
      <w:r w:rsidR="0005325D" w:rsidRPr="0084535D">
        <w:rPr>
          <w:rStyle w:val="Emphasis"/>
        </w:rPr>
        <w:t>Tulip Trading v Van Der Laan</w:t>
      </w:r>
      <w:r w:rsidR="0005325D" w:rsidRPr="00B1515C">
        <w:t xml:space="preserve"> [2023] EWCA Civ 83, [2023] 4 WLR 16 at [24]</w:t>
      </w:r>
      <w:r w:rsidR="000024F1">
        <w:t>–‍</w:t>
      </w:r>
      <w:r w:rsidR="0005325D" w:rsidRPr="00B1515C">
        <w:t>[25].</w:t>
      </w:r>
    </w:p>
  </w:footnote>
  <w:footnote w:id="259">
    <w:p w14:paraId="3AAB7D29" w14:textId="51EF9CE5" w:rsidR="00464A04" w:rsidRPr="00B1515C" w:rsidRDefault="00815763" w:rsidP="00A01254">
      <w:pPr>
        <w:pStyle w:val="FootnoteText"/>
      </w:pPr>
      <w:r w:rsidRPr="00815763">
        <w:rPr>
          <w:rStyle w:val="FootnoteReference"/>
          <w:vertAlign w:val="baseline"/>
        </w:rPr>
        <w:footnoteRef/>
      </w:r>
      <w:r w:rsidR="00EA5373" w:rsidRPr="00B1515C">
        <w:t xml:space="preserve"> </w:t>
      </w:r>
      <w:r w:rsidR="00FE31B9" w:rsidRPr="00B1515C">
        <w:tab/>
      </w:r>
      <w:r w:rsidR="00EA5373" w:rsidRPr="00B1515C">
        <w:t>Robert</w:t>
      </w:r>
      <w:r w:rsidR="001B4D88" w:rsidRPr="00B1515C">
        <w:t xml:space="preserve"> Stevens, </w:t>
      </w:r>
      <w:r w:rsidR="00F75232">
        <w:t>‘</w:t>
      </w:r>
      <w:hyperlink r:id="rId121" w:history="1">
        <w:r w:rsidR="00EA5373" w:rsidRPr="004A619C">
          <w:rPr>
            <w:rStyle w:val="Hyperlink"/>
          </w:rPr>
          <w:t>Crypto is Not Property</w:t>
        </w:r>
      </w:hyperlink>
      <w:r w:rsidR="00F75232">
        <w:t>’</w:t>
      </w:r>
      <w:r w:rsidR="00EA5373" w:rsidRPr="00B1515C">
        <w:t xml:space="preserve"> </w:t>
      </w:r>
      <w:r w:rsidR="001B4D88" w:rsidRPr="00B1515C">
        <w:t xml:space="preserve">(2023) </w:t>
      </w:r>
      <w:r w:rsidR="00EA5373" w:rsidRPr="0084535D">
        <w:rPr>
          <w:rStyle w:val="Emphasis"/>
        </w:rPr>
        <w:t>Law Quarterly Review</w:t>
      </w:r>
      <w:r w:rsidR="00EA5373" w:rsidRPr="00B1515C">
        <w:t xml:space="preserve"> </w:t>
      </w:r>
      <w:r w:rsidR="001B4D88" w:rsidRPr="00B1515C">
        <w:t>(f</w:t>
      </w:r>
      <w:r w:rsidR="00EA5373" w:rsidRPr="00B1515C">
        <w:t>orthcoming</w:t>
      </w:r>
      <w:r w:rsidR="001B4D88" w:rsidRPr="00B1515C">
        <w:t>)</w:t>
      </w:r>
      <w:r w:rsidR="004A619C">
        <w:t>.</w:t>
      </w:r>
      <w:r w:rsidR="00572DAE" w:rsidRPr="00B1515C">
        <w:t xml:space="preserve"> </w:t>
      </w:r>
    </w:p>
  </w:footnote>
  <w:footnote w:id="260">
    <w:p w14:paraId="44A0A0FB" w14:textId="34B9E978" w:rsidR="0049071A" w:rsidRPr="00B1515C" w:rsidRDefault="00815763" w:rsidP="00A01254">
      <w:pPr>
        <w:pStyle w:val="FootnoteText"/>
      </w:pPr>
      <w:r w:rsidRPr="00815763">
        <w:rPr>
          <w:rStyle w:val="FootnoteReference"/>
          <w:vertAlign w:val="baseline"/>
        </w:rPr>
        <w:footnoteRef/>
      </w:r>
      <w:r w:rsidR="0049071A" w:rsidRPr="00B1515C">
        <w:t xml:space="preserve"> </w:t>
      </w:r>
      <w:r w:rsidR="00FE31B9" w:rsidRPr="00B1515C">
        <w:tab/>
      </w:r>
      <w:r w:rsidR="0049071A" w:rsidRPr="00B1515C">
        <w:t xml:space="preserve">Citing the UK Law Commission, </w:t>
      </w:r>
      <w:hyperlink r:id="rId122" w:history="1">
        <w:r w:rsidR="00BB0E47" w:rsidRPr="004A619C">
          <w:rPr>
            <w:rStyle w:val="Hyperlink"/>
            <w:i/>
            <w:iCs/>
          </w:rPr>
          <w:t>Digital Assets: Consultation Paper</w:t>
        </w:r>
      </w:hyperlink>
      <w:r w:rsidR="00BB0E47" w:rsidRPr="00B1515C">
        <w:t xml:space="preserve"> </w:t>
      </w:r>
      <w:r w:rsidR="001B4D88" w:rsidRPr="00B1515C">
        <w:t xml:space="preserve">(Consultation Paper, </w:t>
      </w:r>
      <w:r w:rsidR="00BB0E47" w:rsidRPr="00B1515C">
        <w:t>28 July 2022</w:t>
      </w:r>
      <w:r w:rsidR="001B4D88" w:rsidRPr="00B1515C">
        <w:t>)</w:t>
      </w:r>
      <w:r w:rsidR="00FD504E" w:rsidRPr="00B1515C">
        <w:t xml:space="preserve">. </w:t>
      </w:r>
    </w:p>
  </w:footnote>
  <w:footnote w:id="261">
    <w:p w14:paraId="0599D66C" w14:textId="3B08BA99"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1B4D88" w:rsidRPr="00B1515C">
        <w:t xml:space="preserve">Submission A28, 1; Submission A29, 1. </w:t>
      </w:r>
    </w:p>
  </w:footnote>
  <w:footnote w:id="262">
    <w:p w14:paraId="3BA04277" w14:textId="39898C0E" w:rsidR="00707BC9" w:rsidRPr="00B1515C" w:rsidRDefault="00815763" w:rsidP="00A01254">
      <w:pPr>
        <w:pStyle w:val="FootnoteText"/>
      </w:pPr>
      <w:r w:rsidRPr="00815763">
        <w:rPr>
          <w:rStyle w:val="FootnoteReference"/>
          <w:vertAlign w:val="baseline"/>
        </w:rPr>
        <w:footnoteRef/>
      </w:r>
      <w:r w:rsidR="00707BC9" w:rsidRPr="00B1515C">
        <w:t xml:space="preserve"> </w:t>
      </w:r>
      <w:r w:rsidR="00FE31B9" w:rsidRPr="00B1515C">
        <w:tab/>
      </w:r>
      <w:r w:rsidR="001B4D88" w:rsidRPr="00B1515C">
        <w:t>Submission A40, 2.</w:t>
      </w:r>
    </w:p>
  </w:footnote>
  <w:footnote w:id="263">
    <w:p w14:paraId="72ED5CD7" w14:textId="2DEDFDE6" w:rsidR="00707BC9" w:rsidRPr="00B1515C" w:rsidRDefault="00815763" w:rsidP="00A01254">
      <w:pPr>
        <w:pStyle w:val="FootnoteText"/>
      </w:pPr>
      <w:r w:rsidRPr="00815763">
        <w:rPr>
          <w:rStyle w:val="FootnoteReference"/>
          <w:vertAlign w:val="baseline"/>
        </w:rPr>
        <w:footnoteRef/>
      </w:r>
      <w:r w:rsidR="00707BC9" w:rsidRPr="00B1515C">
        <w:t xml:space="preserve"> </w:t>
      </w:r>
      <w:r w:rsidR="00FE31B9" w:rsidRPr="00B1515C">
        <w:tab/>
      </w:r>
      <w:r w:rsidR="00707BC9" w:rsidRPr="00B1515C">
        <w:t xml:space="preserve">Submission </w:t>
      </w:r>
      <w:r w:rsidR="005F6C92" w:rsidRPr="00B1515C">
        <w:t>A26,</w:t>
      </w:r>
      <w:r w:rsidR="001A6F39" w:rsidRPr="00B1515C">
        <w:t xml:space="preserve"> 5</w:t>
      </w:r>
      <w:r w:rsidR="001B4D88" w:rsidRPr="00B1515C">
        <w:t>.</w:t>
      </w:r>
    </w:p>
  </w:footnote>
  <w:footnote w:id="264">
    <w:p w14:paraId="036E4120" w14:textId="0198DFD6" w:rsidR="00707BC9" w:rsidRPr="00B1515C" w:rsidRDefault="00815763" w:rsidP="00A01254">
      <w:pPr>
        <w:pStyle w:val="FootnoteText"/>
      </w:pPr>
      <w:r w:rsidRPr="00815763">
        <w:rPr>
          <w:rStyle w:val="FootnoteReference"/>
          <w:vertAlign w:val="baseline"/>
        </w:rPr>
        <w:footnoteRef/>
      </w:r>
      <w:r w:rsidR="00707BC9" w:rsidRPr="00B1515C">
        <w:t xml:space="preserve"> </w:t>
      </w:r>
      <w:r w:rsidR="00FE31B9" w:rsidRPr="00B1515C">
        <w:tab/>
      </w:r>
      <w:r w:rsidR="001B4D88" w:rsidRPr="00B1515C">
        <w:t xml:space="preserve">Submission A19, </w:t>
      </w:r>
      <w:r w:rsidR="00707BC9" w:rsidRPr="00B1515C">
        <w:t>21</w:t>
      </w:r>
      <w:r w:rsidR="001B4D88" w:rsidRPr="00B1515C">
        <w:t>.</w:t>
      </w:r>
    </w:p>
  </w:footnote>
  <w:footnote w:id="265">
    <w:p w14:paraId="6BB16E91" w14:textId="3D4B89FA" w:rsidR="00A52608" w:rsidRPr="00B1515C" w:rsidRDefault="00815763" w:rsidP="00A01254">
      <w:pPr>
        <w:pStyle w:val="FootnoteText"/>
      </w:pPr>
      <w:r w:rsidRPr="00815763">
        <w:rPr>
          <w:rStyle w:val="FootnoteReference"/>
          <w:vertAlign w:val="baseline"/>
        </w:rPr>
        <w:footnoteRef/>
      </w:r>
      <w:r w:rsidR="00A52608" w:rsidRPr="00B1515C">
        <w:t xml:space="preserve"> </w:t>
      </w:r>
      <w:r w:rsidR="00FE31B9" w:rsidRPr="00B1515C">
        <w:tab/>
      </w:r>
      <w:r w:rsidR="001B4D88" w:rsidRPr="00B1515C">
        <w:t xml:space="preserve">Submission A08, </w:t>
      </w:r>
      <w:r w:rsidR="00A52608" w:rsidRPr="00B1515C">
        <w:t>2</w:t>
      </w:r>
      <w:r w:rsidR="00C66BE4" w:rsidRPr="00B1515C">
        <w:t>–</w:t>
      </w:r>
      <w:r w:rsidR="00A52608" w:rsidRPr="00B1515C">
        <w:t>3</w:t>
      </w:r>
      <w:r w:rsidR="001B4D88" w:rsidRPr="00B1515C">
        <w:t>.</w:t>
      </w:r>
    </w:p>
  </w:footnote>
  <w:footnote w:id="266">
    <w:p w14:paraId="43FCA821" w14:textId="77212D72" w:rsidR="00A52608" w:rsidRPr="00B1515C" w:rsidRDefault="00815763" w:rsidP="00A01254">
      <w:pPr>
        <w:pStyle w:val="FootnoteText"/>
      </w:pPr>
      <w:r w:rsidRPr="00815763">
        <w:rPr>
          <w:rStyle w:val="FootnoteReference"/>
          <w:vertAlign w:val="baseline"/>
        </w:rPr>
        <w:footnoteRef/>
      </w:r>
      <w:r w:rsidR="00A52608" w:rsidRPr="00B1515C">
        <w:t xml:space="preserve"> </w:t>
      </w:r>
      <w:r w:rsidR="00FE31B9" w:rsidRPr="00B1515C">
        <w:tab/>
      </w:r>
      <w:r w:rsidR="001B4D88" w:rsidRPr="00B1515C">
        <w:t xml:space="preserve">Submission A27, </w:t>
      </w:r>
      <w:r w:rsidR="00A52608" w:rsidRPr="00B1515C">
        <w:t>4</w:t>
      </w:r>
      <w:r w:rsidR="001B4D88" w:rsidRPr="00B1515C">
        <w:t>.</w:t>
      </w:r>
    </w:p>
  </w:footnote>
  <w:footnote w:id="267">
    <w:p w14:paraId="077B158D" w14:textId="3BFBA344" w:rsidR="00A52608" w:rsidRPr="00B1515C" w:rsidRDefault="00815763" w:rsidP="00A01254">
      <w:pPr>
        <w:pStyle w:val="FootnoteText"/>
      </w:pPr>
      <w:r w:rsidRPr="00815763">
        <w:rPr>
          <w:rStyle w:val="FootnoteReference"/>
          <w:vertAlign w:val="baseline"/>
        </w:rPr>
        <w:footnoteRef/>
      </w:r>
      <w:r w:rsidR="00A52608" w:rsidRPr="00B1515C">
        <w:t xml:space="preserve"> </w:t>
      </w:r>
      <w:r w:rsidR="00FE31B9" w:rsidRPr="00B1515C">
        <w:tab/>
      </w:r>
      <w:r w:rsidR="001B4D88" w:rsidRPr="00B1515C">
        <w:t xml:space="preserve">Submission A30, </w:t>
      </w:r>
      <w:r w:rsidR="00A52608" w:rsidRPr="00B1515C">
        <w:t>16</w:t>
      </w:r>
      <w:r w:rsidR="001B4D88" w:rsidRPr="00B1515C">
        <w:t>.</w:t>
      </w:r>
    </w:p>
  </w:footnote>
  <w:footnote w:id="268">
    <w:p w14:paraId="40E3BB0A" w14:textId="7A7B47E7" w:rsidR="00AD5A7E" w:rsidRPr="00B1515C" w:rsidRDefault="00815763" w:rsidP="00A01254">
      <w:pPr>
        <w:pStyle w:val="FootnoteText"/>
      </w:pPr>
      <w:r w:rsidRPr="00815763">
        <w:rPr>
          <w:rStyle w:val="FootnoteReference"/>
          <w:vertAlign w:val="baseline"/>
        </w:rPr>
        <w:footnoteRef/>
      </w:r>
      <w:r w:rsidR="00AD5A7E" w:rsidRPr="00B1515C">
        <w:t xml:space="preserve"> </w:t>
      </w:r>
      <w:r w:rsidR="00FE31B9" w:rsidRPr="00B1515C">
        <w:tab/>
      </w:r>
      <w:r w:rsidR="00D25AFC" w:rsidRPr="000024F1">
        <w:t>ATO,</w:t>
      </w:r>
      <w:r w:rsidR="00D25AFC" w:rsidRPr="00B1515C">
        <w:rPr>
          <w:rFonts w:cs="Calibri"/>
          <w:sz w:val="20"/>
          <w:szCs w:val="20"/>
        </w:rPr>
        <w:t xml:space="preserve"> </w:t>
      </w:r>
      <w:r w:rsidR="00D25AFC" w:rsidRPr="000024F1">
        <w:rPr>
          <w:rStyle w:val="Emphasis"/>
        </w:rPr>
        <w:t xml:space="preserve">Income tax: is bitcoin a </w:t>
      </w:r>
      <w:r w:rsidR="00F75232">
        <w:rPr>
          <w:rStyle w:val="Emphasis"/>
        </w:rPr>
        <w:t>‘</w:t>
      </w:r>
      <w:r w:rsidR="00D25AFC" w:rsidRPr="000024F1">
        <w:rPr>
          <w:rStyle w:val="Emphasis"/>
        </w:rPr>
        <w:t>foreign currency</w:t>
      </w:r>
      <w:r w:rsidR="00F75232">
        <w:rPr>
          <w:rStyle w:val="Emphasis"/>
        </w:rPr>
        <w:t>’</w:t>
      </w:r>
      <w:r w:rsidR="00D25AFC" w:rsidRPr="000024F1">
        <w:rPr>
          <w:rStyle w:val="Emphasis"/>
        </w:rPr>
        <w:t xml:space="preserve"> for the purposes of Division 775 of the income Tax Assessment Act 1997?</w:t>
      </w:r>
      <w:r w:rsidR="00D25AFC" w:rsidRPr="000024F1">
        <w:t xml:space="preserve"> (</w:t>
      </w:r>
      <w:hyperlink r:id="rId123" w:history="1">
        <w:r w:rsidR="00D25AFC" w:rsidRPr="00DB7364">
          <w:rPr>
            <w:rStyle w:val="Hyperlink"/>
          </w:rPr>
          <w:t>TD 2014/25</w:t>
        </w:r>
      </w:hyperlink>
      <w:r w:rsidR="00D25AFC" w:rsidRPr="000024F1">
        <w:t>, 17 December 2014) (</w:t>
      </w:r>
      <w:r w:rsidR="00F75232">
        <w:t>‘</w:t>
      </w:r>
      <w:r w:rsidR="00D25AFC" w:rsidRPr="000024F1">
        <w:t>TD 2014/25</w:t>
      </w:r>
      <w:r w:rsidR="00F75232">
        <w:t>’</w:t>
      </w:r>
      <w:r w:rsidR="00D25AFC" w:rsidRPr="000024F1">
        <w:t>).</w:t>
      </w:r>
    </w:p>
  </w:footnote>
  <w:footnote w:id="269">
    <w:p w14:paraId="3D858B5E" w14:textId="4500B0F7" w:rsidR="00F657E6" w:rsidRPr="00B1515C" w:rsidRDefault="00815763" w:rsidP="00A01254">
      <w:pPr>
        <w:pStyle w:val="FootnoteText"/>
      </w:pPr>
      <w:r w:rsidRPr="00815763">
        <w:rPr>
          <w:rStyle w:val="FootnoteReference"/>
          <w:sz w:val="19"/>
          <w:szCs w:val="19"/>
          <w:vertAlign w:val="baseline"/>
        </w:rPr>
        <w:footnoteRef/>
      </w:r>
      <w:r w:rsidR="00F657E6" w:rsidRPr="00B1515C">
        <w:rPr>
          <w:szCs w:val="19"/>
        </w:rPr>
        <w:t xml:space="preserve">   </w:t>
      </w:r>
      <w:r w:rsidR="009D76B1" w:rsidRPr="00B1515C">
        <w:rPr>
          <w:szCs w:val="19"/>
        </w:rPr>
        <w:tab/>
      </w:r>
      <w:r w:rsidR="00F657E6" w:rsidRPr="00B1515C">
        <w:rPr>
          <w:szCs w:val="19"/>
        </w:rPr>
        <w:t>Contained in ITAA 1997 sub</w:t>
      </w:r>
      <w:r w:rsidR="00F75232">
        <w:rPr>
          <w:szCs w:val="19"/>
        </w:rPr>
        <w:t>-</w:t>
      </w:r>
      <w:r w:rsidR="00F657E6" w:rsidRPr="00B1515C">
        <w:rPr>
          <w:szCs w:val="19"/>
        </w:rPr>
        <w:t>div 775.</w:t>
      </w:r>
    </w:p>
  </w:footnote>
  <w:footnote w:id="270">
    <w:p w14:paraId="5010BF71" w14:textId="68D6F72C"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D25AFC" w:rsidRPr="00B1515C">
        <w:t xml:space="preserve">TD 2014/25 </w:t>
      </w:r>
      <w:r w:rsidR="00795A41" w:rsidRPr="00B1515C">
        <w:t>(n 267)</w:t>
      </w:r>
      <w:r w:rsidR="00D25AFC" w:rsidRPr="00B1515C">
        <w:t xml:space="preserve"> </w:t>
      </w:r>
      <w:r w:rsidR="0059720F" w:rsidRPr="00B1515C">
        <w:rPr>
          <w:rFonts w:cs="Calibri"/>
          <w:sz w:val="20"/>
          <w:szCs w:val="20"/>
        </w:rPr>
        <w:t>[</w:t>
      </w:r>
      <w:r w:rsidR="009A775F" w:rsidRPr="00B1515C">
        <w:t>32</w:t>
      </w:r>
      <w:r w:rsidR="0059720F" w:rsidRPr="00B1515C">
        <w:t>]</w:t>
      </w:r>
      <w:r w:rsidR="002714C0" w:rsidRPr="00B1515C">
        <w:t>.</w:t>
      </w:r>
    </w:p>
  </w:footnote>
  <w:footnote w:id="271">
    <w:p w14:paraId="2E5DD821" w14:textId="59F11CD1" w:rsidR="00B31860" w:rsidRPr="00B1515C" w:rsidRDefault="00815763" w:rsidP="00A01254">
      <w:pPr>
        <w:pStyle w:val="FootnoteText"/>
      </w:pPr>
      <w:r w:rsidRPr="00815763">
        <w:rPr>
          <w:rStyle w:val="FootnoteReference"/>
          <w:vertAlign w:val="baseline"/>
        </w:rPr>
        <w:footnoteRef/>
      </w:r>
      <w:r w:rsidR="00B31860" w:rsidRPr="00B1515C">
        <w:t xml:space="preserve"> </w:t>
      </w:r>
      <w:r w:rsidR="00FE31B9" w:rsidRPr="00B1515C">
        <w:tab/>
      </w:r>
      <w:r w:rsidR="007951D2" w:rsidRPr="00B1515C">
        <w:t xml:space="preserve">Submission A33, </w:t>
      </w:r>
      <w:r w:rsidR="00B31860" w:rsidRPr="00B1515C">
        <w:t>29</w:t>
      </w:r>
      <w:r w:rsidR="007951D2" w:rsidRPr="00B1515C">
        <w:t>.</w:t>
      </w:r>
    </w:p>
  </w:footnote>
  <w:footnote w:id="272">
    <w:p w14:paraId="683EB55A" w14:textId="0EA018FF" w:rsidR="00CB2DE4" w:rsidRPr="00B1515C" w:rsidRDefault="00815763" w:rsidP="00A01254">
      <w:pPr>
        <w:pStyle w:val="FootnoteText"/>
      </w:pPr>
      <w:r w:rsidRPr="00815763">
        <w:rPr>
          <w:rStyle w:val="FootnoteReference"/>
          <w:vertAlign w:val="baseline"/>
        </w:rPr>
        <w:footnoteRef/>
      </w:r>
      <w:r w:rsidR="00CB2DE4" w:rsidRPr="00B1515C">
        <w:t xml:space="preserve"> </w:t>
      </w:r>
      <w:r w:rsidR="00FE31B9" w:rsidRPr="00B1515C">
        <w:tab/>
      </w:r>
      <w:r w:rsidR="007951D2" w:rsidRPr="00B1515C">
        <w:t xml:space="preserve">Submission A08, </w:t>
      </w:r>
      <w:r w:rsidR="00CB2DE4" w:rsidRPr="00B1515C">
        <w:t>8</w:t>
      </w:r>
      <w:r w:rsidR="007951D2" w:rsidRPr="00B1515C">
        <w:t>.</w:t>
      </w:r>
    </w:p>
  </w:footnote>
  <w:footnote w:id="273">
    <w:p w14:paraId="16ABFFDA" w14:textId="41A2EDB9" w:rsidR="00CB2DE4" w:rsidRPr="00B1515C" w:rsidRDefault="00815763" w:rsidP="00A01254">
      <w:pPr>
        <w:pStyle w:val="FootnoteText"/>
      </w:pPr>
      <w:r w:rsidRPr="00815763">
        <w:rPr>
          <w:rStyle w:val="FootnoteReference"/>
          <w:vertAlign w:val="baseline"/>
        </w:rPr>
        <w:footnoteRef/>
      </w:r>
      <w:r w:rsidR="00CB2DE4" w:rsidRPr="00B1515C">
        <w:t xml:space="preserve"> </w:t>
      </w:r>
      <w:r w:rsidR="00FE31B9" w:rsidRPr="00B1515C">
        <w:tab/>
      </w:r>
      <w:r w:rsidR="007951D2" w:rsidRPr="00B1515C">
        <w:t>Submission A22,</w:t>
      </w:r>
      <w:r w:rsidR="00CB2DE4" w:rsidRPr="00B1515C">
        <w:t xml:space="preserve"> 2</w:t>
      </w:r>
      <w:r w:rsidR="007951D2" w:rsidRPr="00B1515C">
        <w:t>.</w:t>
      </w:r>
    </w:p>
  </w:footnote>
  <w:footnote w:id="274">
    <w:p w14:paraId="6B93BCB0" w14:textId="33FF5917" w:rsidR="002470AB" w:rsidRPr="00B1515C" w:rsidRDefault="00815763" w:rsidP="00A01254">
      <w:pPr>
        <w:pStyle w:val="FootnoteText"/>
      </w:pPr>
      <w:r w:rsidRPr="00815763">
        <w:rPr>
          <w:rStyle w:val="FootnoteReference"/>
          <w:vertAlign w:val="baseline"/>
        </w:rPr>
        <w:footnoteRef/>
      </w:r>
      <w:r w:rsidR="002470AB" w:rsidRPr="00B1515C">
        <w:t xml:space="preserve"> </w:t>
      </w:r>
      <w:r w:rsidR="00FE31B9" w:rsidRPr="00B1515C">
        <w:tab/>
      </w:r>
      <w:r w:rsidR="007951D2" w:rsidRPr="00B1515C">
        <w:t>Submission A30</w:t>
      </w:r>
      <w:r w:rsidR="003303E3" w:rsidRPr="00B1515C">
        <w:t>,</w:t>
      </w:r>
      <w:r w:rsidR="007951D2" w:rsidRPr="00B1515C">
        <w:t xml:space="preserve"> </w:t>
      </w:r>
      <w:r w:rsidR="002470AB" w:rsidRPr="00B1515C">
        <w:t>21</w:t>
      </w:r>
      <w:r w:rsidR="003303E3" w:rsidRPr="00B1515C">
        <w:t>.</w:t>
      </w:r>
    </w:p>
  </w:footnote>
  <w:footnote w:id="275">
    <w:p w14:paraId="1066D10C" w14:textId="461EC5C7" w:rsidR="009A775F" w:rsidRPr="00B1515C" w:rsidRDefault="00815763" w:rsidP="00A01254">
      <w:pPr>
        <w:pStyle w:val="FootnoteText"/>
      </w:pPr>
      <w:r w:rsidRPr="00815763">
        <w:rPr>
          <w:rStyle w:val="FootnoteReference"/>
          <w:vertAlign w:val="baseline"/>
        </w:rPr>
        <w:footnoteRef/>
      </w:r>
      <w:r w:rsidR="009A775F" w:rsidRPr="00B1515C">
        <w:t xml:space="preserve"> </w:t>
      </w:r>
      <w:r w:rsidR="00FE31B9" w:rsidRPr="00B1515C">
        <w:tab/>
      </w:r>
      <w:r w:rsidR="003303E3" w:rsidRPr="00B1515C">
        <w:t>Submission A32,</w:t>
      </w:r>
      <w:r w:rsidR="009A775F" w:rsidRPr="00B1515C">
        <w:t xml:space="preserve"> 8</w:t>
      </w:r>
      <w:r w:rsidR="003303E3" w:rsidRPr="00B1515C">
        <w:t>.</w:t>
      </w:r>
    </w:p>
  </w:footnote>
  <w:footnote w:id="276">
    <w:p w14:paraId="31A79346" w14:textId="49FE81D1" w:rsidR="002E6E77" w:rsidRPr="00B1515C" w:rsidRDefault="00815763" w:rsidP="00A01254">
      <w:pPr>
        <w:pStyle w:val="FootnoteText"/>
      </w:pPr>
      <w:r w:rsidRPr="00815763">
        <w:rPr>
          <w:rStyle w:val="FootnoteReference"/>
          <w:vertAlign w:val="baseline"/>
        </w:rPr>
        <w:footnoteRef/>
      </w:r>
      <w:r w:rsidR="002E6E77" w:rsidRPr="00B1515C">
        <w:t xml:space="preserve"> </w:t>
      </w:r>
      <w:r w:rsidR="00FE31B9" w:rsidRPr="00B1515C">
        <w:tab/>
      </w:r>
      <w:r w:rsidR="00BD688B" w:rsidRPr="00B1515C">
        <w:t xml:space="preserve">For example: </w:t>
      </w:r>
      <w:r w:rsidR="001470D6" w:rsidRPr="00B1515C">
        <w:t xml:space="preserve">Reserve Bank of Australia, </w:t>
      </w:r>
      <w:hyperlink r:id="rId124" w:history="1">
        <w:r w:rsidR="001470D6" w:rsidRPr="00BB02BE">
          <w:rPr>
            <w:rStyle w:val="Hyperlink"/>
            <w:i/>
            <w:iCs/>
          </w:rPr>
          <w:t xml:space="preserve">Financial </w:t>
        </w:r>
        <w:r w:rsidR="002310CB" w:rsidRPr="00BB02BE">
          <w:rPr>
            <w:rStyle w:val="Hyperlink"/>
            <w:i/>
            <w:iCs/>
          </w:rPr>
          <w:t>Stability</w:t>
        </w:r>
        <w:r w:rsidR="001470D6" w:rsidRPr="00BB02BE">
          <w:rPr>
            <w:rStyle w:val="Hyperlink"/>
            <w:i/>
            <w:iCs/>
          </w:rPr>
          <w:t xml:space="preserve"> Review – October 2022</w:t>
        </w:r>
      </w:hyperlink>
      <w:r w:rsidR="00292254" w:rsidRPr="00B1515C">
        <w:t xml:space="preserve"> (</w:t>
      </w:r>
      <w:r w:rsidR="00674A4A" w:rsidRPr="00B1515C">
        <w:t>Report</w:t>
      </w:r>
      <w:r w:rsidR="00292254" w:rsidRPr="00B1515C">
        <w:t xml:space="preserve">, October 2022) </w:t>
      </w:r>
      <w:r w:rsidR="005A27D6" w:rsidRPr="00B1515C">
        <w:t>15</w:t>
      </w:r>
      <w:r w:rsidR="00C66BE4" w:rsidRPr="00B1515C">
        <w:t>–</w:t>
      </w:r>
      <w:r w:rsidR="005A27D6" w:rsidRPr="00B1515C">
        <w:t>22</w:t>
      </w:r>
      <w:r w:rsidR="002310CB" w:rsidRPr="00B1515C">
        <w:t>;</w:t>
      </w:r>
      <w:r w:rsidR="001470D6" w:rsidRPr="00B1515C">
        <w:t xml:space="preserve"> </w:t>
      </w:r>
      <w:r w:rsidR="000F0A71" w:rsidRPr="00B1515C">
        <w:t xml:space="preserve">Hilary J Allen, </w:t>
      </w:r>
      <w:r w:rsidR="00F75232">
        <w:t>‘</w:t>
      </w:r>
      <w:hyperlink r:id="rId125" w:history="1">
        <w:r w:rsidR="000F0A71" w:rsidRPr="00BB02BE">
          <w:rPr>
            <w:rStyle w:val="Hyperlink"/>
          </w:rPr>
          <w:t>The Superficial Allure of Crypto</w:t>
        </w:r>
      </w:hyperlink>
      <w:r w:rsidR="00F75232">
        <w:t>’</w:t>
      </w:r>
      <w:r w:rsidR="000F0A71" w:rsidRPr="00B1515C">
        <w:t xml:space="preserve">, </w:t>
      </w:r>
      <w:r w:rsidR="000F0A71" w:rsidRPr="0084535D">
        <w:rPr>
          <w:rStyle w:val="Emphasis"/>
        </w:rPr>
        <w:t>IMF</w:t>
      </w:r>
      <w:r w:rsidR="000F0A71" w:rsidRPr="00B1515C">
        <w:t xml:space="preserve"> </w:t>
      </w:r>
      <w:r w:rsidR="00674A4A" w:rsidRPr="00B1515C">
        <w:t xml:space="preserve">(Web Page, </w:t>
      </w:r>
      <w:r w:rsidR="000F0A71" w:rsidRPr="00B1515C">
        <w:t>September 2022</w:t>
      </w:r>
      <w:r w:rsidR="00674A4A" w:rsidRPr="00B1515C">
        <w:t>)</w:t>
      </w:r>
      <w:r w:rsidR="00BD688B" w:rsidRPr="00B1515C">
        <w:t xml:space="preserve">; Bank for International Settlements, </w:t>
      </w:r>
      <w:hyperlink r:id="rId126" w:history="1">
        <w:r w:rsidR="00BD688B" w:rsidRPr="00906FF0">
          <w:rPr>
            <w:rStyle w:val="Hyperlink"/>
            <w:i/>
            <w:iCs/>
          </w:rPr>
          <w:t>The Crypto ecosystem: key elements and risks</w:t>
        </w:r>
        <w:r w:rsidR="002A7BA2" w:rsidRPr="00906FF0">
          <w:rPr>
            <w:rStyle w:val="Hyperlink"/>
            <w:i/>
            <w:iCs/>
          </w:rPr>
          <w:t>:</w:t>
        </w:r>
        <w:r w:rsidR="00BD688B" w:rsidRPr="00906FF0">
          <w:rPr>
            <w:rStyle w:val="Hyperlink"/>
            <w:i/>
            <w:iCs/>
          </w:rPr>
          <w:t xml:space="preserve"> Report submitted to the G20 Finance Ministers and Central Bank Governors</w:t>
        </w:r>
      </w:hyperlink>
      <w:r w:rsidR="00BD688B" w:rsidRPr="00B1515C">
        <w:t xml:space="preserve"> </w:t>
      </w:r>
      <w:r w:rsidR="002A7BA2" w:rsidRPr="00B1515C">
        <w:t xml:space="preserve">(Report, </w:t>
      </w:r>
      <w:r w:rsidR="00BD688B" w:rsidRPr="00B1515C">
        <w:t>July 2023</w:t>
      </w:r>
      <w:r w:rsidR="002A7BA2" w:rsidRPr="00B1515C">
        <w:t>)</w:t>
      </w:r>
      <w:r w:rsidR="00BB02BE">
        <w:t>.</w:t>
      </w:r>
    </w:p>
  </w:footnote>
  <w:footnote w:id="277">
    <w:p w14:paraId="26A1D581" w14:textId="2CE0C573" w:rsidR="00BE3977" w:rsidRPr="00B1515C" w:rsidRDefault="00815763" w:rsidP="00A01254">
      <w:pPr>
        <w:pStyle w:val="FootnoteText"/>
      </w:pPr>
      <w:r w:rsidRPr="00815763">
        <w:rPr>
          <w:rStyle w:val="FootnoteReference"/>
          <w:vertAlign w:val="baseline"/>
        </w:rPr>
        <w:footnoteRef/>
      </w:r>
      <w:r w:rsidR="00BE3977" w:rsidRPr="00B1515C">
        <w:t xml:space="preserve"> </w:t>
      </w:r>
      <w:r w:rsidR="00FE31B9" w:rsidRPr="00B1515C">
        <w:tab/>
      </w:r>
      <w:r w:rsidR="00DC3A5C" w:rsidRPr="00B1515C">
        <w:t xml:space="preserve">United Nations University, </w:t>
      </w:r>
      <w:r w:rsidR="00F75232">
        <w:t>‘</w:t>
      </w:r>
      <w:hyperlink r:id="rId127" w:history="1">
        <w:r w:rsidR="00BE3977" w:rsidRPr="00755EF2">
          <w:rPr>
            <w:rStyle w:val="Hyperlink"/>
          </w:rPr>
          <w:t>UN Study Reveals the Hidden Environmental Impacts of Bitcoin: Carbon is Not the O</w:t>
        </w:r>
        <w:r w:rsidR="00297429">
          <w:rPr>
            <w:rStyle w:val="Hyperlink"/>
          </w:rPr>
          <w:t>n</w:t>
        </w:r>
        <w:r w:rsidR="00BE3977" w:rsidRPr="00755EF2">
          <w:rPr>
            <w:rStyle w:val="Hyperlink"/>
          </w:rPr>
          <w:t>ly Harmful By</w:t>
        </w:r>
        <w:r w:rsidR="00F75232" w:rsidRPr="00755EF2">
          <w:rPr>
            <w:rStyle w:val="Hyperlink"/>
          </w:rPr>
          <w:t>-</w:t>
        </w:r>
        <w:r w:rsidR="00BE3977" w:rsidRPr="00755EF2">
          <w:rPr>
            <w:rStyle w:val="Hyperlink"/>
          </w:rPr>
          <w:t>product</w:t>
        </w:r>
      </w:hyperlink>
      <w:r w:rsidR="00F75232">
        <w:t>’</w:t>
      </w:r>
      <w:r w:rsidR="00DC3A5C" w:rsidRPr="00B1515C">
        <w:t xml:space="preserve"> </w:t>
      </w:r>
      <w:r w:rsidR="002A7BA2" w:rsidRPr="00B1515C">
        <w:t xml:space="preserve">(Press Release, </w:t>
      </w:r>
      <w:r w:rsidR="00DC3A5C" w:rsidRPr="00B1515C">
        <w:t>24 October 2023</w:t>
      </w:r>
      <w:r w:rsidR="002A7BA2" w:rsidRPr="00B1515C">
        <w:t>)</w:t>
      </w:r>
      <w:r w:rsidR="00DC3A5C" w:rsidRPr="00B1515C">
        <w:t xml:space="preserve">, </w:t>
      </w:r>
      <w:r w:rsidR="006A32F8" w:rsidRPr="00B1515C">
        <w:t>and papers cited and referenced therein</w:t>
      </w:r>
      <w:r w:rsidR="00755EF2">
        <w:t>.</w:t>
      </w:r>
    </w:p>
  </w:footnote>
  <w:footnote w:id="278">
    <w:p w14:paraId="312C18BB" w14:textId="54EBE67D" w:rsidR="00734DCF" w:rsidRPr="00B1515C" w:rsidRDefault="00815763" w:rsidP="00A01254">
      <w:pPr>
        <w:pStyle w:val="FootnoteText"/>
      </w:pPr>
      <w:r w:rsidRPr="00815763">
        <w:rPr>
          <w:rStyle w:val="FootnoteReference"/>
          <w:vertAlign w:val="baseline"/>
        </w:rPr>
        <w:footnoteRef/>
      </w:r>
      <w:r w:rsidR="00734DCF" w:rsidRPr="00B1515C">
        <w:t xml:space="preserve"> </w:t>
      </w:r>
      <w:r w:rsidR="00FE31B9" w:rsidRPr="00B1515C">
        <w:tab/>
      </w:r>
      <w:r w:rsidR="00B332CB" w:rsidRPr="00B1515C">
        <w:t xml:space="preserve">Nathan Reiff, </w:t>
      </w:r>
      <w:r w:rsidR="00F75232">
        <w:t>‘</w:t>
      </w:r>
      <w:hyperlink r:id="rId128" w:history="1">
        <w:r w:rsidR="00B332CB" w:rsidRPr="00755EF2">
          <w:rPr>
            <w:rStyle w:val="Hyperlink"/>
          </w:rPr>
          <w:t>What</w:t>
        </w:r>
        <w:r w:rsidR="00F75232" w:rsidRPr="00755EF2">
          <w:rPr>
            <w:rStyle w:val="Hyperlink"/>
          </w:rPr>
          <w:t>’</w:t>
        </w:r>
        <w:r w:rsidR="00B332CB" w:rsidRPr="00755EF2">
          <w:rPr>
            <w:rStyle w:val="Hyperlink"/>
          </w:rPr>
          <w:t>s the Environmental Impact of Cryptocurrency</w:t>
        </w:r>
      </w:hyperlink>
      <w:r w:rsidR="00F75232">
        <w:t>’</w:t>
      </w:r>
      <w:r w:rsidR="00B332CB" w:rsidRPr="00B1515C">
        <w:t xml:space="preserve">, </w:t>
      </w:r>
      <w:r w:rsidR="00B332CB" w:rsidRPr="0084535D">
        <w:rPr>
          <w:rStyle w:val="Emphasis"/>
        </w:rPr>
        <w:t>Investopedia</w:t>
      </w:r>
      <w:r w:rsidR="00B332CB" w:rsidRPr="00B1515C">
        <w:t xml:space="preserve"> </w:t>
      </w:r>
      <w:r w:rsidR="00CA100B" w:rsidRPr="00B1515C">
        <w:t xml:space="preserve">(Web Page, </w:t>
      </w:r>
      <w:r w:rsidR="00B332CB" w:rsidRPr="00B1515C">
        <w:t>31 December 2023</w:t>
      </w:r>
      <w:r w:rsidR="00CA100B" w:rsidRPr="00B1515C">
        <w:t>)</w:t>
      </w:r>
      <w:r w:rsidR="00755EF2">
        <w:t>.</w:t>
      </w:r>
      <w:r w:rsidR="00CA100B" w:rsidRPr="00B1515C">
        <w:t xml:space="preserve"> </w:t>
      </w:r>
    </w:p>
  </w:footnote>
  <w:footnote w:id="279">
    <w:p w14:paraId="631A28AB" w14:textId="581B5987" w:rsidR="006167B7" w:rsidRPr="00B1515C" w:rsidRDefault="00815763" w:rsidP="00A01254">
      <w:pPr>
        <w:pStyle w:val="FootnoteText"/>
      </w:pPr>
      <w:r w:rsidRPr="00815763">
        <w:rPr>
          <w:rStyle w:val="FootnoteReference"/>
          <w:vertAlign w:val="baseline"/>
        </w:rPr>
        <w:footnoteRef/>
      </w:r>
      <w:r w:rsidR="006167B7" w:rsidRPr="00B1515C">
        <w:t xml:space="preserve"> </w:t>
      </w:r>
      <w:r w:rsidR="00FE31B9" w:rsidRPr="00B1515C">
        <w:tab/>
      </w:r>
      <w:r w:rsidR="006167B7" w:rsidRPr="00B1515C">
        <w:t xml:space="preserve">AUSTRAC, </w:t>
      </w:r>
      <w:hyperlink r:id="rId129" w:history="1">
        <w:r w:rsidR="006167B7" w:rsidRPr="00755EF2">
          <w:rPr>
            <w:rStyle w:val="Hyperlink"/>
            <w:i/>
            <w:iCs/>
          </w:rPr>
          <w:t>Preventing the Criminal Abuse of Digital Currencies Financial Crime Guide</w:t>
        </w:r>
      </w:hyperlink>
      <w:r w:rsidR="006167B7" w:rsidRPr="00B1515C">
        <w:t xml:space="preserve"> </w:t>
      </w:r>
      <w:r w:rsidR="00CA100B" w:rsidRPr="00B1515C">
        <w:t xml:space="preserve">(Guide, </w:t>
      </w:r>
      <w:r w:rsidR="006167B7" w:rsidRPr="00B1515C">
        <w:t>April 2022</w:t>
      </w:r>
      <w:r w:rsidR="00CA100B" w:rsidRPr="00B1515C">
        <w:t>)</w:t>
      </w:r>
      <w:r w:rsidR="00755EF2">
        <w:t>.</w:t>
      </w:r>
      <w:r w:rsidR="006167B7" w:rsidRPr="00B1515C">
        <w:t xml:space="preserve"> </w:t>
      </w:r>
    </w:p>
  </w:footnote>
  <w:footnote w:id="280">
    <w:p w14:paraId="025BDDB5" w14:textId="6F6024BE" w:rsidR="002029CE" w:rsidRPr="00B1515C" w:rsidRDefault="00815763" w:rsidP="00A01254">
      <w:pPr>
        <w:pStyle w:val="FootnoteText"/>
      </w:pPr>
      <w:r w:rsidRPr="00815763">
        <w:rPr>
          <w:rStyle w:val="FootnoteReference"/>
          <w:vertAlign w:val="baseline"/>
        </w:rPr>
        <w:footnoteRef/>
      </w:r>
      <w:r w:rsidR="002029CE" w:rsidRPr="00B1515C">
        <w:t xml:space="preserve"> </w:t>
      </w:r>
      <w:r w:rsidR="00FE31B9" w:rsidRPr="00B1515C">
        <w:tab/>
      </w:r>
      <w:r w:rsidR="00F75232">
        <w:t>‘</w:t>
      </w:r>
      <w:hyperlink r:id="rId130" w:history="1">
        <w:r w:rsidR="002029CE" w:rsidRPr="00755EF2">
          <w:rPr>
            <w:rStyle w:val="Hyperlink"/>
          </w:rPr>
          <w:t>Preventing the criminal abuse of digital currencies</w:t>
        </w:r>
      </w:hyperlink>
      <w:r w:rsidR="00F75232">
        <w:t>’</w:t>
      </w:r>
      <w:r w:rsidR="002029CE" w:rsidRPr="00B1515C">
        <w:t xml:space="preserve">, </w:t>
      </w:r>
      <w:r w:rsidR="00CA100B" w:rsidRPr="0084535D">
        <w:rPr>
          <w:rStyle w:val="Emphasis"/>
        </w:rPr>
        <w:t xml:space="preserve">AUSTRAC </w:t>
      </w:r>
      <w:r w:rsidR="00CA100B" w:rsidRPr="00B1515C">
        <w:t xml:space="preserve">(Web Page, </w:t>
      </w:r>
      <w:r w:rsidR="002029CE" w:rsidRPr="00B1515C">
        <w:t>5 April 2023</w:t>
      </w:r>
      <w:r w:rsidR="00CA100B" w:rsidRPr="00B1515C">
        <w:t>)</w:t>
      </w:r>
      <w:r w:rsidR="00755EF2">
        <w:t>.</w:t>
      </w:r>
    </w:p>
  </w:footnote>
  <w:footnote w:id="281">
    <w:p w14:paraId="72D960BA" w14:textId="2250DD80" w:rsidR="00C7272F" w:rsidRPr="00B1515C" w:rsidRDefault="00815763" w:rsidP="00A01254">
      <w:pPr>
        <w:pStyle w:val="FootnoteText"/>
      </w:pPr>
      <w:r w:rsidRPr="00815763">
        <w:rPr>
          <w:rStyle w:val="FootnoteReference"/>
          <w:vertAlign w:val="baseline"/>
        </w:rPr>
        <w:footnoteRef/>
      </w:r>
      <w:r w:rsidR="00C7272F" w:rsidRPr="00B1515C">
        <w:t xml:space="preserve"> </w:t>
      </w:r>
      <w:r w:rsidR="00C7272F" w:rsidRPr="00B1515C">
        <w:tab/>
      </w:r>
      <w:r w:rsidR="00F75232">
        <w:t>‘</w:t>
      </w:r>
      <w:hyperlink r:id="rId131" w:history="1">
        <w:r w:rsidR="00C7272F" w:rsidRPr="00755EF2">
          <w:rPr>
            <w:rStyle w:val="Hyperlink"/>
          </w:rPr>
          <w:t>2022 Biggest Year Ever For Crypto Hacking with $3.8</w:t>
        </w:r>
        <w:r w:rsidR="00372633">
          <w:rPr>
            <w:rStyle w:val="Hyperlink"/>
          </w:rPr>
          <w:t> billion</w:t>
        </w:r>
        <w:r w:rsidR="00C7272F" w:rsidRPr="00755EF2">
          <w:rPr>
            <w:rStyle w:val="Hyperlink"/>
          </w:rPr>
          <w:t xml:space="preserve"> Stolen, Primarily from </w:t>
        </w:r>
        <w:r w:rsidR="00C643ED">
          <w:rPr>
            <w:rStyle w:val="Hyperlink"/>
          </w:rPr>
          <w:t>D</w:t>
        </w:r>
        <w:r w:rsidR="00C643ED" w:rsidRPr="00755EF2">
          <w:rPr>
            <w:rStyle w:val="Hyperlink"/>
          </w:rPr>
          <w:t xml:space="preserve">eFi </w:t>
        </w:r>
        <w:r w:rsidR="00C7272F" w:rsidRPr="00755EF2">
          <w:rPr>
            <w:rStyle w:val="Hyperlink"/>
          </w:rPr>
          <w:t>Protocols and by North</w:t>
        </w:r>
        <w:r w:rsidR="000024F1" w:rsidRPr="00755EF2">
          <w:rPr>
            <w:rStyle w:val="Hyperlink"/>
          </w:rPr>
          <w:t> </w:t>
        </w:r>
        <w:r w:rsidR="00C7272F" w:rsidRPr="00755EF2">
          <w:rPr>
            <w:rStyle w:val="Hyperlink"/>
          </w:rPr>
          <w:t>Korea</w:t>
        </w:r>
        <w:r w:rsidR="00F75232" w:rsidRPr="00755EF2">
          <w:rPr>
            <w:rStyle w:val="Hyperlink"/>
          </w:rPr>
          <w:t>-</w:t>
        </w:r>
        <w:r w:rsidR="00C7272F" w:rsidRPr="00755EF2">
          <w:rPr>
            <w:rStyle w:val="Hyperlink"/>
          </w:rPr>
          <w:t>linked Attackers</w:t>
        </w:r>
      </w:hyperlink>
      <w:r w:rsidR="00F75232">
        <w:t>’</w:t>
      </w:r>
      <w:r w:rsidR="005C3D7B" w:rsidRPr="00B1515C">
        <w:t>,</w:t>
      </w:r>
      <w:r w:rsidR="00D22ABC" w:rsidRPr="00B1515C">
        <w:t xml:space="preserve"> </w:t>
      </w:r>
      <w:r w:rsidR="005C3D7B" w:rsidRPr="0084535D">
        <w:rPr>
          <w:rStyle w:val="Emphasis"/>
        </w:rPr>
        <w:t>Chainalysis</w:t>
      </w:r>
      <w:r w:rsidR="005C3D7B" w:rsidRPr="00B1515C">
        <w:t xml:space="preserve"> </w:t>
      </w:r>
      <w:r w:rsidR="00D22ABC" w:rsidRPr="00B1515C">
        <w:t>(</w:t>
      </w:r>
      <w:r w:rsidR="005C3D7B" w:rsidRPr="00B1515C">
        <w:t xml:space="preserve">Blog, </w:t>
      </w:r>
      <w:r w:rsidR="00D22ABC" w:rsidRPr="00B1515C">
        <w:t>1 February 2023)</w:t>
      </w:r>
      <w:r w:rsidR="00755EF2">
        <w:t>.</w:t>
      </w:r>
    </w:p>
  </w:footnote>
  <w:footnote w:id="282">
    <w:p w14:paraId="006B809C" w14:textId="7AE32758" w:rsidR="00FC3A2B" w:rsidRPr="00B1515C" w:rsidRDefault="00815763" w:rsidP="00A01254">
      <w:pPr>
        <w:pStyle w:val="FootnoteText"/>
      </w:pPr>
      <w:r w:rsidRPr="00815763">
        <w:rPr>
          <w:rStyle w:val="FootnoteReference"/>
          <w:vertAlign w:val="baseline"/>
        </w:rPr>
        <w:footnoteRef/>
      </w:r>
      <w:r w:rsidR="00FC3A2B" w:rsidRPr="00B1515C">
        <w:t xml:space="preserve"> </w:t>
      </w:r>
      <w:r w:rsidR="00FC3A2B" w:rsidRPr="00B1515C">
        <w:tab/>
      </w:r>
      <w:r w:rsidR="00F75232">
        <w:t>‘</w:t>
      </w:r>
      <w:hyperlink r:id="rId132" w:history="1">
        <w:r w:rsidR="00FC3A2B" w:rsidRPr="00755EF2">
          <w:rPr>
            <w:rStyle w:val="Hyperlink"/>
          </w:rPr>
          <w:t xml:space="preserve">2023 Crypto Crime  Trends: Illicit </w:t>
        </w:r>
        <w:r w:rsidR="00691DAA" w:rsidRPr="00755EF2">
          <w:rPr>
            <w:rStyle w:val="Hyperlink"/>
          </w:rPr>
          <w:t>Cryptocurrency</w:t>
        </w:r>
        <w:r w:rsidR="00FC3A2B" w:rsidRPr="00755EF2">
          <w:rPr>
            <w:rStyle w:val="Hyperlink"/>
          </w:rPr>
          <w:t xml:space="preserve"> Volumes Reach All</w:t>
        </w:r>
        <w:r w:rsidR="00F75232" w:rsidRPr="00755EF2">
          <w:rPr>
            <w:rStyle w:val="Hyperlink"/>
          </w:rPr>
          <w:t>-</w:t>
        </w:r>
        <w:r w:rsidR="00FC3A2B" w:rsidRPr="00755EF2">
          <w:rPr>
            <w:rStyle w:val="Hyperlink"/>
          </w:rPr>
          <w:t>Time Highs Amid Surge in Sanctions Designations and Hacking</w:t>
        </w:r>
      </w:hyperlink>
      <w:r w:rsidR="00F75232">
        <w:t>’</w:t>
      </w:r>
      <w:r w:rsidR="00173CED" w:rsidRPr="00B1515C">
        <w:t xml:space="preserve">, </w:t>
      </w:r>
      <w:r w:rsidR="00173CED" w:rsidRPr="0084535D">
        <w:rPr>
          <w:rStyle w:val="Emphasis"/>
        </w:rPr>
        <w:t>Chainalysis</w:t>
      </w:r>
      <w:r w:rsidR="00FC3A2B" w:rsidRPr="00B1515C">
        <w:t xml:space="preserve"> (</w:t>
      </w:r>
      <w:r w:rsidR="00173CED" w:rsidRPr="00B1515C">
        <w:t xml:space="preserve">Web Page, </w:t>
      </w:r>
      <w:r w:rsidR="00FC3A2B" w:rsidRPr="00B1515C">
        <w:t>12 January 2023)</w:t>
      </w:r>
      <w:r w:rsidR="00755EF2">
        <w:t>.</w:t>
      </w:r>
    </w:p>
  </w:footnote>
  <w:footnote w:id="283">
    <w:p w14:paraId="5F10493B" w14:textId="6499EFF1" w:rsidR="00AD6CF8" w:rsidRPr="00B1515C" w:rsidRDefault="00815763" w:rsidP="00A01254">
      <w:pPr>
        <w:pStyle w:val="FootnoteText"/>
      </w:pPr>
      <w:r w:rsidRPr="00815763">
        <w:rPr>
          <w:rStyle w:val="FootnoteReference"/>
          <w:vertAlign w:val="baseline"/>
        </w:rPr>
        <w:footnoteRef/>
      </w:r>
      <w:r w:rsidR="00AD6CF8" w:rsidRPr="00B1515C">
        <w:t xml:space="preserve"> </w:t>
      </w:r>
      <w:r w:rsidR="00FE31B9" w:rsidRPr="00B1515C">
        <w:tab/>
      </w:r>
      <w:r w:rsidR="001F5BF2" w:rsidRPr="00B1515C">
        <w:t>David B Black</w:t>
      </w:r>
      <w:r w:rsidR="00AD6CF8" w:rsidRPr="00B1515C">
        <w:t xml:space="preserve">, </w:t>
      </w:r>
      <w:r w:rsidR="00F75232">
        <w:t>‘</w:t>
      </w:r>
      <w:hyperlink r:id="rId133" w:history="1">
        <w:r w:rsidR="00AD6CF8" w:rsidRPr="00755EF2">
          <w:rPr>
            <w:rStyle w:val="Hyperlink"/>
          </w:rPr>
          <w:t>Cryptocurrency Fuels Growth of Crime</w:t>
        </w:r>
      </w:hyperlink>
      <w:r w:rsidR="00F75232">
        <w:t>’</w:t>
      </w:r>
      <w:r w:rsidR="00AD6CF8" w:rsidRPr="00B1515C">
        <w:t xml:space="preserve">, </w:t>
      </w:r>
      <w:r w:rsidR="00AD6CF8" w:rsidRPr="0084535D">
        <w:rPr>
          <w:rStyle w:val="Emphasis"/>
        </w:rPr>
        <w:t>Forbes</w:t>
      </w:r>
      <w:r w:rsidR="00AD6CF8" w:rsidRPr="00B1515C">
        <w:t xml:space="preserve"> </w:t>
      </w:r>
      <w:r w:rsidR="00B31AB7" w:rsidRPr="00B1515C">
        <w:t xml:space="preserve">(Web Page, </w:t>
      </w:r>
      <w:r w:rsidR="00AD6CF8" w:rsidRPr="00B1515C">
        <w:t>11 March 2022</w:t>
      </w:r>
      <w:r w:rsidR="00B31AB7" w:rsidRPr="00B1515C">
        <w:t>)</w:t>
      </w:r>
      <w:r w:rsidR="00755EF2">
        <w:t>.</w:t>
      </w:r>
    </w:p>
  </w:footnote>
  <w:footnote w:id="284">
    <w:p w14:paraId="2200038C" w14:textId="50569CB7" w:rsidR="00EC3A3B" w:rsidRPr="00B1515C" w:rsidRDefault="00815763" w:rsidP="00A01254">
      <w:pPr>
        <w:pStyle w:val="FootnoteText"/>
      </w:pPr>
      <w:r w:rsidRPr="00815763">
        <w:rPr>
          <w:rStyle w:val="FootnoteReference"/>
          <w:vertAlign w:val="baseline"/>
        </w:rPr>
        <w:footnoteRef/>
      </w:r>
      <w:r w:rsidR="00EC3A3B" w:rsidRPr="00B1515C">
        <w:t xml:space="preserve"> </w:t>
      </w:r>
      <w:r w:rsidR="00FE31B9" w:rsidRPr="00B1515C">
        <w:tab/>
      </w:r>
      <w:r w:rsidR="00EC3A3B" w:rsidRPr="00B1515C">
        <w:t xml:space="preserve">Bank for International Settlements, </w:t>
      </w:r>
      <w:hyperlink r:id="rId134" w:history="1">
        <w:r w:rsidR="00EC3A3B" w:rsidRPr="00755EF2">
          <w:rPr>
            <w:rStyle w:val="Hyperlink"/>
            <w:i/>
            <w:iCs/>
          </w:rPr>
          <w:t xml:space="preserve">The crypto ecosystem: key elements and risks Report </w:t>
        </w:r>
        <w:r w:rsidR="00F2686E" w:rsidRPr="00755EF2">
          <w:rPr>
            <w:rStyle w:val="Hyperlink"/>
            <w:i/>
            <w:iCs/>
          </w:rPr>
          <w:t>submitted to the G20 Finance Ministers and Central Bank Governors</w:t>
        </w:r>
      </w:hyperlink>
      <w:r w:rsidR="00F2686E" w:rsidRPr="00B1515C">
        <w:t xml:space="preserve"> </w:t>
      </w:r>
      <w:r w:rsidR="003F4523" w:rsidRPr="00B1515C">
        <w:t xml:space="preserve">(Report, </w:t>
      </w:r>
      <w:r w:rsidR="00F2686E" w:rsidRPr="00B1515C">
        <w:t>July 2023</w:t>
      </w:r>
      <w:r w:rsidR="003F4523" w:rsidRPr="00B1515C">
        <w:t>)</w:t>
      </w:r>
      <w:r w:rsidR="00755EF2">
        <w:t>.</w:t>
      </w:r>
    </w:p>
  </w:footnote>
  <w:footnote w:id="285">
    <w:p w14:paraId="7E91C42C" w14:textId="0148AF44" w:rsidR="000B4CEE" w:rsidRPr="00B1515C" w:rsidRDefault="00815763" w:rsidP="00A01254">
      <w:pPr>
        <w:pStyle w:val="FootnoteText"/>
      </w:pPr>
      <w:r w:rsidRPr="00815763">
        <w:rPr>
          <w:rStyle w:val="FootnoteReference"/>
          <w:vertAlign w:val="baseline"/>
        </w:rPr>
        <w:footnoteRef/>
      </w:r>
      <w:r w:rsidR="000B4CEE" w:rsidRPr="00B1515C">
        <w:t xml:space="preserve"> </w:t>
      </w:r>
      <w:r w:rsidR="00FE31B9" w:rsidRPr="00B1515C">
        <w:tab/>
      </w:r>
      <w:r w:rsidR="000B4CEE" w:rsidRPr="00EB09BD">
        <w:t xml:space="preserve">Hilary J Allen, </w:t>
      </w:r>
      <w:r w:rsidR="00F75232" w:rsidRPr="00EB09BD">
        <w:t>‘</w:t>
      </w:r>
      <w:hyperlink r:id="rId135" w:history="1">
        <w:r w:rsidR="000B4CEE" w:rsidRPr="00755EF2">
          <w:rPr>
            <w:rStyle w:val="Hyperlink"/>
          </w:rPr>
          <w:t>The Superficial Allure of Crypto</w:t>
        </w:r>
      </w:hyperlink>
      <w:r w:rsidR="00F75232" w:rsidRPr="00EB09BD">
        <w:t>’</w:t>
      </w:r>
      <w:r w:rsidR="004B2DA8" w:rsidRPr="00EB09BD">
        <w:t xml:space="preserve">, </w:t>
      </w:r>
      <w:r w:rsidR="004B2DA8" w:rsidRPr="00EB09BD">
        <w:rPr>
          <w:rStyle w:val="Emphasis"/>
          <w:spacing w:val="-3"/>
        </w:rPr>
        <w:t>International Monetary Fund</w:t>
      </w:r>
      <w:r w:rsidR="004B2DA8" w:rsidRPr="00EB09BD">
        <w:t xml:space="preserve"> </w:t>
      </w:r>
      <w:r w:rsidR="00655A01" w:rsidRPr="00EB09BD">
        <w:t xml:space="preserve">(Web Page, </w:t>
      </w:r>
      <w:r w:rsidR="004B2DA8" w:rsidRPr="00EB09BD">
        <w:t>September 2022</w:t>
      </w:r>
      <w:r w:rsidR="00655A01" w:rsidRPr="00EB09BD">
        <w:t>)</w:t>
      </w:r>
      <w:r w:rsidR="00755EF2">
        <w:t>.</w:t>
      </w:r>
      <w:r w:rsidR="004B2DA8" w:rsidRPr="00EB09BD">
        <w:t xml:space="preserve"> </w:t>
      </w:r>
    </w:p>
  </w:footnote>
  <w:footnote w:id="286">
    <w:p w14:paraId="3F354277" w14:textId="4F0A02B7" w:rsidR="00B04991" w:rsidRPr="00B1515C" w:rsidRDefault="00815763" w:rsidP="00A01254">
      <w:pPr>
        <w:pStyle w:val="FootnoteText"/>
      </w:pPr>
      <w:r w:rsidRPr="00815763">
        <w:rPr>
          <w:rStyle w:val="FootnoteReference"/>
          <w:vertAlign w:val="baseline"/>
        </w:rPr>
        <w:footnoteRef/>
      </w:r>
      <w:r w:rsidR="00B04991" w:rsidRPr="00B1515C">
        <w:t xml:space="preserve"> </w:t>
      </w:r>
      <w:r w:rsidR="00FE31B9" w:rsidRPr="00B1515C">
        <w:tab/>
      </w:r>
      <w:r w:rsidR="00655A01" w:rsidRPr="00B1515C">
        <w:t xml:space="preserve">Bank for International Settlements, </w:t>
      </w:r>
      <w:hyperlink r:id="rId136" w:history="1">
        <w:r w:rsidR="00655A01" w:rsidRPr="009D565B">
          <w:rPr>
            <w:rStyle w:val="Hyperlink"/>
          </w:rPr>
          <w:t>The crypto ecosystem: key elements and risks Report submitted to the G20 Finance Ministers and Central Bank Governors</w:t>
        </w:r>
      </w:hyperlink>
      <w:r w:rsidR="00655A01" w:rsidRPr="00B1515C">
        <w:t xml:space="preserve"> (Report, July 2023)</w:t>
      </w:r>
      <w:r w:rsidR="009D565B">
        <w:t>.</w:t>
      </w:r>
    </w:p>
  </w:footnote>
  <w:footnote w:id="287">
    <w:p w14:paraId="4BFD7A3E" w14:textId="2B6B79BF" w:rsidR="00717176" w:rsidRPr="000024F1" w:rsidRDefault="00815763" w:rsidP="00A01254">
      <w:pPr>
        <w:pStyle w:val="FootnoteText"/>
      </w:pPr>
      <w:r w:rsidRPr="00815763">
        <w:rPr>
          <w:rStyle w:val="FootnoteReference"/>
          <w:sz w:val="19"/>
          <w:szCs w:val="18"/>
          <w:vertAlign w:val="baseline"/>
        </w:rPr>
        <w:footnoteRef/>
      </w:r>
      <w:r w:rsidR="00717176" w:rsidRPr="000024F1">
        <w:t xml:space="preserve"> </w:t>
      </w:r>
      <w:r w:rsidR="00FE31B9" w:rsidRPr="000024F1">
        <w:tab/>
      </w:r>
      <w:r w:rsidR="00717176" w:rsidRPr="000024F1">
        <w:t>Submission A10, 20; Submission A30, 10</w:t>
      </w:r>
      <w:r w:rsidR="00C66BE4" w:rsidRPr="000024F1">
        <w:t>–</w:t>
      </w:r>
      <w:r w:rsidR="00717176" w:rsidRPr="000024F1">
        <w:t>11.</w:t>
      </w:r>
    </w:p>
  </w:footnote>
  <w:footnote w:id="288">
    <w:p w14:paraId="56478CB1" w14:textId="1791C89E" w:rsidR="00717176" w:rsidRPr="000024F1" w:rsidRDefault="00815763" w:rsidP="00A01254">
      <w:pPr>
        <w:pStyle w:val="FootnoteText"/>
      </w:pPr>
      <w:r w:rsidRPr="00815763">
        <w:rPr>
          <w:rStyle w:val="FootnoteReference"/>
          <w:sz w:val="19"/>
          <w:szCs w:val="18"/>
          <w:vertAlign w:val="baseline"/>
        </w:rPr>
        <w:footnoteRef/>
      </w:r>
      <w:r w:rsidR="00717176" w:rsidRPr="000024F1">
        <w:t xml:space="preserve"> </w:t>
      </w:r>
      <w:r w:rsidR="00FE31B9" w:rsidRPr="000024F1">
        <w:tab/>
      </w:r>
      <w:r w:rsidR="00717176" w:rsidRPr="000024F1">
        <w:t>Submission A08, 11.</w:t>
      </w:r>
    </w:p>
  </w:footnote>
  <w:footnote w:id="289">
    <w:p w14:paraId="71F82F09" w14:textId="5635B4EF" w:rsidR="00025CC7" w:rsidRPr="00B1515C" w:rsidRDefault="00815763" w:rsidP="00A01254">
      <w:pPr>
        <w:pStyle w:val="FootnoteText"/>
      </w:pPr>
      <w:r w:rsidRPr="00815763">
        <w:rPr>
          <w:rStyle w:val="FootnoteReference"/>
          <w:sz w:val="19"/>
          <w:szCs w:val="18"/>
          <w:vertAlign w:val="baseline"/>
        </w:rPr>
        <w:footnoteRef/>
      </w:r>
      <w:r w:rsidR="00025CC7" w:rsidRPr="000024F1">
        <w:t xml:space="preserve"> </w:t>
      </w:r>
      <w:r w:rsidR="00025CC7" w:rsidRPr="000024F1">
        <w:tab/>
        <w:t>Submission A39, 6.</w:t>
      </w:r>
    </w:p>
  </w:footnote>
  <w:footnote w:id="290">
    <w:p w14:paraId="24BDE686" w14:textId="77777777" w:rsidR="00ED3C98" w:rsidRPr="00B1515C" w:rsidRDefault="00ED3C98" w:rsidP="00A01254">
      <w:pPr>
        <w:pStyle w:val="FootnoteText"/>
      </w:pPr>
      <w:r w:rsidRPr="00815763">
        <w:rPr>
          <w:rStyle w:val="FootnoteReference"/>
          <w:vertAlign w:val="baseline"/>
        </w:rPr>
        <w:footnoteRef/>
      </w:r>
      <w:r w:rsidRPr="00B1515C">
        <w:t xml:space="preserve"> </w:t>
      </w:r>
      <w:r w:rsidRPr="00B1515C">
        <w:tab/>
        <w:t xml:space="preserve">The Treasury, </w:t>
      </w:r>
      <w:r w:rsidRPr="0084535D">
        <w:rPr>
          <w:rStyle w:val="Emphasis"/>
        </w:rPr>
        <w:t>Regulating Digital Asset Platforms</w:t>
      </w:r>
      <w:r w:rsidRPr="00B1515C">
        <w:t xml:space="preserve"> (n 10).</w:t>
      </w:r>
    </w:p>
  </w:footnote>
  <w:footnote w:id="291">
    <w:p w14:paraId="1B878FD8" w14:textId="3ED9883F" w:rsidR="00717176" w:rsidRPr="00B1515C" w:rsidRDefault="00815763" w:rsidP="00A01254">
      <w:pPr>
        <w:pStyle w:val="FootnoteText"/>
      </w:pPr>
      <w:r w:rsidRPr="00815763">
        <w:rPr>
          <w:rStyle w:val="FootnoteReference"/>
          <w:vertAlign w:val="baseline"/>
        </w:rPr>
        <w:footnoteRef/>
      </w:r>
      <w:r w:rsidR="00717176" w:rsidRPr="00B1515C">
        <w:t xml:space="preserve"> </w:t>
      </w:r>
      <w:r w:rsidR="00FE31B9" w:rsidRPr="00B1515C">
        <w:tab/>
      </w:r>
      <w:r w:rsidR="00717176" w:rsidRPr="00B1515C">
        <w:t>For example, the European Parliament has voted on adopting the regulation on markets in crypto assets (MiCA). The regulation establishes harmonised rules for crypto</w:t>
      </w:r>
      <w:r w:rsidR="00F75232">
        <w:t>-</w:t>
      </w:r>
      <w:r w:rsidR="00717176" w:rsidRPr="00B1515C">
        <w:t>assets at EU level, thereby providing legal certainty for crypto</w:t>
      </w:r>
      <w:r w:rsidR="00F75232">
        <w:t>-</w:t>
      </w:r>
      <w:r w:rsidR="00717176" w:rsidRPr="00B1515C">
        <w:t>assets not covered by existing EU legislation. By enhancing the protection of consumers and investors as well as financial stability, the regulation promotes innovation and use of crypto assets.</w:t>
      </w:r>
    </w:p>
  </w:footnote>
  <w:footnote w:id="292">
    <w:p w14:paraId="10B8A9E7" w14:textId="7CA49B00" w:rsidR="00815C4A" w:rsidRPr="00B1515C" w:rsidRDefault="00815763" w:rsidP="00A01254">
      <w:pPr>
        <w:pStyle w:val="FootnoteText"/>
      </w:pPr>
      <w:r w:rsidRPr="00815763">
        <w:rPr>
          <w:rStyle w:val="FootnoteReference"/>
          <w:vertAlign w:val="baseline"/>
        </w:rPr>
        <w:footnoteRef/>
      </w:r>
      <w:r w:rsidR="00815C4A" w:rsidRPr="00B1515C">
        <w:t xml:space="preserve"> </w:t>
      </w:r>
      <w:r w:rsidR="00FE31B9" w:rsidRPr="00B1515C">
        <w:tab/>
      </w:r>
      <w:r w:rsidR="00815C4A" w:rsidRPr="00B1515C">
        <w:t>Submission A</w:t>
      </w:r>
      <w:r w:rsidR="004B5447" w:rsidRPr="00B1515C">
        <w:t xml:space="preserve">39, </w:t>
      </w:r>
      <w:r w:rsidR="00EF3F21" w:rsidRPr="00B1515C">
        <w:t>6.</w:t>
      </w:r>
    </w:p>
  </w:footnote>
  <w:footnote w:id="293">
    <w:p w14:paraId="3AA60F96" w14:textId="6CBB6DBF" w:rsidR="00717176" w:rsidRPr="00B1515C" w:rsidRDefault="00815763" w:rsidP="00A01254">
      <w:pPr>
        <w:pStyle w:val="FootnoteText"/>
      </w:pPr>
      <w:r w:rsidRPr="00815763">
        <w:rPr>
          <w:rStyle w:val="FootnoteReference"/>
          <w:vertAlign w:val="baseline"/>
        </w:rPr>
        <w:footnoteRef/>
      </w:r>
      <w:r w:rsidR="00717176" w:rsidRPr="00B1515C">
        <w:t xml:space="preserve"> </w:t>
      </w:r>
      <w:r w:rsidR="00FE31B9" w:rsidRPr="00B1515C">
        <w:tab/>
      </w:r>
      <w:r w:rsidR="00717176" w:rsidRPr="00B1515C">
        <w:t xml:space="preserve">The United Kingdom has made their regulatory objectives clear by adopting a regulatory principle of </w:t>
      </w:r>
      <w:r w:rsidR="00F75232">
        <w:t>‘</w:t>
      </w:r>
      <w:r w:rsidR="00717176" w:rsidRPr="00B1515C">
        <w:t>same risk, same regulatory outcome</w:t>
      </w:r>
      <w:r w:rsidR="00F75232">
        <w:t>’</w:t>
      </w:r>
      <w:r w:rsidR="00254CFB">
        <w:t>.</w:t>
      </w:r>
    </w:p>
  </w:footnote>
  <w:footnote w:id="294">
    <w:p w14:paraId="0FB0B73A" w14:textId="7EAEAABF" w:rsidR="00717176" w:rsidRPr="00B1515C" w:rsidRDefault="00815763" w:rsidP="00A01254">
      <w:pPr>
        <w:pStyle w:val="FootnoteText"/>
      </w:pPr>
      <w:r w:rsidRPr="00815763">
        <w:rPr>
          <w:rStyle w:val="FootnoteReference"/>
          <w:vertAlign w:val="baseline"/>
        </w:rPr>
        <w:footnoteRef/>
      </w:r>
      <w:r w:rsidR="00717176" w:rsidRPr="00B1515C">
        <w:t xml:space="preserve"> </w:t>
      </w:r>
      <w:r w:rsidR="00FE31B9" w:rsidRPr="00B1515C">
        <w:tab/>
      </w:r>
      <w:r w:rsidR="00717176" w:rsidRPr="00B1515C">
        <w:t>Asprey, K</w:t>
      </w:r>
      <w:r w:rsidR="009548E7" w:rsidRPr="00B1515C">
        <w:t xml:space="preserve">, Lloyd J, Parsons R &amp; Wood K, </w:t>
      </w:r>
      <w:r w:rsidR="00717176" w:rsidRPr="0084535D">
        <w:rPr>
          <w:rStyle w:val="Emphasis"/>
        </w:rPr>
        <w:t>Taxation Review Committee; Full Report</w:t>
      </w:r>
      <w:r w:rsidR="00717176" w:rsidRPr="00B1515C">
        <w:t xml:space="preserve"> </w:t>
      </w:r>
      <w:r w:rsidR="009548E7" w:rsidRPr="00B1515C">
        <w:t xml:space="preserve">(Report, 1975) </w:t>
      </w:r>
      <w:r w:rsidR="00717176" w:rsidRPr="00B1515C">
        <w:t>AGPS</w:t>
      </w:r>
      <w:r w:rsidR="009548E7" w:rsidRPr="00B1515C">
        <w:t>.</w:t>
      </w:r>
      <w:r w:rsidR="00717176" w:rsidRPr="00B1515C">
        <w:t xml:space="preserve"> </w:t>
      </w:r>
    </w:p>
  </w:footnote>
  <w:footnote w:id="295">
    <w:p w14:paraId="0971D55C" w14:textId="6D8E2B6E" w:rsidR="00717176" w:rsidRPr="00B1515C" w:rsidRDefault="00815763" w:rsidP="00A01254">
      <w:pPr>
        <w:pStyle w:val="FootnoteText"/>
      </w:pPr>
      <w:r w:rsidRPr="00815763">
        <w:rPr>
          <w:rStyle w:val="FootnoteReference"/>
          <w:vertAlign w:val="baseline"/>
        </w:rPr>
        <w:footnoteRef/>
      </w:r>
      <w:r w:rsidR="00717176" w:rsidRPr="00B1515C">
        <w:t xml:space="preserve"> </w:t>
      </w:r>
      <w:r w:rsidR="00FE31B9" w:rsidRPr="00B1515C">
        <w:tab/>
      </w:r>
      <w:r w:rsidR="00717176" w:rsidRPr="00B1515C">
        <w:t>Submission A08,</w:t>
      </w:r>
      <w:r w:rsidR="007B3AFB" w:rsidRPr="00B1515C">
        <w:t xml:space="preserve"> </w:t>
      </w:r>
      <w:r w:rsidR="00717176" w:rsidRPr="00B1515C">
        <w:t>4; The Board notes that examples of such incentivisation include the Research and Development Tax Incentive regime.</w:t>
      </w:r>
    </w:p>
  </w:footnote>
  <w:footnote w:id="296">
    <w:p w14:paraId="1FF7B07B" w14:textId="7DC43995"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ATO, </w:t>
      </w:r>
      <w:r w:rsidR="00730A91" w:rsidRPr="0084535D">
        <w:rPr>
          <w:rStyle w:val="Emphasis"/>
        </w:rPr>
        <w:t>Tax statistics 2020</w:t>
      </w:r>
      <w:r w:rsidR="00F75232">
        <w:rPr>
          <w:rStyle w:val="Emphasis"/>
        </w:rPr>
        <w:t>-</w:t>
      </w:r>
      <w:r w:rsidR="00730A91" w:rsidRPr="0084535D">
        <w:rPr>
          <w:rStyle w:val="Emphasis"/>
        </w:rPr>
        <w:t>21</w:t>
      </w:r>
      <w:r w:rsidR="00730A91" w:rsidRPr="00B1515C">
        <w:t xml:space="preserve"> (Individuals – Table 1, Table 1A, 26 August 2023) cells AS26, AS3; Number of individuals by tax agent returns lodgment method/total individual lodgments shows that 63.7% of 2020</w:t>
      </w:r>
      <w:r w:rsidR="00F75232">
        <w:t>-</w:t>
      </w:r>
      <w:r w:rsidR="00730A91" w:rsidRPr="00B1515C">
        <w:t>21 individual tax returns were lodged as a tax agent return.</w:t>
      </w:r>
    </w:p>
  </w:footnote>
  <w:footnote w:id="297">
    <w:p w14:paraId="7C3A293C" w14:textId="4293D164"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ATO., </w:t>
      </w:r>
      <w:r w:rsidR="00730A91" w:rsidRPr="0084535D">
        <w:rPr>
          <w:rStyle w:val="Emphasis"/>
        </w:rPr>
        <w:t>Tax statistics 2020</w:t>
      </w:r>
      <w:r w:rsidR="00F75232">
        <w:rPr>
          <w:rStyle w:val="Emphasis"/>
        </w:rPr>
        <w:t>-</w:t>
      </w:r>
      <w:r w:rsidR="00730A91" w:rsidRPr="0084535D">
        <w:rPr>
          <w:rStyle w:val="Emphasis"/>
        </w:rPr>
        <w:t>21</w:t>
      </w:r>
      <w:r w:rsidR="00730A91" w:rsidRPr="00B1515C">
        <w:t xml:space="preserve"> (Company – Table 1, Table 1A, 27 September 2023) cells AQ35, AQ9; Number of companies by tax agent lodgment method/total company lodgments shows that 95.21% of 2020</w:t>
      </w:r>
      <w:r w:rsidR="00F75232">
        <w:t>-</w:t>
      </w:r>
      <w:r w:rsidR="00730A91" w:rsidRPr="00B1515C">
        <w:t>21 company tax returns were lodged as a tax agent return.</w:t>
      </w:r>
    </w:p>
  </w:footnote>
  <w:footnote w:id="298">
    <w:p w14:paraId="5E4CD8BC" w14:textId="0C5B00F3" w:rsidR="00730A91" w:rsidRPr="00A65360" w:rsidRDefault="00815763" w:rsidP="00A65360">
      <w:pPr>
        <w:pStyle w:val="FootnoteText"/>
        <w:rPr>
          <w:spacing w:val="-3"/>
        </w:rPr>
      </w:pPr>
      <w:r w:rsidRPr="00A65360">
        <w:rPr>
          <w:rStyle w:val="FootnoteReference"/>
          <w:spacing w:val="-3"/>
          <w:kern w:val="2"/>
          <w:vertAlign w:val="baseline"/>
        </w:rPr>
        <w:footnoteRef/>
      </w:r>
      <w:r w:rsidR="00730A91" w:rsidRPr="00A65360">
        <w:rPr>
          <w:spacing w:val="-3"/>
        </w:rPr>
        <w:t xml:space="preserve"> </w:t>
      </w:r>
      <w:r w:rsidR="00FE31B9" w:rsidRPr="00A65360">
        <w:rPr>
          <w:spacing w:val="-3"/>
        </w:rPr>
        <w:tab/>
      </w:r>
      <w:r w:rsidR="00730A91" w:rsidRPr="00A65360">
        <w:rPr>
          <w:spacing w:val="-3"/>
        </w:rPr>
        <w:t xml:space="preserve">ATO, </w:t>
      </w:r>
      <w:r w:rsidR="00730A91" w:rsidRPr="00A65360">
        <w:rPr>
          <w:rStyle w:val="Emphasis"/>
          <w:spacing w:val="-3"/>
          <w:kern w:val="2"/>
        </w:rPr>
        <w:t>Tax statistics 2020</w:t>
      </w:r>
      <w:r w:rsidR="00F75232" w:rsidRPr="00A65360">
        <w:rPr>
          <w:rStyle w:val="Emphasis"/>
          <w:spacing w:val="-3"/>
          <w:kern w:val="2"/>
        </w:rPr>
        <w:t>-</w:t>
      </w:r>
      <w:r w:rsidR="00730A91" w:rsidRPr="00A65360">
        <w:rPr>
          <w:rStyle w:val="Emphasis"/>
          <w:spacing w:val="-3"/>
          <w:kern w:val="2"/>
        </w:rPr>
        <w:t>21</w:t>
      </w:r>
      <w:r w:rsidR="00730A91" w:rsidRPr="00A65360">
        <w:rPr>
          <w:spacing w:val="-3"/>
        </w:rPr>
        <w:t xml:space="preserve"> (Trust – Table 1,Table 1A, 8 June 2023) cells AG17, AG25;</w:t>
      </w:r>
      <w:r w:rsidR="004F0A51" w:rsidRPr="00A65360">
        <w:rPr>
          <w:spacing w:val="-3"/>
        </w:rPr>
        <w:t xml:space="preserve"> </w:t>
      </w:r>
      <w:r w:rsidR="00730A91" w:rsidRPr="00A65360">
        <w:rPr>
          <w:spacing w:val="-3"/>
        </w:rPr>
        <w:t>Number of trusts by tax agent lodgment method/total trust lodgments shows that 98.31% of 2020</w:t>
      </w:r>
      <w:r w:rsidR="00F75232" w:rsidRPr="00A65360">
        <w:rPr>
          <w:spacing w:val="-3"/>
        </w:rPr>
        <w:t>-</w:t>
      </w:r>
      <w:r w:rsidR="00730A91" w:rsidRPr="00A65360">
        <w:rPr>
          <w:spacing w:val="-3"/>
        </w:rPr>
        <w:t>21 trust tax returns were lodged as a tax agent return.</w:t>
      </w:r>
    </w:p>
  </w:footnote>
  <w:footnote w:id="299">
    <w:p w14:paraId="45237A8A" w14:textId="2F30DAD1"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ATO, </w:t>
      </w:r>
      <w:r w:rsidR="00730A91" w:rsidRPr="0084535D">
        <w:rPr>
          <w:rStyle w:val="Emphasis"/>
        </w:rPr>
        <w:t>Tax statistics 2020</w:t>
      </w:r>
      <w:r w:rsidR="00F75232">
        <w:rPr>
          <w:rStyle w:val="Emphasis"/>
        </w:rPr>
        <w:t>-</w:t>
      </w:r>
      <w:r w:rsidR="00730A91" w:rsidRPr="0084535D">
        <w:rPr>
          <w:rStyle w:val="Emphasis"/>
        </w:rPr>
        <w:t>21</w:t>
      </w:r>
      <w:r w:rsidR="00730A91" w:rsidRPr="00B1515C">
        <w:t xml:space="preserve"> (Individuals – Table 1, Table 1A, 26 August 2023) cells AS28, AS3; Number of individuals by myTax return lodgment method/sum of number of individuals by myTax lodgment and other self</w:t>
      </w:r>
      <w:r w:rsidR="00F75232">
        <w:t>-</w:t>
      </w:r>
      <w:r w:rsidR="00730A91" w:rsidRPr="00B1515C">
        <w:t>preparer returns lodgement shows that 98.48% of 2020</w:t>
      </w:r>
      <w:r w:rsidR="00F75232">
        <w:t>-</w:t>
      </w:r>
      <w:r w:rsidR="00730A91" w:rsidRPr="00B1515C">
        <w:t>21 self</w:t>
      </w:r>
      <w:r w:rsidR="00F75232">
        <w:t>-</w:t>
      </w:r>
      <w:r w:rsidR="00730A91" w:rsidRPr="00B1515C">
        <w:t>preparer returns were lodged through myTax.</w:t>
      </w:r>
    </w:p>
  </w:footnote>
  <w:footnote w:id="300">
    <w:p w14:paraId="70BB929A" w14:textId="0EF15631"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rPr>
          <w:rFonts w:asciiTheme="minorHAnsi" w:hAnsiTheme="minorHAnsi" w:cstheme="minorHAnsi"/>
          <w:sz w:val="20"/>
          <w:szCs w:val="20"/>
        </w:rPr>
        <w:t>‘</w:t>
      </w:r>
      <w:hyperlink r:id="rId137" w:history="1">
        <w:r w:rsidR="00730A91" w:rsidRPr="005B3B60">
          <w:rPr>
            <w:rStyle w:val="Hyperlink"/>
            <w:rFonts w:asciiTheme="minorHAnsi" w:hAnsiTheme="minorHAnsi" w:cstheme="minorHAnsi"/>
          </w:rPr>
          <w:t xml:space="preserve">Australian Digital Assets </w:t>
        </w:r>
        <w:r w:rsidR="00B70C9B" w:rsidRPr="005B3B60">
          <w:rPr>
            <w:rStyle w:val="Hyperlink"/>
            <w:rFonts w:asciiTheme="minorHAnsi" w:hAnsiTheme="minorHAnsi" w:cstheme="minorHAnsi"/>
          </w:rPr>
          <w:t>Survey</w:t>
        </w:r>
      </w:hyperlink>
      <w:r w:rsidR="00F75232">
        <w:rPr>
          <w:rFonts w:asciiTheme="minorHAnsi" w:hAnsiTheme="minorHAnsi" w:cstheme="minorHAnsi"/>
        </w:rPr>
        <w:t>’</w:t>
      </w:r>
      <w:r w:rsidR="00B70C9B" w:rsidRPr="00B1515C">
        <w:rPr>
          <w:rFonts w:asciiTheme="minorHAnsi" w:hAnsiTheme="minorHAnsi" w:cstheme="minorHAnsi"/>
        </w:rPr>
        <w:t xml:space="preserve">, </w:t>
      </w:r>
      <w:r w:rsidR="00B70C9B" w:rsidRPr="0084535D">
        <w:rPr>
          <w:rStyle w:val="Emphasis"/>
        </w:rPr>
        <w:t xml:space="preserve">Swyftx </w:t>
      </w:r>
      <w:r w:rsidR="00B70C9B" w:rsidRPr="00B1515C">
        <w:rPr>
          <w:rFonts w:asciiTheme="minorHAnsi" w:hAnsiTheme="minorHAnsi" w:cstheme="minorHAnsi"/>
        </w:rPr>
        <w:t xml:space="preserve">(Web </w:t>
      </w:r>
      <w:r w:rsidR="009202E4" w:rsidRPr="00B1515C">
        <w:rPr>
          <w:rFonts w:asciiTheme="minorHAnsi" w:hAnsiTheme="minorHAnsi" w:cstheme="minorHAnsi"/>
        </w:rPr>
        <w:t>Page</w:t>
      </w:r>
      <w:r w:rsidR="00B70C9B" w:rsidRPr="00B1515C">
        <w:rPr>
          <w:rFonts w:asciiTheme="minorHAnsi" w:hAnsiTheme="minorHAnsi" w:cstheme="minorHAnsi"/>
        </w:rPr>
        <w:t xml:space="preserve">, </w:t>
      </w:r>
      <w:r w:rsidR="00730A91" w:rsidRPr="00B1515C">
        <w:rPr>
          <w:rFonts w:asciiTheme="minorHAnsi" w:hAnsiTheme="minorHAnsi" w:cstheme="minorHAnsi"/>
        </w:rPr>
        <w:t>August 2023)</w:t>
      </w:r>
      <w:r w:rsidR="005B3B60">
        <w:rPr>
          <w:rFonts w:asciiTheme="minorHAnsi" w:hAnsiTheme="minorHAnsi" w:cstheme="minorHAnsi"/>
        </w:rPr>
        <w:t>.</w:t>
      </w:r>
    </w:p>
  </w:footnote>
  <w:footnote w:id="301">
    <w:p w14:paraId="66F400A0" w14:textId="7BA08757"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ATO, </w:t>
      </w:r>
      <w:r w:rsidR="00730A91" w:rsidRPr="0084535D">
        <w:rPr>
          <w:rStyle w:val="Emphasis"/>
        </w:rPr>
        <w:t>Tax statistics 2020</w:t>
      </w:r>
      <w:r w:rsidR="00F75232">
        <w:rPr>
          <w:rStyle w:val="Emphasis"/>
        </w:rPr>
        <w:t>-</w:t>
      </w:r>
      <w:r w:rsidR="00730A91" w:rsidRPr="0084535D">
        <w:rPr>
          <w:rStyle w:val="Emphasis"/>
        </w:rPr>
        <w:t>21</w:t>
      </w:r>
      <w:r w:rsidR="00730A91" w:rsidRPr="00B1515C">
        <w:t xml:space="preserve"> (Individuals – Table 1, Table 1A, 26 August 2023) cells AP3, AQ3, AR3, AS3; average of total individual lodgements 2017</w:t>
      </w:r>
      <w:r w:rsidR="00F75232">
        <w:t>-</w:t>
      </w:r>
      <w:r w:rsidR="00730A91" w:rsidRPr="00B1515C">
        <w:t>18 to 2020</w:t>
      </w:r>
      <w:r w:rsidR="00F75232">
        <w:t>-</w:t>
      </w:r>
      <w:r w:rsidR="00730A91" w:rsidRPr="00B1515C">
        <w:t>21.</w:t>
      </w:r>
    </w:p>
  </w:footnote>
  <w:footnote w:id="302">
    <w:p w14:paraId="39C8DC82" w14:textId="29544160"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38" w:history="1">
        <w:r w:rsidR="00C22501" w:rsidRPr="005B3B60">
          <w:rPr>
            <w:rStyle w:val="Hyperlink"/>
          </w:rPr>
          <w:t>Qualifications and Experience for tax agents</w:t>
        </w:r>
      </w:hyperlink>
      <w:r w:rsidR="00F75232">
        <w:t>’</w:t>
      </w:r>
      <w:r w:rsidR="00422EA2" w:rsidRPr="00B1515C">
        <w:t xml:space="preserve">, </w:t>
      </w:r>
      <w:r w:rsidR="00422EA2" w:rsidRPr="0084535D">
        <w:rPr>
          <w:rStyle w:val="Emphasis"/>
        </w:rPr>
        <w:t>Tax Practitioners Board</w:t>
      </w:r>
      <w:r w:rsidR="00422EA2" w:rsidRPr="00B1515C">
        <w:t xml:space="preserve"> (Web Page, 1 April 2022)</w:t>
      </w:r>
      <w:r w:rsidR="005B3B60">
        <w:t>.</w:t>
      </w:r>
    </w:p>
  </w:footnote>
  <w:footnote w:id="303">
    <w:p w14:paraId="69C02DA8" w14:textId="18A34924" w:rsidR="00730A91" w:rsidRPr="00B1515C" w:rsidRDefault="00815763" w:rsidP="00A01254">
      <w:pPr>
        <w:pStyle w:val="FootnoteText"/>
      </w:pPr>
      <w:r w:rsidRPr="00815763">
        <w:rPr>
          <w:rStyle w:val="FootnoteReference"/>
          <w:rFonts w:cs="Calibri"/>
          <w:vertAlign w:val="baseline"/>
        </w:rPr>
        <w:footnoteRef/>
      </w:r>
      <w:r w:rsidR="00730A91" w:rsidRPr="00B1515C">
        <w:t xml:space="preserve"> </w:t>
      </w:r>
      <w:r w:rsidR="00FE31B9" w:rsidRPr="00B1515C">
        <w:tab/>
      </w:r>
      <w:r w:rsidR="00F75232">
        <w:t>‘</w:t>
      </w:r>
      <w:hyperlink r:id="rId139" w:history="1">
        <w:r w:rsidR="00406B7B" w:rsidRPr="005B3B60">
          <w:rPr>
            <w:rStyle w:val="Hyperlink"/>
          </w:rPr>
          <w:t>Continuing professional education</w:t>
        </w:r>
      </w:hyperlink>
      <w:r w:rsidR="00F75232">
        <w:t>’</w:t>
      </w:r>
      <w:r w:rsidR="00134D60" w:rsidRPr="00B1515C">
        <w:t xml:space="preserve">, </w:t>
      </w:r>
      <w:r w:rsidR="00730A91" w:rsidRPr="0084535D">
        <w:rPr>
          <w:rStyle w:val="Emphasis"/>
        </w:rPr>
        <w:t>Tax Practitioners Board</w:t>
      </w:r>
      <w:r w:rsidR="00134D60" w:rsidRPr="00B1515C">
        <w:t xml:space="preserve"> (Web Page, 12 September 2023)</w:t>
      </w:r>
      <w:r w:rsidR="005B3B60">
        <w:t>.</w:t>
      </w:r>
    </w:p>
  </w:footnote>
  <w:footnote w:id="304">
    <w:p w14:paraId="0CA47C59" w14:textId="579AA8A0"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A10, 15</w:t>
      </w:r>
      <w:r w:rsidR="0023545A" w:rsidRPr="00B1515C">
        <w:t>.</w:t>
      </w:r>
      <w:r w:rsidR="00730A91" w:rsidRPr="00B1515C">
        <w:t xml:space="preserve"> </w:t>
      </w:r>
    </w:p>
  </w:footnote>
  <w:footnote w:id="305">
    <w:p w14:paraId="1D430E8B" w14:textId="256B162C" w:rsidR="00730A91" w:rsidRPr="00B1515C" w:rsidRDefault="00815763" w:rsidP="00A01254">
      <w:pPr>
        <w:pStyle w:val="FootnoteText"/>
      </w:pPr>
      <w:r w:rsidRPr="00815763">
        <w:rPr>
          <w:rStyle w:val="FootnoteReference"/>
          <w:rFonts w:cs="Calibri"/>
          <w:vertAlign w:val="baseline"/>
        </w:rPr>
        <w:footnoteRef/>
      </w:r>
      <w:r w:rsidR="00730A91" w:rsidRPr="00B1515C">
        <w:t xml:space="preserve"> </w:t>
      </w:r>
      <w:r w:rsidR="00FE31B9" w:rsidRPr="00B1515C">
        <w:tab/>
      </w:r>
      <w:r w:rsidR="00730A91" w:rsidRPr="00B1515C">
        <w:t>Submission A09, 2.</w:t>
      </w:r>
    </w:p>
  </w:footnote>
  <w:footnote w:id="306">
    <w:p w14:paraId="3091A46B" w14:textId="246AD2E8"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A37, 14</w:t>
      </w:r>
      <w:r w:rsidR="0023545A" w:rsidRPr="00B1515C">
        <w:t>.</w:t>
      </w:r>
      <w:r w:rsidR="00730A91" w:rsidRPr="00B1515C">
        <w:t xml:space="preserve"> </w:t>
      </w:r>
    </w:p>
  </w:footnote>
  <w:footnote w:id="307">
    <w:p w14:paraId="5E5D6001" w14:textId="4F4B8FFB"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40" w:history="1">
        <w:r w:rsidR="00603D3C" w:rsidRPr="005B3B60">
          <w:rPr>
            <w:rStyle w:val="Hyperlink"/>
          </w:rPr>
          <w:t>National Tax Lia</w:t>
        </w:r>
        <w:r w:rsidR="00AB3335" w:rsidRPr="005B3B60">
          <w:rPr>
            <w:rStyle w:val="Hyperlink"/>
          </w:rPr>
          <w:t>ison Group</w:t>
        </w:r>
      </w:hyperlink>
      <w:r w:rsidR="00F75232">
        <w:t>’</w:t>
      </w:r>
      <w:r w:rsidR="00AB3335" w:rsidRPr="00B1515C">
        <w:t xml:space="preserve">, </w:t>
      </w:r>
      <w:r w:rsidR="00AB3335" w:rsidRPr="0084535D">
        <w:rPr>
          <w:rStyle w:val="Emphasis"/>
        </w:rPr>
        <w:t xml:space="preserve">ATO </w:t>
      </w:r>
      <w:r w:rsidR="00AB3335" w:rsidRPr="00B1515C">
        <w:t>(Web Page, 29 November 2023)</w:t>
      </w:r>
      <w:r w:rsidR="005B3B60">
        <w:t>.</w:t>
      </w:r>
    </w:p>
  </w:footnote>
  <w:footnote w:id="308">
    <w:p w14:paraId="3F38FCFA" w14:textId="4769F2D6" w:rsidR="00730A91" w:rsidRPr="00B1515C" w:rsidRDefault="00815763" w:rsidP="00A01254">
      <w:pPr>
        <w:pStyle w:val="FootnoteText"/>
      </w:pPr>
      <w:r w:rsidRPr="00815763">
        <w:rPr>
          <w:rStyle w:val="FootnoteReference"/>
          <w:rFonts w:cs="Calibri"/>
          <w:vertAlign w:val="baseline"/>
        </w:rPr>
        <w:footnoteRef/>
      </w:r>
      <w:r w:rsidR="00730A91" w:rsidRPr="00B1515C">
        <w:t xml:space="preserve"> </w:t>
      </w:r>
      <w:r w:rsidR="00FE31B9" w:rsidRPr="00B1515C">
        <w:tab/>
      </w:r>
      <w:r w:rsidR="00730A91" w:rsidRPr="00B1515C">
        <w:t>Submission A10, 24.</w:t>
      </w:r>
    </w:p>
  </w:footnote>
  <w:footnote w:id="309">
    <w:p w14:paraId="2B6DCFB8" w14:textId="18E17424"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A15, 2.</w:t>
      </w:r>
    </w:p>
  </w:footnote>
  <w:footnote w:id="310">
    <w:p w14:paraId="2EC68A7B" w14:textId="3314959A"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A08, 14; Submission A09, 2; Submission A10, 13; Submission A19, 7; Submission A25, 2; Submission A30, 14; Submission A33, 23; Submission A36, 4; Submission A35, 4</w:t>
      </w:r>
      <w:r w:rsidR="005A4E00" w:rsidRPr="00B1515C">
        <w:t>.</w:t>
      </w:r>
    </w:p>
  </w:footnote>
  <w:footnote w:id="311">
    <w:p w14:paraId="11BB52D9" w14:textId="28619187"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A08, 15; Submission A38, 3</w:t>
      </w:r>
      <w:r w:rsidR="005A4E00" w:rsidRPr="00B1515C">
        <w:t>.</w:t>
      </w:r>
    </w:p>
  </w:footnote>
  <w:footnote w:id="312">
    <w:p w14:paraId="5A661138" w14:textId="6A23D694"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A09, 3</w:t>
      </w:r>
      <w:r w:rsidR="005A4E00" w:rsidRPr="00B1515C">
        <w:t>.</w:t>
      </w:r>
    </w:p>
  </w:footnote>
  <w:footnote w:id="313">
    <w:p w14:paraId="47BA0BE9" w14:textId="6B19337F" w:rsidR="0027655F" w:rsidRPr="00B1515C" w:rsidRDefault="00815763" w:rsidP="00A01254">
      <w:pPr>
        <w:pStyle w:val="FootnoteText"/>
      </w:pPr>
      <w:r w:rsidRPr="00815763">
        <w:rPr>
          <w:rStyle w:val="FootnoteReference"/>
          <w:vertAlign w:val="baseline"/>
        </w:rPr>
        <w:footnoteRef/>
      </w:r>
      <w:r w:rsidR="0027655F" w:rsidRPr="00B1515C">
        <w:t xml:space="preserve"> </w:t>
      </w:r>
      <w:r w:rsidR="00FE31B9" w:rsidRPr="00B1515C">
        <w:tab/>
      </w:r>
      <w:r w:rsidR="0027655F" w:rsidRPr="00B1515C">
        <w:t>Submission A27, 24; Submission A35, 4</w:t>
      </w:r>
      <w:r w:rsidR="0023545A" w:rsidRPr="00B1515C">
        <w:t>.</w:t>
      </w:r>
    </w:p>
  </w:footnote>
  <w:footnote w:id="314">
    <w:p w14:paraId="1C4E0025" w14:textId="27D04EE0" w:rsidR="00730A91" w:rsidRPr="00B1515C" w:rsidRDefault="00815763" w:rsidP="00A01254">
      <w:pPr>
        <w:pStyle w:val="FootnoteText"/>
      </w:pPr>
      <w:r w:rsidRPr="00815763">
        <w:rPr>
          <w:rStyle w:val="FootnoteReference"/>
          <w:rFonts w:cs="Calibri"/>
          <w:vertAlign w:val="baseline"/>
        </w:rPr>
        <w:footnoteRef/>
      </w:r>
      <w:r w:rsidR="00730A91" w:rsidRPr="00B1515C">
        <w:t xml:space="preserve"> </w:t>
      </w:r>
      <w:r w:rsidR="00FE31B9" w:rsidRPr="00B1515C">
        <w:tab/>
      </w:r>
      <w:r w:rsidR="00F75232">
        <w:t>‘</w:t>
      </w:r>
      <w:hyperlink r:id="rId141" w:history="1">
        <w:r w:rsidR="00B61082" w:rsidRPr="00326BE7">
          <w:rPr>
            <w:rStyle w:val="Hyperlink"/>
          </w:rPr>
          <w:t>Who we are</w:t>
        </w:r>
      </w:hyperlink>
      <w:r w:rsidR="00F75232">
        <w:t>’</w:t>
      </w:r>
      <w:r w:rsidR="00B61082" w:rsidRPr="00B1515C">
        <w:t xml:space="preserve">, </w:t>
      </w:r>
      <w:r w:rsidR="00730A91" w:rsidRPr="0084535D">
        <w:rPr>
          <w:rStyle w:val="Emphasis"/>
        </w:rPr>
        <w:t>ATO</w:t>
      </w:r>
      <w:r w:rsidR="00730A91" w:rsidRPr="00B1515C">
        <w:t xml:space="preserve"> (</w:t>
      </w:r>
      <w:r w:rsidR="00CE6349" w:rsidRPr="00B1515C">
        <w:t>Web Page, 15 October 2018</w:t>
      </w:r>
      <w:r w:rsidR="00730A91" w:rsidRPr="00B1515C">
        <w:t>)</w:t>
      </w:r>
      <w:r w:rsidR="00326BE7">
        <w:t>.</w:t>
      </w:r>
    </w:p>
  </w:footnote>
  <w:footnote w:id="315">
    <w:p w14:paraId="7768577E" w14:textId="57452511"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In PWC</w:t>
      </w:r>
      <w:r w:rsidR="00F75232">
        <w:t>’</w:t>
      </w:r>
      <w:r w:rsidR="00730A91" w:rsidRPr="00B1515C">
        <w:t xml:space="preserve">s submission (Submission A26, 14) they noted that the </w:t>
      </w:r>
      <w:hyperlink r:id="rId142" w:history="1">
        <w:r w:rsidR="00730A91" w:rsidRPr="000D47BB">
          <w:rPr>
            <w:rStyle w:val="Hyperlink"/>
          </w:rPr>
          <w:t>PwC Crypto Tax Index</w:t>
        </w:r>
      </w:hyperlink>
      <w:r w:rsidR="00730A91" w:rsidRPr="00B1515C">
        <w:t>, which is developed to compare the level of comprehensiveness of tax guidance between jurisdictions, showed that in 2021 Australia ranked only behind Liechtenstein in terms of the comprehensiveness of tax guidance available. This index does not appear to have been included in the 2022 report.</w:t>
      </w:r>
    </w:p>
  </w:footnote>
  <w:footnote w:id="316">
    <w:p w14:paraId="78F1649F" w14:textId="297927A5"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43" w:history="1">
        <w:r w:rsidR="00B7606C" w:rsidRPr="000D47BB">
          <w:rPr>
            <w:rStyle w:val="Hyperlink"/>
          </w:rPr>
          <w:t>ATO Community About</w:t>
        </w:r>
      </w:hyperlink>
      <w:r w:rsidR="00F75232">
        <w:t>’</w:t>
      </w:r>
      <w:r w:rsidR="00B7606C" w:rsidRPr="00B1515C">
        <w:t xml:space="preserve">, </w:t>
      </w:r>
      <w:r w:rsidR="00B7606C" w:rsidRPr="0084535D">
        <w:rPr>
          <w:rStyle w:val="Emphasis"/>
        </w:rPr>
        <w:t xml:space="preserve">ATO Community </w:t>
      </w:r>
      <w:r w:rsidR="00B7606C" w:rsidRPr="00B1515C">
        <w:t>(Web Page, 25 October 2021).</w:t>
      </w:r>
    </w:p>
  </w:footnote>
  <w:footnote w:id="317">
    <w:p w14:paraId="5FAE1EAC" w14:textId="16E33242"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In Submission A08, 14, the Members of the </w:t>
      </w:r>
      <w:r w:rsidR="00B7606C" w:rsidRPr="00B1515C">
        <w:t>T</w:t>
      </w:r>
      <w:r w:rsidR="00730A91" w:rsidRPr="00B1515C">
        <w:t xml:space="preserve">ax </w:t>
      </w:r>
      <w:r w:rsidR="00B7606C" w:rsidRPr="00B1515C">
        <w:t>P</w:t>
      </w:r>
      <w:r w:rsidR="00730A91" w:rsidRPr="00B1515C">
        <w:t xml:space="preserve">rofession referenced the limited number of professionals that seek to assist the crypto community via various channels such as Discord, TikTok and Twitter. The use of these forums was also highlighted by Oracle Accounting in Submission A25, 3; Cadena Legal in Submission A19, 22; and NotCentralised in Submission A35, 4. </w:t>
      </w:r>
    </w:p>
  </w:footnote>
  <w:footnote w:id="318">
    <w:p w14:paraId="35DB9084" w14:textId="40411D2C"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A10, 15.</w:t>
      </w:r>
    </w:p>
  </w:footnote>
  <w:footnote w:id="319">
    <w:p w14:paraId="4343DE3C" w14:textId="3CF8AF0F"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44" w:history="1">
        <w:r w:rsidR="00B7606C" w:rsidRPr="000D47BB">
          <w:rPr>
            <w:rStyle w:val="Hyperlink"/>
          </w:rPr>
          <w:t>Crypto asset investments</w:t>
        </w:r>
      </w:hyperlink>
      <w:r w:rsidR="00F75232">
        <w:t>’</w:t>
      </w:r>
      <w:r w:rsidR="00B7606C" w:rsidRPr="00B1515C">
        <w:t xml:space="preserve">, </w:t>
      </w:r>
      <w:r w:rsidR="00730A91" w:rsidRPr="0084535D">
        <w:rPr>
          <w:rStyle w:val="Emphasis"/>
        </w:rPr>
        <w:t>ATO</w:t>
      </w:r>
      <w:r w:rsidR="00730A91" w:rsidRPr="00B1515C">
        <w:t xml:space="preserve"> (</w:t>
      </w:r>
      <w:r w:rsidR="00B7606C" w:rsidRPr="00B1515C">
        <w:t>Web Page</w:t>
      </w:r>
      <w:r w:rsidR="00636F97" w:rsidRPr="00B1515C">
        <w:t>,</w:t>
      </w:r>
      <w:r w:rsidR="004D212D" w:rsidRPr="00B1515C">
        <w:t xml:space="preserve"> accessed 21 January 2024)</w:t>
      </w:r>
      <w:r w:rsidR="00730A91" w:rsidRPr="00B1515C">
        <w:t>.</w:t>
      </w:r>
    </w:p>
  </w:footnote>
  <w:footnote w:id="320">
    <w:p w14:paraId="1DB18C2D" w14:textId="2B60A589" w:rsidR="00730A91" w:rsidRPr="00B1515C" w:rsidRDefault="00815763" w:rsidP="00A01254">
      <w:pPr>
        <w:pStyle w:val="FootnoteText"/>
      </w:pPr>
      <w:r w:rsidRPr="00815763">
        <w:rPr>
          <w:rStyle w:val="FootnoteReference"/>
          <w:rFonts w:cs="Calibri"/>
          <w:vertAlign w:val="baseline"/>
        </w:rPr>
        <w:footnoteRef/>
      </w:r>
      <w:r w:rsidR="00730A91" w:rsidRPr="00B1515C">
        <w:t xml:space="preserve"> </w:t>
      </w:r>
      <w:r w:rsidR="00FE31B9" w:rsidRPr="00B1515C">
        <w:tab/>
      </w:r>
      <w:r w:rsidR="00F75232">
        <w:t>‘</w:t>
      </w:r>
      <w:hyperlink r:id="rId145" w:history="1">
        <w:r w:rsidR="00915B52" w:rsidRPr="000D47BB">
          <w:rPr>
            <w:rStyle w:val="Hyperlink"/>
          </w:rPr>
          <w:t>Crypto asset investments and tax</w:t>
        </w:r>
      </w:hyperlink>
      <w:r w:rsidR="00F75232">
        <w:t>’</w:t>
      </w:r>
      <w:r w:rsidR="00915B52" w:rsidRPr="00B1515C">
        <w:t xml:space="preserve">, </w:t>
      </w:r>
      <w:r w:rsidR="00915B52" w:rsidRPr="0084535D">
        <w:rPr>
          <w:rStyle w:val="Emphasis"/>
        </w:rPr>
        <w:t xml:space="preserve">ATO </w:t>
      </w:r>
      <w:r w:rsidR="00915B52" w:rsidRPr="00B1515C">
        <w:t>(Web Page, 4 October</w:t>
      </w:r>
      <w:r w:rsidR="00636F97" w:rsidRPr="00B1515C">
        <w:t xml:space="preserve"> 2022)</w:t>
      </w:r>
      <w:r w:rsidR="00636F97" w:rsidRPr="00B1515C">
        <w:rPr>
          <w:i/>
          <w:iCs/>
        </w:rPr>
        <w:t>.</w:t>
      </w:r>
    </w:p>
  </w:footnote>
  <w:footnote w:id="321">
    <w:p w14:paraId="3F5B4ECC" w14:textId="2F33DBBB"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46" w:history="1">
        <w:r w:rsidR="00E10C6F" w:rsidRPr="000D47BB">
          <w:rPr>
            <w:rStyle w:val="Hyperlink"/>
          </w:rPr>
          <w:t>HMRC internal manual Cryptoassets Manual</w:t>
        </w:r>
      </w:hyperlink>
      <w:r w:rsidR="00F75232">
        <w:t>’</w:t>
      </w:r>
      <w:r w:rsidR="00E10C6F" w:rsidRPr="00B1515C">
        <w:t xml:space="preserve">, </w:t>
      </w:r>
      <w:r w:rsidR="00E10C6F" w:rsidRPr="0084535D">
        <w:rPr>
          <w:rStyle w:val="Emphasis"/>
        </w:rPr>
        <w:t>HM Revenue &amp; Customs</w:t>
      </w:r>
      <w:r w:rsidR="00D571C7" w:rsidRPr="0084535D">
        <w:rPr>
          <w:rStyle w:val="Emphasis"/>
        </w:rPr>
        <w:t xml:space="preserve"> </w:t>
      </w:r>
      <w:r w:rsidR="00D571C7" w:rsidRPr="00B1515C">
        <w:t>(Web Page, 21 August 2023)</w:t>
      </w:r>
      <w:r w:rsidR="000D47BB">
        <w:t>.</w:t>
      </w:r>
    </w:p>
  </w:footnote>
  <w:footnote w:id="322">
    <w:p w14:paraId="2CEAC7A5" w14:textId="2ADDC1B8"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47" w:history="1">
        <w:r w:rsidR="00D571C7" w:rsidRPr="000D47BB">
          <w:rPr>
            <w:rStyle w:val="Hyperlink"/>
          </w:rPr>
          <w:t>Cryptoassets</w:t>
        </w:r>
        <w:r w:rsidR="00F75232" w:rsidRPr="000D47BB">
          <w:t>’</w:t>
        </w:r>
      </w:hyperlink>
      <w:r w:rsidR="00D571C7" w:rsidRPr="00B1515C">
        <w:t xml:space="preserve">, </w:t>
      </w:r>
      <w:r w:rsidR="00730A91" w:rsidRPr="0084535D">
        <w:rPr>
          <w:rStyle w:val="Emphasis"/>
        </w:rPr>
        <w:t>Inland Revenue</w:t>
      </w:r>
      <w:r w:rsidR="00D571C7" w:rsidRPr="0084535D">
        <w:rPr>
          <w:rStyle w:val="Emphasis"/>
        </w:rPr>
        <w:t xml:space="preserve"> </w:t>
      </w:r>
      <w:r w:rsidR="0006457E" w:rsidRPr="00B1515C">
        <w:t>(Web Page, accessed 21 January 2024)</w:t>
      </w:r>
      <w:r w:rsidR="00B32341" w:rsidRPr="00B1515C">
        <w:t>.</w:t>
      </w:r>
      <w:r w:rsidR="00730A91" w:rsidRPr="00B1515C">
        <w:t xml:space="preserve"> </w:t>
      </w:r>
    </w:p>
  </w:footnote>
  <w:footnote w:id="323">
    <w:p w14:paraId="45F9CF1F" w14:textId="378231D1"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Submission A33, 28; Submission A38, 4. </w:t>
      </w:r>
    </w:p>
  </w:footnote>
  <w:footnote w:id="324">
    <w:p w14:paraId="1B8BAB5C" w14:textId="3889EC0E"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A26, 15.</w:t>
      </w:r>
    </w:p>
  </w:footnote>
  <w:footnote w:id="325">
    <w:p w14:paraId="5839ACC1" w14:textId="3CAC17DF"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48" w:history="1">
        <w:r w:rsidR="00B32341" w:rsidRPr="000D47BB">
          <w:rPr>
            <w:rStyle w:val="Hyperlink"/>
          </w:rPr>
          <w:t>Updates: Cryptoassets Manual</w:t>
        </w:r>
      </w:hyperlink>
      <w:r w:rsidR="00F75232">
        <w:t>’</w:t>
      </w:r>
      <w:r w:rsidR="00B32341" w:rsidRPr="00B1515C">
        <w:t xml:space="preserve">, </w:t>
      </w:r>
      <w:r w:rsidR="00B32341" w:rsidRPr="0084535D">
        <w:rPr>
          <w:rStyle w:val="Emphasis"/>
        </w:rPr>
        <w:t>HM Revenue &amp; Customs</w:t>
      </w:r>
      <w:r w:rsidR="00B32341" w:rsidRPr="00B1515C">
        <w:t xml:space="preserve"> (Web Page, 21 August 2023</w:t>
      </w:r>
      <w:r w:rsidR="003D370F" w:rsidRPr="00B1515C">
        <w:t>)</w:t>
      </w:r>
      <w:r w:rsidR="00C133ED">
        <w:t>.</w:t>
      </w:r>
    </w:p>
  </w:footnote>
  <w:footnote w:id="326">
    <w:p w14:paraId="37A55B21" w14:textId="74D870C9"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A20, 2.</w:t>
      </w:r>
    </w:p>
  </w:footnote>
  <w:footnote w:id="327">
    <w:p w14:paraId="5DA5D3DC" w14:textId="21D0264A"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ATO, </w:t>
      </w:r>
      <w:r w:rsidR="00730A91" w:rsidRPr="0084535D">
        <w:rPr>
          <w:rStyle w:val="Emphasis"/>
        </w:rPr>
        <w:t>Provision of advice and guidance</w:t>
      </w:r>
      <w:r w:rsidR="00730A91" w:rsidRPr="00B1515C">
        <w:t xml:space="preserve"> (</w:t>
      </w:r>
      <w:hyperlink r:id="rId149" w:history="1">
        <w:r w:rsidR="00730A91" w:rsidRPr="00DB7364">
          <w:rPr>
            <w:rStyle w:val="Hyperlink"/>
          </w:rPr>
          <w:t>PS LA 2008/3</w:t>
        </w:r>
      </w:hyperlink>
      <w:r w:rsidR="00730A91" w:rsidRPr="00B1515C">
        <w:t xml:space="preserve">, 7 May 2020) </w:t>
      </w:r>
      <w:r w:rsidR="00B24331" w:rsidRPr="00B1515C">
        <w:t>[</w:t>
      </w:r>
      <w:r w:rsidR="00730A91" w:rsidRPr="00B1515C">
        <w:t>20</w:t>
      </w:r>
      <w:r w:rsidR="00B24331" w:rsidRPr="00B1515C">
        <w:t>]</w:t>
      </w:r>
      <w:r w:rsidR="006377E3" w:rsidRPr="00B1515C">
        <w:t>.</w:t>
      </w:r>
    </w:p>
  </w:footnote>
  <w:footnote w:id="328">
    <w:p w14:paraId="3DBD74B7" w14:textId="0DB05A5C" w:rsidR="00730A91" w:rsidRPr="00B1515C" w:rsidRDefault="00815763" w:rsidP="00A01254">
      <w:pPr>
        <w:pStyle w:val="FootnoteText"/>
        <w:rPr>
          <w:rFonts w:cs="Calibri"/>
          <w:color w:val="000000"/>
        </w:rPr>
      </w:pPr>
      <w:r w:rsidRPr="00815763">
        <w:rPr>
          <w:rStyle w:val="FootnoteReference"/>
          <w:vertAlign w:val="baseline"/>
        </w:rPr>
        <w:footnoteRef/>
      </w:r>
      <w:r w:rsidR="00730A91" w:rsidRPr="00B1515C">
        <w:t xml:space="preserve"> </w:t>
      </w:r>
      <w:r w:rsidR="00FE31B9" w:rsidRPr="00B1515C">
        <w:tab/>
      </w:r>
      <w:r w:rsidR="006D0075" w:rsidRPr="00B1515C">
        <w:t xml:space="preserve">TD 2014/25 </w:t>
      </w:r>
      <w:r w:rsidR="00795A41" w:rsidRPr="00B1515C">
        <w:t>(n 267)</w:t>
      </w:r>
      <w:r w:rsidR="006D0075" w:rsidRPr="00B1515C">
        <w:t>.</w:t>
      </w:r>
    </w:p>
  </w:footnote>
  <w:footnote w:id="329">
    <w:p w14:paraId="2833697F" w14:textId="48F617BC"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6D0075" w:rsidRPr="00B1515C">
        <w:t xml:space="preserve">TD 2014/26 </w:t>
      </w:r>
      <w:r w:rsidR="00795A41" w:rsidRPr="00B1515C">
        <w:t>(n 246)</w:t>
      </w:r>
      <w:r w:rsidR="006D0075" w:rsidRPr="00B1515C">
        <w:t>.</w:t>
      </w:r>
    </w:p>
  </w:footnote>
  <w:footnote w:id="330">
    <w:p w14:paraId="5762FEE2" w14:textId="3CD3C495"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rPr>
          <w:rFonts w:cs="Calibri"/>
          <w:color w:val="000000"/>
        </w:rPr>
        <w:t>ATO,</w:t>
      </w:r>
      <w:r w:rsidR="00730A91" w:rsidRPr="0084535D">
        <w:rPr>
          <w:rStyle w:val="Emphasis"/>
        </w:rPr>
        <w:t xml:space="preserve"> Income tax: is bitcoin trading stock for the purposes of subsection 70</w:t>
      </w:r>
      <w:r w:rsidR="00F75232">
        <w:rPr>
          <w:rStyle w:val="Emphasis"/>
        </w:rPr>
        <w:t>-</w:t>
      </w:r>
      <w:r w:rsidR="00730A91" w:rsidRPr="0084535D">
        <w:rPr>
          <w:rStyle w:val="Emphasis"/>
        </w:rPr>
        <w:t xml:space="preserve">10(1) of the Income Tax Assessment Act 1997? </w:t>
      </w:r>
      <w:r w:rsidR="00730A91" w:rsidRPr="00B1515C">
        <w:rPr>
          <w:rFonts w:cs="Calibri"/>
          <w:color w:val="000000"/>
        </w:rPr>
        <w:t>(</w:t>
      </w:r>
      <w:hyperlink r:id="rId150" w:history="1">
        <w:r w:rsidR="00730A91" w:rsidRPr="00DB7364">
          <w:rPr>
            <w:rStyle w:val="Hyperlink"/>
          </w:rPr>
          <w:t>TD 2014/27</w:t>
        </w:r>
      </w:hyperlink>
      <w:r w:rsidR="00730A91" w:rsidRPr="00B1515C">
        <w:rPr>
          <w:rFonts w:cs="Calibri"/>
          <w:color w:val="000000"/>
        </w:rPr>
        <w:t>, 17 December 2014)</w:t>
      </w:r>
      <w:r w:rsidR="008412B8" w:rsidRPr="00B1515C">
        <w:rPr>
          <w:rFonts w:cs="Calibri"/>
          <w:color w:val="000000"/>
        </w:rPr>
        <w:t xml:space="preserve"> (</w:t>
      </w:r>
      <w:r w:rsidR="00F75232">
        <w:rPr>
          <w:rFonts w:cs="Calibri"/>
          <w:color w:val="000000"/>
        </w:rPr>
        <w:t>‘</w:t>
      </w:r>
      <w:r w:rsidR="008412B8" w:rsidRPr="00B1515C">
        <w:rPr>
          <w:rFonts w:cs="Calibri"/>
          <w:color w:val="000000"/>
        </w:rPr>
        <w:t>TD 2014/27</w:t>
      </w:r>
      <w:r w:rsidR="00F75232">
        <w:rPr>
          <w:rFonts w:cs="Calibri"/>
          <w:color w:val="000000"/>
        </w:rPr>
        <w:t>’</w:t>
      </w:r>
      <w:r w:rsidR="00730A91" w:rsidRPr="00B1515C">
        <w:rPr>
          <w:rFonts w:cs="Calibri"/>
          <w:color w:val="000000"/>
        </w:rPr>
        <w:t>).</w:t>
      </w:r>
    </w:p>
  </w:footnote>
  <w:footnote w:id="331">
    <w:p w14:paraId="0BD90476" w14:textId="35BB542F" w:rsidR="00730A91" w:rsidRPr="00B1515C" w:rsidRDefault="00815763" w:rsidP="00A01254">
      <w:pPr>
        <w:pStyle w:val="FootnoteText"/>
        <w:rPr>
          <w:rFonts w:cs="Calibri"/>
          <w:color w:val="000000"/>
        </w:rPr>
      </w:pPr>
      <w:r w:rsidRPr="00815763">
        <w:rPr>
          <w:rStyle w:val="FootnoteReference"/>
          <w:vertAlign w:val="baseline"/>
        </w:rPr>
        <w:footnoteRef/>
      </w:r>
      <w:r w:rsidR="00730A91" w:rsidRPr="00B1515C">
        <w:t xml:space="preserve"> </w:t>
      </w:r>
      <w:r w:rsidR="00FE31B9" w:rsidRPr="00B1515C">
        <w:tab/>
      </w:r>
      <w:r w:rsidR="00730A91" w:rsidRPr="00B1515C">
        <w:rPr>
          <w:rFonts w:cs="Calibri"/>
          <w:color w:val="000000"/>
        </w:rPr>
        <w:t>ATO,</w:t>
      </w:r>
      <w:r w:rsidR="00730A91" w:rsidRPr="0084535D">
        <w:rPr>
          <w:rStyle w:val="Emphasis"/>
        </w:rPr>
        <w:t xml:space="preserve"> Fringe benefits tax: is the provision of bitcoin by an employer to an employee in respect of their employment a property fringe benefit for the purposes of subsection 136(1) of the Fringe Benefits Tax Assessment Act 1986? </w:t>
      </w:r>
      <w:r w:rsidR="00730A91" w:rsidRPr="00B1515C">
        <w:rPr>
          <w:rFonts w:cs="Calibri"/>
          <w:color w:val="000000"/>
        </w:rPr>
        <w:t>(</w:t>
      </w:r>
      <w:hyperlink r:id="rId151" w:history="1">
        <w:r w:rsidR="00730A91" w:rsidRPr="00DB7364">
          <w:rPr>
            <w:rStyle w:val="Hyperlink"/>
          </w:rPr>
          <w:t>TD</w:t>
        </w:r>
        <w:r w:rsidR="00D23659">
          <w:rPr>
            <w:rStyle w:val="Hyperlink"/>
          </w:rPr>
          <w:t> </w:t>
        </w:r>
        <w:r w:rsidR="00730A91" w:rsidRPr="00DB7364">
          <w:rPr>
            <w:rStyle w:val="Hyperlink"/>
          </w:rPr>
          <w:t>2014/28</w:t>
        </w:r>
      </w:hyperlink>
      <w:r w:rsidR="00730A91" w:rsidRPr="00B1515C">
        <w:rPr>
          <w:rFonts w:cs="Calibri"/>
          <w:color w:val="000000"/>
        </w:rPr>
        <w:t>, 17 December 2014)</w:t>
      </w:r>
      <w:r w:rsidR="009E53D7" w:rsidRPr="00B1515C">
        <w:rPr>
          <w:rFonts w:cs="Calibri"/>
          <w:color w:val="000000"/>
        </w:rPr>
        <w:t xml:space="preserve"> (</w:t>
      </w:r>
      <w:r w:rsidR="00F75232">
        <w:rPr>
          <w:rFonts w:cs="Calibri"/>
          <w:color w:val="000000"/>
        </w:rPr>
        <w:t>‘</w:t>
      </w:r>
      <w:r w:rsidR="009E53D7" w:rsidRPr="00B1515C">
        <w:rPr>
          <w:rFonts w:cs="Calibri"/>
          <w:color w:val="000000"/>
        </w:rPr>
        <w:t>TD 2014/28</w:t>
      </w:r>
      <w:r w:rsidR="00F75232">
        <w:rPr>
          <w:rFonts w:cs="Calibri"/>
          <w:color w:val="000000"/>
        </w:rPr>
        <w:t>’</w:t>
      </w:r>
      <w:r w:rsidR="00730A91" w:rsidRPr="00B1515C">
        <w:rPr>
          <w:rFonts w:cs="Calibri"/>
          <w:color w:val="000000"/>
        </w:rPr>
        <w:t>).</w:t>
      </w:r>
    </w:p>
  </w:footnote>
  <w:footnote w:id="332">
    <w:p w14:paraId="359006A9" w14:textId="021A8D1B" w:rsidR="001E450C" w:rsidRPr="00B1515C" w:rsidRDefault="00815763" w:rsidP="00A01254">
      <w:pPr>
        <w:pStyle w:val="FootnoteText"/>
      </w:pPr>
      <w:r w:rsidRPr="00815763">
        <w:rPr>
          <w:rStyle w:val="FootnoteReference"/>
          <w:vertAlign w:val="baseline"/>
        </w:rPr>
        <w:footnoteRef/>
      </w:r>
      <w:r w:rsidR="001E450C" w:rsidRPr="00B1515C">
        <w:rPr>
          <w:rStyle w:val="FootnoteReference"/>
          <w:vertAlign w:val="baseline"/>
        </w:rPr>
        <w:t xml:space="preserve"> </w:t>
      </w:r>
      <w:r w:rsidR="00642A66" w:rsidRPr="00B1515C">
        <w:tab/>
      </w:r>
      <w:r w:rsidR="00F75232">
        <w:t>‘</w:t>
      </w:r>
      <w:hyperlink r:id="rId152" w:history="1">
        <w:r w:rsidR="00F52C51" w:rsidRPr="00C133ED">
          <w:rPr>
            <w:rStyle w:val="Hyperlink"/>
          </w:rPr>
          <w:t>Public rulings</w:t>
        </w:r>
      </w:hyperlink>
      <w:r w:rsidR="00F75232">
        <w:t>’</w:t>
      </w:r>
      <w:r w:rsidR="00F52C51" w:rsidRPr="00B1515C">
        <w:t xml:space="preserve">, </w:t>
      </w:r>
      <w:r w:rsidR="00F52C51" w:rsidRPr="0084535D">
        <w:rPr>
          <w:rStyle w:val="Emphasis"/>
        </w:rPr>
        <w:t>ATO</w:t>
      </w:r>
      <w:r w:rsidR="00F52C51" w:rsidRPr="00B1515C">
        <w:t xml:space="preserve"> (Web Page, 6 May 2019)</w:t>
      </w:r>
      <w:r w:rsidR="00C133ED">
        <w:t>.</w:t>
      </w:r>
    </w:p>
  </w:footnote>
  <w:footnote w:id="333">
    <w:p w14:paraId="71531E2D" w14:textId="6C75816E" w:rsidR="00E21ABB" w:rsidRPr="00B1515C" w:rsidRDefault="00815763" w:rsidP="00A01254">
      <w:pPr>
        <w:pStyle w:val="FootnoteText"/>
      </w:pPr>
      <w:r w:rsidRPr="00815763">
        <w:rPr>
          <w:rStyle w:val="FootnoteReference"/>
          <w:vertAlign w:val="baseline"/>
        </w:rPr>
        <w:footnoteRef/>
      </w:r>
      <w:r w:rsidR="00E21ABB" w:rsidRPr="00B1515C">
        <w:rPr>
          <w:rStyle w:val="FootnoteReference"/>
          <w:vertAlign w:val="baseline"/>
        </w:rPr>
        <w:t xml:space="preserve"> </w:t>
      </w:r>
      <w:r w:rsidR="00E81DA7" w:rsidRPr="00B1515C">
        <w:tab/>
      </w:r>
      <w:r w:rsidR="00F75232">
        <w:t>‘</w:t>
      </w:r>
      <w:hyperlink r:id="rId153" w:history="1">
        <w:r w:rsidR="00C1573B" w:rsidRPr="00C133ED">
          <w:rPr>
            <w:rStyle w:val="Hyperlink"/>
          </w:rPr>
          <w:t>Product rulings</w:t>
        </w:r>
      </w:hyperlink>
      <w:r w:rsidR="00F75232">
        <w:t>’</w:t>
      </w:r>
      <w:r w:rsidR="00C1573B" w:rsidRPr="00B1515C">
        <w:t xml:space="preserve">, </w:t>
      </w:r>
      <w:r w:rsidR="00C1573B" w:rsidRPr="0084535D">
        <w:rPr>
          <w:rStyle w:val="Emphasis"/>
        </w:rPr>
        <w:t xml:space="preserve">ATO </w:t>
      </w:r>
      <w:r w:rsidR="00C1573B" w:rsidRPr="00B1515C">
        <w:t>(Web Page, 7 September 2016)</w:t>
      </w:r>
      <w:r w:rsidR="00C133ED">
        <w:t>.</w:t>
      </w:r>
    </w:p>
  </w:footnote>
  <w:footnote w:id="334">
    <w:p w14:paraId="21122CEA" w14:textId="3DFB45E1" w:rsidR="001A1A15" w:rsidRPr="00B1515C" w:rsidRDefault="00815763" w:rsidP="00A01254">
      <w:pPr>
        <w:pStyle w:val="FootnoteText"/>
      </w:pPr>
      <w:r w:rsidRPr="00815763">
        <w:rPr>
          <w:rStyle w:val="FootnoteReference"/>
          <w:vertAlign w:val="baseline"/>
        </w:rPr>
        <w:footnoteRef/>
      </w:r>
      <w:r w:rsidR="001A1A15" w:rsidRPr="00B1515C">
        <w:rPr>
          <w:rStyle w:val="FootnoteReference"/>
          <w:vertAlign w:val="baseline"/>
        </w:rPr>
        <w:t xml:space="preserve"> </w:t>
      </w:r>
      <w:r w:rsidR="001A1A15" w:rsidRPr="00B1515C">
        <w:tab/>
      </w:r>
      <w:r w:rsidR="00F75232">
        <w:t>‘</w:t>
      </w:r>
      <w:hyperlink r:id="rId154" w:history="1">
        <w:r w:rsidR="001F7FF6" w:rsidRPr="00C133ED">
          <w:rPr>
            <w:rStyle w:val="Hyperlink"/>
          </w:rPr>
          <w:t>When to consider applying for a class ruling</w:t>
        </w:r>
      </w:hyperlink>
      <w:r w:rsidR="00F75232">
        <w:t>’</w:t>
      </w:r>
      <w:r w:rsidR="001F7FF6" w:rsidRPr="00B1515C">
        <w:t xml:space="preserve">, </w:t>
      </w:r>
      <w:r w:rsidR="001F7FF6" w:rsidRPr="0084535D">
        <w:rPr>
          <w:rStyle w:val="Emphasis"/>
        </w:rPr>
        <w:t xml:space="preserve">ATO </w:t>
      </w:r>
      <w:r w:rsidR="001F7FF6" w:rsidRPr="00B1515C">
        <w:t>(Web Page, 2 September 2021)</w:t>
      </w:r>
      <w:r w:rsidR="00AD286D" w:rsidRPr="00B1515C">
        <w:t>.</w:t>
      </w:r>
    </w:p>
  </w:footnote>
  <w:footnote w:id="335">
    <w:p w14:paraId="1F8CECF9" w14:textId="44742F6B"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ATO, </w:t>
      </w:r>
      <w:r w:rsidR="00730A91" w:rsidRPr="0084535D">
        <w:rPr>
          <w:rStyle w:val="Emphasis"/>
        </w:rPr>
        <w:t>Provision of advice and guidance</w:t>
      </w:r>
      <w:r w:rsidR="00730A91" w:rsidRPr="00B1515C">
        <w:t xml:space="preserve"> (</w:t>
      </w:r>
      <w:hyperlink r:id="rId155" w:history="1">
        <w:r w:rsidR="00730A91" w:rsidRPr="00DB7364">
          <w:rPr>
            <w:rStyle w:val="Hyperlink"/>
          </w:rPr>
          <w:t>PS LA 2008/3</w:t>
        </w:r>
      </w:hyperlink>
      <w:r w:rsidR="00730A91" w:rsidRPr="00B1515C">
        <w:t xml:space="preserve">, 7 May 2020) </w:t>
      </w:r>
      <w:r w:rsidR="00700F68" w:rsidRPr="00B1515C">
        <w:t>[</w:t>
      </w:r>
      <w:r w:rsidR="00730A91" w:rsidRPr="00B1515C">
        <w:t>114</w:t>
      </w:r>
      <w:r w:rsidR="00700F68" w:rsidRPr="00B1515C">
        <w:t>]—[</w:t>
      </w:r>
      <w:r w:rsidR="00730A91" w:rsidRPr="00B1515C">
        <w:t>115</w:t>
      </w:r>
      <w:r w:rsidR="00700F68" w:rsidRPr="00B1515C">
        <w:t>]</w:t>
      </w:r>
      <w:r w:rsidR="00730A91" w:rsidRPr="00B1515C">
        <w:t>.</w:t>
      </w:r>
    </w:p>
  </w:footnote>
  <w:footnote w:id="336">
    <w:p w14:paraId="7C6BD895" w14:textId="52200616"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F75232">
        <w:t>‘</w:t>
      </w:r>
      <w:hyperlink r:id="rId156" w:history="1">
        <w:r w:rsidR="00700F68" w:rsidRPr="00C133ED">
          <w:rPr>
            <w:rStyle w:val="Hyperlink"/>
          </w:rPr>
          <w:t>Publishing of private rulings</w:t>
        </w:r>
      </w:hyperlink>
      <w:r w:rsidR="00F75232">
        <w:t>’</w:t>
      </w:r>
      <w:r w:rsidR="00700F68" w:rsidRPr="00B1515C">
        <w:t xml:space="preserve">, </w:t>
      </w:r>
      <w:r w:rsidR="00730A91" w:rsidRPr="0084535D">
        <w:rPr>
          <w:rStyle w:val="Emphasis"/>
        </w:rPr>
        <w:t>ATO</w:t>
      </w:r>
      <w:r w:rsidR="00700F68" w:rsidRPr="00B1515C">
        <w:t xml:space="preserve"> (Web Page, </w:t>
      </w:r>
      <w:r w:rsidR="0007054A" w:rsidRPr="00B1515C">
        <w:t>7 May 2018)</w:t>
      </w:r>
      <w:r w:rsidR="00C133ED">
        <w:t>.</w:t>
      </w:r>
    </w:p>
  </w:footnote>
  <w:footnote w:id="337">
    <w:p w14:paraId="5060BAF2" w14:textId="63A0A443"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A15, 2</w:t>
      </w:r>
      <w:r w:rsidR="004231D4" w:rsidRPr="00B1515C">
        <w:t>—</w:t>
      </w:r>
      <w:r w:rsidR="00730A91" w:rsidRPr="00B1515C">
        <w:t>3.</w:t>
      </w:r>
    </w:p>
  </w:footnote>
  <w:footnote w:id="338">
    <w:p w14:paraId="29F0C8A2" w14:textId="3B1EA0DE"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 xml:space="preserve">ATO, </w:t>
      </w:r>
      <w:r w:rsidR="00730A91" w:rsidRPr="0084535D">
        <w:rPr>
          <w:rStyle w:val="Emphasis"/>
        </w:rPr>
        <w:t>Provision of advice and guidance</w:t>
      </w:r>
      <w:r w:rsidR="00730A91" w:rsidRPr="00B1515C">
        <w:t xml:space="preserve"> (</w:t>
      </w:r>
      <w:hyperlink r:id="rId157" w:history="1">
        <w:r w:rsidR="00730A91" w:rsidRPr="00DB7364">
          <w:rPr>
            <w:rStyle w:val="Hyperlink"/>
          </w:rPr>
          <w:t>PS LA 2008/3</w:t>
        </w:r>
      </w:hyperlink>
      <w:r w:rsidR="00730A91" w:rsidRPr="00B1515C">
        <w:t xml:space="preserve">, 7 May 2020) </w:t>
      </w:r>
      <w:r w:rsidR="007B3244" w:rsidRPr="00B1515C">
        <w:t>[</w:t>
      </w:r>
      <w:r w:rsidR="00730A91" w:rsidRPr="00B1515C">
        <w:t>214</w:t>
      </w:r>
      <w:r w:rsidR="007B3244" w:rsidRPr="00B1515C">
        <w:t>]</w:t>
      </w:r>
      <w:r w:rsidR="00730A91" w:rsidRPr="00B1515C">
        <w:t>.</w:t>
      </w:r>
    </w:p>
  </w:footnote>
  <w:footnote w:id="339">
    <w:p w14:paraId="15A01B4D" w14:textId="315E6F7D" w:rsidR="00832DB2" w:rsidRPr="00B1515C" w:rsidRDefault="00815763" w:rsidP="00A01254">
      <w:pPr>
        <w:pStyle w:val="FootnoteText"/>
      </w:pPr>
      <w:r w:rsidRPr="00815763">
        <w:rPr>
          <w:rStyle w:val="FootnoteReference"/>
          <w:vertAlign w:val="baseline"/>
        </w:rPr>
        <w:footnoteRef/>
      </w:r>
      <w:r w:rsidR="00832DB2" w:rsidRPr="00B1515C">
        <w:t xml:space="preserve"> </w:t>
      </w:r>
      <w:r w:rsidR="00FE31B9" w:rsidRPr="00B1515C">
        <w:tab/>
      </w:r>
      <w:r w:rsidR="00832DB2" w:rsidRPr="00B1515C">
        <w:t>Submission A</w:t>
      </w:r>
      <w:r w:rsidR="001907F3" w:rsidRPr="00B1515C">
        <w:t>33, 20</w:t>
      </w:r>
      <w:r w:rsidR="00665CB5" w:rsidRPr="00B1515C">
        <w:t>.</w:t>
      </w:r>
    </w:p>
  </w:footnote>
  <w:footnote w:id="340">
    <w:p w14:paraId="154DA5DA" w14:textId="34EE5C81"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C926F6" w:rsidRPr="00B1515C">
        <w:t>S</w:t>
      </w:r>
      <w:r w:rsidR="00730A91" w:rsidRPr="00B1515C">
        <w:t>ubmission</w:t>
      </w:r>
      <w:r w:rsidR="00C926F6" w:rsidRPr="00B1515C">
        <w:t xml:space="preserve"> A30, </w:t>
      </w:r>
      <w:r w:rsidR="00665CB5" w:rsidRPr="00B1515C">
        <w:t>5.</w:t>
      </w:r>
    </w:p>
  </w:footnote>
  <w:footnote w:id="341">
    <w:p w14:paraId="4EFBAFFB" w14:textId="6A27A78C" w:rsidR="00E37FB0" w:rsidRPr="00B1515C" w:rsidRDefault="00815763" w:rsidP="00A01254">
      <w:pPr>
        <w:pStyle w:val="FootnoteText"/>
      </w:pPr>
      <w:r w:rsidRPr="00815763">
        <w:rPr>
          <w:rStyle w:val="FootnoteReference"/>
          <w:vertAlign w:val="baseline"/>
        </w:rPr>
        <w:footnoteRef/>
      </w:r>
      <w:r w:rsidR="00E37FB0" w:rsidRPr="00B1515C">
        <w:t xml:space="preserve"> </w:t>
      </w:r>
      <w:r w:rsidR="00FE31B9" w:rsidRPr="00B1515C">
        <w:tab/>
      </w:r>
      <w:r w:rsidR="00E37FB0" w:rsidRPr="00B1515C">
        <w:t>Submission A36, 3; Submission A10, 14</w:t>
      </w:r>
      <w:r w:rsidR="007B3244" w:rsidRPr="00B1515C">
        <w:t>.</w:t>
      </w:r>
    </w:p>
  </w:footnote>
  <w:footnote w:id="342">
    <w:p w14:paraId="0F1237F6" w14:textId="77F7F0EF" w:rsidR="00E37FB0" w:rsidRPr="00B1515C" w:rsidRDefault="00815763" w:rsidP="00A01254">
      <w:pPr>
        <w:pStyle w:val="FootnoteText"/>
      </w:pPr>
      <w:r w:rsidRPr="00815763">
        <w:rPr>
          <w:rStyle w:val="FootnoteReference"/>
          <w:vertAlign w:val="baseline"/>
        </w:rPr>
        <w:footnoteRef/>
      </w:r>
      <w:r w:rsidR="00E37FB0" w:rsidRPr="00B1515C">
        <w:t xml:space="preserve"> </w:t>
      </w:r>
      <w:r w:rsidR="00FE31B9" w:rsidRPr="00B1515C">
        <w:tab/>
      </w:r>
      <w:r w:rsidR="00E37FB0" w:rsidRPr="00B1515C">
        <w:t xml:space="preserve">Submission A33, </w:t>
      </w:r>
      <w:r w:rsidR="00915979" w:rsidRPr="00B1515C">
        <w:t>36.</w:t>
      </w:r>
    </w:p>
  </w:footnote>
  <w:footnote w:id="343">
    <w:p w14:paraId="3DC1C0C5" w14:textId="37913386"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A33, 3.</w:t>
      </w:r>
    </w:p>
  </w:footnote>
  <w:footnote w:id="344">
    <w:p w14:paraId="4D0D2B9E" w14:textId="51CCF3FD" w:rsidR="00730A91" w:rsidRPr="00B1515C" w:rsidRDefault="00815763" w:rsidP="00A01254">
      <w:pPr>
        <w:pStyle w:val="FootnoteText"/>
      </w:pPr>
      <w:r w:rsidRPr="00815763">
        <w:rPr>
          <w:rStyle w:val="FootnoteReference"/>
          <w:vertAlign w:val="baseline"/>
        </w:rPr>
        <w:footnoteRef/>
      </w:r>
      <w:r w:rsidR="00730A91" w:rsidRPr="00B1515C">
        <w:t xml:space="preserve"> </w:t>
      </w:r>
      <w:r w:rsidR="00FE31B9" w:rsidRPr="00B1515C">
        <w:tab/>
      </w:r>
      <w:r w:rsidR="00730A91" w:rsidRPr="00B1515C">
        <w:t>Submission A30, 3; Submission A38, 5; Submission A19, 2; Submission A39, 6</w:t>
      </w:r>
      <w:r w:rsidR="00F75232">
        <w:t>-</w:t>
      </w:r>
      <w:r w:rsidR="00730A91" w:rsidRPr="00B1515C">
        <w:t>7; Submission A27, 28; Submission A37, 14.</w:t>
      </w:r>
    </w:p>
  </w:footnote>
  <w:footnote w:id="345">
    <w:p w14:paraId="1D24F7C8" w14:textId="038CC189" w:rsidR="00FE6E5E" w:rsidRPr="00B1515C" w:rsidRDefault="00815763" w:rsidP="00A01254">
      <w:pPr>
        <w:pStyle w:val="FootnoteText"/>
      </w:pPr>
      <w:r w:rsidRPr="00815763">
        <w:rPr>
          <w:rStyle w:val="FootnoteReference"/>
          <w:vertAlign w:val="baseline"/>
        </w:rPr>
        <w:footnoteRef/>
      </w:r>
      <w:r w:rsidR="00FE6E5E" w:rsidRPr="00B1515C">
        <w:t xml:space="preserve"> </w:t>
      </w:r>
      <w:r w:rsidR="00FE31B9" w:rsidRPr="00B1515C">
        <w:tab/>
      </w:r>
      <w:r w:rsidR="00FE6E5E" w:rsidRPr="00B1515C">
        <w:t>Apart from</w:t>
      </w:r>
      <w:r w:rsidR="00993010" w:rsidRPr="00B1515C">
        <w:t xml:space="preserve"> legislative confirmation that crypto assets are not foreign currency </w:t>
      </w:r>
      <w:r w:rsidR="00E66F22" w:rsidRPr="00B1515C">
        <w:t>(</w:t>
      </w:r>
      <w:r w:rsidR="00993010" w:rsidRPr="00B1515C">
        <w:t xml:space="preserve">see </w:t>
      </w:r>
      <w:r w:rsidR="00372633">
        <w:t>Chapter </w:t>
      </w:r>
      <w:r w:rsidR="00993010" w:rsidRPr="00B1515C">
        <w:t>4</w:t>
      </w:r>
      <w:r w:rsidR="00E66F22" w:rsidRPr="00B1515C">
        <w:t xml:space="preserve">), and the GST treatment of digital currency (see </w:t>
      </w:r>
      <w:r w:rsidR="00372633">
        <w:t>Chapter </w:t>
      </w:r>
      <w:r w:rsidR="00E66F22" w:rsidRPr="00B1515C">
        <w:t>10)</w:t>
      </w:r>
      <w:r w:rsidR="00993010" w:rsidRPr="00B1515C">
        <w:t>.</w:t>
      </w:r>
    </w:p>
  </w:footnote>
  <w:footnote w:id="346">
    <w:p w14:paraId="39759F30" w14:textId="6E9959A0" w:rsidR="00D4517E" w:rsidRPr="00B1515C" w:rsidRDefault="00815763" w:rsidP="00A01254">
      <w:pPr>
        <w:pStyle w:val="FootnoteText"/>
      </w:pPr>
      <w:r w:rsidRPr="00815763">
        <w:rPr>
          <w:rStyle w:val="FootnoteReference"/>
          <w:vertAlign w:val="baseline"/>
        </w:rPr>
        <w:footnoteRef/>
      </w:r>
      <w:r w:rsidR="00D4517E" w:rsidRPr="00B1515C">
        <w:t xml:space="preserve"> </w:t>
      </w:r>
      <w:r w:rsidR="00FE31B9" w:rsidRPr="00B1515C">
        <w:tab/>
      </w:r>
      <w:r w:rsidR="00D4517E" w:rsidRPr="00B1515C">
        <w:t>In Submission A30, 14</w:t>
      </w:r>
      <w:r w:rsidR="00B86742">
        <w:t>–</w:t>
      </w:r>
      <w:r w:rsidR="00D4517E" w:rsidRPr="00B1515C">
        <w:t xml:space="preserve">15, KPMG commented that </w:t>
      </w:r>
      <w:r w:rsidR="00F75232">
        <w:t>‘</w:t>
      </w:r>
      <w:r w:rsidR="00D4517E" w:rsidRPr="00B1515C">
        <w:t xml:space="preserve">overlaying this, the current approach to crypto asset tax regulation thus far has mainly been provided by tax authorities in the form of published guidance on the tax treatment of crypto assets within existing statutory frameworks, and in some cases, the enactment of statutory provisions to include definitions of </w:t>
      </w:r>
      <w:r w:rsidR="00F75232">
        <w:t>‘</w:t>
      </w:r>
      <w:r w:rsidR="00D4517E" w:rsidRPr="00B1515C">
        <w:t>crypto assets</w:t>
      </w:r>
      <w:r w:rsidR="00F75232">
        <w:t>’</w:t>
      </w:r>
      <w:r w:rsidR="00D4517E" w:rsidRPr="00B1515C">
        <w:t xml:space="preserve"> within current statutory frameworks (for example, in </w:t>
      </w:r>
      <w:r w:rsidR="002B1161" w:rsidRPr="00B1515C">
        <w:t>NZ</w:t>
      </w:r>
      <w:r w:rsidR="00D4517E" w:rsidRPr="00B1515C">
        <w:t>)</w:t>
      </w:r>
      <w:r w:rsidR="00F75232">
        <w:t>’</w:t>
      </w:r>
      <w:r w:rsidR="00D4517E" w:rsidRPr="00B1515C">
        <w:t xml:space="preserve">. There have been fewer instances where statutory frameworks have been implemented that are specific to crypto assets. In Submission A20, 2, EY stated: </w:t>
      </w:r>
      <w:r w:rsidR="00F75232">
        <w:t>‘</w:t>
      </w:r>
      <w:r w:rsidR="00D4517E" w:rsidRPr="00B1515C">
        <w:t xml:space="preserve">Currently there are no specific provisions under the </w:t>
      </w:r>
      <w:r w:rsidR="00D4517E" w:rsidRPr="002E5009">
        <w:rPr>
          <w:rStyle w:val="Emphasis"/>
        </w:rPr>
        <w:t>Income Tax Assessment Act 1997</w:t>
      </w:r>
      <w:r w:rsidR="00D4517E" w:rsidRPr="00B1515C">
        <w:t xml:space="preserve"> (ITAA 1997) which deal with the taxation of cryptocurrency and or digital assets in Australia. Rather, in Australia cryptocurrency is typically taxed under the general provisions both as a capital asset and as ordinary income</w:t>
      </w:r>
      <w:r w:rsidR="00F75232">
        <w:t>’</w:t>
      </w:r>
      <w:r w:rsidR="00D4517E" w:rsidRPr="00B1515C">
        <w:t>. In Submission A33</w:t>
      </w:r>
      <w:r w:rsidR="00CC24FA" w:rsidRPr="00B1515C">
        <w:t>,</w:t>
      </w:r>
      <w:r w:rsidR="00D4517E" w:rsidRPr="00B1515C">
        <w:t xml:space="preserve"> 21, the Joint Bodies stated that </w:t>
      </w:r>
      <w:r w:rsidR="00F75232">
        <w:t>‘</w:t>
      </w:r>
      <w:r w:rsidR="00D4517E" w:rsidRPr="00B1515C">
        <w:t>the legal and regulatory framework should set out how distinctive characteristics of digital assets and transactions may impact their tax treatment</w:t>
      </w:r>
      <w:r w:rsidR="00F75232">
        <w:t>’</w:t>
      </w:r>
      <w:r w:rsidR="00A92F89">
        <w:t>.</w:t>
      </w:r>
      <w:r w:rsidR="00D4517E" w:rsidRPr="00B1515C">
        <w:t xml:space="preserve"> </w:t>
      </w:r>
    </w:p>
  </w:footnote>
  <w:footnote w:id="347">
    <w:p w14:paraId="31A35A55" w14:textId="76B8C82A" w:rsidR="00D62C40" w:rsidRPr="00B1515C" w:rsidRDefault="00815763" w:rsidP="00A01254">
      <w:pPr>
        <w:pStyle w:val="FootnoteText"/>
      </w:pPr>
      <w:r w:rsidRPr="00815763">
        <w:rPr>
          <w:rStyle w:val="FootnoteReference"/>
          <w:vertAlign w:val="baseline"/>
        </w:rPr>
        <w:footnoteRef/>
      </w:r>
      <w:r w:rsidR="00731D12" w:rsidRPr="00B1515C">
        <w:t xml:space="preserve"> </w:t>
      </w:r>
      <w:r w:rsidR="00FE31B9" w:rsidRPr="00B1515C">
        <w:tab/>
      </w:r>
      <w:r w:rsidR="005A620F" w:rsidRPr="00B1515C">
        <w:t>ITAA 1997</w:t>
      </w:r>
      <w:r w:rsidR="00FF5846" w:rsidRPr="00B1515C">
        <w:t xml:space="preserve"> </w:t>
      </w:r>
      <w:r w:rsidR="000E32E4" w:rsidRPr="00B1515C">
        <w:t>sub</w:t>
      </w:r>
      <w:r w:rsidR="00F75232">
        <w:t>-</w:t>
      </w:r>
      <w:r w:rsidR="00FF5846" w:rsidRPr="00B1515C">
        <w:t xml:space="preserve">ss </w:t>
      </w:r>
      <w:r w:rsidR="00D62C40" w:rsidRPr="00B1515C">
        <w:t>4</w:t>
      </w:r>
      <w:r w:rsidR="009665F9" w:rsidRPr="00B1515C">
        <w:t>–</w:t>
      </w:r>
      <w:r w:rsidR="00D62C40" w:rsidRPr="00B1515C">
        <w:t>10</w:t>
      </w:r>
      <w:r w:rsidR="00FA1FA8" w:rsidRPr="00B1515C">
        <w:t>(2)</w:t>
      </w:r>
      <w:r w:rsidR="00FF5846" w:rsidRPr="00B1515C">
        <w:t xml:space="preserve">, </w:t>
      </w:r>
      <w:r w:rsidR="00731D12" w:rsidRPr="00B1515C">
        <w:t>4</w:t>
      </w:r>
      <w:r w:rsidR="009665F9" w:rsidRPr="00B1515C">
        <w:t>–</w:t>
      </w:r>
      <w:r w:rsidR="00731D12" w:rsidRPr="00B1515C">
        <w:t>15(1)</w:t>
      </w:r>
      <w:r w:rsidR="00FF5846" w:rsidRPr="00B1515C">
        <w:t>.</w:t>
      </w:r>
      <w:r w:rsidR="00731D12" w:rsidRPr="00B1515C">
        <w:t xml:space="preserve"> </w:t>
      </w:r>
    </w:p>
  </w:footnote>
  <w:footnote w:id="348">
    <w:p w14:paraId="687FFD6E" w14:textId="428F6CB2" w:rsidR="00C1200B" w:rsidRPr="00B1515C" w:rsidRDefault="00815763" w:rsidP="00A01254">
      <w:pPr>
        <w:pStyle w:val="FootnoteText"/>
      </w:pPr>
      <w:r w:rsidRPr="00815763">
        <w:rPr>
          <w:rStyle w:val="FootnoteReference"/>
          <w:vertAlign w:val="baseline"/>
        </w:rPr>
        <w:footnoteRef/>
      </w:r>
      <w:r w:rsidR="003F0E9B" w:rsidRPr="00B1515C">
        <w:t xml:space="preserve"> </w:t>
      </w:r>
      <w:r w:rsidR="00FE31B9" w:rsidRPr="00B1515C">
        <w:tab/>
      </w:r>
      <w:r w:rsidR="003F0E9B" w:rsidRPr="00B1515C">
        <w:t xml:space="preserve">ITAA 1997 </w:t>
      </w:r>
      <w:r w:rsidR="00915849" w:rsidRPr="00B1515C">
        <w:t>s</w:t>
      </w:r>
      <w:r w:rsidR="003F0E9B" w:rsidRPr="00B1515C">
        <w:t xml:space="preserve"> 6</w:t>
      </w:r>
      <w:r w:rsidR="009665F9" w:rsidRPr="00B1515C">
        <w:t>–</w:t>
      </w:r>
      <w:r w:rsidR="003F0E9B" w:rsidRPr="00B1515C">
        <w:t>5 includes income according to ordinary concepts in a taxpayer</w:t>
      </w:r>
      <w:r w:rsidR="00F75232">
        <w:t>’</w:t>
      </w:r>
      <w:r w:rsidR="003F0E9B" w:rsidRPr="00B1515C">
        <w:t>s assessable income</w:t>
      </w:r>
      <w:r w:rsidR="00915849" w:rsidRPr="00B1515C">
        <w:t>; ITAA</w:t>
      </w:r>
      <w:r w:rsidR="003F0E9B" w:rsidRPr="00B1515C">
        <w:t xml:space="preserve"> s 6</w:t>
      </w:r>
      <w:r w:rsidR="009665F9" w:rsidRPr="00B1515C">
        <w:t>–</w:t>
      </w:r>
      <w:r w:rsidR="003F0E9B" w:rsidRPr="00B1515C">
        <w:t xml:space="preserve">10 includes </w:t>
      </w:r>
      <w:r w:rsidR="007955A3" w:rsidRPr="00B1515C">
        <w:t xml:space="preserve">statutory </w:t>
      </w:r>
      <w:r w:rsidR="00BD0798" w:rsidRPr="00B1515C">
        <w:t>income in a taxpayer</w:t>
      </w:r>
      <w:r w:rsidR="00F75232">
        <w:t>’</w:t>
      </w:r>
      <w:r w:rsidR="00BD0798" w:rsidRPr="00B1515C">
        <w:t>s assessable income.</w:t>
      </w:r>
    </w:p>
  </w:footnote>
  <w:footnote w:id="349">
    <w:p w14:paraId="4CC578C9" w14:textId="6BC29423" w:rsidR="00E9383F" w:rsidRPr="00B1515C" w:rsidRDefault="00815763" w:rsidP="00A01254">
      <w:pPr>
        <w:pStyle w:val="FootnoteText"/>
      </w:pPr>
      <w:r w:rsidRPr="00815763">
        <w:rPr>
          <w:rStyle w:val="FootnoteReference"/>
          <w:vertAlign w:val="baseline"/>
        </w:rPr>
        <w:footnoteRef/>
      </w:r>
      <w:r w:rsidR="00E9383F" w:rsidRPr="00B1515C">
        <w:t xml:space="preserve"> </w:t>
      </w:r>
      <w:r w:rsidR="00FE31B9" w:rsidRPr="00B1515C">
        <w:tab/>
      </w:r>
      <w:r w:rsidR="00E9383F" w:rsidRPr="00B1515C">
        <w:t xml:space="preserve">ITAA </w:t>
      </w:r>
      <w:r w:rsidR="00246948" w:rsidRPr="00B1515C">
        <w:t>1997 s</w:t>
      </w:r>
      <w:r w:rsidR="00E9383F" w:rsidRPr="00B1515C">
        <w:t xml:space="preserve"> 8</w:t>
      </w:r>
      <w:r w:rsidR="00F75232">
        <w:t>-</w:t>
      </w:r>
      <w:r w:rsidR="00E9383F" w:rsidRPr="00B1515C">
        <w:t>1, provided no exception (such as the exception for capital expenditure) applies.</w:t>
      </w:r>
    </w:p>
  </w:footnote>
  <w:footnote w:id="350">
    <w:p w14:paraId="159A4963" w14:textId="1356237E" w:rsidR="00505893" w:rsidRPr="00B1515C" w:rsidRDefault="00815763" w:rsidP="00A01254">
      <w:pPr>
        <w:pStyle w:val="FootnoteText"/>
      </w:pPr>
      <w:r w:rsidRPr="00815763">
        <w:rPr>
          <w:rStyle w:val="FootnoteReference"/>
          <w:vertAlign w:val="baseline"/>
        </w:rPr>
        <w:footnoteRef/>
      </w:r>
      <w:r w:rsidR="00505893" w:rsidRPr="00B1515C">
        <w:t xml:space="preserve"> </w:t>
      </w:r>
      <w:r w:rsidR="00FE31B9" w:rsidRPr="00B1515C">
        <w:tab/>
      </w:r>
      <w:r w:rsidR="00505893" w:rsidRPr="0084535D">
        <w:rPr>
          <w:rStyle w:val="Emphasis"/>
        </w:rPr>
        <w:t xml:space="preserve">London Australia Investment Company Limited v Federal Commissioner of Taxation </w:t>
      </w:r>
      <w:r w:rsidR="00505893" w:rsidRPr="00B1515C">
        <w:t>(1977) 138 CLR 106.</w:t>
      </w:r>
    </w:p>
  </w:footnote>
  <w:footnote w:id="351">
    <w:p w14:paraId="235029FF" w14:textId="390E2D92" w:rsidR="00F13411" w:rsidRPr="00B1515C" w:rsidRDefault="00815763" w:rsidP="00A01254">
      <w:pPr>
        <w:pStyle w:val="FootnoteText"/>
      </w:pPr>
      <w:r w:rsidRPr="00815763">
        <w:rPr>
          <w:rStyle w:val="FootnoteReference"/>
          <w:vertAlign w:val="baseline"/>
        </w:rPr>
        <w:footnoteRef/>
      </w:r>
      <w:r w:rsidR="00F13411" w:rsidRPr="00B1515C">
        <w:t xml:space="preserve"> </w:t>
      </w:r>
      <w:r w:rsidR="00FE31B9" w:rsidRPr="00B1515C">
        <w:tab/>
      </w:r>
      <w:r w:rsidR="00F13411" w:rsidRPr="00B1515C">
        <w:t>ITAA 1997 s 6</w:t>
      </w:r>
      <w:r w:rsidR="00F75232">
        <w:t>-</w:t>
      </w:r>
      <w:r w:rsidR="00F13411" w:rsidRPr="00B1515C">
        <w:t>5.</w:t>
      </w:r>
    </w:p>
  </w:footnote>
  <w:footnote w:id="352">
    <w:p w14:paraId="5567E31E" w14:textId="703B8E7A" w:rsidR="00F13411" w:rsidRPr="00B1515C" w:rsidRDefault="00815763" w:rsidP="00A01254">
      <w:pPr>
        <w:pStyle w:val="FootnoteText"/>
      </w:pPr>
      <w:r w:rsidRPr="00815763">
        <w:rPr>
          <w:rStyle w:val="FootnoteReference"/>
          <w:vertAlign w:val="baseline"/>
        </w:rPr>
        <w:footnoteRef/>
      </w:r>
      <w:r w:rsidR="00F13411" w:rsidRPr="00B1515C">
        <w:t xml:space="preserve"> </w:t>
      </w:r>
      <w:r w:rsidR="00FE31B9" w:rsidRPr="00B1515C">
        <w:tab/>
      </w:r>
      <w:r w:rsidR="00F13411" w:rsidRPr="00B1515C">
        <w:t>ITAA 1997 s 6</w:t>
      </w:r>
      <w:r w:rsidR="00F75232">
        <w:t>-</w:t>
      </w:r>
      <w:r w:rsidR="00F13411" w:rsidRPr="00B1515C">
        <w:t>5.</w:t>
      </w:r>
    </w:p>
  </w:footnote>
  <w:footnote w:id="353">
    <w:p w14:paraId="0D80DAAE" w14:textId="5A357CB1" w:rsidR="00F13411" w:rsidRPr="00B1515C" w:rsidRDefault="00815763" w:rsidP="00A01254">
      <w:pPr>
        <w:pStyle w:val="FootnoteText"/>
      </w:pPr>
      <w:r w:rsidRPr="00815763">
        <w:rPr>
          <w:rStyle w:val="FootnoteReference"/>
          <w:vertAlign w:val="baseline"/>
        </w:rPr>
        <w:footnoteRef/>
      </w:r>
      <w:r w:rsidR="00F13411" w:rsidRPr="00B1515C">
        <w:t xml:space="preserve"> </w:t>
      </w:r>
      <w:r w:rsidR="00FE31B9" w:rsidRPr="00B1515C">
        <w:tab/>
      </w:r>
      <w:r w:rsidR="00F75232">
        <w:t>‘</w:t>
      </w:r>
      <w:hyperlink r:id="rId158" w:history="1">
        <w:r w:rsidR="00246948" w:rsidRPr="00FD79D4">
          <w:rPr>
            <w:rStyle w:val="Hyperlink"/>
          </w:rPr>
          <w:t>Staking rewards and airdrops</w:t>
        </w:r>
      </w:hyperlink>
      <w:r w:rsidR="00F75232">
        <w:t>’</w:t>
      </w:r>
      <w:r w:rsidR="00246948" w:rsidRPr="00B1515C">
        <w:t xml:space="preserve">, </w:t>
      </w:r>
      <w:r w:rsidR="00246948" w:rsidRPr="0084535D">
        <w:rPr>
          <w:rStyle w:val="Emphasis"/>
        </w:rPr>
        <w:t>ATO</w:t>
      </w:r>
      <w:r w:rsidR="00860E48" w:rsidRPr="0084535D">
        <w:rPr>
          <w:rStyle w:val="Emphasis"/>
        </w:rPr>
        <w:t xml:space="preserve"> </w:t>
      </w:r>
      <w:r w:rsidR="00860E48" w:rsidRPr="00B1515C">
        <w:t>(Web Page, 30 June 2023)</w:t>
      </w:r>
      <w:r w:rsidR="00860E48" w:rsidRPr="00B1515C">
        <w:rPr>
          <w:i/>
          <w:iCs/>
        </w:rPr>
        <w:t>.</w:t>
      </w:r>
    </w:p>
  </w:footnote>
  <w:footnote w:id="354">
    <w:p w14:paraId="4FB7C454" w14:textId="5A4036DB" w:rsidR="00EA6F1C" w:rsidRPr="00B1515C" w:rsidRDefault="00815763" w:rsidP="00A01254">
      <w:pPr>
        <w:pStyle w:val="FootnoteText"/>
      </w:pPr>
      <w:r w:rsidRPr="00815763">
        <w:rPr>
          <w:rStyle w:val="FootnoteReference"/>
          <w:vertAlign w:val="baseline"/>
        </w:rPr>
        <w:footnoteRef/>
      </w:r>
      <w:r w:rsidR="00EA6F1C" w:rsidRPr="00B1515C">
        <w:t xml:space="preserve"> </w:t>
      </w:r>
      <w:r w:rsidR="00FE31B9" w:rsidRPr="00B1515C">
        <w:tab/>
      </w:r>
      <w:r w:rsidR="00EA6F1C" w:rsidRPr="00B1515C">
        <w:t xml:space="preserve">A guide to the provisions in relation to statutory income is set out in ITAA 1997 </w:t>
      </w:r>
      <w:r w:rsidR="006330F3" w:rsidRPr="00B1515C">
        <w:t>s</w:t>
      </w:r>
      <w:r w:rsidR="00EA6F1C" w:rsidRPr="00B1515C">
        <w:t xml:space="preserve"> 10</w:t>
      </w:r>
      <w:r w:rsidR="00F75232">
        <w:t>-</w:t>
      </w:r>
      <w:r w:rsidR="00EA6F1C" w:rsidRPr="00B1515C">
        <w:t xml:space="preserve">5 and includes capital gains </w:t>
      </w:r>
      <w:r w:rsidR="007C6FE9" w:rsidRPr="00B1515C">
        <w:t xml:space="preserve">tax </w:t>
      </w:r>
      <w:r w:rsidR="00EA6F1C" w:rsidRPr="00B1515C">
        <w:t>provisions.</w:t>
      </w:r>
    </w:p>
  </w:footnote>
  <w:footnote w:id="355">
    <w:p w14:paraId="5AFE0E70" w14:textId="08144D1A" w:rsidR="00505893" w:rsidRPr="00B1515C" w:rsidRDefault="00815763" w:rsidP="00A01254">
      <w:pPr>
        <w:pStyle w:val="FootnoteText"/>
      </w:pPr>
      <w:r w:rsidRPr="00815763">
        <w:rPr>
          <w:rStyle w:val="FootnoteReference"/>
          <w:vertAlign w:val="baseline"/>
        </w:rPr>
        <w:footnoteRef/>
      </w:r>
      <w:r w:rsidR="00505893" w:rsidRPr="00B1515C">
        <w:t xml:space="preserve"> </w:t>
      </w:r>
      <w:r w:rsidR="00FE31B9" w:rsidRPr="00B1515C">
        <w:tab/>
      </w:r>
      <w:r w:rsidR="00505893" w:rsidRPr="00B1515C">
        <w:t xml:space="preserve">ITAA 1997 </w:t>
      </w:r>
      <w:r w:rsidR="006330F3" w:rsidRPr="00B1515C">
        <w:t>sub</w:t>
      </w:r>
      <w:r w:rsidR="00F75232">
        <w:t>-</w:t>
      </w:r>
      <w:r w:rsidR="00505893" w:rsidRPr="00B1515C">
        <w:t>s 70</w:t>
      </w:r>
      <w:r w:rsidR="00F75232">
        <w:t>-</w:t>
      </w:r>
      <w:r w:rsidR="00505893" w:rsidRPr="00B1515C">
        <w:t>10(1)</w:t>
      </w:r>
      <w:r w:rsidR="006330F3" w:rsidRPr="00B1515C">
        <w:t>.</w:t>
      </w:r>
    </w:p>
  </w:footnote>
  <w:footnote w:id="356">
    <w:p w14:paraId="5F7CD6B9" w14:textId="03B7B7AF" w:rsidR="00505893" w:rsidRPr="00B1515C" w:rsidRDefault="00815763" w:rsidP="00A01254">
      <w:pPr>
        <w:pStyle w:val="FootnoteText"/>
      </w:pPr>
      <w:r w:rsidRPr="00815763">
        <w:rPr>
          <w:rStyle w:val="FootnoteReference"/>
          <w:vertAlign w:val="baseline"/>
        </w:rPr>
        <w:footnoteRef/>
      </w:r>
      <w:r w:rsidR="00505893" w:rsidRPr="00B1515C">
        <w:t xml:space="preserve"> </w:t>
      </w:r>
      <w:r w:rsidR="00FE31B9" w:rsidRPr="00B1515C">
        <w:tab/>
      </w:r>
      <w:r w:rsidR="00505893" w:rsidRPr="00B1515C">
        <w:t>ITAA 1997 s 70</w:t>
      </w:r>
      <w:r w:rsidR="00F75232">
        <w:t>-</w:t>
      </w:r>
      <w:r w:rsidR="00505893" w:rsidRPr="00B1515C">
        <w:t>35.</w:t>
      </w:r>
    </w:p>
  </w:footnote>
  <w:footnote w:id="357">
    <w:p w14:paraId="259B585B" w14:textId="46A2CEB1" w:rsidR="00505893" w:rsidRPr="00B1515C" w:rsidRDefault="00815763" w:rsidP="00A01254">
      <w:pPr>
        <w:pStyle w:val="FootnoteText"/>
      </w:pPr>
      <w:r w:rsidRPr="00815763">
        <w:rPr>
          <w:rStyle w:val="FootnoteReference"/>
          <w:vertAlign w:val="baseline"/>
        </w:rPr>
        <w:footnoteRef/>
      </w:r>
      <w:r w:rsidR="00505893" w:rsidRPr="00B1515C">
        <w:t xml:space="preserve"> </w:t>
      </w:r>
      <w:r w:rsidR="00FE31B9" w:rsidRPr="00B1515C">
        <w:tab/>
      </w:r>
      <w:r w:rsidR="00505893" w:rsidRPr="00B1515C">
        <w:t>ITAA 1997 s 104</w:t>
      </w:r>
      <w:r w:rsidR="00F75232">
        <w:t>-</w:t>
      </w:r>
      <w:r w:rsidR="00505893" w:rsidRPr="00B1515C">
        <w:t>10</w:t>
      </w:r>
      <w:r w:rsidR="006330F3" w:rsidRPr="00B1515C">
        <w:t>.</w:t>
      </w:r>
    </w:p>
  </w:footnote>
  <w:footnote w:id="358">
    <w:p w14:paraId="539974BF" w14:textId="4C348E8B" w:rsidR="00505893" w:rsidRPr="00B1515C" w:rsidRDefault="00815763" w:rsidP="00A01254">
      <w:pPr>
        <w:pStyle w:val="FootnoteText"/>
      </w:pPr>
      <w:r w:rsidRPr="00815763">
        <w:rPr>
          <w:rStyle w:val="FootnoteReference"/>
          <w:vertAlign w:val="baseline"/>
        </w:rPr>
        <w:footnoteRef/>
      </w:r>
      <w:r w:rsidR="00505893" w:rsidRPr="00B1515C">
        <w:t xml:space="preserve"> </w:t>
      </w:r>
      <w:r w:rsidR="00FE31B9" w:rsidRPr="00B1515C">
        <w:tab/>
      </w:r>
      <w:r w:rsidR="00505893" w:rsidRPr="00B1515C">
        <w:t>ITAA 1997 s 115</w:t>
      </w:r>
      <w:r w:rsidR="00F75232">
        <w:t>-</w:t>
      </w:r>
      <w:r w:rsidR="00505893" w:rsidRPr="00B1515C">
        <w:t>5.</w:t>
      </w:r>
    </w:p>
  </w:footnote>
  <w:footnote w:id="359">
    <w:p w14:paraId="4120AD7C" w14:textId="50DBD654" w:rsidR="00505893" w:rsidRPr="00B1515C" w:rsidRDefault="00815763" w:rsidP="00A01254">
      <w:pPr>
        <w:pStyle w:val="FootnoteText"/>
      </w:pPr>
      <w:r w:rsidRPr="00815763">
        <w:rPr>
          <w:rStyle w:val="FootnoteReference"/>
          <w:vertAlign w:val="baseline"/>
        </w:rPr>
        <w:footnoteRef/>
      </w:r>
      <w:r w:rsidR="00505893" w:rsidRPr="00B1515C">
        <w:t xml:space="preserve"> </w:t>
      </w:r>
      <w:r w:rsidR="00FE31B9" w:rsidRPr="00B1515C">
        <w:tab/>
      </w:r>
      <w:r w:rsidR="00505893" w:rsidRPr="00B1515C">
        <w:t>The discount percentage is set out in ITAA 1997 s 115</w:t>
      </w:r>
      <w:r w:rsidR="00F75232">
        <w:t>-</w:t>
      </w:r>
      <w:r w:rsidR="00505893" w:rsidRPr="00B1515C">
        <w:t>30 as 50% for an individual and trust and 331/3% for a complying superannuation fund (subject to some exceptions).</w:t>
      </w:r>
    </w:p>
  </w:footnote>
  <w:footnote w:id="360">
    <w:p w14:paraId="1E6F9106" w14:textId="370ED89D" w:rsidR="00E44F5F" w:rsidRPr="00B1515C" w:rsidRDefault="00815763" w:rsidP="00A01254">
      <w:pPr>
        <w:pStyle w:val="FootnoteText"/>
      </w:pPr>
      <w:r w:rsidRPr="00815763">
        <w:rPr>
          <w:rStyle w:val="FootnoteReference"/>
          <w:vertAlign w:val="baseline"/>
        </w:rPr>
        <w:footnoteRef/>
      </w:r>
      <w:r w:rsidR="00E44F5F" w:rsidRPr="00B1515C">
        <w:t xml:space="preserve"> </w:t>
      </w:r>
      <w:r w:rsidR="00FE31B9" w:rsidRPr="00B1515C">
        <w:tab/>
      </w:r>
      <w:r w:rsidR="00E44F5F" w:rsidRPr="00B1515C">
        <w:t>ITAA 1997 s 8</w:t>
      </w:r>
      <w:r w:rsidR="00F75232">
        <w:t>-</w:t>
      </w:r>
      <w:r w:rsidR="00E44F5F" w:rsidRPr="00B1515C">
        <w:t>1.</w:t>
      </w:r>
    </w:p>
  </w:footnote>
  <w:footnote w:id="361">
    <w:p w14:paraId="391B5D6F" w14:textId="4E9F5822" w:rsidR="00E44F5F" w:rsidRPr="00B1515C" w:rsidRDefault="00815763" w:rsidP="00A01254">
      <w:pPr>
        <w:pStyle w:val="FootnoteText"/>
      </w:pPr>
      <w:r w:rsidRPr="00815763">
        <w:rPr>
          <w:rStyle w:val="FootnoteReference"/>
          <w:vertAlign w:val="baseline"/>
        </w:rPr>
        <w:footnoteRef/>
      </w:r>
      <w:r w:rsidR="00E44F5F" w:rsidRPr="00B1515C">
        <w:t xml:space="preserve"> </w:t>
      </w:r>
      <w:r w:rsidR="00FE31B9" w:rsidRPr="00B1515C">
        <w:tab/>
      </w:r>
      <w:r w:rsidR="00E44F5F" w:rsidRPr="00B1515C">
        <w:t xml:space="preserve">Carmen Ang, </w:t>
      </w:r>
      <w:r w:rsidR="00F75232">
        <w:t>‘</w:t>
      </w:r>
      <w:hyperlink r:id="rId159" w:history="1">
        <w:r w:rsidR="00E44F5F" w:rsidRPr="00291978">
          <w:rPr>
            <w:rStyle w:val="Hyperlink"/>
          </w:rPr>
          <w:t>The Cost of Mining Bitcoin in 198 Different Countries</w:t>
        </w:r>
      </w:hyperlink>
      <w:r w:rsidR="00F75232">
        <w:t>’</w:t>
      </w:r>
      <w:r w:rsidR="00E44F5F" w:rsidRPr="00DB7364">
        <w:rPr>
          <w:rStyle w:val="Hyperlink"/>
        </w:rPr>
        <w:t>,</w:t>
      </w:r>
      <w:r w:rsidR="00E44F5F" w:rsidRPr="00B1515C">
        <w:t xml:space="preserve"> </w:t>
      </w:r>
      <w:r w:rsidR="00E44F5F" w:rsidRPr="0084535D">
        <w:rPr>
          <w:rStyle w:val="Emphasis"/>
        </w:rPr>
        <w:t>Visual Capitalist</w:t>
      </w:r>
      <w:r w:rsidR="00E44F5F" w:rsidRPr="00B1515C">
        <w:t xml:space="preserve"> (Web Page, 5 August 2022)</w:t>
      </w:r>
      <w:r w:rsidR="00291978">
        <w:t>.</w:t>
      </w:r>
    </w:p>
  </w:footnote>
  <w:footnote w:id="362">
    <w:p w14:paraId="0F80E343" w14:textId="2B4E229D" w:rsidR="00A1148B" w:rsidRPr="00B1515C" w:rsidRDefault="00815763" w:rsidP="00A01254">
      <w:pPr>
        <w:pStyle w:val="FootnoteText"/>
      </w:pPr>
      <w:r w:rsidRPr="00815763">
        <w:rPr>
          <w:rStyle w:val="FootnoteReference"/>
          <w:vertAlign w:val="baseline"/>
        </w:rPr>
        <w:footnoteRef/>
      </w:r>
      <w:r w:rsidR="00A1148B" w:rsidRPr="00B1515C">
        <w:t xml:space="preserve"> </w:t>
      </w:r>
      <w:r w:rsidR="00FE31B9" w:rsidRPr="00B1515C">
        <w:tab/>
      </w:r>
      <w:r w:rsidR="00A1148B" w:rsidRPr="00B1515C">
        <w:t xml:space="preserve">Whilst </w:t>
      </w:r>
      <w:r w:rsidR="00F75232">
        <w:t>‘</w:t>
      </w:r>
      <w:r w:rsidR="00A1148B" w:rsidRPr="00B1515C">
        <w:t>Australian source</w:t>
      </w:r>
      <w:r w:rsidR="00F75232">
        <w:t>’</w:t>
      </w:r>
      <w:r w:rsidR="00A1148B" w:rsidRPr="00B1515C">
        <w:t xml:space="preserve"> is defined in ITAA 1997 s 995</w:t>
      </w:r>
      <w:r w:rsidR="00F75232">
        <w:t>-</w:t>
      </w:r>
      <w:r w:rsidR="00A1148B" w:rsidRPr="00B1515C">
        <w:t>1, this states that the definition does not limit the meaning of the phrase, but simply includes income derived from an Australian source for the purposes of the ITAA 1936.</w:t>
      </w:r>
      <w:r w:rsidR="006F5562" w:rsidRPr="00B1515C">
        <w:t xml:space="preserve"> There are, however, a limited number of statutory source rules for particular types of income found in the ITAA 1936.</w:t>
      </w:r>
      <w:r w:rsidR="006D0B23" w:rsidRPr="00B1515C">
        <w:t xml:space="preserve"> </w:t>
      </w:r>
      <w:r w:rsidR="006F5562" w:rsidRPr="00B1515C">
        <w:t>Where none of these statutory rules apply, it is necessary to determine the source of an item of income according to principles that have evolved from common law. If relevant, it is also necessary to turn to the applicable tax treaty/D</w:t>
      </w:r>
      <w:r w:rsidR="006D0B23" w:rsidRPr="00B1515C">
        <w:t xml:space="preserve">ouble </w:t>
      </w:r>
      <w:r w:rsidR="006F5562" w:rsidRPr="00B1515C">
        <w:t>T</w:t>
      </w:r>
      <w:r w:rsidR="006D0B23" w:rsidRPr="00B1515C">
        <w:t xml:space="preserve">axation </w:t>
      </w:r>
      <w:r w:rsidR="006F5562" w:rsidRPr="00B1515C">
        <w:t>A</w:t>
      </w:r>
      <w:r w:rsidR="006D0B23" w:rsidRPr="00B1515C">
        <w:t>greement</w:t>
      </w:r>
      <w:r w:rsidR="006F5562" w:rsidRPr="00B1515C">
        <w:t>, as many treaties contain source rules.</w:t>
      </w:r>
    </w:p>
  </w:footnote>
  <w:footnote w:id="363">
    <w:p w14:paraId="4885BA82" w14:textId="6A87B231" w:rsidR="00FB36A1" w:rsidRPr="00B1515C" w:rsidRDefault="00815763" w:rsidP="00A01254">
      <w:pPr>
        <w:pStyle w:val="FootnoteText"/>
      </w:pPr>
      <w:r w:rsidRPr="00815763">
        <w:rPr>
          <w:rStyle w:val="FootnoteReference"/>
          <w:vertAlign w:val="baseline"/>
        </w:rPr>
        <w:footnoteRef/>
      </w:r>
      <w:r w:rsidR="00FB36A1" w:rsidRPr="00B1515C">
        <w:t xml:space="preserve"> </w:t>
      </w:r>
      <w:r w:rsidR="00FE31B9" w:rsidRPr="00B1515C">
        <w:tab/>
      </w:r>
      <w:r w:rsidR="00B1258A" w:rsidRPr="00B1515C">
        <w:t xml:space="preserve">ITAA 1997 </w:t>
      </w:r>
      <w:r w:rsidR="000404AC" w:rsidRPr="00B1515C">
        <w:t>paras</w:t>
      </w:r>
      <w:r w:rsidR="00FB36A1" w:rsidRPr="00B1515C">
        <w:t xml:space="preserve"> 110</w:t>
      </w:r>
      <w:r w:rsidR="00F75232">
        <w:t>-</w:t>
      </w:r>
      <w:r w:rsidR="00FB36A1" w:rsidRPr="00B1515C">
        <w:t>25(2)(b)</w:t>
      </w:r>
      <w:r w:rsidR="000404AC" w:rsidRPr="00B1515C">
        <w:t>,</w:t>
      </w:r>
      <w:r w:rsidR="00FB36A1" w:rsidRPr="00B1515C">
        <w:t xml:space="preserve"> 116</w:t>
      </w:r>
      <w:r w:rsidR="00F75232">
        <w:t>-</w:t>
      </w:r>
      <w:r w:rsidR="00FB36A1" w:rsidRPr="00B1515C">
        <w:t>20(</w:t>
      </w:r>
      <w:r w:rsidR="00CF6D0F" w:rsidRPr="00B1515C">
        <w:t>1)</w:t>
      </w:r>
      <w:r w:rsidR="00FB36A1" w:rsidRPr="00B1515C">
        <w:t>(b) respectively.</w:t>
      </w:r>
    </w:p>
  </w:footnote>
  <w:footnote w:id="364">
    <w:p w14:paraId="2C3961D1" w14:textId="74243B71" w:rsidR="00FB36A1" w:rsidRPr="00B1515C" w:rsidRDefault="00815763" w:rsidP="00A01254">
      <w:pPr>
        <w:pStyle w:val="FootnoteText"/>
      </w:pPr>
      <w:r w:rsidRPr="00815763">
        <w:rPr>
          <w:rStyle w:val="FootnoteReference"/>
          <w:vertAlign w:val="baseline"/>
        </w:rPr>
        <w:footnoteRef/>
      </w:r>
      <w:r w:rsidR="00FB36A1" w:rsidRPr="00B1515C">
        <w:t xml:space="preserve"> </w:t>
      </w:r>
      <w:r w:rsidR="00FE31B9" w:rsidRPr="00B1515C">
        <w:tab/>
      </w:r>
      <w:r w:rsidR="000404AC" w:rsidRPr="00B1515C">
        <w:t>ITAA 1997 s</w:t>
      </w:r>
      <w:r w:rsidR="00FB36A1" w:rsidRPr="00B1515C">
        <w:t> 108</w:t>
      </w:r>
      <w:r w:rsidR="00F75232">
        <w:t>-</w:t>
      </w:r>
      <w:r w:rsidR="00FB36A1" w:rsidRPr="00B1515C">
        <w:t>5</w:t>
      </w:r>
      <w:r w:rsidR="000404AC" w:rsidRPr="00B1515C">
        <w:t>.</w:t>
      </w:r>
    </w:p>
  </w:footnote>
  <w:footnote w:id="365">
    <w:p w14:paraId="25E4DB6D" w14:textId="6D20B141" w:rsidR="001B2D88" w:rsidRPr="00B1515C" w:rsidRDefault="00815763" w:rsidP="00A01254">
      <w:pPr>
        <w:pStyle w:val="FootnoteText"/>
      </w:pPr>
      <w:r w:rsidRPr="00815763">
        <w:rPr>
          <w:rStyle w:val="FootnoteReference"/>
          <w:vertAlign w:val="baseline"/>
        </w:rPr>
        <w:footnoteRef/>
      </w:r>
      <w:r w:rsidR="001B2D88" w:rsidRPr="00B1515C">
        <w:t xml:space="preserve"> </w:t>
      </w:r>
      <w:r w:rsidR="00FE31B9" w:rsidRPr="00B1515C">
        <w:tab/>
      </w:r>
      <w:r w:rsidR="001B2D88" w:rsidRPr="00B1515C">
        <w:t>ITAA 1997</w:t>
      </w:r>
      <w:r w:rsidR="000404AC" w:rsidRPr="00B1515C">
        <w:t xml:space="preserve"> s</w:t>
      </w:r>
      <w:r w:rsidR="001B2D88" w:rsidRPr="00B1515C">
        <w:t xml:space="preserve"> 285</w:t>
      </w:r>
      <w:r w:rsidR="00F75232">
        <w:t>-</w:t>
      </w:r>
      <w:r w:rsidR="001B2D88" w:rsidRPr="00B1515C">
        <w:t>5</w:t>
      </w:r>
      <w:r w:rsidR="000404AC" w:rsidRPr="00B1515C">
        <w:t>.</w:t>
      </w:r>
    </w:p>
  </w:footnote>
  <w:footnote w:id="366">
    <w:p w14:paraId="57C2AB1B" w14:textId="575EF934" w:rsidR="001B2D88" w:rsidRPr="00B1515C" w:rsidRDefault="00815763" w:rsidP="00A01254">
      <w:pPr>
        <w:pStyle w:val="FootnoteText"/>
      </w:pPr>
      <w:r w:rsidRPr="00815763">
        <w:rPr>
          <w:rStyle w:val="FootnoteReference"/>
          <w:vertAlign w:val="baseline"/>
        </w:rPr>
        <w:footnoteRef/>
      </w:r>
      <w:r w:rsidR="001B2D88" w:rsidRPr="00B1515C">
        <w:t xml:space="preserve"> </w:t>
      </w:r>
      <w:r w:rsidR="00FE31B9" w:rsidRPr="00B1515C">
        <w:tab/>
      </w:r>
      <w:r w:rsidR="001418EA" w:rsidRPr="00B1515C">
        <w:t xml:space="preserve">For example, under </w:t>
      </w:r>
      <w:r w:rsidR="001418EA" w:rsidRPr="0084535D">
        <w:rPr>
          <w:rStyle w:val="Emphasis"/>
        </w:rPr>
        <w:t xml:space="preserve">Superannuation Industry (Supervision) Regulations 1994 </w:t>
      </w:r>
      <w:r w:rsidR="001418EA" w:rsidRPr="00B1515C">
        <w:t>(SIS Regulations)</w:t>
      </w:r>
      <w:r w:rsidR="002F63FB" w:rsidRPr="00B1515C">
        <w:t xml:space="preserve"> </w:t>
      </w:r>
      <w:r w:rsidR="002F4DC2" w:rsidRPr="00B1515C">
        <w:t>pt</w:t>
      </w:r>
      <w:r w:rsidR="002F63FB" w:rsidRPr="00B1515C">
        <w:t xml:space="preserve"> 6</w:t>
      </w:r>
      <w:r w:rsidR="0088284C" w:rsidRPr="00B1515C">
        <w:t>.</w:t>
      </w:r>
      <w:r w:rsidR="002F63FB" w:rsidRPr="00B1515C">
        <w:t xml:space="preserve"> </w:t>
      </w:r>
    </w:p>
  </w:footnote>
  <w:footnote w:id="367">
    <w:p w14:paraId="59D23BB6" w14:textId="25CAB8B7" w:rsidR="00902D08" w:rsidRPr="00B1515C" w:rsidRDefault="00815763" w:rsidP="00A01254">
      <w:pPr>
        <w:pStyle w:val="FootnoteText"/>
      </w:pPr>
      <w:r w:rsidRPr="00815763">
        <w:rPr>
          <w:rStyle w:val="FootnoteReference"/>
          <w:vertAlign w:val="baseline"/>
        </w:rPr>
        <w:footnoteRef/>
      </w:r>
      <w:r w:rsidR="00902D08" w:rsidRPr="00B1515C">
        <w:t xml:space="preserve"> </w:t>
      </w:r>
      <w:r w:rsidR="00FE31B9" w:rsidRPr="00B1515C">
        <w:tab/>
      </w:r>
      <w:r w:rsidR="00F75232">
        <w:t>‘</w:t>
      </w:r>
      <w:hyperlink r:id="rId160" w:history="1">
        <w:r w:rsidR="004810AD" w:rsidRPr="00BF5510">
          <w:rPr>
            <w:rStyle w:val="Hyperlink"/>
          </w:rPr>
          <w:t>Crypto asset investments</w:t>
        </w:r>
      </w:hyperlink>
      <w:r w:rsidR="00F75232">
        <w:t>’</w:t>
      </w:r>
      <w:r w:rsidR="004810AD" w:rsidRPr="00B1515C">
        <w:t xml:space="preserve">, ATO (Web Page, accessed </w:t>
      </w:r>
      <w:r w:rsidR="00122928" w:rsidRPr="00B1515C">
        <w:t>21 January 2024</w:t>
      </w:r>
      <w:r w:rsidR="00BF5510">
        <w:t>).</w:t>
      </w:r>
    </w:p>
  </w:footnote>
  <w:footnote w:id="368">
    <w:p w14:paraId="0733B0CE" w14:textId="749D7D74"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61" w:history="1">
        <w:r w:rsidR="00122928" w:rsidRPr="00471B67">
          <w:rPr>
            <w:rStyle w:val="Hyperlink"/>
          </w:rPr>
          <w:t>Are you in business?</w:t>
        </w:r>
      </w:hyperlink>
      <w:r w:rsidR="00F75232">
        <w:t>’</w:t>
      </w:r>
      <w:r w:rsidR="00122928" w:rsidRPr="00B1515C">
        <w:t xml:space="preserve">, </w:t>
      </w:r>
      <w:r w:rsidR="00122928" w:rsidRPr="0084535D">
        <w:rPr>
          <w:rStyle w:val="Emphasis"/>
        </w:rPr>
        <w:t xml:space="preserve">ATO </w:t>
      </w:r>
      <w:r w:rsidR="00122928" w:rsidRPr="00B1515C">
        <w:t>(Web Page, 29 March 2023)</w:t>
      </w:r>
      <w:r w:rsidR="00471B67">
        <w:t>.</w:t>
      </w:r>
    </w:p>
  </w:footnote>
  <w:footnote w:id="369">
    <w:p w14:paraId="651273B3" w14:textId="76E97D70"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62" w:history="1">
        <w:r w:rsidR="00E95815" w:rsidRPr="00EB55A4">
          <w:rPr>
            <w:rStyle w:val="Hyperlink"/>
          </w:rPr>
          <w:t>What are crypto assets?</w:t>
        </w:r>
      </w:hyperlink>
      <w:r w:rsidR="00F75232">
        <w:t>’</w:t>
      </w:r>
      <w:r w:rsidR="00E95815" w:rsidRPr="00B1515C">
        <w:t>, ATO (Web Page, 30 June 2023)</w:t>
      </w:r>
      <w:r w:rsidR="00EB55A4">
        <w:t>.</w:t>
      </w:r>
    </w:p>
  </w:footnote>
  <w:footnote w:id="370">
    <w:p w14:paraId="0FED81F5" w14:textId="2B063F70"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63" w:anchor="Areyouinbusiness" w:history="1">
        <w:r w:rsidR="00B43983" w:rsidRPr="00EB55A4">
          <w:rPr>
            <w:rStyle w:val="Hyperlink"/>
          </w:rPr>
          <w:t>Crypto assets used in business</w:t>
        </w:r>
      </w:hyperlink>
      <w:r w:rsidR="00F75232">
        <w:t>’</w:t>
      </w:r>
      <w:r w:rsidR="00B43983" w:rsidRPr="00B1515C">
        <w:t xml:space="preserve">, </w:t>
      </w:r>
      <w:r w:rsidR="00B43983" w:rsidRPr="0084535D">
        <w:rPr>
          <w:rStyle w:val="Emphasis"/>
        </w:rPr>
        <w:t xml:space="preserve">ATO </w:t>
      </w:r>
      <w:r w:rsidR="00B43983" w:rsidRPr="00B1515C">
        <w:t>(Web Page, 29 June 2022).</w:t>
      </w:r>
    </w:p>
  </w:footnote>
  <w:footnote w:id="371">
    <w:p w14:paraId="259F4502" w14:textId="1F14979A"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64" w:anchor="Areyouinbusiness" w:history="1">
        <w:r w:rsidR="002F5144" w:rsidRPr="00EB55A4">
          <w:rPr>
            <w:rStyle w:val="Hyperlink"/>
          </w:rPr>
          <w:t>Crypto assets used in business</w:t>
        </w:r>
      </w:hyperlink>
      <w:r w:rsidR="00F75232">
        <w:t>’</w:t>
      </w:r>
      <w:r w:rsidR="002F5144" w:rsidRPr="00B1515C">
        <w:t xml:space="preserve">, </w:t>
      </w:r>
      <w:r w:rsidR="002F5144" w:rsidRPr="0084535D">
        <w:rPr>
          <w:rStyle w:val="Emphasis"/>
        </w:rPr>
        <w:t xml:space="preserve">ATO </w:t>
      </w:r>
      <w:r w:rsidR="002F5144" w:rsidRPr="00B1515C">
        <w:t>(Web Page, 29 June 2022)</w:t>
      </w:r>
      <w:r w:rsidR="00EB55A4">
        <w:t>.</w:t>
      </w:r>
    </w:p>
  </w:footnote>
  <w:footnote w:id="372">
    <w:p w14:paraId="6A272F9F" w14:textId="2982B28C"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65" w:history="1">
        <w:r w:rsidR="002F5144" w:rsidRPr="00EB55A4">
          <w:rPr>
            <w:rStyle w:val="Hyperlink"/>
          </w:rPr>
          <w:t>Share investing versus share trading</w:t>
        </w:r>
      </w:hyperlink>
      <w:r w:rsidR="00F75232">
        <w:t>’</w:t>
      </w:r>
      <w:r w:rsidR="002F5144" w:rsidRPr="00B1515C">
        <w:t xml:space="preserve">, </w:t>
      </w:r>
      <w:r w:rsidR="002F5144" w:rsidRPr="0084535D">
        <w:rPr>
          <w:rStyle w:val="Emphasis"/>
        </w:rPr>
        <w:t xml:space="preserve">ATO </w:t>
      </w:r>
      <w:r w:rsidR="002F5144" w:rsidRPr="00B1515C">
        <w:t>(Web Page, 30 June 2023)</w:t>
      </w:r>
      <w:r w:rsidR="00185727" w:rsidRPr="00B1515C">
        <w:t>.</w:t>
      </w:r>
    </w:p>
  </w:footnote>
  <w:footnote w:id="373">
    <w:p w14:paraId="7C5AD50E" w14:textId="3C022DDD"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 xml:space="preserve">ATO, </w:t>
      </w:r>
      <w:r w:rsidR="00185727" w:rsidRPr="0084535D">
        <w:rPr>
          <w:rStyle w:val="Emphasis"/>
        </w:rPr>
        <w:t>Income tax: am I carrying on a business of primary production?</w:t>
      </w:r>
      <w:r w:rsidR="00185727" w:rsidRPr="00B1515C">
        <w:t xml:space="preserve"> (</w:t>
      </w:r>
      <w:hyperlink r:id="rId166" w:anchor=":~:text=of%20all%20changes.%5D-,What%20this%20Ruling%20is%20about,a%20business%20of%20primary%20production." w:history="1">
        <w:r w:rsidR="00185727" w:rsidRPr="00DB7364">
          <w:rPr>
            <w:rStyle w:val="Hyperlink"/>
          </w:rPr>
          <w:t>TR 97/11</w:t>
        </w:r>
      </w:hyperlink>
      <w:r w:rsidR="00185727" w:rsidRPr="00B1515C">
        <w:t>, 4 June 1997) [68].</w:t>
      </w:r>
    </w:p>
  </w:footnote>
  <w:footnote w:id="374">
    <w:p w14:paraId="716AC36B" w14:textId="0F7C45E0" w:rsidR="006F6D41" w:rsidRPr="00B1515C" w:rsidRDefault="00815763" w:rsidP="00A01254">
      <w:pPr>
        <w:pStyle w:val="FootnoteText"/>
      </w:pPr>
      <w:r w:rsidRPr="00815763">
        <w:rPr>
          <w:rStyle w:val="FootnoteReference"/>
          <w:vertAlign w:val="baseline"/>
        </w:rPr>
        <w:footnoteRef/>
      </w:r>
      <w:r w:rsidR="006F6D41" w:rsidRPr="00B1515C">
        <w:t xml:space="preserve"> </w:t>
      </w:r>
      <w:r w:rsidR="00FE31B9" w:rsidRPr="00B1515C">
        <w:tab/>
      </w:r>
      <w:r w:rsidR="006F6D41" w:rsidRPr="0084535D">
        <w:rPr>
          <w:rStyle w:val="Emphasis"/>
        </w:rPr>
        <w:t>Ferguson v. FC of T</w:t>
      </w:r>
      <w:r w:rsidR="006F6D41" w:rsidRPr="00B1515C">
        <w:t xml:space="preserve"> (1979) 37 FLR 310; </w:t>
      </w:r>
      <w:hyperlink r:id="rId167" w:history="1">
        <w:r w:rsidR="006F6D41" w:rsidRPr="00B1515C">
          <w:t>79 ATC 4261</w:t>
        </w:r>
      </w:hyperlink>
      <w:r w:rsidR="006F6D41" w:rsidRPr="00B1515C">
        <w:t>; (1979) 9 ATR 873.</w:t>
      </w:r>
    </w:p>
  </w:footnote>
  <w:footnote w:id="375">
    <w:p w14:paraId="47446404" w14:textId="412FE156"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 xml:space="preserve">ATO, </w:t>
      </w:r>
      <w:r w:rsidR="00185727" w:rsidRPr="0084535D">
        <w:rPr>
          <w:rStyle w:val="Emphasis"/>
        </w:rPr>
        <w:t>Income tax: am I carrying on a business of primary production?</w:t>
      </w:r>
      <w:r w:rsidR="00185727" w:rsidRPr="00B1515C">
        <w:t xml:space="preserve"> (</w:t>
      </w:r>
      <w:hyperlink r:id="rId168" w:anchor=":~:text=of%20all%20changes.%5D-,What%20this%20Ruling%20is%20about,a%20business%20of%20primary%20production." w:history="1">
        <w:r w:rsidR="00185727" w:rsidRPr="00DB7364">
          <w:rPr>
            <w:rStyle w:val="Hyperlink"/>
          </w:rPr>
          <w:t>TR 97/11</w:t>
        </w:r>
      </w:hyperlink>
      <w:r w:rsidR="00185727" w:rsidRPr="00B1515C">
        <w:t>, 4 June 1997) [70].</w:t>
      </w:r>
    </w:p>
  </w:footnote>
  <w:footnote w:id="376">
    <w:p w14:paraId="25BDB5D6" w14:textId="7B4FCA02"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69" w:history="1">
        <w:r w:rsidR="00DE1B9B" w:rsidRPr="00183105">
          <w:rPr>
            <w:rStyle w:val="Hyperlink"/>
          </w:rPr>
          <w:t>GAS AND FEES</w:t>
        </w:r>
      </w:hyperlink>
      <w:r w:rsidR="00F75232">
        <w:t>’</w:t>
      </w:r>
      <w:r w:rsidR="00DE1B9B" w:rsidRPr="00B1515C">
        <w:t>,</w:t>
      </w:r>
      <w:r w:rsidR="00185727" w:rsidRPr="00B1515C">
        <w:t xml:space="preserve"> </w:t>
      </w:r>
      <w:r w:rsidR="00185727" w:rsidRPr="0084535D">
        <w:rPr>
          <w:rStyle w:val="Emphasis"/>
        </w:rPr>
        <w:t xml:space="preserve">Ethereum </w:t>
      </w:r>
      <w:r w:rsidR="00185727" w:rsidRPr="00B1515C">
        <w:t>(</w:t>
      </w:r>
      <w:r w:rsidR="00665301" w:rsidRPr="00B1515C">
        <w:t>Web Page, 16</w:t>
      </w:r>
      <w:r w:rsidR="00185727" w:rsidRPr="00B1515C">
        <w:t xml:space="preserve"> August 2023</w:t>
      </w:r>
      <w:r w:rsidR="00665301" w:rsidRPr="00B1515C">
        <w:t>)</w:t>
      </w:r>
      <w:r w:rsidR="00185727" w:rsidRPr="00B1515C">
        <w:t xml:space="preserve"> </w:t>
      </w:r>
      <w:r w:rsidR="00185727" w:rsidRPr="00B1515C">
        <w:rPr>
          <w:rStyle w:val="Hyperlink"/>
          <w:color w:val="auto"/>
          <w:u w:val="none"/>
        </w:rPr>
        <w:t>explains that</w:t>
      </w:r>
      <w:r w:rsidR="00185727" w:rsidRPr="00B1515C">
        <w:t xml:space="preserve"> </w:t>
      </w:r>
      <w:r w:rsidR="00F75232">
        <w:t>‘</w:t>
      </w:r>
      <w:r w:rsidR="00185727" w:rsidRPr="00B1515C">
        <w:t>Since each Ethereum transaction requires computational resources to execute, each transaction requires a fee. Gas refers to the fee required to execute a transaction on Ethereum, regardless of transaction success or failure.</w:t>
      </w:r>
      <w:r w:rsidR="00F75232">
        <w:t>’</w:t>
      </w:r>
      <w:r w:rsidR="00183105">
        <w:t>.</w:t>
      </w:r>
    </w:p>
  </w:footnote>
  <w:footnote w:id="377">
    <w:p w14:paraId="79F5980C" w14:textId="42B1B0CC"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A10, 10.</w:t>
      </w:r>
    </w:p>
  </w:footnote>
  <w:footnote w:id="378">
    <w:p w14:paraId="5DD7053C" w14:textId="4FF6FAE2"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84535D">
        <w:rPr>
          <w:rStyle w:val="Emphasis"/>
        </w:rPr>
        <w:t>Hope v. The Council of the City of Bathurst</w:t>
      </w:r>
      <w:r w:rsidR="00185727" w:rsidRPr="00B1515C">
        <w:t xml:space="preserve"> (1980) 144 CLR 1; 80 ATC 4386; (1980) 12 ATR 231.</w:t>
      </w:r>
    </w:p>
  </w:footnote>
  <w:footnote w:id="379">
    <w:p w14:paraId="1CF0B8D3" w14:textId="7A36D907"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84535D">
        <w:rPr>
          <w:rStyle w:val="Emphasis"/>
        </w:rPr>
        <w:t>FC of T v. JR Walker</w:t>
      </w:r>
      <w:r w:rsidR="00185727" w:rsidRPr="00B1515C">
        <w:t xml:space="preserve"> 85 ATC 4179; (1985) 16 ATR 331</w:t>
      </w:r>
      <w:r w:rsidR="004B6BBE" w:rsidRPr="00B1515C">
        <w:t>.</w:t>
      </w:r>
    </w:p>
  </w:footnote>
  <w:footnote w:id="380">
    <w:p w14:paraId="15249CED" w14:textId="79A79055" w:rsidR="004B69CD" w:rsidRPr="00B1515C" w:rsidRDefault="00815763" w:rsidP="00A01254">
      <w:pPr>
        <w:pStyle w:val="FootnoteText"/>
      </w:pPr>
      <w:r w:rsidRPr="00815763">
        <w:rPr>
          <w:rStyle w:val="FootnoteReference"/>
          <w:vertAlign w:val="baseline"/>
        </w:rPr>
        <w:footnoteRef/>
      </w:r>
      <w:r w:rsidR="004B69CD" w:rsidRPr="00B1515C">
        <w:t xml:space="preserve"> </w:t>
      </w:r>
      <w:r w:rsidR="00FE31B9" w:rsidRPr="00B1515C">
        <w:tab/>
      </w:r>
      <w:r w:rsidR="006767CF" w:rsidRPr="00B1515C">
        <w:t>ATO</w:t>
      </w:r>
      <w:r w:rsidR="0084042F" w:rsidRPr="00B1515C">
        <w:t xml:space="preserve">, </w:t>
      </w:r>
      <w:r w:rsidR="004A6A36" w:rsidRPr="0084535D">
        <w:rPr>
          <w:rStyle w:val="Emphasis"/>
        </w:rPr>
        <w:t>Income tax – assessable income – business and professional income – carrying on a business</w:t>
      </w:r>
      <w:r w:rsidR="00C950F8" w:rsidRPr="00BC3190">
        <w:t xml:space="preserve"> </w:t>
      </w:r>
      <w:r w:rsidR="00FD11AA" w:rsidRPr="00B1515C">
        <w:t>(</w:t>
      </w:r>
      <w:r w:rsidR="00F144EF" w:rsidRPr="00B1515C">
        <w:t xml:space="preserve">PBR </w:t>
      </w:r>
      <w:r w:rsidR="00FD11AA" w:rsidRPr="00B1515C">
        <w:t xml:space="preserve">Authorisation Number: </w:t>
      </w:r>
      <w:r w:rsidR="001B4B59" w:rsidRPr="00B1515C">
        <w:t>5010050065720, 31 May 2018)</w:t>
      </w:r>
      <w:r w:rsidR="00BA5E47" w:rsidRPr="00B1515C">
        <w:t>.</w:t>
      </w:r>
    </w:p>
  </w:footnote>
  <w:footnote w:id="381">
    <w:p w14:paraId="59EF2AF3" w14:textId="5355EE4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 xml:space="preserve">ATO, </w:t>
      </w:r>
      <w:r w:rsidR="00185727" w:rsidRPr="0084535D">
        <w:rPr>
          <w:rStyle w:val="Emphasis"/>
        </w:rPr>
        <w:t xml:space="preserve">Income tax: whether losses on isolated transactions are deductible </w:t>
      </w:r>
      <w:r w:rsidR="00185727" w:rsidRPr="00B1515C">
        <w:t>(</w:t>
      </w:r>
      <w:hyperlink r:id="rId170" w:anchor="LawTimeLine" w:history="1">
        <w:r w:rsidR="00185727" w:rsidRPr="00DB7364">
          <w:rPr>
            <w:rStyle w:val="Hyperlink"/>
          </w:rPr>
          <w:t>TR 92/4</w:t>
        </w:r>
      </w:hyperlink>
      <w:r w:rsidR="00185727" w:rsidRPr="00B1515C">
        <w:t>, 30 July 1992) [4] sets out the circumstances under which a loss from an isolated transaction will be deductible under ITAA 1997 s 8</w:t>
      </w:r>
      <w:r w:rsidR="00F75232">
        <w:t>-</w:t>
      </w:r>
      <w:r w:rsidR="00185727" w:rsidRPr="00B1515C">
        <w:t>1.</w:t>
      </w:r>
    </w:p>
  </w:footnote>
  <w:footnote w:id="382">
    <w:p w14:paraId="474FA43D" w14:textId="16141786" w:rsidR="00185727" w:rsidRPr="00B1515C" w:rsidRDefault="00815763" w:rsidP="00A01254">
      <w:pPr>
        <w:pStyle w:val="FootnoteText"/>
        <w:rPr>
          <w:i/>
          <w:iCs/>
        </w:rPr>
      </w:pPr>
      <w:r w:rsidRPr="00815763">
        <w:rPr>
          <w:rStyle w:val="FootnoteReference"/>
          <w:vertAlign w:val="baseline"/>
        </w:rPr>
        <w:footnoteRef/>
      </w:r>
      <w:r w:rsidR="00185727" w:rsidRPr="00B1515C">
        <w:t xml:space="preserve"> </w:t>
      </w:r>
      <w:r w:rsidR="00FE31B9" w:rsidRPr="00B1515C">
        <w:tab/>
      </w:r>
      <w:r w:rsidR="00185727" w:rsidRPr="00B1515C">
        <w:t>Submission A08, 9.</w:t>
      </w:r>
    </w:p>
  </w:footnote>
  <w:footnote w:id="383">
    <w:p w14:paraId="555C8A95" w14:textId="7EDD35F1"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Former ITAA 1936 s</w:t>
      </w:r>
      <w:r w:rsidR="00ED68F9" w:rsidRPr="00B1515C">
        <w:t>ub</w:t>
      </w:r>
      <w:r w:rsidR="00F75232">
        <w:t>-</w:t>
      </w:r>
      <w:r w:rsidR="00185727" w:rsidRPr="00B1515C">
        <w:t>s 25(1) of the ITAA 1936 was replaced with ITAA 1997 s</w:t>
      </w:r>
      <w:r w:rsidR="00ED68F9" w:rsidRPr="00B1515C">
        <w:t>ub</w:t>
      </w:r>
      <w:r w:rsidR="00F75232">
        <w:t>-</w:t>
      </w:r>
      <w:r w:rsidR="00ED68F9" w:rsidRPr="00B1515C">
        <w:t>s</w:t>
      </w:r>
      <w:r w:rsidR="00185727" w:rsidRPr="00B1515C">
        <w:t>s 6</w:t>
      </w:r>
      <w:r w:rsidR="00F75232">
        <w:t>-</w:t>
      </w:r>
      <w:r w:rsidR="00185727" w:rsidRPr="00B1515C">
        <w:t>5(1), (2) a</w:t>
      </w:r>
      <w:r w:rsidR="00ED68F9" w:rsidRPr="00B1515C">
        <w:t>n</w:t>
      </w:r>
      <w:r w:rsidR="00185727" w:rsidRPr="00B1515C">
        <w:t>d (3).</w:t>
      </w:r>
    </w:p>
  </w:footnote>
  <w:footnote w:id="384">
    <w:p w14:paraId="5A3D4879" w14:textId="5D079EB5"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ITAA 1936 former s</w:t>
      </w:r>
      <w:r w:rsidR="00ED68F9" w:rsidRPr="00B1515C">
        <w:t>ub</w:t>
      </w:r>
      <w:r w:rsidR="00F75232">
        <w:t>-</w:t>
      </w:r>
      <w:r w:rsidR="00185727" w:rsidRPr="00B1515C">
        <w:t xml:space="preserve">s 26(a) was replaced with ITAA 1936 s 25A dealing with profit making undertakings and schemes for property acquired prior to 1985. </w:t>
      </w:r>
    </w:p>
  </w:footnote>
  <w:footnote w:id="385">
    <w:p w14:paraId="7C123BB2" w14:textId="2B9147BF"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ATO,</w:t>
      </w:r>
      <w:r w:rsidR="005C02DE" w:rsidRPr="00B1515C">
        <w:t xml:space="preserve"> </w:t>
      </w:r>
      <w:hyperlink r:id="rId171" w:anchor=":~:text=This%20Decision%20impact%20statement%20outlines,business%20operation%20or%20commercial%20transaction%27." w:history="1">
        <w:r w:rsidR="005C02DE" w:rsidRPr="001324AD">
          <w:rPr>
            <w:rStyle w:val="Hyperlink"/>
          </w:rPr>
          <w:t>Decision impact statement Greig v Commissioner of Taxation</w:t>
        </w:r>
      </w:hyperlink>
      <w:r w:rsidR="00185727" w:rsidRPr="00B1515C">
        <w:t xml:space="preserve"> (</w:t>
      </w:r>
      <w:r w:rsidR="000138CD" w:rsidRPr="00B1515C">
        <w:t>9 June 2022</w:t>
      </w:r>
      <w:r w:rsidR="00185727" w:rsidRPr="00B1515C">
        <w:t>)</w:t>
      </w:r>
      <w:r w:rsidR="001A5B8C">
        <w:t>.</w:t>
      </w:r>
    </w:p>
  </w:footnote>
  <w:footnote w:id="386">
    <w:p w14:paraId="62891186" w14:textId="43A94889"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4D11D0" w:rsidRPr="00B1515C">
        <w:t xml:space="preserve">TD 2014/26 </w:t>
      </w:r>
      <w:r w:rsidR="00795A41" w:rsidRPr="00B1515C">
        <w:t>(n 246)</w:t>
      </w:r>
      <w:r w:rsidR="004D2706" w:rsidRPr="00B1515C">
        <w:t xml:space="preserve"> </w:t>
      </w:r>
      <w:r w:rsidR="00185727" w:rsidRPr="00B1515C">
        <w:t>[23].</w:t>
      </w:r>
    </w:p>
  </w:footnote>
  <w:footnote w:id="387">
    <w:p w14:paraId="7ABC982A" w14:textId="77777777" w:rsidR="00076DE0" w:rsidRPr="00B1515C" w:rsidRDefault="00076DE0" w:rsidP="00A01254">
      <w:pPr>
        <w:pStyle w:val="FootnoteText"/>
      </w:pPr>
      <w:r w:rsidRPr="00815763">
        <w:rPr>
          <w:rStyle w:val="FootnoteReference"/>
          <w:vertAlign w:val="baseline"/>
        </w:rPr>
        <w:footnoteRef/>
      </w:r>
      <w:r w:rsidRPr="00B1515C">
        <w:t xml:space="preserve"> </w:t>
      </w:r>
      <w:r w:rsidRPr="00B1515C">
        <w:tab/>
        <w:t>Including Minter Ellison in Submission A18, [3.6]; KPMG in Submission A30, 9.</w:t>
      </w:r>
    </w:p>
  </w:footnote>
  <w:footnote w:id="388">
    <w:p w14:paraId="1BBE1F24" w14:textId="2BB27717"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84535D">
        <w:rPr>
          <w:rStyle w:val="Emphasis"/>
        </w:rPr>
        <w:t>Greig v Commissioner of Taxation</w:t>
      </w:r>
      <w:r w:rsidR="00185727" w:rsidRPr="00B1515C">
        <w:t xml:space="preserve"> [2020] FCAFC 25 at [246] per Steward J</w:t>
      </w:r>
      <w:r w:rsidR="000138CD" w:rsidRPr="00B1515C">
        <w:t>.</w:t>
      </w:r>
    </w:p>
  </w:footnote>
  <w:footnote w:id="389">
    <w:p w14:paraId="67BD64D8" w14:textId="465EFA61"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 xml:space="preserve">In </w:t>
      </w:r>
      <w:r w:rsidR="000138CD" w:rsidRPr="00B1515C">
        <w:t>S</w:t>
      </w:r>
      <w:r w:rsidR="00185727" w:rsidRPr="00B1515C">
        <w:t>ubmission A18, 5, Australian Bitcoin Industry Body highlighted that Bitcoin</w:t>
      </w:r>
      <w:r w:rsidR="00F75232">
        <w:t>’</w:t>
      </w:r>
      <w:r w:rsidR="00185727" w:rsidRPr="00B1515C">
        <w:t>s entire purpose is to be used to purchase items for personal use or consumption. Bitcoin provides no other utility other than to buy goods or services in the future. Bitcoin cannot be eaten, worn or even seen. This is a deliberate part of its design, and differs from gold which has non</w:t>
      </w:r>
      <w:r w:rsidR="00F75232">
        <w:t>-</w:t>
      </w:r>
      <w:r w:rsidR="00185727" w:rsidRPr="00B1515C">
        <w:t>monetary uses such as jewellery.</w:t>
      </w:r>
    </w:p>
  </w:footnote>
  <w:footnote w:id="390">
    <w:p w14:paraId="67D29838" w14:textId="24D8AFFC"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 xml:space="preserve">Submission A18 </w:t>
      </w:r>
      <w:r w:rsidR="000138CD" w:rsidRPr="00B1515C">
        <w:t>[</w:t>
      </w:r>
      <w:r w:rsidR="00185727" w:rsidRPr="00B1515C">
        <w:t>3.11</w:t>
      </w:r>
      <w:r w:rsidR="000138CD" w:rsidRPr="00B1515C">
        <w:t>]</w:t>
      </w:r>
      <w:r w:rsidR="00185727" w:rsidRPr="00B1515C">
        <w:t>.</w:t>
      </w:r>
    </w:p>
  </w:footnote>
  <w:footnote w:id="391">
    <w:p w14:paraId="6A02C888" w14:textId="19CBA620" w:rsidR="00C12C14" w:rsidRPr="00B1515C" w:rsidRDefault="00815763" w:rsidP="00A01254">
      <w:pPr>
        <w:pStyle w:val="FootnoteText"/>
      </w:pPr>
      <w:r w:rsidRPr="00815763">
        <w:rPr>
          <w:rStyle w:val="FootnoteReference"/>
          <w:vertAlign w:val="baseline"/>
        </w:rPr>
        <w:footnoteRef/>
      </w:r>
      <w:r w:rsidR="00C12C14" w:rsidRPr="00B1515C">
        <w:t xml:space="preserve"> </w:t>
      </w:r>
      <w:r w:rsidR="00FE31B9" w:rsidRPr="00B1515C">
        <w:tab/>
      </w:r>
      <w:r w:rsidR="00C12C14" w:rsidRPr="00B1515C">
        <w:t>Submission A32, 4.</w:t>
      </w:r>
    </w:p>
  </w:footnote>
  <w:footnote w:id="392">
    <w:p w14:paraId="0367CE85" w14:textId="09E3C857"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745706" w:rsidRPr="00B1515C">
        <w:t>TR 2014/27 (n 3</w:t>
      </w:r>
      <w:r w:rsidR="00856920" w:rsidRPr="00B1515C">
        <w:t>29</w:t>
      </w:r>
      <w:r w:rsidR="00745706" w:rsidRPr="00B1515C">
        <w:t>)</w:t>
      </w:r>
      <w:r w:rsidR="00185727" w:rsidRPr="00B1515C">
        <w:t xml:space="preserve"> </w:t>
      </w:r>
      <w:r w:rsidR="00A824C4" w:rsidRPr="00B1515C">
        <w:t>fn</w:t>
      </w:r>
      <w:r w:rsidR="00185727" w:rsidRPr="00B1515C">
        <w:t xml:space="preserve"> 21.</w:t>
      </w:r>
    </w:p>
  </w:footnote>
  <w:footnote w:id="393">
    <w:p w14:paraId="406A8162" w14:textId="17834AFA"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72" w:history="1">
        <w:r w:rsidR="00AF197C" w:rsidRPr="00A47DA0">
          <w:rPr>
            <w:rStyle w:val="Hyperlink"/>
          </w:rPr>
          <w:t>What</w:t>
        </w:r>
        <w:r w:rsidR="00F75232" w:rsidRPr="00A47DA0">
          <w:rPr>
            <w:rStyle w:val="Hyperlink"/>
          </w:rPr>
          <w:t>’</w:t>
        </w:r>
        <w:r w:rsidR="00AF197C" w:rsidRPr="00A47DA0">
          <w:rPr>
            <w:rStyle w:val="Hyperlink"/>
          </w:rPr>
          <w:t>s unique about ETH?</w:t>
        </w:r>
      </w:hyperlink>
      <w:r w:rsidR="00F75232">
        <w:t>’</w:t>
      </w:r>
      <w:r w:rsidR="00AF197C" w:rsidRPr="00B1515C">
        <w:t xml:space="preserve">, </w:t>
      </w:r>
      <w:r w:rsidR="003168F7" w:rsidRPr="0084535D">
        <w:rPr>
          <w:rStyle w:val="Emphasis"/>
        </w:rPr>
        <w:t xml:space="preserve">Ethereum </w:t>
      </w:r>
      <w:r w:rsidR="003168F7" w:rsidRPr="00B1515C">
        <w:t>(Web Page, 26 October 2023)</w:t>
      </w:r>
      <w:r w:rsidR="00A47DA0">
        <w:t>.</w:t>
      </w:r>
    </w:p>
  </w:footnote>
  <w:footnote w:id="394">
    <w:p w14:paraId="55334871" w14:textId="334EE45C" w:rsidR="002072AE" w:rsidRPr="00B1515C" w:rsidRDefault="00815763" w:rsidP="00A01254">
      <w:pPr>
        <w:pStyle w:val="FootnoteText"/>
      </w:pPr>
      <w:r w:rsidRPr="00815763">
        <w:rPr>
          <w:rStyle w:val="FootnoteReference"/>
          <w:vertAlign w:val="baseline"/>
        </w:rPr>
        <w:footnoteRef/>
      </w:r>
      <w:r w:rsidR="002072AE" w:rsidRPr="00B1515C">
        <w:t xml:space="preserve"> </w:t>
      </w:r>
      <w:r w:rsidR="00FE31B9" w:rsidRPr="00B1515C">
        <w:tab/>
      </w:r>
      <w:r w:rsidR="005029E4" w:rsidRPr="0084535D">
        <w:rPr>
          <w:rStyle w:val="Emphasis"/>
        </w:rPr>
        <w:t xml:space="preserve">Income Tax Act 2007 </w:t>
      </w:r>
      <w:r w:rsidR="00157B17" w:rsidRPr="00B1515C">
        <w:t>(NZ) s</w:t>
      </w:r>
      <w:r w:rsidR="00757CE9" w:rsidRPr="00B1515C">
        <w:t xml:space="preserve"> </w:t>
      </w:r>
      <w:r w:rsidR="00157B17" w:rsidRPr="00B1515C">
        <w:t>CB 4.</w:t>
      </w:r>
    </w:p>
  </w:footnote>
  <w:footnote w:id="395">
    <w:p w14:paraId="50F267DD" w14:textId="405C0E7A"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73" w:history="1">
        <w:r w:rsidR="00747380" w:rsidRPr="001A39CA">
          <w:rPr>
            <w:rStyle w:val="Hyperlink"/>
          </w:rPr>
          <w:t>Acquiring cryptoassets to sell or exchange</w:t>
        </w:r>
      </w:hyperlink>
      <w:r w:rsidR="00F75232">
        <w:t>’</w:t>
      </w:r>
      <w:r w:rsidR="00747380" w:rsidRPr="00B1515C">
        <w:t xml:space="preserve">, </w:t>
      </w:r>
      <w:r w:rsidR="00185727" w:rsidRPr="0084535D">
        <w:rPr>
          <w:rStyle w:val="Emphasis"/>
        </w:rPr>
        <w:t>Inland Revenue</w:t>
      </w:r>
      <w:r w:rsidR="00747380" w:rsidRPr="00B1515C">
        <w:t xml:space="preserve"> (Web Page, 30 August 2022)</w:t>
      </w:r>
      <w:r w:rsidR="001A39CA">
        <w:t>.</w:t>
      </w:r>
    </w:p>
  </w:footnote>
  <w:footnote w:id="396">
    <w:p w14:paraId="7E876C43" w14:textId="67364D0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74" w:history="1">
        <w:r w:rsidR="0093492B" w:rsidRPr="001A39CA">
          <w:rPr>
            <w:rStyle w:val="Hyperlink"/>
          </w:rPr>
          <w:t>CRYPTO20050 – Cryptoassets for individuals: which taxes apply</w:t>
        </w:r>
      </w:hyperlink>
      <w:r w:rsidR="00F75232">
        <w:t>’</w:t>
      </w:r>
      <w:r w:rsidR="00463567" w:rsidRPr="00B1515C">
        <w:t xml:space="preserve">, </w:t>
      </w:r>
      <w:r w:rsidR="00463567" w:rsidRPr="0084535D">
        <w:rPr>
          <w:rStyle w:val="Emphasis"/>
        </w:rPr>
        <w:t xml:space="preserve">HM Revenue &amp; Customs </w:t>
      </w:r>
      <w:r w:rsidR="00463567" w:rsidRPr="00B1515C">
        <w:t>(Web Page, 21</w:t>
      </w:r>
      <w:r w:rsidR="00D23659">
        <w:t> </w:t>
      </w:r>
      <w:r w:rsidR="00463567" w:rsidRPr="00B1515C">
        <w:t>August</w:t>
      </w:r>
      <w:r w:rsidR="00D23659">
        <w:t> </w:t>
      </w:r>
      <w:r w:rsidR="00185727" w:rsidRPr="00B1515C">
        <w:t>2023)</w:t>
      </w:r>
      <w:r w:rsidR="001A39CA">
        <w:t>.</w:t>
      </w:r>
    </w:p>
  </w:footnote>
  <w:footnote w:id="397">
    <w:p w14:paraId="1334CC3B" w14:textId="7264E847"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75" w:history="1">
        <w:r w:rsidR="00DE2B87" w:rsidRPr="001A39CA">
          <w:rPr>
            <w:rStyle w:val="Hyperlink"/>
          </w:rPr>
          <w:t>Information for crypto</w:t>
        </w:r>
        <w:r w:rsidR="00F75232" w:rsidRPr="001A39CA">
          <w:rPr>
            <w:rStyle w:val="Hyperlink"/>
          </w:rPr>
          <w:t>-</w:t>
        </w:r>
        <w:r w:rsidR="00DE2B87" w:rsidRPr="001A39CA">
          <w:rPr>
            <w:rStyle w:val="Hyperlink"/>
          </w:rPr>
          <w:t>asset users and tax professionals</w:t>
        </w:r>
      </w:hyperlink>
      <w:r w:rsidR="00F75232">
        <w:t>’</w:t>
      </w:r>
      <w:r w:rsidR="00DE2B87" w:rsidRPr="00B1515C">
        <w:t xml:space="preserve">, </w:t>
      </w:r>
      <w:r w:rsidR="00DE2B87" w:rsidRPr="0084535D">
        <w:rPr>
          <w:rStyle w:val="Emphasis"/>
        </w:rPr>
        <w:t xml:space="preserve">Canada Revenue Agency </w:t>
      </w:r>
      <w:r w:rsidR="00DE2B87" w:rsidRPr="00B1515C">
        <w:t xml:space="preserve">(Web Page, </w:t>
      </w:r>
      <w:r w:rsidR="00A01C2A" w:rsidRPr="00B1515C">
        <w:t>13 December 2023)</w:t>
      </w:r>
      <w:r w:rsidR="001A39CA">
        <w:t>.</w:t>
      </w:r>
    </w:p>
  </w:footnote>
  <w:footnote w:id="398">
    <w:p w14:paraId="44BE77A9" w14:textId="16E2A30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rPr>
          <w:rFonts w:cs="Calibri"/>
          <w:color w:val="000000"/>
          <w:sz w:val="20"/>
          <w:szCs w:val="20"/>
        </w:rPr>
        <w:t>Internal Revenue Service (IRS),</w:t>
      </w:r>
      <w:r w:rsidR="00185727" w:rsidRPr="0084535D">
        <w:rPr>
          <w:rStyle w:val="Emphasis"/>
        </w:rPr>
        <w:t xml:space="preserve"> IRS Virtual Currency Guidance</w:t>
      </w:r>
      <w:r w:rsidR="00185727" w:rsidRPr="00B1515C">
        <w:rPr>
          <w:rFonts w:cs="Calibri"/>
          <w:color w:val="000000"/>
          <w:sz w:val="20"/>
          <w:szCs w:val="20"/>
        </w:rPr>
        <w:t xml:space="preserve"> (</w:t>
      </w:r>
      <w:hyperlink r:id="rId176" w:anchor="NOT-2014-21" w:history="1">
        <w:r w:rsidR="00185727" w:rsidRPr="00DB7364">
          <w:rPr>
            <w:rStyle w:val="Hyperlink"/>
          </w:rPr>
          <w:t>Notice 2014</w:t>
        </w:r>
        <w:r w:rsidR="00F75232">
          <w:rPr>
            <w:rStyle w:val="Hyperlink"/>
          </w:rPr>
          <w:t>-</w:t>
        </w:r>
        <w:r w:rsidR="00185727" w:rsidRPr="00DB7364">
          <w:rPr>
            <w:rStyle w:val="Hyperlink"/>
          </w:rPr>
          <w:t>21</w:t>
        </w:r>
      </w:hyperlink>
      <w:r w:rsidR="00185727" w:rsidRPr="00B1515C">
        <w:rPr>
          <w:rFonts w:cs="Calibri"/>
          <w:color w:val="000000"/>
          <w:sz w:val="20"/>
          <w:szCs w:val="20"/>
        </w:rPr>
        <w:t>, 14 April 2021)</w:t>
      </w:r>
      <w:r w:rsidR="00B85ED7" w:rsidRPr="00B1515C">
        <w:rPr>
          <w:rFonts w:cs="Calibri"/>
          <w:color w:val="000000"/>
          <w:sz w:val="20"/>
          <w:szCs w:val="20"/>
        </w:rPr>
        <w:t>.</w:t>
      </w:r>
    </w:p>
    <w:p w14:paraId="5A0163F6" w14:textId="77777777" w:rsidR="00185727" w:rsidRPr="00B1515C" w:rsidRDefault="00185727" w:rsidP="00A01254">
      <w:pPr>
        <w:pStyle w:val="FootnoteText"/>
      </w:pPr>
    </w:p>
  </w:footnote>
  <w:footnote w:id="399">
    <w:p w14:paraId="56C1FF11" w14:textId="28CF5F42" w:rsidR="00185727" w:rsidRPr="00B1515C" w:rsidRDefault="00815763" w:rsidP="00A01254">
      <w:pPr>
        <w:pStyle w:val="FootnoteText"/>
      </w:pPr>
      <w:r w:rsidRPr="00815763">
        <w:rPr>
          <w:rStyle w:val="FootnoteReference"/>
          <w:vertAlign w:val="baseline"/>
        </w:rPr>
        <w:footnoteRef/>
      </w:r>
      <w:r w:rsidR="008C4718" w:rsidRPr="00B1515C">
        <w:t xml:space="preserve"> </w:t>
      </w:r>
      <w:r w:rsidR="00955633" w:rsidRPr="00B1515C">
        <w:tab/>
      </w:r>
      <w:r w:rsidR="00935571" w:rsidRPr="00B1515C">
        <w:t>ITAA 1997 s</w:t>
      </w:r>
      <w:r w:rsidR="00205D15" w:rsidRPr="00B1515C">
        <w:t xml:space="preserve"> 108</w:t>
      </w:r>
      <w:r w:rsidR="00F75232">
        <w:t>-</w:t>
      </w:r>
      <w:r w:rsidR="00205D15" w:rsidRPr="00B1515C">
        <w:t>5</w:t>
      </w:r>
      <w:r w:rsidR="00935571" w:rsidRPr="00B1515C">
        <w:t>.</w:t>
      </w:r>
      <w:r w:rsidR="00205D15" w:rsidRPr="00B1515C">
        <w:t xml:space="preserve"> </w:t>
      </w:r>
    </w:p>
  </w:footnote>
  <w:footnote w:id="400">
    <w:p w14:paraId="6DFA1C37" w14:textId="11BB5974"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ITAA 1997 s</w:t>
      </w:r>
      <w:r w:rsidR="00FB2657" w:rsidRPr="00B1515C">
        <w:t>ub</w:t>
      </w:r>
      <w:r w:rsidR="00F75232">
        <w:t>-</w:t>
      </w:r>
      <w:r w:rsidR="00185727" w:rsidRPr="00B1515C">
        <w:t>s 104</w:t>
      </w:r>
      <w:r w:rsidR="00F75232">
        <w:t>-</w:t>
      </w:r>
      <w:r w:rsidR="00185727" w:rsidRPr="00B1515C">
        <w:t>10(3).</w:t>
      </w:r>
    </w:p>
  </w:footnote>
  <w:footnote w:id="401">
    <w:p w14:paraId="5E7F3092" w14:textId="487DFB15" w:rsidR="002508A3" w:rsidRPr="00B1515C" w:rsidRDefault="00815763" w:rsidP="00A01254">
      <w:pPr>
        <w:pStyle w:val="FootnoteText"/>
      </w:pPr>
      <w:r w:rsidRPr="00815763">
        <w:rPr>
          <w:rStyle w:val="FootnoteReference"/>
          <w:vertAlign w:val="baseline"/>
        </w:rPr>
        <w:footnoteRef/>
      </w:r>
      <w:r w:rsidR="002508A3" w:rsidRPr="00B1515C">
        <w:t xml:space="preserve"> </w:t>
      </w:r>
      <w:r w:rsidR="00FE31B9" w:rsidRPr="00B1515C">
        <w:tab/>
      </w:r>
      <w:r w:rsidR="009E71C3" w:rsidRPr="00B1515C">
        <w:t>ITAA 1997 s 110</w:t>
      </w:r>
      <w:r w:rsidR="00F75232">
        <w:t>-</w:t>
      </w:r>
      <w:r w:rsidR="009E71C3" w:rsidRPr="00B1515C">
        <w:t>55</w:t>
      </w:r>
      <w:r w:rsidR="002508A3" w:rsidRPr="00B1515C">
        <w:t xml:space="preserve"> </w:t>
      </w:r>
      <w:r w:rsidR="009E71C3" w:rsidRPr="00B1515C">
        <w:t xml:space="preserve">sets out that the </w:t>
      </w:r>
      <w:r w:rsidR="00721588" w:rsidRPr="00B1515C">
        <w:t>elements of the</w:t>
      </w:r>
      <w:r w:rsidR="009E71C3" w:rsidRPr="00B1515C">
        <w:t xml:space="preserve"> reduced cost base of a CGT </w:t>
      </w:r>
      <w:r w:rsidR="00721588" w:rsidRPr="00B1515C">
        <w:t>asset is the same as the elements of cost base, except for the third element</w:t>
      </w:r>
      <w:r w:rsidR="007A1AE8" w:rsidRPr="00B1515C">
        <w:t xml:space="preserve">. </w:t>
      </w:r>
    </w:p>
  </w:footnote>
  <w:footnote w:id="402">
    <w:p w14:paraId="2F194938" w14:textId="15A1383A"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BE4A85" w:rsidRPr="00B1515C">
        <w:t>ITAA 1997 s</w:t>
      </w:r>
      <w:r w:rsidR="00185727" w:rsidRPr="00B1515C">
        <w:t xml:space="preserve"> 116</w:t>
      </w:r>
      <w:r w:rsidR="00F75232">
        <w:t>-</w:t>
      </w:r>
      <w:r w:rsidR="00185727" w:rsidRPr="00B1515C">
        <w:t>10, capital proceeds may be modified under rules for market value substitution; apportionment; non</w:t>
      </w:r>
      <w:r w:rsidR="00F75232">
        <w:t>-</w:t>
      </w:r>
      <w:r w:rsidR="00185727" w:rsidRPr="00B1515C">
        <w:t>receipt; repaid; and misappropriation.</w:t>
      </w:r>
    </w:p>
  </w:footnote>
  <w:footnote w:id="403">
    <w:p w14:paraId="781AAEA6" w14:textId="62BCBFCF"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BE4A85" w:rsidRPr="00B1515C">
        <w:t>ITAA 1997 sub</w:t>
      </w:r>
      <w:r w:rsidR="00F75232">
        <w:t>-</w:t>
      </w:r>
      <w:r w:rsidR="00BE4A85" w:rsidRPr="00B1515C">
        <w:t>div</w:t>
      </w:r>
      <w:r w:rsidR="00185727" w:rsidRPr="00B1515C">
        <w:t xml:space="preserve"> 112</w:t>
      </w:r>
      <w:r w:rsidR="00F75232">
        <w:t>-</w:t>
      </w:r>
      <w:r w:rsidR="00185727" w:rsidRPr="00B1515C">
        <w:t>A, cost base must be modified under market value substitution; split, changed or merged assets; apportionment; assumption of liability rule; acquisitions of assets involving look</w:t>
      </w:r>
      <w:r w:rsidR="00F75232">
        <w:t>-</w:t>
      </w:r>
      <w:r w:rsidR="00185727" w:rsidRPr="00B1515C">
        <w:t>through earnout rights; and put options.</w:t>
      </w:r>
    </w:p>
  </w:footnote>
  <w:footnote w:id="404">
    <w:p w14:paraId="32AB172F" w14:textId="5DB18B2E" w:rsidR="00185727" w:rsidRPr="00B1515C" w:rsidRDefault="00815763" w:rsidP="00A01254">
      <w:pPr>
        <w:pStyle w:val="FootnoteText"/>
        <w:rPr>
          <w:lang w:val="es-ES"/>
        </w:rPr>
      </w:pPr>
      <w:r w:rsidRPr="00815763">
        <w:rPr>
          <w:rStyle w:val="FootnoteReference"/>
          <w:sz w:val="18"/>
          <w:szCs w:val="18"/>
          <w:vertAlign w:val="baseline"/>
        </w:rPr>
        <w:footnoteRef/>
      </w:r>
      <w:r w:rsidR="00185727" w:rsidRPr="00B1515C">
        <w:rPr>
          <w:lang w:val="es-ES"/>
        </w:rPr>
        <w:t xml:space="preserve"> </w:t>
      </w:r>
      <w:r w:rsidR="00FE31B9" w:rsidRPr="00B1515C">
        <w:rPr>
          <w:lang w:val="es-ES"/>
        </w:rPr>
        <w:tab/>
      </w:r>
      <w:r w:rsidR="006A22C8" w:rsidRPr="00B1515C">
        <w:rPr>
          <w:rFonts w:cs="Calibri"/>
          <w:color w:val="000000"/>
        </w:rPr>
        <w:t>ATO</w:t>
      </w:r>
      <w:r w:rsidR="00185727" w:rsidRPr="00B1515C">
        <w:rPr>
          <w:rFonts w:cs="Calibri"/>
          <w:color w:val="000000"/>
        </w:rPr>
        <w:t xml:space="preserve">, </w:t>
      </w:r>
      <w:r w:rsidR="00185727" w:rsidRPr="0084535D">
        <w:rPr>
          <w:rStyle w:val="Emphasis"/>
        </w:rPr>
        <w:t xml:space="preserve">Capital Gains: How do you identify individual shares within a holding of identical shares? </w:t>
      </w:r>
      <w:r w:rsidR="00185727" w:rsidRPr="00B1515C">
        <w:rPr>
          <w:rFonts w:cs="Calibri"/>
          <w:color w:val="000000"/>
        </w:rPr>
        <w:t>(</w:t>
      </w:r>
      <w:hyperlink r:id="rId177" w:history="1">
        <w:r w:rsidR="00185727" w:rsidRPr="00216B11">
          <w:rPr>
            <w:rStyle w:val="Hyperlink"/>
            <w:rFonts w:cs="Calibri"/>
          </w:rPr>
          <w:t>TD 33</w:t>
        </w:r>
      </w:hyperlink>
      <w:r w:rsidR="00185727" w:rsidRPr="00B1515C">
        <w:rPr>
          <w:rFonts w:cs="Calibri"/>
          <w:color w:val="000000"/>
        </w:rPr>
        <w:t xml:space="preserve">, </w:t>
      </w:r>
      <w:r w:rsidR="00FE53CB">
        <w:rPr>
          <w:rFonts w:cs="Calibri"/>
          <w:color w:val="000000"/>
        </w:rPr>
        <w:br/>
      </w:r>
      <w:r w:rsidR="00185727" w:rsidRPr="00B1515C">
        <w:rPr>
          <w:rFonts w:cs="Calibri"/>
          <w:color w:val="000000"/>
        </w:rPr>
        <w:t xml:space="preserve">19 December 1991) </w:t>
      </w:r>
      <w:r w:rsidR="006A22C8" w:rsidRPr="00B1515C">
        <w:rPr>
          <w:lang w:val="es-ES"/>
        </w:rPr>
        <w:t>[</w:t>
      </w:r>
      <w:r w:rsidR="00185727" w:rsidRPr="00B1515C">
        <w:rPr>
          <w:lang w:val="es-ES"/>
        </w:rPr>
        <w:t>1</w:t>
      </w:r>
      <w:r w:rsidR="006A22C8" w:rsidRPr="00B1515C">
        <w:rPr>
          <w:lang w:val="es-ES"/>
        </w:rPr>
        <w:t>]</w:t>
      </w:r>
      <w:r w:rsidR="00900DA3" w:rsidRPr="00B1515C">
        <w:rPr>
          <w:lang w:val="es-ES"/>
        </w:rPr>
        <w:t xml:space="preserve"> (</w:t>
      </w:r>
      <w:r w:rsidR="00F75232">
        <w:rPr>
          <w:lang w:val="es-ES"/>
        </w:rPr>
        <w:t>‘</w:t>
      </w:r>
      <w:r w:rsidR="00900DA3" w:rsidRPr="00B1515C">
        <w:rPr>
          <w:lang w:val="es-ES"/>
        </w:rPr>
        <w:t>TD 33</w:t>
      </w:r>
      <w:r w:rsidR="00F75232">
        <w:rPr>
          <w:lang w:val="es-ES"/>
        </w:rPr>
        <w:t>’</w:t>
      </w:r>
      <w:r w:rsidR="00900DA3" w:rsidRPr="00B1515C">
        <w:rPr>
          <w:lang w:val="es-ES"/>
        </w:rPr>
        <w:t>)</w:t>
      </w:r>
      <w:r w:rsidR="006A22C8" w:rsidRPr="00B1515C">
        <w:rPr>
          <w:lang w:val="es-ES"/>
        </w:rPr>
        <w:t>.</w:t>
      </w:r>
    </w:p>
  </w:footnote>
  <w:footnote w:id="405">
    <w:p w14:paraId="68A529BB" w14:textId="588B977A" w:rsidR="00185727" w:rsidRPr="00B1515C" w:rsidRDefault="00815763" w:rsidP="00A01254">
      <w:pPr>
        <w:pStyle w:val="FootnoteText"/>
        <w:rPr>
          <w:lang w:val="es-ES"/>
        </w:rPr>
      </w:pPr>
      <w:r w:rsidRPr="00815763">
        <w:rPr>
          <w:rStyle w:val="FootnoteReference"/>
          <w:sz w:val="18"/>
          <w:szCs w:val="18"/>
          <w:vertAlign w:val="baseline"/>
        </w:rPr>
        <w:footnoteRef/>
      </w:r>
      <w:r w:rsidR="00185727" w:rsidRPr="00B1515C">
        <w:rPr>
          <w:lang w:val="es-ES"/>
        </w:rPr>
        <w:t xml:space="preserve"> </w:t>
      </w:r>
      <w:r w:rsidR="00FE31B9" w:rsidRPr="00B1515C">
        <w:rPr>
          <w:lang w:val="es-ES"/>
        </w:rPr>
        <w:tab/>
      </w:r>
      <w:r w:rsidR="00C87CDE" w:rsidRPr="00B1515C">
        <w:rPr>
          <w:rFonts w:cs="Calibri"/>
          <w:color w:val="000000"/>
        </w:rPr>
        <w:t>TD 33</w:t>
      </w:r>
      <w:r w:rsidR="00185727" w:rsidRPr="00B1515C">
        <w:rPr>
          <w:rFonts w:cs="Calibri"/>
          <w:color w:val="000000"/>
        </w:rPr>
        <w:t xml:space="preserve"> </w:t>
      </w:r>
      <w:r w:rsidR="00795A41" w:rsidRPr="00B1515C">
        <w:rPr>
          <w:rFonts w:cs="Calibri"/>
          <w:color w:val="000000"/>
        </w:rPr>
        <w:t>(n 403)</w:t>
      </w:r>
      <w:r w:rsidR="00C87CDE" w:rsidRPr="00B1515C">
        <w:rPr>
          <w:rFonts w:cs="Calibri"/>
          <w:color w:val="000000"/>
        </w:rPr>
        <w:t xml:space="preserve"> </w:t>
      </w:r>
      <w:r w:rsidR="006A22C8" w:rsidRPr="00B1515C">
        <w:rPr>
          <w:lang w:val="es-ES"/>
        </w:rPr>
        <w:t>[</w:t>
      </w:r>
      <w:r w:rsidR="00185727" w:rsidRPr="00B1515C">
        <w:rPr>
          <w:lang w:val="es-ES"/>
        </w:rPr>
        <w:t>3</w:t>
      </w:r>
      <w:r w:rsidR="006A22C8" w:rsidRPr="00B1515C">
        <w:rPr>
          <w:lang w:val="es-ES"/>
        </w:rPr>
        <w:t>].</w:t>
      </w:r>
    </w:p>
  </w:footnote>
  <w:footnote w:id="406">
    <w:p w14:paraId="233EEBF6" w14:textId="4E788793" w:rsidR="00185727" w:rsidRPr="00B1515C" w:rsidRDefault="00815763" w:rsidP="00A01254">
      <w:pPr>
        <w:pStyle w:val="FootnoteText"/>
        <w:rPr>
          <w:lang w:val="es-ES"/>
        </w:rPr>
      </w:pPr>
      <w:r w:rsidRPr="00815763">
        <w:rPr>
          <w:rStyle w:val="FootnoteReference"/>
          <w:sz w:val="18"/>
          <w:szCs w:val="18"/>
          <w:vertAlign w:val="baseline"/>
        </w:rPr>
        <w:footnoteRef/>
      </w:r>
      <w:r w:rsidR="00185727" w:rsidRPr="00B1515C">
        <w:rPr>
          <w:lang w:val="es-ES"/>
        </w:rPr>
        <w:t xml:space="preserve"> </w:t>
      </w:r>
      <w:r w:rsidR="00FE31B9" w:rsidRPr="00B1515C">
        <w:rPr>
          <w:lang w:val="es-ES"/>
        </w:rPr>
        <w:tab/>
      </w:r>
      <w:r w:rsidR="00C87CDE" w:rsidRPr="00B1515C">
        <w:rPr>
          <w:rFonts w:cs="Calibri"/>
          <w:color w:val="000000"/>
        </w:rPr>
        <w:t xml:space="preserve">TD 33 </w:t>
      </w:r>
      <w:r w:rsidR="00795A41" w:rsidRPr="00B1515C">
        <w:rPr>
          <w:rFonts w:cs="Calibri"/>
          <w:color w:val="000000"/>
        </w:rPr>
        <w:t>(n 403)</w:t>
      </w:r>
      <w:r w:rsidR="00C87CDE" w:rsidRPr="00B1515C">
        <w:rPr>
          <w:rFonts w:cs="Calibri"/>
          <w:color w:val="000000"/>
        </w:rPr>
        <w:t xml:space="preserve"> </w:t>
      </w:r>
      <w:r w:rsidR="006A22C8" w:rsidRPr="00B1515C">
        <w:rPr>
          <w:rFonts w:cs="Calibri"/>
          <w:color w:val="000000"/>
        </w:rPr>
        <w:t>[</w:t>
      </w:r>
      <w:r w:rsidR="00185727" w:rsidRPr="00B1515C">
        <w:rPr>
          <w:lang w:val="es-ES"/>
        </w:rPr>
        <w:t>4</w:t>
      </w:r>
      <w:r w:rsidR="006A22C8" w:rsidRPr="00B1515C">
        <w:rPr>
          <w:lang w:val="es-ES"/>
        </w:rPr>
        <w:t>].</w:t>
      </w:r>
    </w:p>
  </w:footnote>
  <w:footnote w:id="407">
    <w:p w14:paraId="3FEF0DF7" w14:textId="5C3C1257"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C87CDE" w:rsidRPr="00B1515C">
        <w:rPr>
          <w:rFonts w:cs="Calibri"/>
          <w:color w:val="000000"/>
        </w:rPr>
        <w:t xml:space="preserve">TD 33 </w:t>
      </w:r>
      <w:r w:rsidR="00795A41" w:rsidRPr="00B1515C">
        <w:rPr>
          <w:rFonts w:cs="Calibri"/>
          <w:color w:val="000000"/>
        </w:rPr>
        <w:t>(n 403)</w:t>
      </w:r>
      <w:r w:rsidR="00C87CDE" w:rsidRPr="00B1515C">
        <w:rPr>
          <w:rFonts w:cs="Calibri"/>
          <w:color w:val="000000"/>
        </w:rPr>
        <w:t xml:space="preserve"> </w:t>
      </w:r>
      <w:r w:rsidR="006A22C8" w:rsidRPr="00B1515C">
        <w:rPr>
          <w:rFonts w:cs="Calibri"/>
          <w:color w:val="000000"/>
          <w:sz w:val="20"/>
          <w:szCs w:val="20"/>
        </w:rPr>
        <w:t>[</w:t>
      </w:r>
      <w:r w:rsidR="00185727" w:rsidRPr="00B1515C">
        <w:rPr>
          <w:rFonts w:cs="Calibri"/>
          <w:color w:val="000000"/>
          <w:sz w:val="20"/>
          <w:szCs w:val="20"/>
        </w:rPr>
        <w:t>5</w:t>
      </w:r>
      <w:r w:rsidR="006A22C8" w:rsidRPr="00B1515C">
        <w:rPr>
          <w:rFonts w:cs="Calibri"/>
          <w:color w:val="000000"/>
          <w:sz w:val="20"/>
          <w:szCs w:val="20"/>
        </w:rPr>
        <w:t>].</w:t>
      </w:r>
    </w:p>
  </w:footnote>
  <w:footnote w:id="408">
    <w:p w14:paraId="50F78F27" w14:textId="0C3F7D02"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78" w:anchor="ato-Capitalgainstaxonthesalesofsharesorunits" w:history="1">
        <w:r w:rsidR="00EF2440" w:rsidRPr="009440C1">
          <w:rPr>
            <w:rStyle w:val="Hyperlink"/>
          </w:rPr>
          <w:t>Tax time too</w:t>
        </w:r>
        <w:r w:rsidR="00080F54" w:rsidRPr="009440C1">
          <w:rPr>
            <w:rStyle w:val="Hyperlink"/>
          </w:rPr>
          <w:t>l</w:t>
        </w:r>
        <w:r w:rsidR="00EF2440" w:rsidRPr="009440C1">
          <w:rPr>
            <w:rStyle w:val="Hyperlink"/>
          </w:rPr>
          <w:t>kit for investors</w:t>
        </w:r>
      </w:hyperlink>
      <w:r w:rsidR="00F75232">
        <w:t>’</w:t>
      </w:r>
      <w:r w:rsidR="00EF2440" w:rsidRPr="00B1515C">
        <w:t xml:space="preserve">, </w:t>
      </w:r>
      <w:r w:rsidR="00EF2440" w:rsidRPr="0084535D">
        <w:rPr>
          <w:rStyle w:val="Emphasis"/>
        </w:rPr>
        <w:t xml:space="preserve">ATO </w:t>
      </w:r>
      <w:r w:rsidR="00EF2440" w:rsidRPr="00B1515C">
        <w:t xml:space="preserve">(Web Page, </w:t>
      </w:r>
      <w:r w:rsidR="00080F54" w:rsidRPr="00B1515C">
        <w:t>2 June 2023).</w:t>
      </w:r>
    </w:p>
  </w:footnote>
  <w:footnote w:id="409">
    <w:p w14:paraId="443B9D84" w14:textId="65CD07CF"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A20, 17</w:t>
      </w:r>
      <w:r w:rsidR="00080F54" w:rsidRPr="00B1515C">
        <w:t>.</w:t>
      </w:r>
    </w:p>
  </w:footnote>
  <w:footnote w:id="410">
    <w:p w14:paraId="3E169C55" w14:textId="5D1D3481"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84535D">
        <w:rPr>
          <w:rStyle w:val="Emphasis"/>
        </w:rPr>
        <w:t>Income Tax Act R.S.C., 1985,</w:t>
      </w:r>
      <w:r w:rsidR="00185727" w:rsidRPr="00B1515C">
        <w:t xml:space="preserve"> c. 1 (5th Supp.)</w:t>
      </w:r>
      <w:r w:rsidR="00DB1A53" w:rsidRPr="00B1515C">
        <w:t xml:space="preserve"> s 47.</w:t>
      </w:r>
    </w:p>
  </w:footnote>
  <w:footnote w:id="411">
    <w:p w14:paraId="04783862" w14:textId="07129D9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DB1A53" w:rsidRPr="00B1515C">
        <w:rPr>
          <w:rFonts w:cs="Calibri"/>
          <w:color w:val="000000"/>
        </w:rPr>
        <w:t xml:space="preserve">TD 33 </w:t>
      </w:r>
      <w:r w:rsidR="00795A41" w:rsidRPr="00B1515C">
        <w:rPr>
          <w:rFonts w:cs="Calibri"/>
          <w:color w:val="000000"/>
        </w:rPr>
        <w:t>(n 403)</w:t>
      </w:r>
      <w:r w:rsidR="00DB1A53" w:rsidRPr="00B1515C">
        <w:rPr>
          <w:rFonts w:cs="Calibri"/>
          <w:color w:val="000000"/>
        </w:rPr>
        <w:t xml:space="preserve"> </w:t>
      </w:r>
      <w:r w:rsidR="00C82E85" w:rsidRPr="00B1515C">
        <w:rPr>
          <w:sz w:val="20"/>
          <w:szCs w:val="20"/>
          <w:lang w:val="es-ES"/>
        </w:rPr>
        <w:t>[</w:t>
      </w:r>
      <w:r w:rsidR="00185727" w:rsidRPr="00B1515C">
        <w:t>5</w:t>
      </w:r>
      <w:r w:rsidR="00C82E85" w:rsidRPr="00B1515C">
        <w:t>].</w:t>
      </w:r>
    </w:p>
  </w:footnote>
  <w:footnote w:id="412">
    <w:p w14:paraId="1317B05E" w14:textId="3E469812" w:rsidR="00185727" w:rsidRPr="00B1515C" w:rsidRDefault="00815763" w:rsidP="00A01254">
      <w:pPr>
        <w:pStyle w:val="FootnoteText"/>
        <w:rPr>
          <w:i/>
          <w:iCs/>
        </w:rPr>
      </w:pPr>
      <w:r w:rsidRPr="00815763">
        <w:rPr>
          <w:rStyle w:val="FootnoteReference"/>
          <w:vertAlign w:val="baseline"/>
        </w:rPr>
        <w:footnoteRef/>
      </w:r>
      <w:r w:rsidR="00185727" w:rsidRPr="00B1515C">
        <w:t xml:space="preserve"> </w:t>
      </w:r>
      <w:r w:rsidR="00FE31B9" w:rsidRPr="00B1515C">
        <w:tab/>
      </w:r>
      <w:r w:rsidR="00185727" w:rsidRPr="00B1515C">
        <w:t>Explanatory Memorandum, Income Tax Assessment Amendment (Capital Gains) Bill 1986 and Income Tax (Rates) Amendment (Capital Gains) Bill 1986 (Cth) 21</w:t>
      </w:r>
      <w:r w:rsidR="00185727" w:rsidRPr="00B1515C">
        <w:rPr>
          <w:i/>
          <w:iCs/>
        </w:rPr>
        <w:t>.</w:t>
      </w:r>
    </w:p>
  </w:footnote>
  <w:footnote w:id="413">
    <w:p w14:paraId="0ED5B26F" w14:textId="56385649"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ITAA 1997 s</w:t>
      </w:r>
      <w:r w:rsidR="00093657" w:rsidRPr="00B1515C">
        <w:t>ub</w:t>
      </w:r>
      <w:r w:rsidR="00F75232">
        <w:t>-</w:t>
      </w:r>
      <w:r w:rsidR="00185727" w:rsidRPr="00B1515C">
        <w:t>s 118</w:t>
      </w:r>
      <w:r w:rsidR="00F75232">
        <w:t>-</w:t>
      </w:r>
      <w:r w:rsidR="00185727" w:rsidRPr="00B1515C">
        <w:t>10(3).</w:t>
      </w:r>
    </w:p>
  </w:footnote>
  <w:footnote w:id="414">
    <w:p w14:paraId="372B0D37" w14:textId="0BD12008"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ITAA 1997 s 108</w:t>
      </w:r>
      <w:r w:rsidR="00F75232">
        <w:t>-</w:t>
      </w:r>
      <w:r w:rsidR="00185727" w:rsidRPr="00B1515C">
        <w:t>20.</w:t>
      </w:r>
    </w:p>
  </w:footnote>
  <w:footnote w:id="415">
    <w:p w14:paraId="09A6B600" w14:textId="5C37F173"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ITAA 1997 s</w:t>
      </w:r>
      <w:r w:rsidR="00093657" w:rsidRPr="00B1515C">
        <w:t>ub</w:t>
      </w:r>
      <w:r w:rsidR="00F75232">
        <w:t>-</w:t>
      </w:r>
      <w:r w:rsidR="00185727" w:rsidRPr="00B1515C">
        <w:t>s 108</w:t>
      </w:r>
      <w:r w:rsidR="00F75232">
        <w:t>-</w:t>
      </w:r>
      <w:r w:rsidR="00185727" w:rsidRPr="00B1515C">
        <w:t>20(2)</w:t>
      </w:r>
    </w:p>
  </w:footnote>
  <w:footnote w:id="416">
    <w:p w14:paraId="5BA0C842" w14:textId="51095153"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79" w:history="1">
        <w:r w:rsidR="00A74B1E" w:rsidRPr="00E42DC1">
          <w:rPr>
            <w:rStyle w:val="Hyperlink"/>
          </w:rPr>
          <w:t>Crypto asset as a personal use asset</w:t>
        </w:r>
      </w:hyperlink>
      <w:r w:rsidR="00F75232">
        <w:t>’</w:t>
      </w:r>
      <w:r w:rsidR="00A74B1E" w:rsidRPr="00B1515C">
        <w:t xml:space="preserve">, </w:t>
      </w:r>
      <w:r w:rsidR="00A74B1E" w:rsidRPr="0084535D">
        <w:rPr>
          <w:rStyle w:val="Emphasis"/>
        </w:rPr>
        <w:t xml:space="preserve">ATO </w:t>
      </w:r>
      <w:r w:rsidR="00A74B1E" w:rsidRPr="00B1515C">
        <w:t>(Web Page, 9 November 2023)</w:t>
      </w:r>
      <w:r w:rsidR="00E42DC1">
        <w:t>.</w:t>
      </w:r>
    </w:p>
  </w:footnote>
  <w:footnote w:id="417">
    <w:p w14:paraId="422F76E6" w14:textId="27531119"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B219D6" w:rsidRPr="00B1515C">
        <w:rPr>
          <w:sz w:val="20"/>
          <w:szCs w:val="20"/>
        </w:rPr>
        <w:t xml:space="preserve">ATO </w:t>
      </w:r>
      <w:r w:rsidR="00185727" w:rsidRPr="00B1515C">
        <w:rPr>
          <w:sz w:val="18"/>
        </w:rPr>
        <w:t>PBR Rulings</w:t>
      </w:r>
      <w:r w:rsidR="00E35BAD" w:rsidRPr="00B1515C">
        <w:rPr>
          <w:sz w:val="18"/>
        </w:rPr>
        <w:t>, Authorisation Numbers:</w:t>
      </w:r>
      <w:r w:rsidR="00185727" w:rsidRPr="00B1515C">
        <w:rPr>
          <w:sz w:val="18"/>
        </w:rPr>
        <w:t xml:space="preserve"> </w:t>
      </w:r>
      <w:r w:rsidR="00E35BAD" w:rsidRPr="00F63C1F">
        <w:t>7915126463611</w:t>
      </w:r>
      <w:r w:rsidR="003C2F51">
        <w:t xml:space="preserve"> (16 January 2019)</w:t>
      </w:r>
      <w:r w:rsidR="00185727" w:rsidRPr="00F63C1F">
        <w:t xml:space="preserve">; </w:t>
      </w:r>
      <w:r w:rsidR="00E35BAD" w:rsidRPr="00F63C1F">
        <w:t>1051497886035</w:t>
      </w:r>
      <w:r w:rsidR="00664C1B">
        <w:t xml:space="preserve"> (9 April 2019)</w:t>
      </w:r>
      <w:r w:rsidR="00185727" w:rsidRPr="00F63C1F">
        <w:t xml:space="preserve">; </w:t>
      </w:r>
      <w:r w:rsidR="00E35BAD" w:rsidRPr="00F63C1F">
        <w:t>1051490734976</w:t>
      </w:r>
      <w:r w:rsidR="00664C1B">
        <w:t xml:space="preserve"> (30 May 2019)</w:t>
      </w:r>
      <w:r w:rsidR="00185727" w:rsidRPr="00F63C1F">
        <w:t xml:space="preserve">; </w:t>
      </w:r>
      <w:r w:rsidR="00E35BAD" w:rsidRPr="00F63C1F">
        <w:t>5010060075585</w:t>
      </w:r>
      <w:r w:rsidR="00E4303B">
        <w:t xml:space="preserve"> (28 June 2019)</w:t>
      </w:r>
      <w:r w:rsidR="00185727" w:rsidRPr="00F63C1F">
        <w:t xml:space="preserve">; </w:t>
      </w:r>
      <w:r w:rsidR="00E35BAD" w:rsidRPr="00F63C1F">
        <w:t>1051532101397</w:t>
      </w:r>
      <w:r w:rsidR="00E4303B">
        <w:t xml:space="preserve"> (5 July 2019)</w:t>
      </w:r>
      <w:r w:rsidR="00185727" w:rsidRPr="00F63C1F">
        <w:t xml:space="preserve">; </w:t>
      </w:r>
      <w:r w:rsidR="00E35BAD" w:rsidRPr="00F63C1F">
        <w:t>1051532082955</w:t>
      </w:r>
      <w:r w:rsidR="00D23659">
        <w:t> </w:t>
      </w:r>
      <w:r w:rsidR="00E44837">
        <w:t>(5</w:t>
      </w:r>
      <w:r w:rsidR="00F22277">
        <w:t> </w:t>
      </w:r>
      <w:r w:rsidR="00E44837">
        <w:t xml:space="preserve"> July 2019)</w:t>
      </w:r>
      <w:r w:rsidR="00185727" w:rsidRPr="00F63C1F">
        <w:t xml:space="preserve">; </w:t>
      </w:r>
      <w:r w:rsidR="00E35BAD" w:rsidRPr="00F63C1F">
        <w:t>1051537413985</w:t>
      </w:r>
      <w:r w:rsidR="00C50224">
        <w:t xml:space="preserve"> (9 July 2019)</w:t>
      </w:r>
      <w:r w:rsidR="00185727" w:rsidRPr="00F63C1F">
        <w:t xml:space="preserve">; </w:t>
      </w:r>
      <w:r w:rsidR="00E35BAD" w:rsidRPr="00F63C1F">
        <w:t>1051581160813</w:t>
      </w:r>
      <w:r w:rsidR="00C50224">
        <w:t xml:space="preserve"> (20 September 2019)</w:t>
      </w:r>
      <w:r w:rsidR="00185727" w:rsidRPr="00F63C1F">
        <w:t>;</w:t>
      </w:r>
      <w:r w:rsidR="004F0A51" w:rsidRPr="00F63C1F">
        <w:t xml:space="preserve"> </w:t>
      </w:r>
      <w:r w:rsidR="00E35BAD" w:rsidRPr="00F63C1F">
        <w:t>1051581846123</w:t>
      </w:r>
      <w:r w:rsidR="00D23659">
        <w:t> </w:t>
      </w:r>
      <w:r w:rsidR="00AA0214">
        <w:t>(20</w:t>
      </w:r>
      <w:r w:rsidR="00FA50F8">
        <w:t> </w:t>
      </w:r>
      <w:r w:rsidR="00AA0214">
        <w:t>September</w:t>
      </w:r>
      <w:r w:rsidR="00FA50F8">
        <w:t> </w:t>
      </w:r>
      <w:r w:rsidR="00AA0214">
        <w:t>2019)</w:t>
      </w:r>
      <w:r w:rsidR="00185727" w:rsidRPr="00F63C1F">
        <w:t xml:space="preserve">; </w:t>
      </w:r>
      <w:r w:rsidR="00E35BAD" w:rsidRPr="00F63C1F">
        <w:t>1051694175099</w:t>
      </w:r>
      <w:r w:rsidR="00AA0214">
        <w:t xml:space="preserve"> (1 October 2020)</w:t>
      </w:r>
      <w:r w:rsidR="00185727" w:rsidRPr="00F63C1F">
        <w:t xml:space="preserve">; </w:t>
      </w:r>
      <w:r w:rsidR="00E35BAD" w:rsidRPr="00F63C1F">
        <w:t>1051895820704</w:t>
      </w:r>
      <w:r w:rsidR="00AA0214">
        <w:t xml:space="preserve"> (</w:t>
      </w:r>
      <w:r w:rsidR="00D932F3">
        <w:t>23 September 2021)</w:t>
      </w:r>
      <w:r w:rsidR="00185727" w:rsidRPr="00F63C1F">
        <w:t xml:space="preserve">; </w:t>
      </w:r>
      <w:r w:rsidR="00E35BAD" w:rsidRPr="00F63C1F">
        <w:t>1051976096088</w:t>
      </w:r>
      <w:r w:rsidR="00D932F3">
        <w:t xml:space="preserve"> (25</w:t>
      </w:r>
      <w:r w:rsidR="00FA50F8">
        <w:t> </w:t>
      </w:r>
      <w:r w:rsidR="00D932F3">
        <w:t>May 2022)</w:t>
      </w:r>
      <w:r w:rsidR="00185727" w:rsidRPr="00F63C1F">
        <w:t xml:space="preserve">; </w:t>
      </w:r>
      <w:r w:rsidR="00E35BAD" w:rsidRPr="00F63C1F">
        <w:t>1051781223882</w:t>
      </w:r>
      <w:r w:rsidR="00F22277">
        <w:t xml:space="preserve"> (24 November 2020)</w:t>
      </w:r>
      <w:r w:rsidR="00185727" w:rsidRPr="00F63C1F">
        <w:t xml:space="preserve">; </w:t>
      </w:r>
      <w:r w:rsidR="00E35BAD" w:rsidRPr="00F63C1F">
        <w:t>1051934343575</w:t>
      </w:r>
      <w:r w:rsidR="00F22277">
        <w:t xml:space="preserve"> (27 September 2022)</w:t>
      </w:r>
      <w:r w:rsidR="00185727" w:rsidRPr="00F63C1F">
        <w:t>.</w:t>
      </w:r>
    </w:p>
  </w:footnote>
  <w:footnote w:id="418">
    <w:p w14:paraId="37172910" w14:textId="7D9B4A1D" w:rsidR="00A32AF2" w:rsidRPr="00B1515C" w:rsidRDefault="00815763" w:rsidP="00A01254">
      <w:pPr>
        <w:pStyle w:val="FootnoteText"/>
      </w:pPr>
      <w:r w:rsidRPr="00815763">
        <w:rPr>
          <w:rStyle w:val="FootnoteReference"/>
          <w:vertAlign w:val="baseline"/>
        </w:rPr>
        <w:footnoteRef/>
      </w:r>
      <w:r w:rsidR="00A32AF2" w:rsidRPr="00B1515C">
        <w:t xml:space="preserve"> </w:t>
      </w:r>
      <w:r w:rsidR="00FE31B9" w:rsidRPr="00B1515C">
        <w:tab/>
      </w:r>
      <w:r w:rsidR="00F144EF" w:rsidRPr="00B1515C">
        <w:t xml:space="preserve">ATO, </w:t>
      </w:r>
      <w:r w:rsidR="00C25975" w:rsidRPr="0084535D">
        <w:rPr>
          <w:rStyle w:val="Emphasis"/>
        </w:rPr>
        <w:t>CGT – personal use assets</w:t>
      </w:r>
      <w:r w:rsidR="00F144EF" w:rsidRPr="0084535D">
        <w:rPr>
          <w:rStyle w:val="Emphasis"/>
        </w:rPr>
        <w:t xml:space="preserve"> </w:t>
      </w:r>
      <w:r w:rsidR="00F144EF" w:rsidRPr="00B1515C">
        <w:t>(</w:t>
      </w:r>
      <w:r w:rsidR="00C25975" w:rsidRPr="00B1515C">
        <w:t xml:space="preserve">PBR </w:t>
      </w:r>
      <w:r w:rsidR="00F144EF" w:rsidRPr="00B1515C">
        <w:t xml:space="preserve">Authorisation Number: </w:t>
      </w:r>
      <w:r w:rsidR="00C25975" w:rsidRPr="00B1515C">
        <w:t>1051895820704</w:t>
      </w:r>
      <w:r w:rsidR="00F144EF" w:rsidRPr="00B1515C">
        <w:t xml:space="preserve">, </w:t>
      </w:r>
      <w:r w:rsidR="00C25975" w:rsidRPr="00B1515C">
        <w:t>23 September 2021</w:t>
      </w:r>
      <w:r w:rsidR="00F144EF" w:rsidRPr="00B1515C">
        <w:t>).</w:t>
      </w:r>
    </w:p>
  </w:footnote>
  <w:footnote w:id="419">
    <w:p w14:paraId="5D6C1B4A" w14:textId="0A63B795" w:rsidR="00C25975" w:rsidRPr="00B1515C" w:rsidRDefault="00815763" w:rsidP="00A01254">
      <w:pPr>
        <w:pStyle w:val="FootnoteText"/>
      </w:pPr>
      <w:r w:rsidRPr="00815763">
        <w:rPr>
          <w:rStyle w:val="FootnoteReference"/>
          <w:vertAlign w:val="baseline"/>
        </w:rPr>
        <w:footnoteRef/>
      </w:r>
      <w:r w:rsidR="00C25975" w:rsidRPr="00B1515C">
        <w:t xml:space="preserve"> </w:t>
      </w:r>
      <w:r w:rsidR="00FE31B9" w:rsidRPr="00B1515C">
        <w:tab/>
      </w:r>
      <w:r w:rsidR="00567D0E" w:rsidRPr="00B1515C">
        <w:t xml:space="preserve">ATO, </w:t>
      </w:r>
      <w:r w:rsidR="00567D0E" w:rsidRPr="0084535D">
        <w:rPr>
          <w:rStyle w:val="Emphasis"/>
        </w:rPr>
        <w:t xml:space="preserve">Income and capital </w:t>
      </w:r>
      <w:r w:rsidR="00567D0E" w:rsidRPr="00B1515C">
        <w:t>(PBR Authorisation Number:</w:t>
      </w:r>
      <w:r w:rsidR="002E60B6" w:rsidRPr="00B1515C">
        <w:t xml:space="preserve"> </w:t>
      </w:r>
      <w:r w:rsidR="00567D0E" w:rsidRPr="00B1515C">
        <w:t>1051934343575, 27 September 2022).</w:t>
      </w:r>
    </w:p>
  </w:footnote>
  <w:footnote w:id="420">
    <w:p w14:paraId="73F7D8BC" w14:textId="6560327D" w:rsidR="00567D0E" w:rsidRPr="00B1515C" w:rsidRDefault="00815763" w:rsidP="00A01254">
      <w:pPr>
        <w:pStyle w:val="FootnoteText"/>
      </w:pPr>
      <w:r w:rsidRPr="00815763">
        <w:rPr>
          <w:rStyle w:val="FootnoteReference"/>
          <w:vertAlign w:val="baseline"/>
        </w:rPr>
        <w:footnoteRef/>
      </w:r>
      <w:r w:rsidR="00567D0E" w:rsidRPr="00B1515C">
        <w:t xml:space="preserve"> </w:t>
      </w:r>
      <w:r w:rsidR="00FE31B9" w:rsidRPr="00B1515C">
        <w:tab/>
      </w:r>
      <w:r w:rsidR="00440B37" w:rsidRPr="00B1515C">
        <w:t xml:space="preserve">ATO, </w:t>
      </w:r>
      <w:r w:rsidR="00440B37" w:rsidRPr="0084535D">
        <w:rPr>
          <w:rStyle w:val="Emphasis"/>
        </w:rPr>
        <w:t>Cryptocurrency</w:t>
      </w:r>
      <w:r w:rsidR="005622DC" w:rsidRPr="0084535D">
        <w:rPr>
          <w:rStyle w:val="Emphasis"/>
        </w:rPr>
        <w:t xml:space="preserve"> – personal use</w:t>
      </w:r>
      <w:r w:rsidR="00440B37" w:rsidRPr="0084535D">
        <w:rPr>
          <w:rStyle w:val="Emphasis"/>
        </w:rPr>
        <w:t xml:space="preserve"> </w:t>
      </w:r>
      <w:r w:rsidR="00440B37" w:rsidRPr="00B1515C">
        <w:t xml:space="preserve">(PBR Authorisation Number: </w:t>
      </w:r>
      <w:r w:rsidR="005622DC" w:rsidRPr="00B1515C">
        <w:t>1051537413985</w:t>
      </w:r>
      <w:r w:rsidR="00440B37" w:rsidRPr="00B1515C">
        <w:t xml:space="preserve">, </w:t>
      </w:r>
      <w:r w:rsidR="005622DC" w:rsidRPr="00B1515C">
        <w:t>9 July 2019</w:t>
      </w:r>
      <w:r w:rsidR="00440B37" w:rsidRPr="00B1515C">
        <w:t>).</w:t>
      </w:r>
    </w:p>
  </w:footnote>
  <w:footnote w:id="421">
    <w:p w14:paraId="35506061" w14:textId="45008747" w:rsidR="0000700F" w:rsidRPr="00B1515C" w:rsidRDefault="00815763" w:rsidP="00A01254">
      <w:pPr>
        <w:pStyle w:val="FootnoteText"/>
      </w:pPr>
      <w:r w:rsidRPr="00815763">
        <w:rPr>
          <w:rStyle w:val="FootnoteReference"/>
          <w:vertAlign w:val="baseline"/>
        </w:rPr>
        <w:footnoteRef/>
      </w:r>
      <w:r w:rsidR="0000700F" w:rsidRPr="00B1515C">
        <w:t xml:space="preserve"> </w:t>
      </w:r>
      <w:r w:rsidR="00FE31B9" w:rsidRPr="00B1515C">
        <w:tab/>
      </w:r>
      <w:r w:rsidR="0000700F" w:rsidRPr="00B1515C">
        <w:t xml:space="preserve">ATO, </w:t>
      </w:r>
      <w:r w:rsidR="0000700F" w:rsidRPr="0084535D">
        <w:rPr>
          <w:rStyle w:val="Emphasis"/>
        </w:rPr>
        <w:t xml:space="preserve">Cryptocurrency </w:t>
      </w:r>
      <w:r w:rsidR="0000700F" w:rsidRPr="00B1515C">
        <w:t>(PBR Authorisation Number:</w:t>
      </w:r>
      <w:r w:rsidR="0000700F" w:rsidRPr="00B1515C">
        <w:rPr>
          <w:rFonts w:asciiTheme="minorHAnsi" w:hAnsiTheme="minorHAnsi" w:cstheme="minorHAnsi"/>
        </w:rPr>
        <w:t xml:space="preserve"> </w:t>
      </w:r>
      <w:r w:rsidR="0000700F" w:rsidRPr="00B1515C">
        <w:t>1051781223882, 24 November 2020).</w:t>
      </w:r>
    </w:p>
  </w:footnote>
  <w:footnote w:id="422">
    <w:p w14:paraId="31F1371D" w14:textId="72C350BC"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A10, 10.</w:t>
      </w:r>
    </w:p>
  </w:footnote>
  <w:footnote w:id="423">
    <w:p w14:paraId="0DDC1A0C" w14:textId="6A19078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A36, 4.</w:t>
      </w:r>
    </w:p>
  </w:footnote>
  <w:footnote w:id="424">
    <w:p w14:paraId="4FDFEEEA" w14:textId="5CF879BF"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A16, 5.</w:t>
      </w:r>
    </w:p>
  </w:footnote>
  <w:footnote w:id="425">
    <w:p w14:paraId="5CDD5575" w14:textId="789C7AE5" w:rsidR="00185727" w:rsidRPr="00B1515C" w:rsidRDefault="00815763" w:rsidP="00A01254">
      <w:pPr>
        <w:pStyle w:val="FootnoteText"/>
      </w:pPr>
      <w:r w:rsidRPr="00815763">
        <w:rPr>
          <w:rStyle w:val="FootnoteReference"/>
          <w:vertAlign w:val="baseline"/>
        </w:rPr>
        <w:footnoteRef/>
      </w:r>
      <w:r w:rsidR="00185727" w:rsidRPr="00B1515C">
        <w:rPr>
          <w:i/>
          <w:iCs/>
        </w:rPr>
        <w:t xml:space="preserve"> </w:t>
      </w:r>
      <w:r w:rsidR="00FE31B9" w:rsidRPr="00B1515C">
        <w:rPr>
          <w:i/>
          <w:iCs/>
        </w:rPr>
        <w:tab/>
      </w:r>
      <w:r w:rsidR="00185727" w:rsidRPr="00B1515C">
        <w:t>Submission A27, 23</w:t>
      </w:r>
      <w:r w:rsidR="001C400F" w:rsidRPr="00B1515C">
        <w:t>.</w:t>
      </w:r>
    </w:p>
  </w:footnote>
  <w:footnote w:id="426">
    <w:p w14:paraId="32244A2A" w14:textId="2F1239DD"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A33, 6; Submission A26, 20.</w:t>
      </w:r>
    </w:p>
  </w:footnote>
  <w:footnote w:id="427">
    <w:p w14:paraId="353DECDF" w14:textId="14434275"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80" w:history="1">
        <w:r w:rsidR="00581D95" w:rsidRPr="00282D5E">
          <w:rPr>
            <w:rStyle w:val="Hyperlink"/>
          </w:rPr>
          <w:t>Non</w:t>
        </w:r>
        <w:r w:rsidR="00F75232" w:rsidRPr="00282D5E">
          <w:rPr>
            <w:rStyle w:val="Hyperlink"/>
          </w:rPr>
          <w:t>-</w:t>
        </w:r>
        <w:r w:rsidR="00581D95" w:rsidRPr="00282D5E">
          <w:rPr>
            <w:rStyle w:val="Hyperlink"/>
          </w:rPr>
          <w:t>fungible tokens</w:t>
        </w:r>
      </w:hyperlink>
      <w:r w:rsidR="00F75232">
        <w:t>’</w:t>
      </w:r>
      <w:r w:rsidR="00581D95" w:rsidRPr="00B1515C">
        <w:t xml:space="preserve">, </w:t>
      </w:r>
      <w:r w:rsidR="00581D95" w:rsidRPr="0084535D">
        <w:rPr>
          <w:rStyle w:val="Emphasis"/>
        </w:rPr>
        <w:t>ATO</w:t>
      </w:r>
      <w:r w:rsidR="007B6E47" w:rsidRPr="00B1515C">
        <w:t xml:space="preserve"> (Web Page, 30 June 2023)</w:t>
      </w:r>
      <w:r w:rsidR="008B294C">
        <w:t>.</w:t>
      </w:r>
    </w:p>
  </w:footnote>
  <w:footnote w:id="428">
    <w:p w14:paraId="094236EE" w14:textId="5EA63A43" w:rsidR="00910BB2" w:rsidRPr="00B1515C" w:rsidRDefault="00815763" w:rsidP="00A01254">
      <w:pPr>
        <w:pStyle w:val="FootnoteText"/>
      </w:pPr>
      <w:r w:rsidRPr="00815763">
        <w:rPr>
          <w:rStyle w:val="FootnoteReference"/>
          <w:vertAlign w:val="baseline"/>
        </w:rPr>
        <w:footnoteRef/>
      </w:r>
      <w:r w:rsidR="00910BB2" w:rsidRPr="00B1515C">
        <w:t xml:space="preserve"> </w:t>
      </w:r>
      <w:r w:rsidR="00FE31B9" w:rsidRPr="00B1515C">
        <w:tab/>
      </w:r>
      <w:r w:rsidR="00650D3D" w:rsidRPr="00B1515C">
        <w:t xml:space="preserve">ATO, </w:t>
      </w:r>
      <w:r w:rsidR="00650D3D" w:rsidRPr="0084535D">
        <w:rPr>
          <w:rStyle w:val="Emphasis"/>
        </w:rPr>
        <w:t xml:space="preserve">Crypto assets – personal use </w:t>
      </w:r>
      <w:r w:rsidR="00650D3D" w:rsidRPr="00B1515C">
        <w:t xml:space="preserve">(PBR Authorisation Number: </w:t>
      </w:r>
      <w:r w:rsidR="006509CB" w:rsidRPr="00B1515C">
        <w:t>1051976096088</w:t>
      </w:r>
      <w:r w:rsidR="00650D3D" w:rsidRPr="00B1515C">
        <w:t xml:space="preserve">, </w:t>
      </w:r>
      <w:r w:rsidR="006509CB" w:rsidRPr="00B1515C">
        <w:t>25 May 2022</w:t>
      </w:r>
      <w:r w:rsidR="00650D3D" w:rsidRPr="00B1515C">
        <w:t>).</w:t>
      </w:r>
    </w:p>
  </w:footnote>
  <w:footnote w:id="429">
    <w:p w14:paraId="49439B1A" w14:textId="07CC8507" w:rsidR="006509CB" w:rsidRPr="00B1515C" w:rsidRDefault="00815763" w:rsidP="00A01254">
      <w:pPr>
        <w:pStyle w:val="FootnoteText"/>
      </w:pPr>
      <w:r w:rsidRPr="00815763">
        <w:rPr>
          <w:rStyle w:val="FootnoteReference"/>
          <w:vertAlign w:val="baseline"/>
        </w:rPr>
        <w:footnoteRef/>
      </w:r>
      <w:r w:rsidR="006509CB" w:rsidRPr="00B1515C">
        <w:t xml:space="preserve"> </w:t>
      </w:r>
      <w:r w:rsidR="00FE31B9" w:rsidRPr="00B1515C">
        <w:tab/>
      </w:r>
      <w:r w:rsidR="006509CB" w:rsidRPr="00B1515C">
        <w:t xml:space="preserve">ATO, </w:t>
      </w:r>
      <w:r w:rsidR="006509CB" w:rsidRPr="0084535D">
        <w:rPr>
          <w:rStyle w:val="Emphasis"/>
        </w:rPr>
        <w:t>Crypto</w:t>
      </w:r>
      <w:r w:rsidR="00230826" w:rsidRPr="0084535D">
        <w:rPr>
          <w:rStyle w:val="Emphasis"/>
        </w:rPr>
        <w:t>currency – non</w:t>
      </w:r>
      <w:r w:rsidR="00F75232">
        <w:rPr>
          <w:rStyle w:val="Emphasis"/>
        </w:rPr>
        <w:t>-</w:t>
      </w:r>
      <w:r w:rsidR="00230826" w:rsidRPr="0084535D">
        <w:rPr>
          <w:rStyle w:val="Emphasis"/>
        </w:rPr>
        <w:t>fungible tokens</w:t>
      </w:r>
      <w:r w:rsidR="006509CB" w:rsidRPr="0084535D">
        <w:rPr>
          <w:rStyle w:val="Emphasis"/>
        </w:rPr>
        <w:t xml:space="preserve"> </w:t>
      </w:r>
      <w:r w:rsidR="006509CB" w:rsidRPr="00B1515C">
        <w:t xml:space="preserve">(PBR Authorisation Number: 1051694175099, </w:t>
      </w:r>
      <w:r w:rsidR="00230826" w:rsidRPr="00B1515C">
        <w:t>1 October 2020</w:t>
      </w:r>
      <w:r w:rsidR="006509CB" w:rsidRPr="00B1515C">
        <w:t>).</w:t>
      </w:r>
    </w:p>
  </w:footnote>
  <w:footnote w:id="430">
    <w:p w14:paraId="5159E34B" w14:textId="1F0E5442" w:rsidR="00F57D88" w:rsidRPr="00B1515C" w:rsidRDefault="00815763" w:rsidP="00A01254">
      <w:pPr>
        <w:pStyle w:val="FootnoteText"/>
      </w:pPr>
      <w:r w:rsidRPr="00815763">
        <w:rPr>
          <w:rStyle w:val="FootnoteReference"/>
          <w:vertAlign w:val="baseline"/>
        </w:rPr>
        <w:footnoteRef/>
      </w:r>
      <w:r w:rsidR="00F57D88" w:rsidRPr="00B1515C">
        <w:t xml:space="preserve"> </w:t>
      </w:r>
      <w:r w:rsidR="006A1B83" w:rsidRPr="00B1515C">
        <w:tab/>
        <w:t xml:space="preserve">ATO, </w:t>
      </w:r>
      <w:r w:rsidR="006A1B83" w:rsidRPr="0084535D">
        <w:rPr>
          <w:rStyle w:val="Emphasis"/>
        </w:rPr>
        <w:t>TOFA – Division 230 ITAA 1997 – cryptocurrency arbitrage function and investments and bull</w:t>
      </w:r>
      <w:r w:rsidR="00C80A23" w:rsidRPr="0084535D">
        <w:rPr>
          <w:rStyle w:val="Emphasis"/>
        </w:rPr>
        <w:t>ion investments</w:t>
      </w:r>
      <w:r w:rsidR="006A1B83" w:rsidRPr="0084535D">
        <w:rPr>
          <w:rStyle w:val="Emphasis"/>
        </w:rPr>
        <w:t xml:space="preserve"> </w:t>
      </w:r>
      <w:r w:rsidR="006A1B83" w:rsidRPr="00B1515C">
        <w:t xml:space="preserve">(PBR Authorisation Number: </w:t>
      </w:r>
      <w:r w:rsidR="00C80A23" w:rsidRPr="00B1515C">
        <w:t>1051972615838</w:t>
      </w:r>
      <w:r w:rsidR="006A1B83" w:rsidRPr="00B1515C">
        <w:t xml:space="preserve">, </w:t>
      </w:r>
      <w:r w:rsidR="00C80A23" w:rsidRPr="00B1515C">
        <w:t>12 April 2022</w:t>
      </w:r>
      <w:r w:rsidR="006A1B83" w:rsidRPr="00B1515C">
        <w:t>).</w:t>
      </w:r>
    </w:p>
  </w:footnote>
  <w:footnote w:id="431">
    <w:p w14:paraId="3F799980" w14:textId="0B279E96" w:rsidR="00523008" w:rsidRPr="00B1515C" w:rsidRDefault="00815763" w:rsidP="00A01254">
      <w:pPr>
        <w:pStyle w:val="FootnoteText"/>
      </w:pPr>
      <w:r w:rsidRPr="00815763">
        <w:rPr>
          <w:rStyle w:val="FootnoteReference"/>
          <w:vertAlign w:val="baseline"/>
        </w:rPr>
        <w:footnoteRef/>
      </w:r>
      <w:r w:rsidR="00523008" w:rsidRPr="00B1515C">
        <w:t xml:space="preserve"> </w:t>
      </w:r>
      <w:r w:rsidR="00701BDC" w:rsidRPr="00B1515C">
        <w:tab/>
        <w:t xml:space="preserve">Submission A26, 22; Submission </w:t>
      </w:r>
      <w:r w:rsidR="00E25E00" w:rsidRPr="00B1515C">
        <w:t xml:space="preserve">A38, 3; </w:t>
      </w:r>
      <w:r w:rsidR="000A0874" w:rsidRPr="00B1515C">
        <w:t xml:space="preserve">Submission A39, 4; </w:t>
      </w:r>
      <w:r w:rsidR="00BF26B3" w:rsidRPr="00B1515C">
        <w:t>Submission A32, 8.</w:t>
      </w:r>
    </w:p>
  </w:footnote>
  <w:footnote w:id="432">
    <w:p w14:paraId="37F1E7E7" w14:textId="553961E5" w:rsidR="00F04213" w:rsidRPr="00B1515C" w:rsidRDefault="00815763" w:rsidP="00A01254">
      <w:pPr>
        <w:pStyle w:val="FootnoteText"/>
      </w:pPr>
      <w:r w:rsidRPr="00815763">
        <w:rPr>
          <w:rStyle w:val="FootnoteReference"/>
          <w:vertAlign w:val="baseline"/>
        </w:rPr>
        <w:footnoteRef/>
      </w:r>
      <w:r w:rsidR="00F04213" w:rsidRPr="00B1515C">
        <w:t xml:space="preserve"> </w:t>
      </w:r>
      <w:r w:rsidR="00FE31B9" w:rsidRPr="00B1515C">
        <w:tab/>
      </w:r>
      <w:r w:rsidR="00F04213" w:rsidRPr="00B1515C">
        <w:t>Submission A30, 13.</w:t>
      </w:r>
    </w:p>
  </w:footnote>
  <w:footnote w:id="433">
    <w:p w14:paraId="14E95A54" w14:textId="30CF50C1" w:rsidR="004D51AA" w:rsidRPr="00B1515C" w:rsidRDefault="00815763" w:rsidP="00A01254">
      <w:pPr>
        <w:pStyle w:val="FootnoteText"/>
      </w:pPr>
      <w:r w:rsidRPr="00815763">
        <w:rPr>
          <w:rStyle w:val="FootnoteReference"/>
          <w:vertAlign w:val="baseline"/>
        </w:rPr>
        <w:footnoteRef/>
      </w:r>
      <w:r w:rsidR="00143067" w:rsidRPr="00B1515C">
        <w:t xml:space="preserve"> </w:t>
      </w:r>
      <w:r w:rsidR="00FE31B9" w:rsidRPr="00B1515C">
        <w:tab/>
      </w:r>
      <w:r w:rsidR="00143067" w:rsidRPr="00B1515C">
        <w:t>Explanatory Memorandum</w:t>
      </w:r>
      <w:r w:rsidR="001C400F" w:rsidRPr="00B1515C">
        <w:t>,</w:t>
      </w:r>
      <w:r w:rsidR="00143067" w:rsidRPr="00B1515C">
        <w:t xml:space="preserve"> Tax Laws Amendment (2012 Measures No 1) Bill 2012 [</w:t>
      </w:r>
      <w:r w:rsidR="00F77591" w:rsidRPr="00B1515C">
        <w:t>2.</w:t>
      </w:r>
      <w:r w:rsidR="001561A6" w:rsidRPr="00B1515C">
        <w:t>4] – [2.5</w:t>
      </w:r>
      <w:r w:rsidR="00B14AE8" w:rsidRPr="00B1515C">
        <w:t>].</w:t>
      </w:r>
    </w:p>
  </w:footnote>
  <w:footnote w:id="434">
    <w:p w14:paraId="148F8BE4" w14:textId="18C5C612" w:rsidR="00EB0037" w:rsidRPr="00B1515C" w:rsidRDefault="00815763" w:rsidP="00A01254">
      <w:pPr>
        <w:pStyle w:val="FootnoteText"/>
      </w:pPr>
      <w:r w:rsidRPr="00815763">
        <w:rPr>
          <w:rStyle w:val="FootnoteReference"/>
          <w:vertAlign w:val="baseline"/>
        </w:rPr>
        <w:footnoteRef/>
      </w:r>
      <w:r w:rsidR="00EB0037" w:rsidRPr="00B1515C">
        <w:t xml:space="preserve"> </w:t>
      </w:r>
      <w:r w:rsidR="00FE31B9" w:rsidRPr="00B1515C">
        <w:tab/>
      </w:r>
      <w:r w:rsidR="00EB0037" w:rsidRPr="0084535D">
        <w:rPr>
          <w:rStyle w:val="Emphasis"/>
        </w:rPr>
        <w:t>Tariff Reinsurances Limited</w:t>
      </w:r>
      <w:r w:rsidR="00EB0037" w:rsidRPr="00B1515C">
        <w:rPr>
          <w:rFonts w:asciiTheme="minorHAnsi" w:hAnsiTheme="minorHAnsi" w:cstheme="minorHAnsi"/>
          <w:color w:val="333333"/>
          <w:shd w:val="clear" w:color="auto" w:fill="FFFFFF"/>
        </w:rPr>
        <w:t> v </w:t>
      </w:r>
      <w:r w:rsidR="00EB0037" w:rsidRPr="0084535D">
        <w:rPr>
          <w:rStyle w:val="Emphasis"/>
        </w:rPr>
        <w:t>C of T (Vic)</w:t>
      </w:r>
      <w:r w:rsidR="00EB0037" w:rsidRPr="00B1515C">
        <w:rPr>
          <w:rFonts w:asciiTheme="minorHAnsi" w:hAnsiTheme="minorHAnsi" w:cstheme="minorHAnsi"/>
          <w:color w:val="333333"/>
          <w:shd w:val="clear" w:color="auto" w:fill="FFFFFF"/>
        </w:rPr>
        <w:t> </w:t>
      </w:r>
      <w:r w:rsidR="00EB0037" w:rsidRPr="00B1515C">
        <w:rPr>
          <w:rFonts w:asciiTheme="minorHAnsi" w:hAnsiTheme="minorHAnsi" w:cstheme="minorHAnsi"/>
          <w:shd w:val="clear" w:color="auto" w:fill="FFFFFF"/>
        </w:rPr>
        <w:t>(1938) 59 CLR 194</w:t>
      </w:r>
      <w:r w:rsidR="00EB0037" w:rsidRPr="00B1515C">
        <w:rPr>
          <w:rFonts w:asciiTheme="minorHAnsi" w:hAnsiTheme="minorHAnsi" w:cstheme="minorHAnsi"/>
        </w:rPr>
        <w:t>.</w:t>
      </w:r>
    </w:p>
  </w:footnote>
  <w:footnote w:id="435">
    <w:p w14:paraId="61F67282" w14:textId="45DA00BF" w:rsidR="00EB0037" w:rsidRPr="00B1515C" w:rsidRDefault="00815763" w:rsidP="00A01254">
      <w:pPr>
        <w:pStyle w:val="FootnoteText"/>
      </w:pPr>
      <w:r w:rsidRPr="00815763">
        <w:rPr>
          <w:rStyle w:val="FootnoteReference"/>
          <w:sz w:val="18"/>
          <w:szCs w:val="18"/>
          <w:vertAlign w:val="baseline"/>
        </w:rPr>
        <w:footnoteRef/>
      </w:r>
      <w:r w:rsidR="00EB0037" w:rsidRPr="00B1515C">
        <w:t xml:space="preserve"> </w:t>
      </w:r>
      <w:r w:rsidR="00FE31B9" w:rsidRPr="00B1515C">
        <w:tab/>
      </w:r>
      <w:r w:rsidR="00EB0037" w:rsidRPr="0084535D">
        <w:rPr>
          <w:rStyle w:val="Emphasis"/>
        </w:rPr>
        <w:t>Sixsmith</w:t>
      </w:r>
      <w:r w:rsidR="00EB0037" w:rsidRPr="00B1515C">
        <w:rPr>
          <w:rFonts w:asciiTheme="minorHAnsi" w:hAnsiTheme="minorHAnsi" w:cstheme="minorHAnsi"/>
          <w:color w:val="333333"/>
          <w:shd w:val="clear" w:color="auto" w:fill="FFFFFF"/>
        </w:rPr>
        <w:t> v </w:t>
      </w:r>
      <w:r w:rsidR="00EB0037" w:rsidRPr="0084535D">
        <w:rPr>
          <w:rStyle w:val="Emphasis"/>
        </w:rPr>
        <w:t>C of T</w:t>
      </w:r>
      <w:r w:rsidR="00EB0037" w:rsidRPr="00B1515C">
        <w:rPr>
          <w:rFonts w:asciiTheme="minorHAnsi" w:hAnsiTheme="minorHAnsi" w:cstheme="minorHAnsi"/>
          <w:color w:val="333333"/>
          <w:shd w:val="clear" w:color="auto" w:fill="FFFFFF"/>
        </w:rPr>
        <w:t> </w:t>
      </w:r>
      <w:r w:rsidR="0003611E" w:rsidRPr="00B1515C">
        <w:rPr>
          <w:rFonts w:asciiTheme="minorHAnsi" w:hAnsiTheme="minorHAnsi" w:cstheme="minorHAnsi"/>
          <w:shd w:val="clear" w:color="auto" w:fill="FFFFFF"/>
        </w:rPr>
        <w:t>(1928) 28 SR (NSW) 456</w:t>
      </w:r>
      <w:r w:rsidR="00E2586E" w:rsidRPr="00B1515C">
        <w:rPr>
          <w:rFonts w:asciiTheme="minorHAnsi" w:hAnsiTheme="minorHAnsi" w:cstheme="minorHAnsi"/>
        </w:rPr>
        <w:t>,</w:t>
      </w:r>
      <w:r w:rsidR="00EB0037" w:rsidRPr="00B1515C">
        <w:rPr>
          <w:rFonts w:asciiTheme="minorHAnsi" w:hAnsiTheme="minorHAnsi" w:cstheme="minorHAnsi"/>
          <w:color w:val="333333"/>
          <w:shd w:val="clear" w:color="auto" w:fill="FFFFFF"/>
        </w:rPr>
        <w:t> 461–464.</w:t>
      </w:r>
    </w:p>
  </w:footnote>
  <w:footnote w:id="436">
    <w:p w14:paraId="51FA47FC" w14:textId="230E4155" w:rsidR="00E66959" w:rsidRPr="00B1515C" w:rsidRDefault="00815763" w:rsidP="00A01254">
      <w:pPr>
        <w:pStyle w:val="FootnoteText"/>
      </w:pPr>
      <w:r w:rsidRPr="00815763">
        <w:rPr>
          <w:rStyle w:val="FootnoteReference"/>
          <w:vertAlign w:val="baseline"/>
        </w:rPr>
        <w:footnoteRef/>
      </w:r>
      <w:r w:rsidR="00E66959" w:rsidRPr="00B1515C">
        <w:t xml:space="preserve"> </w:t>
      </w:r>
      <w:r w:rsidR="00FE31B9" w:rsidRPr="00B1515C">
        <w:tab/>
      </w:r>
      <w:r w:rsidR="00E66959" w:rsidRPr="00B1515C">
        <w:t xml:space="preserve">Although there will ordinarily be written contracts where </w:t>
      </w:r>
      <w:r w:rsidR="00DB7C51" w:rsidRPr="00B1515C">
        <w:t>third</w:t>
      </w:r>
      <w:r w:rsidR="00F75232">
        <w:t>-</w:t>
      </w:r>
      <w:r w:rsidR="00DB7C51" w:rsidRPr="00B1515C">
        <w:t>party</w:t>
      </w:r>
      <w:r w:rsidR="00E66959" w:rsidRPr="00B1515C">
        <w:t xml:space="preserve"> intermediaries are involved</w:t>
      </w:r>
      <w:r w:rsidR="00F30948" w:rsidRPr="00B1515C">
        <w:t>.</w:t>
      </w:r>
    </w:p>
  </w:footnote>
  <w:footnote w:id="437">
    <w:p w14:paraId="50E1AEC6" w14:textId="4ED205A3"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A26, 21.</w:t>
      </w:r>
    </w:p>
  </w:footnote>
  <w:footnote w:id="438">
    <w:p w14:paraId="7CFAD4A4" w14:textId="0FA30307" w:rsidR="00185727" w:rsidRPr="00B1515C" w:rsidRDefault="00815763" w:rsidP="00A01254">
      <w:pPr>
        <w:pStyle w:val="FootnoteText"/>
      </w:pPr>
      <w:r w:rsidRPr="001A1F7A">
        <w:rPr>
          <w:rStyle w:val="FootnoteReference"/>
          <w:vertAlign w:val="baseline"/>
        </w:rPr>
        <w:footnoteRef/>
      </w:r>
      <w:r w:rsidR="00185727" w:rsidRPr="001A1F7A">
        <w:rPr>
          <w:i/>
          <w:iCs/>
        </w:rPr>
        <w:t xml:space="preserve"> </w:t>
      </w:r>
      <w:r w:rsidR="00FE31B9" w:rsidRPr="001A1F7A">
        <w:rPr>
          <w:i/>
          <w:iCs/>
        </w:rPr>
        <w:tab/>
      </w:r>
      <w:hyperlink r:id="rId181" w:history="1">
        <w:r w:rsidR="00695FA7" w:rsidRPr="001A1F7A">
          <w:rPr>
            <w:rStyle w:val="Hyperlink"/>
            <w:i/>
            <w:iCs/>
          </w:rPr>
          <w:t>U.S. Securities and Exchange Commission v Balina</w:t>
        </w:r>
      </w:hyperlink>
      <w:r w:rsidR="00695FA7" w:rsidRPr="0084535D">
        <w:rPr>
          <w:rStyle w:val="Emphasis"/>
        </w:rPr>
        <w:t xml:space="preserve"> </w:t>
      </w:r>
      <w:r w:rsidR="00185727" w:rsidRPr="00B1515C">
        <w:t>(United States District Court Western District of Texas Austin Division, Civil Action NO. 1:22</w:t>
      </w:r>
      <w:r w:rsidR="00F75232">
        <w:t>-</w:t>
      </w:r>
      <w:r w:rsidR="00185727" w:rsidRPr="00B1515C">
        <w:t>CV</w:t>
      </w:r>
      <w:r w:rsidR="00F75232">
        <w:t>-</w:t>
      </w:r>
      <w:r w:rsidR="00185727" w:rsidRPr="00B1515C">
        <w:t>950, 19 September 2022).</w:t>
      </w:r>
    </w:p>
  </w:footnote>
  <w:footnote w:id="439">
    <w:p w14:paraId="3DBC9B4D" w14:textId="79AFADEB"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A26, 21.</w:t>
      </w:r>
    </w:p>
  </w:footnote>
  <w:footnote w:id="440">
    <w:p w14:paraId="0364726B" w14:textId="677F7ED4" w:rsidR="005374E4" w:rsidRPr="00B1515C" w:rsidRDefault="00815763" w:rsidP="00A01254">
      <w:pPr>
        <w:pStyle w:val="FootnoteText"/>
      </w:pPr>
      <w:r w:rsidRPr="00815763">
        <w:rPr>
          <w:rStyle w:val="FootnoteReference"/>
          <w:vertAlign w:val="baseline"/>
        </w:rPr>
        <w:footnoteRef/>
      </w:r>
      <w:r w:rsidR="005374E4" w:rsidRPr="00B1515C">
        <w:t xml:space="preserve"> </w:t>
      </w:r>
      <w:r w:rsidR="00FE31B9" w:rsidRPr="00B1515C">
        <w:tab/>
      </w:r>
      <w:r w:rsidR="0003611E" w:rsidRPr="00B1515C">
        <w:t xml:space="preserve">UK Jurisdiction Taskforce, </w:t>
      </w:r>
      <w:hyperlink r:id="rId182" w:history="1">
        <w:r w:rsidR="0003611E" w:rsidRPr="001A1F7A">
          <w:rPr>
            <w:rStyle w:val="Hyperlink"/>
            <w:i/>
            <w:iCs/>
          </w:rPr>
          <w:t>Legal Statement on Cryptoassets and Smart Contracts</w:t>
        </w:r>
      </w:hyperlink>
      <w:r w:rsidR="0003611E" w:rsidRPr="0084535D">
        <w:rPr>
          <w:rStyle w:val="Emphasis"/>
        </w:rPr>
        <w:t xml:space="preserve"> </w:t>
      </w:r>
      <w:r w:rsidR="0003611E" w:rsidRPr="00B1515C">
        <w:t>(Statement: The LawTech Delivery Panel, November 2019) 4</w:t>
      </w:r>
      <w:r w:rsidR="001A1F7A">
        <w:t>.</w:t>
      </w:r>
    </w:p>
  </w:footnote>
  <w:footnote w:id="441">
    <w:p w14:paraId="38406D65" w14:textId="3D684BD9" w:rsidR="00775B14" w:rsidRPr="00B1515C" w:rsidRDefault="00815763" w:rsidP="00A01254">
      <w:pPr>
        <w:pStyle w:val="FootnoteText"/>
      </w:pPr>
      <w:r w:rsidRPr="00815763">
        <w:rPr>
          <w:rStyle w:val="FootnoteReference"/>
          <w:vertAlign w:val="baseline"/>
        </w:rPr>
        <w:footnoteRef/>
      </w:r>
      <w:r w:rsidR="00775B14" w:rsidRPr="00B1515C">
        <w:t xml:space="preserve"> </w:t>
      </w:r>
      <w:r w:rsidR="00FE31B9" w:rsidRPr="00B1515C">
        <w:tab/>
      </w:r>
      <w:r w:rsidR="00F75232">
        <w:t>‘</w:t>
      </w:r>
      <w:r w:rsidR="00E136AD" w:rsidRPr="00B1515C">
        <w:t>If a person by himself or by his servants or agents does work of some kind or acts in some way he may derive income from that work or act</w:t>
      </w:r>
      <w:r w:rsidR="00F75232">
        <w:t>’</w:t>
      </w:r>
      <w:r w:rsidR="00E136AD" w:rsidRPr="00B1515C">
        <w:t xml:space="preserve">: </w:t>
      </w:r>
      <w:r w:rsidR="00E136AD" w:rsidRPr="0084535D">
        <w:rPr>
          <w:rStyle w:val="Emphasis"/>
        </w:rPr>
        <w:t xml:space="preserve">FC of T v United Aircraft Corporation </w:t>
      </w:r>
      <w:r w:rsidR="00E136AD" w:rsidRPr="00B1515C">
        <w:t>(1943) 68 CLR 525 at 536</w:t>
      </w:r>
      <w:r w:rsidR="00CB0CC5" w:rsidRPr="00B1515C">
        <w:t xml:space="preserve"> (Latham J).</w:t>
      </w:r>
    </w:p>
  </w:footnote>
  <w:footnote w:id="442">
    <w:p w14:paraId="68CED1D7" w14:textId="48917F4C" w:rsidR="001D2F79" w:rsidRPr="00B1515C" w:rsidRDefault="00815763" w:rsidP="00A01254">
      <w:pPr>
        <w:pStyle w:val="FootnoteText"/>
      </w:pPr>
      <w:r w:rsidRPr="00815763">
        <w:rPr>
          <w:rStyle w:val="FootnoteReference"/>
          <w:vertAlign w:val="baseline"/>
        </w:rPr>
        <w:footnoteRef/>
      </w:r>
      <w:r w:rsidR="001D2F79" w:rsidRPr="00B1515C">
        <w:t xml:space="preserve"> </w:t>
      </w:r>
      <w:r w:rsidR="00FE31B9" w:rsidRPr="00B1515C">
        <w:tab/>
      </w:r>
      <w:r w:rsidR="00191F52" w:rsidRPr="00B1515C">
        <w:t xml:space="preserve">For example see </w:t>
      </w:r>
      <w:r w:rsidR="00191F52" w:rsidRPr="0084535D">
        <w:rPr>
          <w:rStyle w:val="Emphasis"/>
        </w:rPr>
        <w:t xml:space="preserve">Ruscoe v Cryptopia Limited (in liquidation) </w:t>
      </w:r>
      <w:r w:rsidR="00FD7131" w:rsidRPr="00B1515C">
        <w:t xml:space="preserve">[2020] NZHC 728; [2020] 2 NZLR 809 (Gendall J); </w:t>
      </w:r>
      <w:r w:rsidR="00754378" w:rsidRPr="0084535D">
        <w:rPr>
          <w:rStyle w:val="Emphasis"/>
        </w:rPr>
        <w:t xml:space="preserve">Tulip Trading Ltd (a Seychelles company) v Bitcoin Association for BSV and others </w:t>
      </w:r>
      <w:r w:rsidR="00754378" w:rsidRPr="00B1515C">
        <w:t>[2023] EWCA Civ 83; 4 WLR 16, [29].</w:t>
      </w:r>
    </w:p>
  </w:footnote>
  <w:footnote w:id="443">
    <w:p w14:paraId="079EBF67" w14:textId="490D12F8"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A08, 7.</w:t>
      </w:r>
    </w:p>
  </w:footnote>
  <w:footnote w:id="444">
    <w:p w14:paraId="70219181" w14:textId="085AA0DD"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83" w:history="1">
        <w:r w:rsidR="00FB1F45" w:rsidRPr="001A1F7A">
          <w:rPr>
            <w:rStyle w:val="Hyperlink"/>
          </w:rPr>
          <w:t>Why Bitcoin Prices Differ Across Exchanges &amp; How to Profit via Arbitrage</w:t>
        </w:r>
      </w:hyperlink>
      <w:r w:rsidR="00F75232">
        <w:t>’</w:t>
      </w:r>
      <w:r w:rsidR="00FB1F45" w:rsidRPr="00B1515C">
        <w:t xml:space="preserve">, </w:t>
      </w:r>
      <w:r w:rsidR="00185727" w:rsidRPr="0084535D">
        <w:rPr>
          <w:rStyle w:val="Emphasis"/>
        </w:rPr>
        <w:t>BYBIT Learn</w:t>
      </w:r>
      <w:r w:rsidR="00185727" w:rsidRPr="00B1515C">
        <w:t xml:space="preserve"> (</w:t>
      </w:r>
      <w:r w:rsidR="00FB1F45" w:rsidRPr="00B1515C">
        <w:t>Web Page</w:t>
      </w:r>
      <w:r w:rsidR="001B7045" w:rsidRPr="00B1515C">
        <w:t xml:space="preserve">, 20 March </w:t>
      </w:r>
      <w:r w:rsidR="00185727" w:rsidRPr="00B1515C">
        <w:t>2023)</w:t>
      </w:r>
      <w:r w:rsidR="001A1F7A">
        <w:t>.</w:t>
      </w:r>
    </w:p>
  </w:footnote>
  <w:footnote w:id="445">
    <w:p w14:paraId="52D7FFD1" w14:textId="0A46F76C" w:rsidR="00185727" w:rsidRPr="00B1515C" w:rsidRDefault="00815763" w:rsidP="00A01254">
      <w:pPr>
        <w:pStyle w:val="FootnoteText"/>
      </w:pPr>
      <w:r w:rsidRPr="00815763">
        <w:rPr>
          <w:rStyle w:val="FootnoteReference"/>
          <w:vertAlign w:val="baseline"/>
        </w:rPr>
        <w:footnoteRef/>
      </w:r>
      <w:r w:rsidR="00185727" w:rsidRPr="00B1515C">
        <w:rPr>
          <w:sz w:val="16"/>
          <w:szCs w:val="16"/>
        </w:rPr>
        <w:t xml:space="preserve"> </w:t>
      </w:r>
      <w:r w:rsidR="00FE31B9" w:rsidRPr="00B1515C">
        <w:rPr>
          <w:sz w:val="16"/>
          <w:szCs w:val="16"/>
        </w:rPr>
        <w:tab/>
      </w:r>
      <w:r w:rsidR="00F75232">
        <w:t>‘</w:t>
      </w:r>
      <w:hyperlink r:id="rId184" w:anchor="ValuingcryptoassetsinAustraliandollars" w:history="1">
        <w:r w:rsidR="00AA1F78" w:rsidRPr="001A1F7A">
          <w:rPr>
            <w:rStyle w:val="Hyperlink"/>
          </w:rPr>
          <w:t>Crypto asset transactions</w:t>
        </w:r>
      </w:hyperlink>
      <w:r w:rsidR="00F75232">
        <w:t>’</w:t>
      </w:r>
      <w:r w:rsidR="00AA1F78" w:rsidRPr="00B1515C">
        <w:t xml:space="preserve">, </w:t>
      </w:r>
      <w:r w:rsidR="00AA1F78" w:rsidRPr="0084535D">
        <w:rPr>
          <w:rStyle w:val="Emphasis"/>
        </w:rPr>
        <w:t>ATO</w:t>
      </w:r>
      <w:r w:rsidR="00AA1F78" w:rsidRPr="00B1515C">
        <w:t xml:space="preserve"> (Web Page</w:t>
      </w:r>
      <w:r w:rsidR="00F622B0" w:rsidRPr="00B1515C">
        <w:t>, 30 June 2023)</w:t>
      </w:r>
      <w:r w:rsidR="001A1F7A">
        <w:t>.</w:t>
      </w:r>
    </w:p>
  </w:footnote>
  <w:footnote w:id="446">
    <w:p w14:paraId="437DDBCD" w14:textId="70BA937C"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85" w:history="1">
        <w:r w:rsidR="00F622B0" w:rsidRPr="001A1F7A">
          <w:rPr>
            <w:rStyle w:val="Hyperlink"/>
          </w:rPr>
          <w:t>Crypto assets used in business</w:t>
        </w:r>
      </w:hyperlink>
      <w:r w:rsidR="00F75232">
        <w:t>’</w:t>
      </w:r>
      <w:r w:rsidR="00F622B0" w:rsidRPr="00B1515C">
        <w:t xml:space="preserve">, </w:t>
      </w:r>
      <w:r w:rsidR="00F622B0" w:rsidRPr="0084535D">
        <w:rPr>
          <w:rStyle w:val="Emphasis"/>
        </w:rPr>
        <w:t xml:space="preserve">ATO </w:t>
      </w:r>
      <w:r w:rsidR="00F622B0" w:rsidRPr="00B1515C">
        <w:t>(Web Page, 29 June 2022</w:t>
      </w:r>
      <w:r w:rsidR="001A1F7A">
        <w:t>).</w:t>
      </w:r>
    </w:p>
  </w:footnote>
  <w:footnote w:id="447">
    <w:p w14:paraId="4E66305F" w14:textId="59FAAAC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86" w:history="1">
        <w:r w:rsidR="00E5463F" w:rsidRPr="001A1F7A">
          <w:rPr>
            <w:rStyle w:val="Hyperlink"/>
          </w:rPr>
          <w:t>Market valuation for tax purposes</w:t>
        </w:r>
      </w:hyperlink>
      <w:r w:rsidR="00F75232">
        <w:t>’</w:t>
      </w:r>
      <w:r w:rsidR="00E5463F" w:rsidRPr="00B1515C">
        <w:t xml:space="preserve">, ATO (Web Page, </w:t>
      </w:r>
      <w:r w:rsidR="00F94AE1" w:rsidRPr="00B1515C">
        <w:t xml:space="preserve">29 </w:t>
      </w:r>
      <w:r w:rsidR="00165575" w:rsidRPr="00B1515C">
        <w:t>August 2023)</w:t>
      </w:r>
      <w:r w:rsidR="001A1F7A">
        <w:t>.</w:t>
      </w:r>
    </w:p>
  </w:footnote>
  <w:footnote w:id="448">
    <w:p w14:paraId="415A91BD" w14:textId="2D578B6F"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A concessionary rate of 10% applies to a fund payment by a clean building MIT.</w:t>
      </w:r>
    </w:p>
  </w:footnote>
  <w:footnote w:id="449">
    <w:p w14:paraId="4A95E8B6" w14:textId="17928870"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Explanatory Memorandum, The Tax Laws Amendment (New Tax System for Managed Investment Trusts) Bill 2015</w:t>
      </w:r>
      <w:r w:rsidR="00185727" w:rsidRPr="00B1515C">
        <w:rPr>
          <w:i/>
          <w:iCs/>
        </w:rPr>
        <w:t xml:space="preserve"> </w:t>
      </w:r>
      <w:r w:rsidR="00185727" w:rsidRPr="00B1515C">
        <w:t>1.8</w:t>
      </w:r>
      <w:r w:rsidR="0051633F" w:rsidRPr="00B1515C">
        <w:t>.</w:t>
      </w:r>
    </w:p>
  </w:footnote>
  <w:footnote w:id="450">
    <w:p w14:paraId="3F31AED1" w14:textId="070D49F9" w:rsidR="00A922BA" w:rsidRPr="00B1515C" w:rsidRDefault="00815763" w:rsidP="00A01254">
      <w:pPr>
        <w:pStyle w:val="FootnoteText"/>
      </w:pPr>
      <w:r w:rsidRPr="00815763">
        <w:rPr>
          <w:rStyle w:val="FootnoteReference"/>
          <w:vertAlign w:val="baseline"/>
        </w:rPr>
        <w:footnoteRef/>
      </w:r>
      <w:r w:rsidR="00A922BA" w:rsidRPr="00B1515C">
        <w:t xml:space="preserve"> </w:t>
      </w:r>
      <w:r w:rsidR="00FE31B9" w:rsidRPr="00B1515C">
        <w:tab/>
      </w:r>
      <w:r w:rsidR="001F6B2F" w:rsidRPr="00B1515C">
        <w:t xml:space="preserve">See </w:t>
      </w:r>
      <w:r w:rsidR="0051633F" w:rsidRPr="00B1515C">
        <w:t>ITAA 1936 ss</w:t>
      </w:r>
      <w:r w:rsidR="001F6B2F" w:rsidRPr="00B1515C">
        <w:t xml:space="preserve"> 102N</w:t>
      </w:r>
      <w:r w:rsidR="005A485D" w:rsidRPr="00B1515C">
        <w:t xml:space="preserve">, </w:t>
      </w:r>
      <w:r w:rsidR="00E32A37" w:rsidRPr="00B1515C">
        <w:t>102M.</w:t>
      </w:r>
    </w:p>
  </w:footnote>
  <w:footnote w:id="451">
    <w:p w14:paraId="740D5AEA" w14:textId="63F1A457"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ITAA 1936 s 102M</w:t>
      </w:r>
      <w:r w:rsidR="003A0E25" w:rsidRPr="00B1515C">
        <w:t>.</w:t>
      </w:r>
    </w:p>
  </w:footnote>
  <w:footnote w:id="452">
    <w:p w14:paraId="1AABEA72" w14:textId="1C6E0E5C" w:rsidR="00EE34B7" w:rsidRPr="00B1515C" w:rsidRDefault="00815763" w:rsidP="00A01254">
      <w:pPr>
        <w:pStyle w:val="FootnoteText"/>
      </w:pPr>
      <w:r w:rsidRPr="00815763">
        <w:rPr>
          <w:rStyle w:val="FootnoteReference"/>
          <w:vertAlign w:val="baseline"/>
        </w:rPr>
        <w:footnoteRef/>
      </w:r>
      <w:r w:rsidR="00EE34B7" w:rsidRPr="00B1515C">
        <w:t xml:space="preserve"> </w:t>
      </w:r>
      <w:r w:rsidR="00FE31B9" w:rsidRPr="00B1515C">
        <w:tab/>
      </w:r>
      <w:r w:rsidR="00EE34B7" w:rsidRPr="00B1515C">
        <w:t xml:space="preserve">Noting that a </w:t>
      </w:r>
      <w:r w:rsidR="00F75232">
        <w:t>‘</w:t>
      </w:r>
      <w:r w:rsidR="00EE34B7" w:rsidRPr="00B1515C">
        <w:t>financial arrangement</w:t>
      </w:r>
      <w:r w:rsidR="00F75232">
        <w:t>’</w:t>
      </w:r>
      <w:r w:rsidR="00EE34B7" w:rsidRPr="00B1515C">
        <w:t xml:space="preserve"> </w:t>
      </w:r>
      <w:r w:rsidR="00514D9F" w:rsidRPr="00B1515C">
        <w:t xml:space="preserve">is defined in </w:t>
      </w:r>
      <w:r w:rsidR="005A485D" w:rsidRPr="00B1515C">
        <w:t>ITAA 19</w:t>
      </w:r>
      <w:r w:rsidR="00CE4B2E" w:rsidRPr="00B1515C">
        <w:t>36</w:t>
      </w:r>
      <w:r w:rsidR="00514D9F" w:rsidRPr="00B1515C">
        <w:t xml:space="preserve"> 102M </w:t>
      </w:r>
      <w:r w:rsidR="00977FDB" w:rsidRPr="00B1515C">
        <w:t xml:space="preserve">as having the same meaning as in the ITAA 1997, </w:t>
      </w:r>
      <w:r w:rsidR="00AE29D0" w:rsidRPr="00B1515C">
        <w:t>whi</w:t>
      </w:r>
      <w:r w:rsidR="00E13CBF" w:rsidRPr="00B1515C">
        <w:t xml:space="preserve">ch in turn </w:t>
      </w:r>
      <w:r w:rsidR="00AE4A77" w:rsidRPr="00B1515C">
        <w:t>relies on the involvement of cash</w:t>
      </w:r>
      <w:r w:rsidR="004D1922" w:rsidRPr="00B1515C">
        <w:t xml:space="preserve"> and money, </w:t>
      </w:r>
      <w:r w:rsidR="00B10233" w:rsidRPr="00B1515C">
        <w:t xml:space="preserve">the latter of which is defined by reference to </w:t>
      </w:r>
      <w:r w:rsidR="007110DE" w:rsidRPr="00B1515C">
        <w:t xml:space="preserve">its definition in </w:t>
      </w:r>
      <w:r w:rsidR="00B10233" w:rsidRPr="00B1515C">
        <w:t xml:space="preserve">the </w:t>
      </w:r>
      <w:r w:rsidR="00B10233" w:rsidRPr="0084535D">
        <w:rPr>
          <w:rStyle w:val="Emphasis"/>
        </w:rPr>
        <w:t>A New Tax System (Goods and Services Tax) Act 1999</w:t>
      </w:r>
      <w:r w:rsidR="00B10233" w:rsidRPr="00B1515C">
        <w:t xml:space="preserve"> </w:t>
      </w:r>
      <w:r w:rsidR="00674BE7" w:rsidRPr="00B1515C">
        <w:t xml:space="preserve">(GST Act) </w:t>
      </w:r>
      <w:r w:rsidR="00E13CBF" w:rsidRPr="00B1515C">
        <w:t>(</w:t>
      </w:r>
      <w:r w:rsidR="00287359" w:rsidRPr="00B1515C">
        <w:t xml:space="preserve">ITAA 1997 </w:t>
      </w:r>
      <w:r w:rsidR="00E13CBF" w:rsidRPr="00B1515C">
        <w:t>s</w:t>
      </w:r>
      <w:r w:rsidR="00A45CC7" w:rsidRPr="00B1515C">
        <w:t>ub</w:t>
      </w:r>
      <w:r w:rsidR="00F75232">
        <w:t>-</w:t>
      </w:r>
      <w:r w:rsidR="00E13CBF" w:rsidRPr="00B1515C">
        <w:t xml:space="preserve">s 995(1), </w:t>
      </w:r>
      <w:r w:rsidR="00DA7A4C">
        <w:br/>
      </w:r>
      <w:r w:rsidR="00A45CC7" w:rsidRPr="00B1515C">
        <w:t xml:space="preserve">ss </w:t>
      </w:r>
      <w:r w:rsidR="00E13CBF" w:rsidRPr="00B1515C">
        <w:t>230</w:t>
      </w:r>
      <w:r w:rsidR="00F75232">
        <w:t>-</w:t>
      </w:r>
      <w:r w:rsidR="00E13CBF" w:rsidRPr="00B1515C">
        <w:t>45</w:t>
      </w:r>
      <w:r w:rsidR="0007341F">
        <w:t>–</w:t>
      </w:r>
      <w:r w:rsidR="00E13CBF" w:rsidRPr="00B1515C">
        <w:t>230</w:t>
      </w:r>
      <w:r w:rsidR="00F75232">
        <w:t>-</w:t>
      </w:r>
      <w:r w:rsidR="00E13CBF" w:rsidRPr="00B1515C">
        <w:t>55</w:t>
      </w:r>
      <w:r w:rsidR="00B10233" w:rsidRPr="00B1515C">
        <w:t>).</w:t>
      </w:r>
      <w:r w:rsidR="004F0A51" w:rsidRPr="00B1515C">
        <w:t xml:space="preserve"> </w:t>
      </w:r>
      <w:r w:rsidR="00D742CE" w:rsidRPr="00B1515C">
        <w:t xml:space="preserve">The GST Act defines </w:t>
      </w:r>
      <w:r w:rsidR="00F75232">
        <w:t>‘</w:t>
      </w:r>
      <w:r w:rsidR="00D742CE" w:rsidRPr="00B1515C">
        <w:t>money</w:t>
      </w:r>
      <w:r w:rsidR="00F75232">
        <w:t>’</w:t>
      </w:r>
      <w:r w:rsidR="00D742CE" w:rsidRPr="00B1515C">
        <w:t xml:space="preserve"> </w:t>
      </w:r>
      <w:r w:rsidR="00D646CE" w:rsidRPr="00B1515C">
        <w:t xml:space="preserve">largely </w:t>
      </w:r>
      <w:r w:rsidR="00B41594" w:rsidRPr="00B1515C">
        <w:t>(although not exclusively</w:t>
      </w:r>
      <w:r w:rsidR="00970009" w:rsidRPr="00B1515C">
        <w:t xml:space="preserve">) </w:t>
      </w:r>
      <w:r w:rsidR="00DD4128" w:rsidRPr="00B1515C">
        <w:t xml:space="preserve">by reference to </w:t>
      </w:r>
      <w:r w:rsidR="00F75232">
        <w:t>‘</w:t>
      </w:r>
      <w:r w:rsidR="00DD4128" w:rsidRPr="00B1515C">
        <w:t>currency</w:t>
      </w:r>
      <w:r w:rsidR="00F75232">
        <w:t>’</w:t>
      </w:r>
      <w:r w:rsidR="00DD4128" w:rsidRPr="00B1515C">
        <w:t xml:space="preserve"> </w:t>
      </w:r>
      <w:r w:rsidR="000D3352" w:rsidRPr="00B1515C">
        <w:t>which is referred to in terms of being issued by a country.</w:t>
      </w:r>
      <w:r w:rsidR="004F0A51" w:rsidRPr="00B1515C">
        <w:t xml:space="preserve"> </w:t>
      </w:r>
      <w:r w:rsidR="00970009" w:rsidRPr="00B1515C">
        <w:t xml:space="preserve">The definition of </w:t>
      </w:r>
      <w:r w:rsidR="00F75232">
        <w:t>‘</w:t>
      </w:r>
      <w:r w:rsidR="00970009" w:rsidRPr="00B1515C">
        <w:t>money</w:t>
      </w:r>
      <w:r w:rsidR="00F75232">
        <w:t>’</w:t>
      </w:r>
      <w:r w:rsidR="00970009" w:rsidRPr="00B1515C">
        <w:t xml:space="preserve"> also refers to payment by way of </w:t>
      </w:r>
      <w:r w:rsidR="00F75232">
        <w:t>‘</w:t>
      </w:r>
      <w:r w:rsidR="00623E80" w:rsidRPr="00B1515C">
        <w:t>creation or transfer of a debt</w:t>
      </w:r>
      <w:r w:rsidR="00F75232">
        <w:t>’</w:t>
      </w:r>
      <w:r w:rsidR="00623E80" w:rsidRPr="00B1515C">
        <w:t xml:space="preserve"> which, in context, </w:t>
      </w:r>
      <w:r w:rsidR="00374299" w:rsidRPr="00B1515C">
        <w:t xml:space="preserve">may be expected to refer to a debt </w:t>
      </w:r>
      <w:r w:rsidR="0065556D" w:rsidRPr="00B1515C">
        <w:t>relating to currency.</w:t>
      </w:r>
    </w:p>
  </w:footnote>
  <w:footnote w:id="453">
    <w:p w14:paraId="3F65CA2E" w14:textId="1AAD9D4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A20, 20</w:t>
      </w:r>
      <w:r w:rsidR="00CA094E" w:rsidRPr="00B1515C">
        <w:t>.</w:t>
      </w:r>
    </w:p>
  </w:footnote>
  <w:footnote w:id="454">
    <w:p w14:paraId="3F0A1443" w14:textId="4E11CC58"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A22, 4</w:t>
      </w:r>
      <w:r w:rsidR="00CA094E" w:rsidRPr="00B1515C">
        <w:t>.</w:t>
      </w:r>
    </w:p>
  </w:footnote>
  <w:footnote w:id="455">
    <w:p w14:paraId="00B8281C" w14:textId="3B6A503E"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 xml:space="preserve">Submission </w:t>
      </w:r>
      <w:r w:rsidR="001A7E4B" w:rsidRPr="00B1515C">
        <w:t xml:space="preserve">A19, 32; </w:t>
      </w:r>
      <w:r w:rsidR="00DE1AE9" w:rsidRPr="00B1515C">
        <w:t xml:space="preserve">Submission </w:t>
      </w:r>
      <w:r w:rsidR="00185727" w:rsidRPr="00B1515C">
        <w:t xml:space="preserve">A24, </w:t>
      </w:r>
      <w:r w:rsidR="008A648D" w:rsidRPr="00B1515C">
        <w:t>6;</w:t>
      </w:r>
      <w:r w:rsidR="00185727" w:rsidRPr="00B1515C">
        <w:t xml:space="preserve"> </w:t>
      </w:r>
      <w:r w:rsidR="00DE1AE9" w:rsidRPr="00B1515C">
        <w:t xml:space="preserve">Submission </w:t>
      </w:r>
      <w:r w:rsidR="00185727" w:rsidRPr="00B1515C">
        <w:t xml:space="preserve">A26, </w:t>
      </w:r>
      <w:r w:rsidR="0032435E" w:rsidRPr="00B1515C">
        <w:t>23;</w:t>
      </w:r>
      <w:r w:rsidR="00185727" w:rsidRPr="00B1515C">
        <w:t xml:space="preserve"> </w:t>
      </w:r>
      <w:r w:rsidR="00DE1AE9" w:rsidRPr="00B1515C">
        <w:t xml:space="preserve">Submission </w:t>
      </w:r>
      <w:r w:rsidR="001A7E4B" w:rsidRPr="00B1515C">
        <w:t xml:space="preserve">A27, 21; </w:t>
      </w:r>
      <w:r w:rsidR="00DE1AE9" w:rsidRPr="00B1515C">
        <w:t xml:space="preserve">Submission </w:t>
      </w:r>
      <w:r w:rsidR="00185727" w:rsidRPr="00B1515C">
        <w:t xml:space="preserve">A32, </w:t>
      </w:r>
      <w:r w:rsidR="00B01808" w:rsidRPr="00B1515C">
        <w:t xml:space="preserve">7; </w:t>
      </w:r>
      <w:r w:rsidR="00DE1AE9" w:rsidRPr="00B1515C">
        <w:t>Submission</w:t>
      </w:r>
      <w:r w:rsidR="005A0723">
        <w:t> </w:t>
      </w:r>
      <w:r w:rsidR="001A7E4B" w:rsidRPr="00B1515C">
        <w:t>A33</w:t>
      </w:r>
      <w:r w:rsidR="005A0723">
        <w:t> </w:t>
      </w:r>
      <w:r w:rsidR="001A7E4B" w:rsidRPr="00B1515C">
        <w:t>20</w:t>
      </w:r>
      <w:r w:rsidR="0007341F">
        <w:t>–</w:t>
      </w:r>
      <w:r w:rsidR="001A7E4B" w:rsidRPr="00B1515C">
        <w:t xml:space="preserve">21; </w:t>
      </w:r>
      <w:r w:rsidR="00DE1AE9" w:rsidRPr="00B1515C">
        <w:t xml:space="preserve">Submission </w:t>
      </w:r>
      <w:r w:rsidR="00185727" w:rsidRPr="00B1515C">
        <w:t xml:space="preserve">A36, </w:t>
      </w:r>
      <w:r w:rsidR="00E76B81" w:rsidRPr="00B1515C">
        <w:t>3;</w:t>
      </w:r>
      <w:r w:rsidR="00185727" w:rsidRPr="00B1515C">
        <w:t xml:space="preserve"> </w:t>
      </w:r>
      <w:r w:rsidR="00DE1AE9" w:rsidRPr="00B1515C">
        <w:t xml:space="preserve">Submission </w:t>
      </w:r>
      <w:r w:rsidR="00185727" w:rsidRPr="00B1515C">
        <w:t xml:space="preserve">A38, </w:t>
      </w:r>
      <w:r w:rsidR="00372F3B" w:rsidRPr="00B1515C">
        <w:t>3;</w:t>
      </w:r>
      <w:r w:rsidR="00185727" w:rsidRPr="00B1515C">
        <w:t xml:space="preserve"> </w:t>
      </w:r>
      <w:r w:rsidR="00DE1AE9" w:rsidRPr="00B1515C">
        <w:t xml:space="preserve">Submission </w:t>
      </w:r>
      <w:r w:rsidR="001A7E4B" w:rsidRPr="00B1515C">
        <w:t>A39, 3</w:t>
      </w:r>
      <w:r w:rsidR="00185727" w:rsidRPr="00B1515C">
        <w:t>.</w:t>
      </w:r>
    </w:p>
  </w:footnote>
  <w:footnote w:id="456">
    <w:p w14:paraId="06015679" w14:textId="1056F654" w:rsidR="00F44ED5" w:rsidRPr="00B1515C" w:rsidRDefault="00815763" w:rsidP="00A01254">
      <w:pPr>
        <w:pStyle w:val="FootnoteText"/>
      </w:pPr>
      <w:r w:rsidRPr="00815763">
        <w:rPr>
          <w:rStyle w:val="FootnoteReference"/>
          <w:vertAlign w:val="baseline"/>
        </w:rPr>
        <w:footnoteRef/>
      </w:r>
      <w:r w:rsidR="00F44ED5" w:rsidRPr="00B1515C">
        <w:t xml:space="preserve"> </w:t>
      </w:r>
      <w:r w:rsidR="00FE31B9" w:rsidRPr="00B1515C">
        <w:tab/>
      </w:r>
      <w:r w:rsidR="00F75232">
        <w:t>‘</w:t>
      </w:r>
      <w:hyperlink r:id="rId187" w:anchor=":~:text=APRA%20and%20the%20Australian%20Taxation,managed%20superannuation%20funds%20(SMSFs)." w:history="1">
        <w:r w:rsidR="004633D0" w:rsidRPr="001A1F7A">
          <w:rPr>
            <w:rStyle w:val="Hyperlink"/>
          </w:rPr>
          <w:t>ASIC</w:t>
        </w:r>
        <w:r w:rsidR="00F75232" w:rsidRPr="001A1F7A">
          <w:rPr>
            <w:rStyle w:val="Hyperlink"/>
          </w:rPr>
          <w:t>’</w:t>
        </w:r>
        <w:r w:rsidR="004633D0" w:rsidRPr="001A1F7A">
          <w:rPr>
            <w:rStyle w:val="Hyperlink"/>
          </w:rPr>
          <w:t>s role in super</w:t>
        </w:r>
      </w:hyperlink>
      <w:r w:rsidR="00F75232">
        <w:t>’</w:t>
      </w:r>
      <w:r w:rsidR="004633D0" w:rsidRPr="00B1515C">
        <w:rPr>
          <w:i/>
          <w:iCs/>
        </w:rPr>
        <w:t>,</w:t>
      </w:r>
      <w:r w:rsidR="004633D0" w:rsidRPr="00B1515C">
        <w:t xml:space="preserve"> </w:t>
      </w:r>
      <w:r w:rsidR="004633D0" w:rsidRPr="0084535D">
        <w:rPr>
          <w:rStyle w:val="Emphasis"/>
        </w:rPr>
        <w:t>A</w:t>
      </w:r>
      <w:r w:rsidR="00C074CE" w:rsidRPr="0084535D">
        <w:rPr>
          <w:rStyle w:val="Emphasis"/>
        </w:rPr>
        <w:t>ustralian Securities and Investments Commission (A</w:t>
      </w:r>
      <w:r w:rsidR="004633D0" w:rsidRPr="0084535D">
        <w:rPr>
          <w:rStyle w:val="Emphasis"/>
        </w:rPr>
        <w:t>SIC</w:t>
      </w:r>
      <w:r w:rsidR="00C074CE" w:rsidRPr="0084535D">
        <w:rPr>
          <w:rStyle w:val="Emphasis"/>
        </w:rPr>
        <w:t>)</w:t>
      </w:r>
      <w:r w:rsidR="004633D0" w:rsidRPr="00B1515C">
        <w:t xml:space="preserve"> (Web </w:t>
      </w:r>
      <w:r w:rsidR="003046F8" w:rsidRPr="00B1515C">
        <w:t>Page</w:t>
      </w:r>
      <w:r w:rsidR="004633D0" w:rsidRPr="00B1515C">
        <w:t>, accessed 19</w:t>
      </w:r>
      <w:r w:rsidR="005A0723">
        <w:t> </w:t>
      </w:r>
      <w:r w:rsidR="004633D0" w:rsidRPr="00B1515C">
        <w:t>January</w:t>
      </w:r>
      <w:r w:rsidR="005A0723">
        <w:t> </w:t>
      </w:r>
      <w:r w:rsidR="004633D0" w:rsidRPr="00B1515C">
        <w:t>2024)</w:t>
      </w:r>
      <w:r w:rsidR="00E56136" w:rsidRPr="00B1515C">
        <w:t>.</w:t>
      </w:r>
    </w:p>
  </w:footnote>
  <w:footnote w:id="457">
    <w:p w14:paraId="0FD1EF4A" w14:textId="4775A343" w:rsidR="00C71BAB" w:rsidRPr="00B1515C" w:rsidRDefault="00815763" w:rsidP="00A01254">
      <w:pPr>
        <w:pStyle w:val="FootnoteText"/>
      </w:pPr>
      <w:r w:rsidRPr="00815763">
        <w:rPr>
          <w:rStyle w:val="FootnoteReference"/>
          <w:vertAlign w:val="baseline"/>
        </w:rPr>
        <w:footnoteRef/>
      </w:r>
      <w:r w:rsidR="00C71BAB" w:rsidRPr="00B1515C">
        <w:t xml:space="preserve"> </w:t>
      </w:r>
      <w:r w:rsidR="00FE31B9" w:rsidRPr="00B1515C">
        <w:tab/>
      </w:r>
      <w:r w:rsidR="00A96045" w:rsidRPr="0084535D">
        <w:rPr>
          <w:rStyle w:val="Emphasis"/>
        </w:rPr>
        <w:t>Super</w:t>
      </w:r>
      <w:r w:rsidR="00BB09A2" w:rsidRPr="0084535D">
        <w:rPr>
          <w:rStyle w:val="Emphasis"/>
        </w:rPr>
        <w:t xml:space="preserve">annuation Industry (Supervision) Act 1993 </w:t>
      </w:r>
      <w:r w:rsidR="00BB09A2" w:rsidRPr="00B1515C">
        <w:t>(</w:t>
      </w:r>
      <w:r w:rsidR="00C71BAB" w:rsidRPr="00B1515C">
        <w:t>SIS Act</w:t>
      </w:r>
      <w:r w:rsidR="00BB09A2" w:rsidRPr="00B1515C">
        <w:t>)</w:t>
      </w:r>
      <w:r w:rsidR="009D4CA8" w:rsidRPr="00B1515C">
        <w:t xml:space="preserve"> </w:t>
      </w:r>
      <w:r w:rsidR="006152C7" w:rsidRPr="00B1515C">
        <w:t>para</w:t>
      </w:r>
      <w:r w:rsidR="00F70D9E" w:rsidRPr="00B1515C">
        <w:t xml:space="preserve"> 5</w:t>
      </w:r>
      <w:r w:rsidR="006152C7" w:rsidRPr="00B1515C">
        <w:t>2(2)(c)</w:t>
      </w:r>
      <w:r w:rsidR="000C3ADA" w:rsidRPr="00B1515C">
        <w:t>.</w:t>
      </w:r>
    </w:p>
  </w:footnote>
  <w:footnote w:id="458">
    <w:p w14:paraId="4DB6EC9A" w14:textId="420AC70A" w:rsidR="00D802AF" w:rsidRPr="00B1515C" w:rsidRDefault="00815763" w:rsidP="00A01254">
      <w:pPr>
        <w:pStyle w:val="FootnoteText"/>
      </w:pPr>
      <w:r w:rsidRPr="00815763">
        <w:rPr>
          <w:rStyle w:val="FootnoteReference"/>
          <w:vertAlign w:val="baseline"/>
        </w:rPr>
        <w:footnoteRef/>
      </w:r>
      <w:r w:rsidR="00D802AF" w:rsidRPr="00B1515C">
        <w:t xml:space="preserve"> </w:t>
      </w:r>
      <w:r w:rsidR="00FE31B9" w:rsidRPr="00B1515C">
        <w:tab/>
      </w:r>
      <w:r w:rsidR="00D802AF" w:rsidRPr="00B1515C">
        <w:t>SIS Act s</w:t>
      </w:r>
      <w:r w:rsidR="006A12D2" w:rsidRPr="00B1515C">
        <w:t xml:space="preserve"> 62</w:t>
      </w:r>
      <w:r w:rsidR="00EC209C" w:rsidRPr="00B1515C">
        <w:t>.</w:t>
      </w:r>
    </w:p>
  </w:footnote>
  <w:footnote w:id="459">
    <w:p w14:paraId="33E75E83" w14:textId="17CA216A"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88" w:history="1">
        <w:r w:rsidR="0072433F" w:rsidRPr="00FD06BC">
          <w:rPr>
            <w:rStyle w:val="Hyperlink"/>
          </w:rPr>
          <w:t>SMSF profile</w:t>
        </w:r>
      </w:hyperlink>
      <w:r w:rsidR="00F75232">
        <w:t>’</w:t>
      </w:r>
      <w:r w:rsidR="0072433F" w:rsidRPr="00B1515C">
        <w:t xml:space="preserve">, </w:t>
      </w:r>
      <w:r w:rsidR="00185727" w:rsidRPr="0084535D">
        <w:rPr>
          <w:rStyle w:val="Emphasis"/>
        </w:rPr>
        <w:t>ATO</w:t>
      </w:r>
      <w:r w:rsidR="00185727" w:rsidRPr="00B1515C">
        <w:t xml:space="preserve"> (</w:t>
      </w:r>
      <w:r w:rsidR="0072433F" w:rsidRPr="00B1515C">
        <w:t>W</w:t>
      </w:r>
      <w:r w:rsidR="003046F8" w:rsidRPr="00B1515C">
        <w:t xml:space="preserve">eb Page, </w:t>
      </w:r>
      <w:r w:rsidR="00E82DCB" w:rsidRPr="00B1515C">
        <w:t xml:space="preserve">20 </w:t>
      </w:r>
      <w:r w:rsidR="00CD7C4D" w:rsidRPr="00B1515C">
        <w:t>Februa</w:t>
      </w:r>
      <w:r w:rsidR="00745F09" w:rsidRPr="00B1515C">
        <w:t>r</w:t>
      </w:r>
      <w:r w:rsidR="00CD7C4D" w:rsidRPr="00B1515C">
        <w:t>y</w:t>
      </w:r>
      <w:r w:rsidR="003046F8" w:rsidRPr="00B1515C">
        <w:t xml:space="preserve"> </w:t>
      </w:r>
      <w:r w:rsidR="00185727" w:rsidRPr="00B1515C">
        <w:t>2023)</w:t>
      </w:r>
      <w:r w:rsidR="00FD06BC">
        <w:t>.</w:t>
      </w:r>
    </w:p>
  </w:footnote>
  <w:footnote w:id="460">
    <w:p w14:paraId="4E21A51A" w14:textId="22CB14B9"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F75232">
        <w:t>‘</w:t>
      </w:r>
      <w:hyperlink r:id="rId189" w:history="1">
        <w:r w:rsidR="00CD7C4D" w:rsidRPr="00FD06BC">
          <w:rPr>
            <w:rStyle w:val="Hyperlink"/>
          </w:rPr>
          <w:t>Investment profile</w:t>
        </w:r>
      </w:hyperlink>
      <w:r w:rsidR="00F75232">
        <w:t>’</w:t>
      </w:r>
      <w:r w:rsidR="00CD7C4D" w:rsidRPr="00B1515C">
        <w:t xml:space="preserve">, </w:t>
      </w:r>
      <w:r w:rsidR="00185727" w:rsidRPr="0084535D">
        <w:rPr>
          <w:rStyle w:val="Emphasis"/>
        </w:rPr>
        <w:t xml:space="preserve">ATO </w:t>
      </w:r>
      <w:r w:rsidR="00185727" w:rsidRPr="00B1515C">
        <w:t>(</w:t>
      </w:r>
      <w:r w:rsidR="00CD7C4D" w:rsidRPr="00B1515C">
        <w:t>Web Page</w:t>
      </w:r>
      <w:r w:rsidR="00745F09" w:rsidRPr="00B1515C">
        <w:t xml:space="preserve">, 20 February </w:t>
      </w:r>
      <w:r w:rsidR="00185727" w:rsidRPr="00B1515C">
        <w:t>2023)</w:t>
      </w:r>
      <w:r w:rsidR="00FD06BC">
        <w:t>.</w:t>
      </w:r>
    </w:p>
  </w:footnote>
  <w:footnote w:id="461">
    <w:p w14:paraId="7BC7AFCB" w14:textId="0E594215"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185727" w:rsidRPr="00B1515C">
        <w:t>Submission A23, 1.</w:t>
      </w:r>
    </w:p>
  </w:footnote>
  <w:footnote w:id="462">
    <w:p w14:paraId="126FF7F1" w14:textId="772C7C9B" w:rsidR="007E5815" w:rsidRPr="00B1515C" w:rsidRDefault="00815763" w:rsidP="00A01254">
      <w:pPr>
        <w:pStyle w:val="FootnoteText"/>
      </w:pPr>
      <w:r w:rsidRPr="00815763">
        <w:rPr>
          <w:rStyle w:val="FootnoteReference"/>
          <w:vertAlign w:val="baseline"/>
        </w:rPr>
        <w:footnoteRef/>
      </w:r>
      <w:r w:rsidR="007E5815" w:rsidRPr="00B1515C">
        <w:t xml:space="preserve"> </w:t>
      </w:r>
      <w:r w:rsidR="00FE31B9" w:rsidRPr="00B1515C">
        <w:tab/>
      </w:r>
      <w:r w:rsidR="00F75232">
        <w:t>‘</w:t>
      </w:r>
      <w:hyperlink r:id="rId190" w:anchor="Acquiring_crypto_assets" w:history="1">
        <w:r w:rsidR="00B45BE5" w:rsidRPr="00FD06BC">
          <w:rPr>
            <w:rStyle w:val="Hyperlink"/>
          </w:rPr>
          <w:t>SMSF investing in crypto assets</w:t>
        </w:r>
      </w:hyperlink>
      <w:r w:rsidR="00F75232">
        <w:t>’</w:t>
      </w:r>
      <w:r w:rsidR="00B45BE5" w:rsidRPr="00B1515C">
        <w:t xml:space="preserve">, </w:t>
      </w:r>
      <w:r w:rsidR="007E5815" w:rsidRPr="0084535D">
        <w:rPr>
          <w:rStyle w:val="Emphasis"/>
        </w:rPr>
        <w:t xml:space="preserve">ATO </w:t>
      </w:r>
      <w:r w:rsidR="007E5815" w:rsidRPr="00B1515C">
        <w:t>(</w:t>
      </w:r>
      <w:r w:rsidR="00B45BE5" w:rsidRPr="00B1515C">
        <w:t xml:space="preserve">Web Page, 29 June </w:t>
      </w:r>
      <w:r w:rsidR="007E5815" w:rsidRPr="00B1515C">
        <w:t>2022)</w:t>
      </w:r>
      <w:r w:rsidR="00B45BE5" w:rsidRPr="00B1515C">
        <w:t>.</w:t>
      </w:r>
      <w:r w:rsidR="007E5815" w:rsidRPr="00B1515C" w:rsidDel="000E636A">
        <w:t xml:space="preserve"> </w:t>
      </w:r>
    </w:p>
  </w:footnote>
  <w:footnote w:id="463">
    <w:p w14:paraId="7DB3E674" w14:textId="6E77400B" w:rsidR="00403F23" w:rsidRPr="00B1515C" w:rsidRDefault="00815763" w:rsidP="00A01254">
      <w:pPr>
        <w:pStyle w:val="FootnoteText"/>
      </w:pPr>
      <w:r w:rsidRPr="00815763">
        <w:rPr>
          <w:rStyle w:val="FootnoteReference"/>
          <w:vertAlign w:val="baseline"/>
        </w:rPr>
        <w:footnoteRef/>
      </w:r>
      <w:r w:rsidR="00403F23" w:rsidRPr="00B1515C">
        <w:t xml:space="preserve"> </w:t>
      </w:r>
      <w:r w:rsidR="00FE31B9" w:rsidRPr="00B1515C">
        <w:tab/>
      </w:r>
      <w:hyperlink r:id="rId191" w:history="1">
        <w:r w:rsidR="004D4F89" w:rsidRPr="00E97FCF">
          <w:rPr>
            <w:rStyle w:val="Hyperlink"/>
          </w:rPr>
          <w:t>Letter from</w:t>
        </w:r>
        <w:r w:rsidR="00403F23" w:rsidRPr="00E97FCF">
          <w:rPr>
            <w:rStyle w:val="Hyperlink"/>
          </w:rPr>
          <w:t xml:space="preserve"> </w:t>
        </w:r>
        <w:r w:rsidR="003C6BBE" w:rsidRPr="00E97FCF">
          <w:rPr>
            <w:rStyle w:val="Hyperlink"/>
          </w:rPr>
          <w:t>Wayne Byres</w:t>
        </w:r>
        <w:r w:rsidR="00414E8B" w:rsidRPr="00E97FCF">
          <w:rPr>
            <w:rStyle w:val="Hyperlink"/>
          </w:rPr>
          <w:t xml:space="preserve"> </w:t>
        </w:r>
        <w:r w:rsidR="00B07552" w:rsidRPr="00E97FCF">
          <w:rPr>
            <w:rStyle w:val="Hyperlink"/>
          </w:rPr>
          <w:t>APRA Chair to All APRA</w:t>
        </w:r>
        <w:r w:rsidR="00F75232" w:rsidRPr="00E97FCF">
          <w:rPr>
            <w:rStyle w:val="Hyperlink"/>
          </w:rPr>
          <w:t>-</w:t>
        </w:r>
        <w:r w:rsidR="00B07552" w:rsidRPr="00E97FCF">
          <w:rPr>
            <w:rStyle w:val="Hyperlink"/>
          </w:rPr>
          <w:t>Regulated Entities</w:t>
        </w:r>
      </w:hyperlink>
      <w:r w:rsidR="000610D5" w:rsidRPr="00B1515C">
        <w:t xml:space="preserve">, </w:t>
      </w:r>
      <w:r w:rsidR="009F193F" w:rsidRPr="00B1515C">
        <w:t>21 April 2022</w:t>
      </w:r>
      <w:r w:rsidR="00E97FCF">
        <w:t>.</w:t>
      </w:r>
    </w:p>
  </w:footnote>
  <w:footnote w:id="464">
    <w:p w14:paraId="25E45768" w14:textId="2349A125" w:rsidR="009237D0" w:rsidRPr="00B1515C" w:rsidRDefault="00815763" w:rsidP="00A01254">
      <w:pPr>
        <w:pStyle w:val="FootnoteText"/>
      </w:pPr>
      <w:r w:rsidRPr="00815763">
        <w:rPr>
          <w:rStyle w:val="FootnoteReference"/>
          <w:vertAlign w:val="baseline"/>
        </w:rPr>
        <w:footnoteRef/>
      </w:r>
      <w:r w:rsidR="009237D0" w:rsidRPr="00B1515C">
        <w:t xml:space="preserve"> </w:t>
      </w:r>
      <w:r w:rsidR="00FE31B9" w:rsidRPr="00B1515C">
        <w:tab/>
      </w:r>
      <w:r w:rsidR="009237D0" w:rsidRPr="00B1515C">
        <w:t>Submission A23, 2.</w:t>
      </w:r>
    </w:p>
  </w:footnote>
  <w:footnote w:id="465">
    <w:p w14:paraId="5CB0A065" w14:textId="28BC37F7" w:rsidR="00185727" w:rsidRPr="00B1515C" w:rsidRDefault="00815763" w:rsidP="00A01254">
      <w:pPr>
        <w:pStyle w:val="FootnoteText"/>
      </w:pPr>
      <w:r w:rsidRPr="00815763">
        <w:rPr>
          <w:rStyle w:val="FootnoteReference"/>
          <w:vertAlign w:val="baseline"/>
        </w:rPr>
        <w:footnoteRef/>
      </w:r>
      <w:r w:rsidR="00185727" w:rsidRPr="00B1515C">
        <w:t xml:space="preserve"> </w:t>
      </w:r>
      <w:r w:rsidR="00FE31B9" w:rsidRPr="00B1515C">
        <w:tab/>
      </w:r>
      <w:r w:rsidR="00755748" w:rsidRPr="00B1515C">
        <w:t>See</w:t>
      </w:r>
      <w:r w:rsidR="00185727" w:rsidRPr="00B1515C">
        <w:t xml:space="preserve"> </w:t>
      </w:r>
      <w:r w:rsidR="008B00C3" w:rsidRPr="00B1515C">
        <w:t>also S</w:t>
      </w:r>
      <w:r w:rsidR="00185727" w:rsidRPr="00B1515C">
        <w:t>ubmission A20, 17.</w:t>
      </w:r>
    </w:p>
  </w:footnote>
  <w:footnote w:id="466">
    <w:p w14:paraId="7E0FC64A" w14:textId="2FA53F27" w:rsidR="00907B3E" w:rsidRPr="00B1515C" w:rsidRDefault="00815763" w:rsidP="00A01254">
      <w:pPr>
        <w:pStyle w:val="FootnoteText"/>
      </w:pPr>
      <w:r w:rsidRPr="00815763">
        <w:rPr>
          <w:rStyle w:val="FootnoteReference"/>
          <w:vertAlign w:val="baseline"/>
        </w:rPr>
        <w:footnoteRef/>
      </w:r>
      <w:r w:rsidR="00907B3E" w:rsidRPr="00B1515C">
        <w:t xml:space="preserve"> </w:t>
      </w:r>
      <w:r w:rsidR="00FE31B9" w:rsidRPr="00B1515C">
        <w:tab/>
      </w:r>
      <w:r w:rsidR="00C462C5" w:rsidRPr="00B1515C">
        <w:t>ITAA 1997</w:t>
      </w:r>
      <w:r w:rsidR="00907B3E" w:rsidRPr="00B1515C">
        <w:t xml:space="preserve"> </w:t>
      </w:r>
      <w:r w:rsidR="0046229D" w:rsidRPr="00B1515C">
        <w:t>I</w:t>
      </w:r>
      <w:r w:rsidR="00907B3E" w:rsidRPr="00B1515C">
        <w:t>tem 5 in the table in s</w:t>
      </w:r>
      <w:r w:rsidR="00C462C5" w:rsidRPr="00B1515C">
        <w:t>ub</w:t>
      </w:r>
      <w:r w:rsidR="00F75232">
        <w:t>-</w:t>
      </w:r>
      <w:r w:rsidR="00907B3E" w:rsidRPr="00B1515C">
        <w:t>s 295</w:t>
      </w:r>
      <w:r w:rsidR="00F75232">
        <w:t>-</w:t>
      </w:r>
      <w:r w:rsidR="00907B3E" w:rsidRPr="00B1515C">
        <w:t>85(4)</w:t>
      </w:r>
      <w:r w:rsidR="0046229D" w:rsidRPr="00B1515C">
        <w:t>.</w:t>
      </w:r>
    </w:p>
  </w:footnote>
  <w:footnote w:id="467">
    <w:p w14:paraId="3016E92D" w14:textId="6B69C8A5" w:rsidR="00357A15" w:rsidRPr="00B1515C" w:rsidRDefault="00815763" w:rsidP="00A01254">
      <w:pPr>
        <w:pStyle w:val="FootnoteText"/>
      </w:pPr>
      <w:r w:rsidRPr="00815763">
        <w:rPr>
          <w:rStyle w:val="FootnoteReference"/>
          <w:vertAlign w:val="baseline"/>
        </w:rPr>
        <w:footnoteRef/>
      </w:r>
      <w:r w:rsidR="00357A15" w:rsidRPr="00B1515C">
        <w:t xml:space="preserve"> </w:t>
      </w:r>
      <w:r w:rsidR="00357A15" w:rsidRPr="00B1515C">
        <w:tab/>
      </w:r>
      <w:r w:rsidR="00F75232">
        <w:t>‘</w:t>
      </w:r>
      <w:hyperlink r:id="rId192" w:history="1">
        <w:r w:rsidR="00357A15" w:rsidRPr="00E97FCF">
          <w:rPr>
            <w:rStyle w:val="Hyperlink"/>
          </w:rPr>
          <w:t>Crypto assets used in business</w:t>
        </w:r>
      </w:hyperlink>
      <w:r w:rsidR="00F75232">
        <w:t>’</w:t>
      </w:r>
      <w:r w:rsidR="00357A15" w:rsidRPr="00B1515C">
        <w:t xml:space="preserve">, </w:t>
      </w:r>
      <w:r w:rsidR="00357A15" w:rsidRPr="0084535D">
        <w:rPr>
          <w:rStyle w:val="Emphasis"/>
        </w:rPr>
        <w:t>ATO</w:t>
      </w:r>
      <w:r w:rsidR="00357A15" w:rsidRPr="00B1515C">
        <w:t xml:space="preserve"> (Web Page, 29 June 2023)</w:t>
      </w:r>
      <w:r w:rsidR="00E97FCF">
        <w:t>.</w:t>
      </w:r>
    </w:p>
  </w:footnote>
  <w:footnote w:id="468">
    <w:p w14:paraId="79FC3A69" w14:textId="245303D9" w:rsidR="00357A15" w:rsidRPr="00B1515C" w:rsidRDefault="00815763" w:rsidP="00A01254">
      <w:pPr>
        <w:pStyle w:val="FootnoteText"/>
      </w:pPr>
      <w:r w:rsidRPr="00815763">
        <w:rPr>
          <w:rStyle w:val="FootnoteReference"/>
          <w:vertAlign w:val="baseline"/>
        </w:rPr>
        <w:footnoteRef/>
      </w:r>
      <w:r w:rsidR="00357A15" w:rsidRPr="00B1515C">
        <w:t xml:space="preserve"> </w:t>
      </w:r>
      <w:r w:rsidR="00357A15" w:rsidRPr="00B1515C">
        <w:tab/>
        <w:t>ITAA 1997 sub</w:t>
      </w:r>
      <w:r w:rsidR="00F75232">
        <w:t>-</w:t>
      </w:r>
      <w:r w:rsidR="00357A15" w:rsidRPr="00B1515C">
        <w:t>s 6</w:t>
      </w:r>
      <w:r w:rsidR="00F75232">
        <w:t>-</w:t>
      </w:r>
      <w:r w:rsidR="00357A15" w:rsidRPr="00B1515C">
        <w:t>5(4).</w:t>
      </w:r>
    </w:p>
  </w:footnote>
  <w:footnote w:id="469">
    <w:p w14:paraId="5C59D0E5" w14:textId="495F17B8" w:rsidR="00357A15" w:rsidRPr="00B1515C" w:rsidRDefault="00815763" w:rsidP="00A01254">
      <w:pPr>
        <w:pStyle w:val="FootnoteText"/>
      </w:pPr>
      <w:r w:rsidRPr="00815763">
        <w:rPr>
          <w:rStyle w:val="FootnoteReference"/>
          <w:vertAlign w:val="baseline"/>
        </w:rPr>
        <w:footnoteRef/>
      </w:r>
      <w:r w:rsidR="00357A15" w:rsidRPr="00B1515C">
        <w:t xml:space="preserve"> </w:t>
      </w:r>
      <w:r w:rsidR="00357A15" w:rsidRPr="00B1515C">
        <w:tab/>
        <w:t>Including Submission A25,</w:t>
      </w:r>
      <w:r w:rsidR="002916DE" w:rsidRPr="00B1515C">
        <w:t xml:space="preserve"> </w:t>
      </w:r>
      <w:r w:rsidR="00357A15" w:rsidRPr="00B1515C">
        <w:t>5; Submission A26,</w:t>
      </w:r>
      <w:r w:rsidR="002916DE" w:rsidRPr="00B1515C">
        <w:t xml:space="preserve"> </w:t>
      </w:r>
      <w:r w:rsidR="00357A15" w:rsidRPr="00B1515C">
        <w:t>26; Submission A27, 3; Submission A19, 33</w:t>
      </w:r>
      <w:r w:rsidR="002916DE" w:rsidRPr="00B1515C">
        <w:t>.</w:t>
      </w:r>
    </w:p>
  </w:footnote>
  <w:footnote w:id="470">
    <w:p w14:paraId="289E1DC9" w14:textId="488A7103" w:rsidR="00185727" w:rsidRPr="00B1515C" w:rsidRDefault="00815763" w:rsidP="00A01254">
      <w:pPr>
        <w:pStyle w:val="FootnoteText"/>
      </w:pPr>
      <w:r w:rsidRPr="00815763">
        <w:rPr>
          <w:rStyle w:val="FootnoteReference"/>
          <w:vertAlign w:val="baseline"/>
        </w:rPr>
        <w:footnoteRef/>
      </w:r>
      <w:r w:rsidR="00185727" w:rsidRPr="00B1515C">
        <w:t xml:space="preserve"> </w:t>
      </w:r>
      <w:bookmarkStart w:id="124" w:name="_Hlk156816711"/>
      <w:r w:rsidR="00FE31B9" w:rsidRPr="00B1515C">
        <w:tab/>
      </w:r>
      <w:r w:rsidR="00185727" w:rsidRPr="00B1515C">
        <w:t xml:space="preserve">Lucienne Bamford, </w:t>
      </w:r>
      <w:r w:rsidR="00F75232">
        <w:t>‘</w:t>
      </w:r>
      <w:hyperlink r:id="rId193" w:anchor=":~:text=UNSW%20Sydney%20has%20received%20the,providing%20pandemic%20early%20warning%20signals." w:history="1">
        <w:r w:rsidR="005F23D7" w:rsidRPr="00023699">
          <w:rPr>
            <w:rStyle w:val="Hyperlink"/>
          </w:rPr>
          <w:t>Major crypto gift boosts UNSW</w:t>
        </w:r>
        <w:r w:rsidR="00F75232" w:rsidRPr="00023699">
          <w:rPr>
            <w:rStyle w:val="Hyperlink"/>
          </w:rPr>
          <w:t>’</w:t>
        </w:r>
        <w:r w:rsidR="005F23D7" w:rsidRPr="00023699">
          <w:rPr>
            <w:rStyle w:val="Hyperlink"/>
          </w:rPr>
          <w:t>s fight against future pandemic</w:t>
        </w:r>
      </w:hyperlink>
      <w:r w:rsidR="00F75232">
        <w:t>’</w:t>
      </w:r>
      <w:r w:rsidR="00185727" w:rsidRPr="00BC3190">
        <w:t xml:space="preserve">, </w:t>
      </w:r>
      <w:r w:rsidR="00185727" w:rsidRPr="00BC3190">
        <w:rPr>
          <w:rStyle w:val="Emphasis"/>
        </w:rPr>
        <w:t>UNSW</w:t>
      </w:r>
      <w:r w:rsidR="00185727" w:rsidRPr="00B1515C">
        <w:t xml:space="preserve"> (</w:t>
      </w:r>
      <w:r w:rsidR="00023699">
        <w:t>Web Page,</w:t>
      </w:r>
      <w:r w:rsidR="00185727" w:rsidRPr="00B1515C">
        <w:t xml:space="preserve"> 13</w:t>
      </w:r>
      <w:r w:rsidR="00CE2D9E">
        <w:t> </w:t>
      </w:r>
      <w:r w:rsidR="00185727" w:rsidRPr="00B1515C">
        <w:t>May</w:t>
      </w:r>
      <w:r w:rsidR="00CE2D9E">
        <w:t> </w:t>
      </w:r>
      <w:r w:rsidR="00185727" w:rsidRPr="00B1515C">
        <w:t>2022)</w:t>
      </w:r>
      <w:bookmarkEnd w:id="124"/>
      <w:r w:rsidR="00023699">
        <w:t>.</w:t>
      </w:r>
    </w:p>
  </w:footnote>
  <w:footnote w:id="471">
    <w:p w14:paraId="54E97E90" w14:textId="5BC0E40E" w:rsidR="00185727" w:rsidRPr="001D7787" w:rsidRDefault="00815763" w:rsidP="00A01254">
      <w:pPr>
        <w:pStyle w:val="FootnoteText"/>
      </w:pPr>
      <w:r w:rsidRPr="00815763">
        <w:rPr>
          <w:rStyle w:val="FootnoteReference"/>
          <w:vertAlign w:val="baseline"/>
        </w:rPr>
        <w:footnoteRef/>
      </w:r>
      <w:r w:rsidR="00185727" w:rsidRPr="001D7787">
        <w:t xml:space="preserve"> </w:t>
      </w:r>
      <w:r w:rsidR="00FE31B9" w:rsidRPr="001D7787">
        <w:tab/>
      </w:r>
      <w:r w:rsidR="00F75232">
        <w:t>‘</w:t>
      </w:r>
      <w:hyperlink r:id="rId194" w:history="1">
        <w:r w:rsidR="009121FF" w:rsidRPr="00023699">
          <w:rPr>
            <w:rStyle w:val="Hyperlink"/>
          </w:rPr>
          <w:t>Donate Cryptocurrencies</w:t>
        </w:r>
      </w:hyperlink>
      <w:r w:rsidR="00F75232">
        <w:t>’</w:t>
      </w:r>
      <w:r w:rsidR="009121FF" w:rsidRPr="001D7787">
        <w:t xml:space="preserve">, </w:t>
      </w:r>
      <w:r w:rsidR="00185727" w:rsidRPr="0084535D">
        <w:rPr>
          <w:rStyle w:val="Emphasis"/>
        </w:rPr>
        <w:t>Unicef Australia</w:t>
      </w:r>
      <w:r w:rsidR="009121FF" w:rsidRPr="001D7787">
        <w:t xml:space="preserve"> (Web Page, accessed 5 December 2023)</w:t>
      </w:r>
      <w:r w:rsidR="00023699">
        <w:t>.</w:t>
      </w:r>
      <w:r w:rsidR="00185727" w:rsidRPr="001D7787">
        <w:t xml:space="preserve"> </w:t>
      </w:r>
    </w:p>
  </w:footnote>
  <w:footnote w:id="472">
    <w:p w14:paraId="2B67B4B8" w14:textId="07BE29EE" w:rsidR="00CC0EE3" w:rsidRPr="00B1515C" w:rsidRDefault="00815763" w:rsidP="00A01254">
      <w:pPr>
        <w:pStyle w:val="FootnoteText"/>
      </w:pPr>
      <w:r w:rsidRPr="00815763">
        <w:rPr>
          <w:rStyle w:val="FootnoteReference"/>
          <w:vertAlign w:val="baseline"/>
        </w:rPr>
        <w:footnoteRef/>
      </w:r>
      <w:r w:rsidR="00CC0EE3" w:rsidRPr="00B1515C">
        <w:t xml:space="preserve"> </w:t>
      </w:r>
      <w:r w:rsidR="001A3A75" w:rsidRPr="00B1515C">
        <w:tab/>
      </w:r>
      <w:r w:rsidR="00F75232">
        <w:t>‘</w:t>
      </w:r>
      <w:hyperlink r:id="rId195" w:anchor=":~:text=The%20Australian%20Taxation%20Office%20considers,and%20will%20be%20tax%20deductible." w:history="1">
        <w:r w:rsidR="009121FF" w:rsidRPr="00023699">
          <w:rPr>
            <w:rStyle w:val="Hyperlink"/>
          </w:rPr>
          <w:t>Donate crypto to Oxfam Australia</w:t>
        </w:r>
      </w:hyperlink>
      <w:r w:rsidR="00F75232">
        <w:t>’</w:t>
      </w:r>
      <w:r w:rsidR="009121FF" w:rsidRPr="00B1515C">
        <w:t xml:space="preserve">, </w:t>
      </w:r>
      <w:r w:rsidR="00CC0EE3" w:rsidRPr="0084535D">
        <w:rPr>
          <w:rStyle w:val="Emphasis"/>
        </w:rPr>
        <w:t>Oxfam Australia</w:t>
      </w:r>
      <w:r w:rsidR="009121FF" w:rsidRPr="00B1515C">
        <w:t xml:space="preserve"> (</w:t>
      </w:r>
      <w:r w:rsidR="008469BC" w:rsidRPr="00B1515C">
        <w:t>Web Page, accessed 10 January 2024)</w:t>
      </w:r>
      <w:r w:rsidR="00CC0EE3" w:rsidRPr="00B1515C">
        <w:t>.</w:t>
      </w:r>
    </w:p>
  </w:footnote>
  <w:footnote w:id="473">
    <w:p w14:paraId="1CA92C49" w14:textId="021E51D7" w:rsidR="00185727" w:rsidRPr="00B1515C" w:rsidRDefault="00815763" w:rsidP="00A01254">
      <w:pPr>
        <w:pStyle w:val="FootnoteText"/>
      </w:pPr>
      <w:r w:rsidRPr="00815763">
        <w:rPr>
          <w:rStyle w:val="FootnoteReference"/>
          <w:vertAlign w:val="baseline"/>
        </w:rPr>
        <w:footnoteRef/>
      </w:r>
      <w:r w:rsidR="00185727" w:rsidRPr="00B1515C">
        <w:t xml:space="preserve"> </w:t>
      </w:r>
      <w:r w:rsidR="001A3A75" w:rsidRPr="00B1515C">
        <w:tab/>
      </w:r>
      <w:r w:rsidR="00F75232">
        <w:t>‘</w:t>
      </w:r>
      <w:hyperlink r:id="rId196" w:history="1">
        <w:r w:rsidR="00316CCD" w:rsidRPr="00023699">
          <w:rPr>
            <w:rStyle w:val="Hyperlink"/>
          </w:rPr>
          <w:t>Charities and crypto</w:t>
        </w:r>
        <w:r w:rsidR="00F75232" w:rsidRPr="00023699">
          <w:rPr>
            <w:rStyle w:val="Hyperlink"/>
          </w:rPr>
          <w:t>-</w:t>
        </w:r>
        <w:r w:rsidR="00316CCD" w:rsidRPr="00023699">
          <w:rPr>
            <w:rStyle w:val="Hyperlink"/>
          </w:rPr>
          <w:t>assets</w:t>
        </w:r>
      </w:hyperlink>
      <w:r w:rsidR="00F75232">
        <w:t>’</w:t>
      </w:r>
      <w:r w:rsidR="00316CCD" w:rsidRPr="00B1515C">
        <w:t>,</w:t>
      </w:r>
      <w:r w:rsidR="00185727" w:rsidRPr="00B1515C">
        <w:t xml:space="preserve"> </w:t>
      </w:r>
      <w:r w:rsidR="00185727" w:rsidRPr="0084535D">
        <w:rPr>
          <w:rStyle w:val="Emphasis"/>
        </w:rPr>
        <w:t>Australian Charities and Not</w:t>
      </w:r>
      <w:r w:rsidR="00F75232">
        <w:rPr>
          <w:rStyle w:val="Emphasis"/>
        </w:rPr>
        <w:t>-</w:t>
      </w:r>
      <w:r w:rsidR="00185727" w:rsidRPr="0084535D">
        <w:rPr>
          <w:rStyle w:val="Emphasis"/>
        </w:rPr>
        <w:t>for</w:t>
      </w:r>
      <w:r w:rsidR="00F75232">
        <w:rPr>
          <w:rStyle w:val="Emphasis"/>
        </w:rPr>
        <w:t>-</w:t>
      </w:r>
      <w:r w:rsidR="00185727" w:rsidRPr="0084535D">
        <w:rPr>
          <w:rStyle w:val="Emphasis"/>
        </w:rPr>
        <w:t>profits Commission (ACNC)</w:t>
      </w:r>
      <w:r w:rsidR="00185727" w:rsidRPr="00B1515C">
        <w:t xml:space="preserve"> </w:t>
      </w:r>
      <w:r w:rsidR="00316CCD" w:rsidRPr="00B1515C">
        <w:t xml:space="preserve">(Web Page, accessed </w:t>
      </w:r>
      <w:r w:rsidR="00D31EBF">
        <w:t>19</w:t>
      </w:r>
      <w:r w:rsidR="00CE2D9E">
        <w:t> </w:t>
      </w:r>
      <w:r w:rsidR="00D31EBF">
        <w:t xml:space="preserve">February </w:t>
      </w:r>
      <w:r w:rsidR="00316CCD" w:rsidRPr="00B1515C">
        <w:t>202</w:t>
      </w:r>
      <w:r w:rsidR="001A1A70">
        <w:t>4</w:t>
      </w:r>
      <w:r w:rsidR="00316CCD" w:rsidRPr="00B1515C">
        <w:t>)</w:t>
      </w:r>
      <w:r w:rsidR="00023699">
        <w:t>.</w:t>
      </w:r>
    </w:p>
  </w:footnote>
  <w:footnote w:id="474">
    <w:p w14:paraId="08214F93" w14:textId="3CB8BA46" w:rsidR="002C2F3E" w:rsidRPr="00B1515C" w:rsidRDefault="00815763" w:rsidP="00A01254">
      <w:pPr>
        <w:pStyle w:val="FootnoteText"/>
      </w:pPr>
      <w:r w:rsidRPr="00815763">
        <w:rPr>
          <w:rStyle w:val="FootnoteReference"/>
          <w:vertAlign w:val="baseline"/>
        </w:rPr>
        <w:footnoteRef/>
      </w:r>
      <w:r w:rsidR="002C2F3E" w:rsidRPr="00B1515C">
        <w:t xml:space="preserve"> </w:t>
      </w:r>
      <w:r w:rsidR="001A3A75" w:rsidRPr="00B1515C">
        <w:tab/>
      </w:r>
      <w:r w:rsidR="00F75232">
        <w:t>‘</w:t>
      </w:r>
      <w:hyperlink r:id="rId197" w:history="1">
        <w:r w:rsidR="00316CCD" w:rsidRPr="00BC4ABD">
          <w:rPr>
            <w:rStyle w:val="Hyperlink"/>
          </w:rPr>
          <w:t>Gifts and donations of crypto assets</w:t>
        </w:r>
      </w:hyperlink>
      <w:r w:rsidR="00F75232">
        <w:t>’</w:t>
      </w:r>
      <w:r w:rsidR="00316CCD" w:rsidRPr="00B1515C">
        <w:t xml:space="preserve">, </w:t>
      </w:r>
      <w:r w:rsidR="002C2F3E" w:rsidRPr="0084535D">
        <w:rPr>
          <w:rStyle w:val="Emphasis"/>
        </w:rPr>
        <w:t>ATO</w:t>
      </w:r>
      <w:r w:rsidR="002C2F3E" w:rsidRPr="00B1515C">
        <w:t xml:space="preserve"> (</w:t>
      </w:r>
      <w:r w:rsidR="00316CCD" w:rsidRPr="00B1515C">
        <w:t xml:space="preserve">Web Page, </w:t>
      </w:r>
      <w:r w:rsidR="00CF7B57" w:rsidRPr="00B1515C">
        <w:t xml:space="preserve">30 June </w:t>
      </w:r>
      <w:r w:rsidR="002C2F3E" w:rsidRPr="00B1515C">
        <w:t>2023)</w:t>
      </w:r>
      <w:r w:rsidR="007F274C">
        <w:t>.</w:t>
      </w:r>
      <w:r w:rsidR="002C2F3E" w:rsidRPr="00B1515C" w:rsidDel="00EE135C">
        <w:t xml:space="preserve"> </w:t>
      </w:r>
    </w:p>
  </w:footnote>
  <w:footnote w:id="475">
    <w:p w14:paraId="5477A310" w14:textId="332E0190" w:rsidR="00277CD2" w:rsidRPr="00B1515C" w:rsidRDefault="00815763" w:rsidP="00A01254">
      <w:pPr>
        <w:pStyle w:val="FootnoteText"/>
      </w:pPr>
      <w:r w:rsidRPr="00815763">
        <w:rPr>
          <w:rStyle w:val="FootnoteReference"/>
          <w:vertAlign w:val="baseline"/>
        </w:rPr>
        <w:footnoteRef/>
      </w:r>
      <w:r w:rsidR="00277CD2" w:rsidRPr="00B1515C">
        <w:t xml:space="preserve"> </w:t>
      </w:r>
      <w:r w:rsidR="001A3A75" w:rsidRPr="00B1515C">
        <w:tab/>
      </w:r>
      <w:r w:rsidR="00277CD2" w:rsidRPr="00B1515C">
        <w:t>Submission A39, 4</w:t>
      </w:r>
      <w:r w:rsidR="0007341F">
        <w:t>–</w:t>
      </w:r>
      <w:r w:rsidR="00277CD2" w:rsidRPr="00B1515C">
        <w:t xml:space="preserve">5. </w:t>
      </w:r>
    </w:p>
  </w:footnote>
  <w:footnote w:id="476">
    <w:p w14:paraId="0C11D313" w14:textId="304A82D9" w:rsidR="00185727" w:rsidRPr="00B1515C" w:rsidRDefault="00815763" w:rsidP="00A01254">
      <w:pPr>
        <w:pStyle w:val="FootnoteText"/>
      </w:pPr>
      <w:r w:rsidRPr="00815763">
        <w:rPr>
          <w:rStyle w:val="FootnoteReference"/>
          <w:vertAlign w:val="baseline"/>
        </w:rPr>
        <w:footnoteRef/>
      </w:r>
      <w:r w:rsidR="00185727" w:rsidRPr="00B1515C">
        <w:t xml:space="preserve"> </w:t>
      </w:r>
      <w:r w:rsidR="001A3A75" w:rsidRPr="00B1515C">
        <w:tab/>
      </w:r>
      <w:r w:rsidR="00185727" w:rsidRPr="00B1515C">
        <w:t>ITAA 1997 s 30</w:t>
      </w:r>
      <w:r w:rsidR="00F75232">
        <w:t>-</w:t>
      </w:r>
      <w:r w:rsidR="00185727" w:rsidRPr="00B1515C">
        <w:t>15.</w:t>
      </w:r>
    </w:p>
  </w:footnote>
  <w:footnote w:id="477">
    <w:p w14:paraId="51B30E33" w14:textId="6EBCE580" w:rsidR="0038279F" w:rsidRPr="00B1515C" w:rsidRDefault="00815763" w:rsidP="00A01254">
      <w:pPr>
        <w:pStyle w:val="FootnoteText"/>
      </w:pPr>
      <w:r w:rsidRPr="00815763">
        <w:rPr>
          <w:rStyle w:val="FootnoteReference"/>
          <w:vertAlign w:val="baseline"/>
        </w:rPr>
        <w:footnoteRef/>
      </w:r>
      <w:r w:rsidR="0038279F" w:rsidRPr="00B1515C">
        <w:t xml:space="preserve"> </w:t>
      </w:r>
      <w:r w:rsidR="001A3A75" w:rsidRPr="00B1515C">
        <w:tab/>
      </w:r>
      <w:r w:rsidR="0038279F" w:rsidRPr="00B1515C">
        <w:t>ITAA 1997 s 30</w:t>
      </w:r>
      <w:r w:rsidR="00F75232">
        <w:t>-</w:t>
      </w:r>
      <w:r w:rsidR="0038279F" w:rsidRPr="00B1515C">
        <w:t>15.</w:t>
      </w:r>
    </w:p>
  </w:footnote>
  <w:footnote w:id="478">
    <w:p w14:paraId="73FB90AD" w14:textId="60DE2722" w:rsidR="00185727" w:rsidRPr="00B1515C" w:rsidRDefault="00815763" w:rsidP="00A01254">
      <w:pPr>
        <w:pStyle w:val="FootnoteText"/>
      </w:pPr>
      <w:r w:rsidRPr="00815763">
        <w:rPr>
          <w:rStyle w:val="FootnoteReference"/>
          <w:vertAlign w:val="baseline"/>
        </w:rPr>
        <w:footnoteRef/>
      </w:r>
      <w:r w:rsidR="00185727" w:rsidRPr="00B1515C">
        <w:t xml:space="preserve"> </w:t>
      </w:r>
      <w:r w:rsidR="001A3A75" w:rsidRPr="00B1515C">
        <w:tab/>
      </w:r>
      <w:r w:rsidR="00185727" w:rsidRPr="00B1515C">
        <w:t>Note that the summary is general only – specific rules apply in certain circumstances (e.g. in respect of assets that constitute trading stock).</w:t>
      </w:r>
    </w:p>
  </w:footnote>
  <w:footnote w:id="479">
    <w:p w14:paraId="14EA382F" w14:textId="3DAF82EF" w:rsidR="00185727" w:rsidRPr="00B1515C" w:rsidRDefault="00815763" w:rsidP="00A01254">
      <w:pPr>
        <w:pStyle w:val="FootnoteText"/>
      </w:pPr>
      <w:r w:rsidRPr="00815763">
        <w:rPr>
          <w:rStyle w:val="FootnoteReference"/>
          <w:vertAlign w:val="baseline"/>
        </w:rPr>
        <w:footnoteRef/>
      </w:r>
      <w:r w:rsidR="00185727" w:rsidRPr="00B1515C">
        <w:t xml:space="preserve"> </w:t>
      </w:r>
      <w:r w:rsidR="001A3A75" w:rsidRPr="00B1515C">
        <w:tab/>
      </w:r>
      <w:r w:rsidR="00F929AA" w:rsidRPr="00B1515C">
        <w:t xml:space="preserve">The Hon Josh Frydenberg MP, </w:t>
      </w:r>
      <w:r w:rsidR="00F75232">
        <w:t>‘</w:t>
      </w:r>
      <w:hyperlink r:id="rId198" w:history="1">
        <w:r w:rsidR="00F929AA" w:rsidRPr="00561D88">
          <w:rPr>
            <w:rStyle w:val="Hyperlink"/>
            <w:i/>
            <w:iCs/>
          </w:rPr>
          <w:t>Measures to boost philanthropy in Australia</w:t>
        </w:r>
      </w:hyperlink>
      <w:r w:rsidR="00F75232">
        <w:rPr>
          <w:rStyle w:val="Emphasis"/>
        </w:rPr>
        <w:t>’</w:t>
      </w:r>
      <w:r w:rsidR="00573953" w:rsidRPr="0084535D">
        <w:rPr>
          <w:rStyle w:val="Emphasis"/>
        </w:rPr>
        <w:t xml:space="preserve"> </w:t>
      </w:r>
      <w:r w:rsidR="00573953" w:rsidRPr="00B1515C">
        <w:t>(Media Release, 28 May 2015</w:t>
      </w:r>
      <w:r w:rsidR="00C7164E" w:rsidRPr="00B1515C">
        <w:t>)</w:t>
      </w:r>
      <w:r w:rsidR="00561D88">
        <w:t>.</w:t>
      </w:r>
      <w:r w:rsidR="00C7164E" w:rsidRPr="00B1515C">
        <w:t xml:space="preserve"> </w:t>
      </w:r>
    </w:p>
  </w:footnote>
  <w:footnote w:id="480">
    <w:p w14:paraId="787A15F3" w14:textId="52741D1F" w:rsidR="00185727" w:rsidRPr="00B1515C" w:rsidRDefault="00815763" w:rsidP="00A01254">
      <w:pPr>
        <w:pStyle w:val="FootnoteText"/>
      </w:pPr>
      <w:r w:rsidRPr="00815763">
        <w:rPr>
          <w:rStyle w:val="FootnoteReference"/>
          <w:vertAlign w:val="baseline"/>
        </w:rPr>
        <w:footnoteRef/>
      </w:r>
      <w:r w:rsidR="00185727" w:rsidRPr="00B1515C">
        <w:t xml:space="preserve"> </w:t>
      </w:r>
      <w:r w:rsidR="001A3A75" w:rsidRPr="00B1515C">
        <w:tab/>
      </w:r>
      <w:r w:rsidR="00185727" w:rsidRPr="00B1515C">
        <w:t>Submission A26, 22.</w:t>
      </w:r>
    </w:p>
  </w:footnote>
  <w:footnote w:id="481">
    <w:p w14:paraId="7EA8F1ED" w14:textId="4340E4C6" w:rsidR="00185727" w:rsidRPr="00B1515C" w:rsidRDefault="00815763" w:rsidP="00A01254">
      <w:pPr>
        <w:pStyle w:val="FootnoteText"/>
      </w:pPr>
      <w:r w:rsidRPr="00815763">
        <w:rPr>
          <w:rStyle w:val="FootnoteReference"/>
          <w:vertAlign w:val="baseline"/>
        </w:rPr>
        <w:footnoteRef/>
      </w:r>
      <w:r w:rsidR="00185727" w:rsidRPr="00B1515C">
        <w:t xml:space="preserve"> </w:t>
      </w:r>
      <w:r w:rsidR="001A3A75" w:rsidRPr="00B1515C">
        <w:tab/>
      </w:r>
      <w:r w:rsidR="00185727" w:rsidRPr="00B1515C">
        <w:t>Submission A39, 4.</w:t>
      </w:r>
    </w:p>
  </w:footnote>
  <w:footnote w:id="482">
    <w:p w14:paraId="2971EFDC" w14:textId="76C8FB15"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B53404" w:rsidRPr="00B1515C">
        <w:t xml:space="preserve">OECD, Taxing Virtual Currencies </w:t>
      </w:r>
      <w:r w:rsidR="001609BE" w:rsidRPr="00B1515C">
        <w:t>(n 6)</w:t>
      </w:r>
      <w:r w:rsidR="00B53404" w:rsidRPr="00B1515C">
        <w:t xml:space="preserve"> </w:t>
      </w:r>
      <w:r w:rsidR="00217978" w:rsidRPr="00B1515C">
        <w:t>13</w:t>
      </w:r>
      <w:r w:rsidR="0007341F">
        <w:t>–</w:t>
      </w:r>
      <w:r w:rsidR="00217978" w:rsidRPr="00B1515C">
        <w:t>15.</w:t>
      </w:r>
    </w:p>
  </w:footnote>
  <w:footnote w:id="483">
    <w:p w14:paraId="130B9D45" w14:textId="38FCF8B1"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A06DEB" w:rsidRPr="00B1515C">
        <w:t xml:space="preserve">OECD, </w:t>
      </w:r>
      <w:r w:rsidR="00A06DEB" w:rsidRPr="0084535D">
        <w:rPr>
          <w:rStyle w:val="Emphasis"/>
        </w:rPr>
        <w:t>Taxing Virtual Currencies</w:t>
      </w:r>
      <w:r w:rsidR="00A06DEB" w:rsidRPr="00B1515C">
        <w:t xml:space="preserve"> </w:t>
      </w:r>
      <w:r w:rsidR="001609BE" w:rsidRPr="00B1515C">
        <w:t>(n 6)</w:t>
      </w:r>
      <w:r w:rsidR="00A06DEB" w:rsidRPr="00B1515C">
        <w:t xml:space="preserve"> </w:t>
      </w:r>
      <w:r w:rsidR="00217978" w:rsidRPr="00B1515C">
        <w:t>13</w:t>
      </w:r>
      <w:r w:rsidR="00B3605B">
        <w:t>–</w:t>
      </w:r>
      <w:r w:rsidR="00217978" w:rsidRPr="00B1515C">
        <w:t>15.</w:t>
      </w:r>
    </w:p>
  </w:footnote>
  <w:footnote w:id="484">
    <w:p w14:paraId="3F9D2B72" w14:textId="10E66AB0"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35EB5" w:rsidRPr="00B1515C">
        <w:t xml:space="preserve">Capaccioli, </w:t>
      </w:r>
      <w:r w:rsidR="00F35EB5" w:rsidRPr="0084535D">
        <w:rPr>
          <w:rStyle w:val="Emphasis"/>
        </w:rPr>
        <w:t xml:space="preserve">Taxation of Cryptocurrencies </w:t>
      </w:r>
      <w:r w:rsidR="001609BE" w:rsidRPr="00B1515C">
        <w:t>(n 137)</w:t>
      </w:r>
      <w:r w:rsidR="00F35EB5" w:rsidRPr="00B1515C">
        <w:t>.</w:t>
      </w:r>
      <w:r w:rsidR="00217978" w:rsidRPr="00B1515C">
        <w:t>1</w:t>
      </w:r>
      <w:r w:rsidR="00B3605B">
        <w:t>–</w:t>
      </w:r>
      <w:r w:rsidR="00217978" w:rsidRPr="00B1515C">
        <w:t>7, 3</w:t>
      </w:r>
      <w:r w:rsidR="007C4CF5" w:rsidRPr="00B1515C">
        <w:t>).</w:t>
      </w:r>
    </w:p>
  </w:footnote>
  <w:footnote w:id="485">
    <w:p w14:paraId="0B9883EB" w14:textId="643C9DF2"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B7378" w:rsidRPr="00B1515C">
        <w:t>Capaccioli</w:t>
      </w:r>
      <w:r w:rsidR="00D63B20" w:rsidRPr="00B1515C">
        <w:t xml:space="preserve">, </w:t>
      </w:r>
      <w:r w:rsidR="00D63B20" w:rsidRPr="0084535D">
        <w:rPr>
          <w:rStyle w:val="Emphasis"/>
        </w:rPr>
        <w:t>Taxation of Cryptocurrencies</w:t>
      </w:r>
      <w:r w:rsidR="003E69EF" w:rsidRPr="0084535D">
        <w:rPr>
          <w:rStyle w:val="Emphasis"/>
        </w:rPr>
        <w:t xml:space="preserve"> </w:t>
      </w:r>
      <w:r w:rsidR="001609BE" w:rsidRPr="00B1515C">
        <w:t>(n 137)</w:t>
      </w:r>
      <w:r w:rsidR="003E69EF" w:rsidRPr="00B1515C">
        <w:t>.</w:t>
      </w:r>
    </w:p>
  </w:footnote>
  <w:footnote w:id="486">
    <w:p w14:paraId="75097721" w14:textId="46145DC7"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Capaccioli</w:t>
      </w:r>
      <w:r w:rsidR="003F0364" w:rsidRPr="00B1515C">
        <w:t xml:space="preserve">, </w:t>
      </w:r>
      <w:r w:rsidR="003F0364" w:rsidRPr="0084535D">
        <w:rPr>
          <w:rStyle w:val="Emphasis"/>
        </w:rPr>
        <w:t xml:space="preserve">Taxation of Cryptocurrencies </w:t>
      </w:r>
      <w:r w:rsidR="001609BE" w:rsidRPr="00B1515C">
        <w:t>(n 137)</w:t>
      </w:r>
      <w:r w:rsidR="006D53C3" w:rsidRPr="00B1515C">
        <w:t xml:space="preserve"> </w:t>
      </w:r>
      <w:r w:rsidR="00217978" w:rsidRPr="00B1515C">
        <w:t>13.</w:t>
      </w:r>
    </w:p>
  </w:footnote>
  <w:footnote w:id="487">
    <w:p w14:paraId="072C2600" w14:textId="20EF6CB7"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A532DE" w:rsidRPr="00B1515C">
        <w:t xml:space="preserve">Ric Edelman, </w:t>
      </w:r>
      <w:r w:rsidR="00A532DE" w:rsidRPr="0084535D">
        <w:rPr>
          <w:rStyle w:val="Emphasis"/>
        </w:rPr>
        <w:t>The Truth about Crypto</w:t>
      </w:r>
      <w:r w:rsidR="00A532DE" w:rsidRPr="00B1515C">
        <w:t xml:space="preserve">: </w:t>
      </w:r>
      <w:r w:rsidR="00A532DE" w:rsidRPr="0084535D">
        <w:rPr>
          <w:rStyle w:val="Emphasis"/>
        </w:rPr>
        <w:t>A Practical, Easy</w:t>
      </w:r>
      <w:r w:rsidR="00F75232">
        <w:rPr>
          <w:rStyle w:val="Emphasis"/>
        </w:rPr>
        <w:t>-</w:t>
      </w:r>
      <w:r w:rsidR="00A532DE" w:rsidRPr="0084535D">
        <w:rPr>
          <w:rStyle w:val="Emphasis"/>
        </w:rPr>
        <w:t>to</w:t>
      </w:r>
      <w:r w:rsidR="00F75232">
        <w:rPr>
          <w:rStyle w:val="Emphasis"/>
        </w:rPr>
        <w:t>-</w:t>
      </w:r>
      <w:r w:rsidR="00A532DE" w:rsidRPr="0084535D">
        <w:rPr>
          <w:rStyle w:val="Emphasis"/>
        </w:rPr>
        <w:t>Understand Guide to Bitcoin, Blockchain, NFTs, And Other Digital Assets</w:t>
      </w:r>
      <w:r w:rsidR="00A532DE" w:rsidRPr="00B1515C">
        <w:t xml:space="preserve"> (Simon &amp; Schuster, 2022) </w:t>
      </w:r>
      <w:r w:rsidR="00217978" w:rsidRPr="00B1515C">
        <w:t>257</w:t>
      </w:r>
      <w:r w:rsidR="00F75232">
        <w:t>-</w:t>
      </w:r>
      <w:r w:rsidR="00217978" w:rsidRPr="00B1515C">
        <w:t>65</w:t>
      </w:r>
      <w:r w:rsidR="00B1679D" w:rsidRPr="00B1515C">
        <w:t xml:space="preserve"> (</w:t>
      </w:r>
      <w:r w:rsidR="00F75232">
        <w:rPr>
          <w:rStyle w:val="Emphasis"/>
        </w:rPr>
        <w:t>‘</w:t>
      </w:r>
      <w:r w:rsidR="00B1679D" w:rsidRPr="0084535D">
        <w:rPr>
          <w:rStyle w:val="Emphasis"/>
        </w:rPr>
        <w:t>The Truth about Crypto</w:t>
      </w:r>
      <w:r w:rsidR="00F75232">
        <w:rPr>
          <w:rStyle w:val="Emphasis"/>
        </w:rPr>
        <w:t>’</w:t>
      </w:r>
      <w:r w:rsidR="00B1679D" w:rsidRPr="00B1515C">
        <w:t>)</w:t>
      </w:r>
      <w:r w:rsidR="006D53C3" w:rsidRPr="00B1515C">
        <w:t>.</w:t>
      </w:r>
    </w:p>
  </w:footnote>
  <w:footnote w:id="488">
    <w:p w14:paraId="151BC6D4" w14:textId="34962E93" w:rsidR="005A12A5" w:rsidRPr="00B1515C" w:rsidRDefault="00815763" w:rsidP="00A01254">
      <w:pPr>
        <w:pStyle w:val="FootnoteText"/>
      </w:pPr>
      <w:r w:rsidRPr="00815763">
        <w:rPr>
          <w:rStyle w:val="FootnoteReference"/>
          <w:vertAlign w:val="baseline"/>
        </w:rPr>
        <w:footnoteRef/>
      </w:r>
      <w:r w:rsidR="005A12A5" w:rsidRPr="00B1515C">
        <w:t xml:space="preserve"> </w:t>
      </w:r>
      <w:r w:rsidR="005A12A5" w:rsidRPr="00B1515C">
        <w:tab/>
        <w:t xml:space="preserve">Capaccioli, </w:t>
      </w:r>
      <w:r w:rsidR="005A12A5" w:rsidRPr="0084535D">
        <w:rPr>
          <w:rStyle w:val="Emphasis"/>
        </w:rPr>
        <w:t>Taxation of Cryptocurrencies</w:t>
      </w:r>
      <w:r w:rsidR="005A12A5" w:rsidRPr="00B1515C">
        <w:t xml:space="preserve"> </w:t>
      </w:r>
      <w:r w:rsidR="001609BE" w:rsidRPr="00B1515C">
        <w:t>(n 137)</w:t>
      </w:r>
      <w:r w:rsidR="005A12A5" w:rsidRPr="00B1515C">
        <w:t xml:space="preserve"> 6.</w:t>
      </w:r>
    </w:p>
  </w:footnote>
  <w:footnote w:id="489">
    <w:p w14:paraId="670B5FB6" w14:textId="470BAB50"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Submission A07, p 10.</w:t>
      </w:r>
    </w:p>
  </w:footnote>
  <w:footnote w:id="490">
    <w:p w14:paraId="28C87883" w14:textId="6E5109FC" w:rsidR="00AC1EAC" w:rsidRPr="00B1515C" w:rsidRDefault="00815763" w:rsidP="00A01254">
      <w:pPr>
        <w:pStyle w:val="FootnoteText"/>
      </w:pPr>
      <w:r w:rsidRPr="00815763">
        <w:rPr>
          <w:rStyle w:val="FootnoteReference"/>
          <w:vertAlign w:val="baseline"/>
        </w:rPr>
        <w:footnoteRef/>
      </w:r>
      <w:r w:rsidR="00AC1EAC" w:rsidRPr="00B1515C">
        <w:t xml:space="preserve"> </w:t>
      </w:r>
      <w:r w:rsidR="001A3A75" w:rsidRPr="00B1515C">
        <w:tab/>
      </w:r>
      <w:r w:rsidR="00F75232">
        <w:t>‘</w:t>
      </w:r>
      <w:hyperlink r:id="rId199" w:history="1">
        <w:r w:rsidR="00AC1EAC" w:rsidRPr="00561D88">
          <w:rPr>
            <w:rStyle w:val="Hyperlink"/>
          </w:rPr>
          <w:t>Hard Forks</w:t>
        </w:r>
      </w:hyperlink>
      <w:r w:rsidR="00F75232">
        <w:t>’</w:t>
      </w:r>
      <w:r w:rsidR="00AC1EAC" w:rsidRPr="00B1515C">
        <w:t xml:space="preserve">, </w:t>
      </w:r>
      <w:r w:rsidR="00AC1EAC" w:rsidRPr="0084535D">
        <w:rPr>
          <w:rStyle w:val="Emphasis"/>
        </w:rPr>
        <w:t>Corporate Finance Institute</w:t>
      </w:r>
      <w:r w:rsidR="00AC1EAC" w:rsidRPr="00B1515C">
        <w:t xml:space="preserve"> </w:t>
      </w:r>
      <w:r w:rsidR="009B3051" w:rsidRPr="00B1515C">
        <w:t>(Web Page, accessed</w:t>
      </w:r>
      <w:r w:rsidR="00AC1EAC" w:rsidRPr="00B1515C">
        <w:t xml:space="preserve"> 15 January 2024</w:t>
      </w:r>
      <w:r w:rsidR="009B3051" w:rsidRPr="00B1515C">
        <w:t>)</w:t>
      </w:r>
      <w:r w:rsidR="00561D88">
        <w:t>.</w:t>
      </w:r>
    </w:p>
  </w:footnote>
  <w:footnote w:id="491">
    <w:p w14:paraId="3B3170FA" w14:textId="54563052" w:rsidR="00D046AF" w:rsidRPr="00B1515C" w:rsidRDefault="00815763" w:rsidP="00A01254">
      <w:pPr>
        <w:pStyle w:val="FootnoteText"/>
      </w:pPr>
      <w:r w:rsidRPr="00815763">
        <w:rPr>
          <w:rStyle w:val="FootnoteReference"/>
          <w:vertAlign w:val="baseline"/>
        </w:rPr>
        <w:footnoteRef/>
      </w:r>
      <w:r w:rsidR="00D046AF" w:rsidRPr="00B1515C">
        <w:t xml:space="preserve"> </w:t>
      </w:r>
      <w:r w:rsidR="00D046AF" w:rsidRPr="00B1515C">
        <w:tab/>
        <w:t xml:space="preserve">Edelman, </w:t>
      </w:r>
      <w:r w:rsidR="00D046AF" w:rsidRPr="0084535D">
        <w:rPr>
          <w:rStyle w:val="Emphasis"/>
        </w:rPr>
        <w:t>The Truth about Crypto</w:t>
      </w:r>
      <w:r w:rsidR="00D046AF" w:rsidRPr="00B1515C">
        <w:t xml:space="preserve"> </w:t>
      </w:r>
      <w:r w:rsidR="00795A41" w:rsidRPr="00B1515C">
        <w:t>(n 486)</w:t>
      </w:r>
      <w:r w:rsidR="00D046AF" w:rsidRPr="00B1515C">
        <w:t xml:space="preserve"> 272</w:t>
      </w:r>
      <w:r w:rsidR="00B3605B">
        <w:t>–</w:t>
      </w:r>
      <w:r w:rsidR="00D046AF" w:rsidRPr="00B1515C">
        <w:t>76.</w:t>
      </w:r>
    </w:p>
  </w:footnote>
  <w:footnote w:id="492">
    <w:p w14:paraId="17CEC100" w14:textId="42EB47E1"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Submission A26, 4</w:t>
      </w:r>
      <w:r w:rsidR="00B3605B">
        <w:t>–</w:t>
      </w:r>
      <w:r w:rsidR="00217978" w:rsidRPr="00B1515C">
        <w:t>14.</w:t>
      </w:r>
    </w:p>
  </w:footnote>
  <w:footnote w:id="493">
    <w:p w14:paraId="71CEE392" w14:textId="6BF371BD"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Submission A19, 30.</w:t>
      </w:r>
    </w:p>
  </w:footnote>
  <w:footnote w:id="494">
    <w:p w14:paraId="28FD4D0B" w14:textId="49CB4A3F"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661F82" w:rsidRPr="00B1515C">
        <w:t>TD 2014/27 (</w:t>
      </w:r>
      <w:r w:rsidR="00856920" w:rsidRPr="00B1515C">
        <w:t>n 329</w:t>
      </w:r>
      <w:r w:rsidR="00951B46" w:rsidRPr="00B1515C">
        <w:t>).</w:t>
      </w:r>
    </w:p>
  </w:footnote>
  <w:footnote w:id="495">
    <w:p w14:paraId="18815792" w14:textId="7B972597"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951B46" w:rsidRPr="00B1515C">
        <w:t>TD 2014/27 (</w:t>
      </w:r>
      <w:r w:rsidR="00856920" w:rsidRPr="00B1515C">
        <w:t>n 329</w:t>
      </w:r>
      <w:r w:rsidR="00951B46" w:rsidRPr="00B1515C">
        <w:t>)</w:t>
      </w:r>
      <w:r w:rsidR="00217978" w:rsidRPr="00B1515C">
        <w:rPr>
          <w:sz w:val="20"/>
          <w:szCs w:val="20"/>
        </w:rPr>
        <w:t xml:space="preserve"> [14].</w:t>
      </w:r>
    </w:p>
  </w:footnote>
  <w:footnote w:id="496">
    <w:p w14:paraId="350934D6" w14:textId="40BD0463"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0" w:history="1">
        <w:r w:rsidR="001F54D3" w:rsidRPr="00561D88">
          <w:rPr>
            <w:rStyle w:val="Hyperlink"/>
          </w:rPr>
          <w:t>Crypto mining</w:t>
        </w:r>
      </w:hyperlink>
      <w:r w:rsidR="00F75232">
        <w:t>’</w:t>
      </w:r>
      <w:r w:rsidR="001F54D3" w:rsidRPr="00B1515C">
        <w:t xml:space="preserve">, </w:t>
      </w:r>
      <w:r w:rsidR="001F54D3" w:rsidRPr="0084535D">
        <w:rPr>
          <w:rStyle w:val="Emphasis"/>
        </w:rPr>
        <w:t>ATO</w:t>
      </w:r>
      <w:r w:rsidR="001F54D3" w:rsidRPr="00B1515C">
        <w:t xml:space="preserve"> (Web Page, 18 November 2022)</w:t>
      </w:r>
      <w:r w:rsidR="00561D88">
        <w:t>.</w:t>
      </w:r>
    </w:p>
  </w:footnote>
  <w:footnote w:id="497">
    <w:p w14:paraId="3D3CC371" w14:textId="384F4501"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1" w:history="1">
        <w:r w:rsidR="000979E5" w:rsidRPr="00561D88">
          <w:rPr>
            <w:rStyle w:val="Hyperlink"/>
          </w:rPr>
          <w:t>Claiming electricity and cost of crypto miners as a hobby</w:t>
        </w:r>
        <w:r w:rsidR="00F75232" w:rsidRPr="00561D88">
          <w:t>’</w:t>
        </w:r>
      </w:hyperlink>
      <w:r w:rsidR="000979E5" w:rsidRPr="00B1515C">
        <w:t xml:space="preserve">, </w:t>
      </w:r>
      <w:r w:rsidR="000979E5" w:rsidRPr="0084535D">
        <w:rPr>
          <w:rStyle w:val="Emphasis"/>
        </w:rPr>
        <w:t xml:space="preserve">ATO Community </w:t>
      </w:r>
      <w:r w:rsidR="000979E5" w:rsidRPr="00B1515C">
        <w:t>(Web Page</w:t>
      </w:r>
      <w:r w:rsidR="00561D88">
        <w:t>,</w:t>
      </w:r>
      <w:r w:rsidR="000979E5" w:rsidRPr="00B1515C">
        <w:t xml:space="preserve"> accessed 22 January 2024)</w:t>
      </w:r>
      <w:r w:rsidR="00561D88">
        <w:t>.</w:t>
      </w:r>
    </w:p>
  </w:footnote>
  <w:footnote w:id="498">
    <w:p w14:paraId="5F22ADC0" w14:textId="1819387E"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 xml:space="preserve">As set out in </w:t>
      </w:r>
      <w:r w:rsidR="00372633">
        <w:t>Chapter </w:t>
      </w:r>
      <w:r w:rsidR="00217978" w:rsidRPr="00B1515C">
        <w:t xml:space="preserve">7, trading stock is defined to include anything </w:t>
      </w:r>
      <w:r w:rsidR="00F75232">
        <w:t>‘</w:t>
      </w:r>
      <w:r w:rsidR="00217978" w:rsidRPr="00B1515C">
        <w:t>produced, manufactured or acquired that is held for the purposes of manufacture, sale or exchange in the ordinary course of a business</w:t>
      </w:r>
      <w:r w:rsidR="00F75232">
        <w:t>’</w:t>
      </w:r>
      <w:r w:rsidR="00217978" w:rsidRPr="00B1515C">
        <w:t xml:space="preserve">: </w:t>
      </w:r>
      <w:r w:rsidR="005745F4" w:rsidRPr="00B1515C">
        <w:t>ITAA 1997 para</w:t>
      </w:r>
      <w:r w:rsidR="00217978" w:rsidRPr="00B1515C">
        <w:t> 70</w:t>
      </w:r>
      <w:r w:rsidR="00F75232">
        <w:t>-</w:t>
      </w:r>
      <w:r w:rsidR="00217978" w:rsidRPr="00B1515C">
        <w:t>10(1)(a)</w:t>
      </w:r>
      <w:r w:rsidR="005745F4" w:rsidRPr="00B1515C">
        <w:t>.</w:t>
      </w:r>
    </w:p>
  </w:footnote>
  <w:footnote w:id="499">
    <w:p w14:paraId="50708793" w14:textId="17E1194A"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2" w:history="1">
        <w:r w:rsidR="004F4516" w:rsidRPr="00561D88">
          <w:rPr>
            <w:rStyle w:val="Hyperlink"/>
          </w:rPr>
          <w:t>Crypto mining</w:t>
        </w:r>
      </w:hyperlink>
      <w:r w:rsidR="00F75232">
        <w:t>’</w:t>
      </w:r>
      <w:r w:rsidR="004F4516" w:rsidRPr="00B1515C">
        <w:t xml:space="preserve">, </w:t>
      </w:r>
      <w:r w:rsidR="004F4516" w:rsidRPr="0084535D">
        <w:rPr>
          <w:rStyle w:val="Emphasis"/>
        </w:rPr>
        <w:t xml:space="preserve">ATO </w:t>
      </w:r>
      <w:r w:rsidR="004F4516" w:rsidRPr="00B1515C">
        <w:t>(Web Page, 18 November 2022)</w:t>
      </w:r>
      <w:r w:rsidR="00561D88">
        <w:t>.</w:t>
      </w:r>
    </w:p>
  </w:footnote>
  <w:footnote w:id="500">
    <w:p w14:paraId="080DF0AA" w14:textId="4960379A"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 xml:space="preserve">OECD, </w:t>
      </w:r>
      <w:r w:rsidR="00217978" w:rsidRPr="0084535D">
        <w:rPr>
          <w:rStyle w:val="Emphasis"/>
        </w:rPr>
        <w:t>Taxing Virtual Currencies</w:t>
      </w:r>
      <w:r w:rsidR="00217978" w:rsidRPr="00B1515C">
        <w:t xml:space="preserve"> </w:t>
      </w:r>
      <w:r w:rsidR="001609BE" w:rsidRPr="00B1515C">
        <w:t>(n 6)</w:t>
      </w:r>
      <w:r w:rsidR="00217978" w:rsidRPr="00B1515C">
        <w:t xml:space="preserve"> 24</w:t>
      </w:r>
      <w:r w:rsidR="00D35158">
        <w:t>–</w:t>
      </w:r>
      <w:r w:rsidR="00217978" w:rsidRPr="00B1515C">
        <w:t>25.</w:t>
      </w:r>
    </w:p>
  </w:footnote>
  <w:footnote w:id="501">
    <w:p w14:paraId="19D67091" w14:textId="55D6068D"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 xml:space="preserve">The Board notes the distinction between staking to validate transactions on a blockchain compared to lending or yield rewards. In this section the Board has referred to staking in the context of </w:t>
      </w:r>
      <w:r w:rsidR="00F75232">
        <w:t>‘</w:t>
      </w:r>
      <w:r w:rsidR="00217978" w:rsidRPr="00B1515C">
        <w:t>Proof of Stake</w:t>
      </w:r>
      <w:r w:rsidR="00F75232">
        <w:t>’</w:t>
      </w:r>
      <w:r w:rsidR="00217978" w:rsidRPr="00B1515C">
        <w:t xml:space="preserve"> activities, unless otherwise specified</w:t>
      </w:r>
      <w:r w:rsidR="00217978" w:rsidRPr="00B1515C" w:rsidDel="00B249A9">
        <w:t>.</w:t>
      </w:r>
    </w:p>
  </w:footnote>
  <w:footnote w:id="502">
    <w:p w14:paraId="013D8DB5" w14:textId="62FE88FF"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3" w:history="1">
        <w:r w:rsidR="00264767" w:rsidRPr="00BF0597">
          <w:rPr>
            <w:rStyle w:val="Hyperlink"/>
          </w:rPr>
          <w:t>Staking rewards and airdrops</w:t>
        </w:r>
      </w:hyperlink>
      <w:r w:rsidR="00F75232">
        <w:t>’</w:t>
      </w:r>
      <w:r w:rsidR="00264767" w:rsidRPr="00B1515C">
        <w:t xml:space="preserve">, </w:t>
      </w:r>
      <w:r w:rsidR="00264767" w:rsidRPr="0084535D">
        <w:rPr>
          <w:rStyle w:val="Emphasis"/>
        </w:rPr>
        <w:t xml:space="preserve">ATO </w:t>
      </w:r>
      <w:r w:rsidR="00264767" w:rsidRPr="00B1515C">
        <w:t>(Web Page, 29 June 2023)</w:t>
      </w:r>
      <w:r w:rsidR="00BF0597">
        <w:t>.</w:t>
      </w:r>
    </w:p>
  </w:footnote>
  <w:footnote w:id="503">
    <w:p w14:paraId="31720FE7" w14:textId="28CC2411"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4" w:history="1">
        <w:r w:rsidR="00264767" w:rsidRPr="00BF0597">
          <w:rPr>
            <w:rStyle w:val="Hyperlink"/>
          </w:rPr>
          <w:t>Staking rewards and airdrops</w:t>
        </w:r>
      </w:hyperlink>
      <w:r w:rsidR="00F75232">
        <w:t>’</w:t>
      </w:r>
      <w:r w:rsidR="00264767" w:rsidRPr="00B1515C">
        <w:t xml:space="preserve">, </w:t>
      </w:r>
      <w:r w:rsidR="00264767" w:rsidRPr="0084535D">
        <w:rPr>
          <w:rStyle w:val="Emphasis"/>
        </w:rPr>
        <w:t xml:space="preserve">ATO </w:t>
      </w:r>
      <w:r w:rsidR="00264767" w:rsidRPr="00B1515C">
        <w:t>(Web Page, 29 June 2023)</w:t>
      </w:r>
      <w:r w:rsidR="00BF0597">
        <w:t>.</w:t>
      </w:r>
      <w:r w:rsidR="00264767" w:rsidRPr="00B1515C">
        <w:t xml:space="preserve"> </w:t>
      </w:r>
      <w:r w:rsidR="00FF7F35" w:rsidRPr="00B1515C">
        <w:t>This statement may confuse miners who already hold some cryptocurrency.</w:t>
      </w:r>
    </w:p>
  </w:footnote>
  <w:footnote w:id="504">
    <w:p w14:paraId="2E6062CF" w14:textId="4FF2CE8D" w:rsidR="00474C67" w:rsidRPr="00B1515C" w:rsidRDefault="00815763" w:rsidP="00A01254">
      <w:pPr>
        <w:pStyle w:val="FootnoteText"/>
      </w:pPr>
      <w:r w:rsidRPr="00815763">
        <w:rPr>
          <w:rStyle w:val="FootnoteReference"/>
          <w:vertAlign w:val="baseline"/>
        </w:rPr>
        <w:footnoteRef/>
      </w:r>
      <w:r w:rsidR="00474C67" w:rsidRPr="00B1515C">
        <w:t xml:space="preserve"> </w:t>
      </w:r>
      <w:r w:rsidR="001A3A75" w:rsidRPr="00B1515C">
        <w:tab/>
      </w:r>
      <w:r w:rsidR="00474C67" w:rsidRPr="00B1515C">
        <w:t>Submission A03, 2.</w:t>
      </w:r>
    </w:p>
  </w:footnote>
  <w:footnote w:id="505">
    <w:p w14:paraId="7FD8DEC4" w14:textId="4E47D0E9"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Submission A34, 6.</w:t>
      </w:r>
    </w:p>
  </w:footnote>
  <w:footnote w:id="506">
    <w:p w14:paraId="3DE70658" w14:textId="76B5CBB2"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5" w:history="1">
        <w:r w:rsidR="00C7159E" w:rsidRPr="00A81223">
          <w:rPr>
            <w:rStyle w:val="Hyperlink"/>
          </w:rPr>
          <w:t>Staking rewards and airdrops</w:t>
        </w:r>
      </w:hyperlink>
      <w:r w:rsidR="00F75232">
        <w:t>’</w:t>
      </w:r>
      <w:r w:rsidR="00C7159E" w:rsidRPr="00B1515C">
        <w:t xml:space="preserve">, </w:t>
      </w:r>
      <w:r w:rsidR="00C7159E" w:rsidRPr="0084535D">
        <w:rPr>
          <w:rStyle w:val="Emphasis"/>
        </w:rPr>
        <w:t xml:space="preserve">ATO </w:t>
      </w:r>
      <w:r w:rsidR="00C7159E" w:rsidRPr="00B1515C">
        <w:t>(Web Page, 29 June 2023).</w:t>
      </w:r>
    </w:p>
  </w:footnote>
  <w:footnote w:id="507">
    <w:p w14:paraId="529D3CE4" w14:textId="7D47846C"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40076" w:rsidRPr="00B1515C">
        <w:t>Submission A</w:t>
      </w:r>
      <w:r w:rsidR="007A318E" w:rsidRPr="00B1515C">
        <w:t>20, 13</w:t>
      </w:r>
      <w:r w:rsidR="00217978" w:rsidRPr="00B1515C">
        <w:t>.</w:t>
      </w:r>
    </w:p>
  </w:footnote>
  <w:footnote w:id="508">
    <w:p w14:paraId="2DEFC2CC" w14:textId="5C67D505" w:rsidR="00217978" w:rsidRPr="00B1515C" w:rsidRDefault="00815763" w:rsidP="00434F85">
      <w:pPr>
        <w:pStyle w:val="FootnoteText"/>
      </w:pPr>
      <w:r w:rsidRPr="00815763">
        <w:rPr>
          <w:rStyle w:val="FootnoteReference"/>
          <w:vertAlign w:val="baseline"/>
        </w:rPr>
        <w:footnoteRef/>
      </w:r>
      <w:r w:rsidR="004F0A51" w:rsidRPr="00B1515C">
        <w:t xml:space="preserve"> </w:t>
      </w:r>
      <w:r w:rsidR="001A3A75" w:rsidRPr="00B1515C">
        <w:tab/>
      </w:r>
      <w:r w:rsidR="001B0AA9" w:rsidRPr="00B1515C">
        <w:t>Carol R Goforth</w:t>
      </w:r>
      <w:r w:rsidR="000B14CD" w:rsidRPr="00B1515C">
        <w:t xml:space="preserve">, </w:t>
      </w:r>
      <w:r w:rsidR="00F75232">
        <w:t>‘</w:t>
      </w:r>
      <w:r w:rsidR="000B14CD" w:rsidRPr="00B1515C">
        <w:t>It</w:t>
      </w:r>
      <w:r w:rsidR="00F75232">
        <w:t>’</w:t>
      </w:r>
      <w:r w:rsidR="000B14CD" w:rsidRPr="00B1515C">
        <w:t>s Rai</w:t>
      </w:r>
      <w:r w:rsidR="00217978" w:rsidRPr="00B1515C">
        <w:t xml:space="preserve">ning Crypto: The Need for Regulatory </w:t>
      </w:r>
      <w:r w:rsidR="00217978" w:rsidRPr="00434F85">
        <w:t>Clarification</w:t>
      </w:r>
      <w:r w:rsidR="00217978" w:rsidRPr="00B1515C">
        <w:t xml:space="preserve"> When it Comes to Airdrops</w:t>
      </w:r>
      <w:r w:rsidR="00F75232">
        <w:t>’</w:t>
      </w:r>
      <w:r w:rsidR="0069368B" w:rsidRPr="00B1515C">
        <w:t xml:space="preserve"> </w:t>
      </w:r>
      <w:r w:rsidR="00572AD3" w:rsidRPr="00B1515C">
        <w:t xml:space="preserve">(2019) </w:t>
      </w:r>
      <w:r w:rsidR="006C5363" w:rsidRPr="00B1515C">
        <w:t>15(2)</w:t>
      </w:r>
      <w:r w:rsidR="00582C60" w:rsidRPr="00B1515C">
        <w:t xml:space="preserve"> </w:t>
      </w:r>
      <w:r w:rsidR="00582C60" w:rsidRPr="0084535D">
        <w:rPr>
          <w:rStyle w:val="Emphasis"/>
        </w:rPr>
        <w:t xml:space="preserve">Indian </w:t>
      </w:r>
      <w:r w:rsidR="0033566D" w:rsidRPr="0084535D">
        <w:rPr>
          <w:rStyle w:val="Emphasis"/>
        </w:rPr>
        <w:t>Journal of Law and Technology</w:t>
      </w:r>
      <w:r w:rsidR="0033566D" w:rsidRPr="00B1515C">
        <w:t xml:space="preserve"> </w:t>
      </w:r>
      <w:r w:rsidR="007A1EE7" w:rsidRPr="00B1515C">
        <w:t>321</w:t>
      </w:r>
      <w:r w:rsidR="002C65D3" w:rsidRPr="00B1515C">
        <w:t xml:space="preserve">, </w:t>
      </w:r>
      <w:r w:rsidR="00217978" w:rsidRPr="00B1515C">
        <w:t>324</w:t>
      </w:r>
      <w:r w:rsidR="00EA1E6A" w:rsidRPr="00B1515C">
        <w:t xml:space="preserve">; Also </w:t>
      </w:r>
      <w:r w:rsidR="00217978" w:rsidRPr="00B1515C">
        <w:t>Submission A10, 8.</w:t>
      </w:r>
    </w:p>
  </w:footnote>
  <w:footnote w:id="509">
    <w:p w14:paraId="6210E114" w14:textId="1EB854CE" w:rsidR="00217978" w:rsidRPr="00B1515C" w:rsidRDefault="00815763" w:rsidP="00434F85">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6" w:anchor="ato-Airdropsandincometaxtreatment" w:history="1">
        <w:r w:rsidR="00E958B5" w:rsidRPr="00A81223">
          <w:rPr>
            <w:rStyle w:val="Hyperlink"/>
          </w:rPr>
          <w:t>Airdrops and income tax treatment</w:t>
        </w:r>
      </w:hyperlink>
      <w:r w:rsidR="00F75232">
        <w:t>’</w:t>
      </w:r>
      <w:r w:rsidR="00977D46" w:rsidRPr="00B1515C">
        <w:t xml:space="preserve">, </w:t>
      </w:r>
      <w:r w:rsidR="00977D46" w:rsidRPr="0084535D">
        <w:rPr>
          <w:rStyle w:val="Emphasis"/>
        </w:rPr>
        <w:t>ATO</w:t>
      </w:r>
      <w:r w:rsidR="00977D46" w:rsidRPr="00B1515C">
        <w:t xml:space="preserve"> (Web Page, 30 June </w:t>
      </w:r>
      <w:r w:rsidR="00977D46" w:rsidRPr="00434F85">
        <w:t>2023</w:t>
      </w:r>
      <w:r w:rsidR="00977D46" w:rsidRPr="00B1515C">
        <w:t>)</w:t>
      </w:r>
      <w:r w:rsidR="000C3F57">
        <w:t>.</w:t>
      </w:r>
    </w:p>
  </w:footnote>
  <w:footnote w:id="510">
    <w:p w14:paraId="3C97955B" w14:textId="2E3F76C3"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7" w:anchor="ato-Airdropsandincometaxtreatment" w:history="1">
        <w:r w:rsidR="00977D46" w:rsidRPr="000C3F57">
          <w:rPr>
            <w:rStyle w:val="Hyperlink"/>
          </w:rPr>
          <w:t>Airdrops and income tax treatment</w:t>
        </w:r>
      </w:hyperlink>
      <w:r w:rsidR="00F75232">
        <w:t>’</w:t>
      </w:r>
      <w:r w:rsidR="00977D46" w:rsidRPr="00B1515C">
        <w:t xml:space="preserve">, </w:t>
      </w:r>
      <w:r w:rsidR="00977D46" w:rsidRPr="0084535D">
        <w:rPr>
          <w:rStyle w:val="Emphasis"/>
        </w:rPr>
        <w:t>ATO</w:t>
      </w:r>
      <w:r w:rsidR="00977D46" w:rsidRPr="00B1515C">
        <w:t xml:space="preserve"> (Web Page, 30 June 2023)</w:t>
      </w:r>
      <w:r w:rsidR="000C3F57">
        <w:t>.</w:t>
      </w:r>
    </w:p>
  </w:footnote>
  <w:footnote w:id="511">
    <w:p w14:paraId="1E499CC7" w14:textId="5EBFAEB5"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08" w:anchor="ato-Airdropsandincometaxtreatment" w:history="1">
        <w:r w:rsidR="00977D46" w:rsidRPr="000C3F57">
          <w:rPr>
            <w:rStyle w:val="Hyperlink"/>
          </w:rPr>
          <w:t>Airdrops and income tax treatment</w:t>
        </w:r>
      </w:hyperlink>
      <w:r w:rsidR="00F75232">
        <w:t>’</w:t>
      </w:r>
      <w:r w:rsidR="00977D46" w:rsidRPr="00B1515C">
        <w:t xml:space="preserve">, </w:t>
      </w:r>
      <w:r w:rsidR="00977D46" w:rsidRPr="0084535D">
        <w:rPr>
          <w:rStyle w:val="Emphasis"/>
        </w:rPr>
        <w:t>ATO</w:t>
      </w:r>
      <w:r w:rsidR="00977D46" w:rsidRPr="00B1515C">
        <w:t xml:space="preserve"> (Web Page, 30 June 2023)</w:t>
      </w:r>
      <w:r w:rsidR="000C3F57">
        <w:t>.</w:t>
      </w:r>
    </w:p>
  </w:footnote>
  <w:footnote w:id="512">
    <w:p w14:paraId="7A01577A" w14:textId="37BECC69" w:rsidR="0046347D" w:rsidRPr="00B1515C" w:rsidRDefault="0046347D" w:rsidP="00A01254">
      <w:pPr>
        <w:pStyle w:val="FootnoteText"/>
      </w:pPr>
      <w:r w:rsidRPr="00815763">
        <w:rPr>
          <w:rStyle w:val="FootnoteReference"/>
          <w:vertAlign w:val="baseline"/>
        </w:rPr>
        <w:footnoteRef/>
      </w:r>
      <w:r w:rsidRPr="00B1515C">
        <w:t xml:space="preserve"> </w:t>
      </w:r>
      <w:r w:rsidRPr="00B1515C">
        <w:tab/>
        <w:t xml:space="preserve">New Zealand Inland Revenue, </w:t>
      </w:r>
      <w:r w:rsidRPr="0084535D">
        <w:rPr>
          <w:rStyle w:val="Emphasis"/>
        </w:rPr>
        <w:t>Income tax – tax treatment of cryptoassets received from an airdrop</w:t>
      </w:r>
      <w:r w:rsidRPr="00B1515C">
        <w:t xml:space="preserve"> (</w:t>
      </w:r>
      <w:hyperlink r:id="rId209" w:history="1">
        <w:r w:rsidRPr="000C3F57">
          <w:rPr>
            <w:rStyle w:val="Hyperlink"/>
          </w:rPr>
          <w:t>QB 21/06</w:t>
        </w:r>
      </w:hyperlink>
      <w:r w:rsidRPr="00B1515C">
        <w:t>, 18</w:t>
      </w:r>
      <w:r>
        <w:t> </w:t>
      </w:r>
      <w:r w:rsidRPr="00B1515C">
        <w:t>June 2021</w:t>
      </w:r>
      <w:r>
        <w:t>).</w:t>
      </w:r>
    </w:p>
  </w:footnote>
  <w:footnote w:id="513">
    <w:p w14:paraId="62D9C0F8" w14:textId="7F198C71" w:rsidR="0046347D" w:rsidRPr="00B1515C" w:rsidRDefault="0046347D" w:rsidP="00A01254">
      <w:pPr>
        <w:pStyle w:val="FootnoteText"/>
      </w:pPr>
      <w:r w:rsidRPr="00815763">
        <w:rPr>
          <w:rStyle w:val="FootnoteReference"/>
          <w:vertAlign w:val="baseline"/>
        </w:rPr>
        <w:footnoteRef/>
      </w:r>
      <w:r w:rsidRPr="00B1515C">
        <w:t xml:space="preserve"> </w:t>
      </w:r>
      <w:r w:rsidRPr="00B1515C">
        <w:tab/>
      </w:r>
      <w:r>
        <w:t>‘</w:t>
      </w:r>
      <w:hyperlink r:id="rId210" w:history="1">
        <w:r w:rsidRPr="006754C0">
          <w:rPr>
            <w:rStyle w:val="Hyperlink"/>
          </w:rPr>
          <w:t>Income Tax Treatment of Digital Tokens</w:t>
        </w:r>
      </w:hyperlink>
      <w:r>
        <w:t>’</w:t>
      </w:r>
      <w:r w:rsidRPr="00B1515C">
        <w:t xml:space="preserve">, </w:t>
      </w:r>
      <w:r w:rsidRPr="0084535D">
        <w:rPr>
          <w:rStyle w:val="Emphasis"/>
        </w:rPr>
        <w:t>Inland Revenue Authority of Singapore</w:t>
      </w:r>
      <w:r w:rsidRPr="00B1515C">
        <w:t xml:space="preserve"> (IRAS e</w:t>
      </w:r>
      <w:r>
        <w:t>-</w:t>
      </w:r>
      <w:r w:rsidRPr="00B1515C">
        <w:t>Tax Guide, 9 October 2020)</w:t>
      </w:r>
      <w:r>
        <w:t>.</w:t>
      </w:r>
      <w:r w:rsidRPr="00B1515C">
        <w:t xml:space="preserve"> </w:t>
      </w:r>
    </w:p>
  </w:footnote>
  <w:footnote w:id="514">
    <w:p w14:paraId="0CE73FA8" w14:textId="6A0B20CA" w:rsidR="002710DF" w:rsidRPr="00B1515C" w:rsidRDefault="00815763" w:rsidP="00434F85">
      <w:pPr>
        <w:pStyle w:val="FootnoteText"/>
      </w:pPr>
      <w:r w:rsidRPr="00815763">
        <w:rPr>
          <w:rStyle w:val="FootnoteReference"/>
          <w:vertAlign w:val="baseline"/>
        </w:rPr>
        <w:footnoteRef/>
      </w:r>
      <w:r w:rsidR="001A3A75" w:rsidRPr="00B1515C">
        <w:tab/>
      </w:r>
      <w:r w:rsidR="000C3F57">
        <w:t>‘</w:t>
      </w:r>
      <w:hyperlink r:id="rId211" w:history="1">
        <w:r w:rsidR="00AB695E" w:rsidRPr="000C3F57">
          <w:rPr>
            <w:rStyle w:val="Hyperlink"/>
          </w:rPr>
          <w:t>CRYPTO21250 – Cryptoassets for individuals: Income Tax: airdrops</w:t>
        </w:r>
      </w:hyperlink>
      <w:r w:rsidR="00F75232">
        <w:t>’</w:t>
      </w:r>
      <w:r w:rsidR="00AB695E" w:rsidRPr="00B1515C">
        <w:t xml:space="preserve">, </w:t>
      </w:r>
      <w:r w:rsidR="00AB695E" w:rsidRPr="0084535D">
        <w:rPr>
          <w:rStyle w:val="Emphasis"/>
        </w:rPr>
        <w:t>HM Revenue &amp; Customs</w:t>
      </w:r>
      <w:r w:rsidR="00B125F1" w:rsidRPr="00B1515C">
        <w:t xml:space="preserve"> (Web Page, 21</w:t>
      </w:r>
      <w:r w:rsidR="0007341F">
        <w:t> </w:t>
      </w:r>
      <w:r w:rsidR="00B125F1" w:rsidRPr="00B1515C">
        <w:t>August</w:t>
      </w:r>
      <w:r w:rsidR="0007341F">
        <w:t> </w:t>
      </w:r>
      <w:r w:rsidR="00B125F1" w:rsidRPr="00B1515C">
        <w:t>2023</w:t>
      </w:r>
      <w:r w:rsidR="000C3F57">
        <w:t>).</w:t>
      </w:r>
    </w:p>
  </w:footnote>
  <w:footnote w:id="515">
    <w:p w14:paraId="3FBE68A0" w14:textId="2EC6E462" w:rsidR="002710DF" w:rsidRPr="00B1515C" w:rsidRDefault="00815763" w:rsidP="00434F85">
      <w:pPr>
        <w:pStyle w:val="FootnoteText"/>
      </w:pPr>
      <w:r w:rsidRPr="00815763">
        <w:rPr>
          <w:rStyle w:val="FootnoteReference"/>
          <w:vertAlign w:val="baseline"/>
        </w:rPr>
        <w:footnoteRef/>
      </w:r>
      <w:r w:rsidR="002710DF" w:rsidRPr="00B1515C">
        <w:t xml:space="preserve"> </w:t>
      </w:r>
      <w:r w:rsidR="001A3A75" w:rsidRPr="00B1515C">
        <w:tab/>
      </w:r>
      <w:r w:rsidR="002710DF" w:rsidRPr="00B1515C">
        <w:t>In July 2022, the Arizona Governor signed into law H.B. 2204, which specifically excludes the value of airdrops from Arizona state taxable income. It also allows the deduction of gas fees. All that Arizona receives is a tax on any gain in the assets</w:t>
      </w:r>
      <w:r w:rsidR="00F75232">
        <w:t>’</w:t>
      </w:r>
      <w:r w:rsidR="002710DF" w:rsidRPr="00B1515C">
        <w:t xml:space="preserve"> value after the airdrop. See John Schoenecker, </w:t>
      </w:r>
      <w:r w:rsidR="00F75232">
        <w:t>‘</w:t>
      </w:r>
      <w:hyperlink r:id="rId212" w:history="1">
        <w:r w:rsidR="002710DF" w:rsidRPr="006754C0">
          <w:rPr>
            <w:rStyle w:val="Hyperlink"/>
          </w:rPr>
          <w:t>How does Arizona</w:t>
        </w:r>
        <w:r w:rsidR="00F75232" w:rsidRPr="006754C0">
          <w:rPr>
            <w:rStyle w:val="Hyperlink"/>
          </w:rPr>
          <w:t>’</w:t>
        </w:r>
        <w:r w:rsidR="002710DF" w:rsidRPr="006754C0">
          <w:rPr>
            <w:rStyle w:val="Hyperlink"/>
          </w:rPr>
          <w:t>s new crypto law impact taxes on airdrops?</w:t>
        </w:r>
      </w:hyperlink>
      <w:r w:rsidR="00F75232">
        <w:t>’</w:t>
      </w:r>
      <w:r w:rsidR="002710DF" w:rsidRPr="00B1515C">
        <w:t xml:space="preserve"> (</w:t>
      </w:r>
      <w:r w:rsidR="008A28AA" w:rsidRPr="00B1515C">
        <w:t>30 August 2022</w:t>
      </w:r>
      <w:r w:rsidR="002710DF" w:rsidRPr="00B1515C">
        <w:t xml:space="preserve">) </w:t>
      </w:r>
      <w:r w:rsidR="002710DF" w:rsidRPr="0084535D">
        <w:rPr>
          <w:rStyle w:val="Emphasis"/>
        </w:rPr>
        <w:t>Taxbit Insights newsletter</w:t>
      </w:r>
      <w:r w:rsidR="00955387">
        <w:t>.</w:t>
      </w:r>
    </w:p>
  </w:footnote>
  <w:footnote w:id="516">
    <w:p w14:paraId="4DAE2019" w14:textId="72308E0B"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217978" w:rsidRPr="00B1515C">
        <w:t>Submission A10, 8.</w:t>
      </w:r>
    </w:p>
  </w:footnote>
  <w:footnote w:id="517">
    <w:p w14:paraId="28854A79" w14:textId="4C3A665B" w:rsidR="000D29F7" w:rsidRPr="00B1515C" w:rsidRDefault="00815763" w:rsidP="00A01254">
      <w:pPr>
        <w:pStyle w:val="FootnoteText"/>
      </w:pPr>
      <w:r w:rsidRPr="00815763">
        <w:rPr>
          <w:rStyle w:val="FootnoteReference"/>
          <w:vertAlign w:val="baseline"/>
        </w:rPr>
        <w:footnoteRef/>
      </w:r>
      <w:r w:rsidR="000D29F7" w:rsidRPr="00B1515C">
        <w:t xml:space="preserve"> </w:t>
      </w:r>
      <w:r w:rsidR="000D29F7" w:rsidRPr="00B1515C">
        <w:tab/>
        <w:t>Submission A</w:t>
      </w:r>
      <w:r w:rsidR="00D475FB" w:rsidRPr="00B1515C">
        <w:t>20, 10.</w:t>
      </w:r>
    </w:p>
  </w:footnote>
  <w:footnote w:id="518">
    <w:p w14:paraId="1AEE0053" w14:textId="78CB8486" w:rsidR="00C4355D" w:rsidRPr="00B1515C" w:rsidRDefault="00815763" w:rsidP="00A01254">
      <w:pPr>
        <w:pStyle w:val="FootnoteText"/>
      </w:pPr>
      <w:r w:rsidRPr="00815763">
        <w:rPr>
          <w:rStyle w:val="FootnoteReference"/>
          <w:vertAlign w:val="baseline"/>
        </w:rPr>
        <w:footnoteRef/>
      </w:r>
      <w:r w:rsidR="00C4355D" w:rsidRPr="00B1515C">
        <w:t xml:space="preserve"> </w:t>
      </w:r>
      <w:r w:rsidR="00647C80" w:rsidRPr="00B1515C">
        <w:tab/>
        <w:t>The issue of a bonus share or unit would generally not be taken to be a dividend or otherwise assessable where it is paid out of paid</w:t>
      </w:r>
      <w:r w:rsidR="00F75232">
        <w:t>-</w:t>
      </w:r>
      <w:r w:rsidR="00647C80" w:rsidRPr="00B1515C">
        <w:t>up capital of a company. Under ITAA 1936 s 44 the assessable income of a resident shareholder of a company includes dividends that are paid out of profits derived by it from any source and all non</w:t>
      </w:r>
      <w:r w:rsidR="00F75232">
        <w:t>-</w:t>
      </w:r>
      <w:r w:rsidR="00647C80" w:rsidRPr="00B1515C">
        <w:t>share dividends paid. An amount debited to the share capital account of a company is excluded from being a dividend under ITAA 1936 sub</w:t>
      </w:r>
      <w:r w:rsidR="00F75232">
        <w:t>-</w:t>
      </w:r>
      <w:r w:rsidR="00647C80" w:rsidRPr="00B1515C">
        <w:t xml:space="preserve">s 6(1) (definition of </w:t>
      </w:r>
      <w:r w:rsidR="00F75232">
        <w:t>‘</w:t>
      </w:r>
      <w:r w:rsidR="00647C80" w:rsidRPr="00B1515C">
        <w:t>dividend</w:t>
      </w:r>
      <w:r w:rsidR="00F75232">
        <w:t>’</w:t>
      </w:r>
      <w:r w:rsidR="00647C80" w:rsidRPr="00B1515C">
        <w:t>) unless it is part of an arrangement under sub</w:t>
      </w:r>
      <w:r w:rsidR="00F75232">
        <w:t>-</w:t>
      </w:r>
      <w:r w:rsidR="00647C80" w:rsidRPr="00B1515C">
        <w:t>s 6(4).</w:t>
      </w:r>
    </w:p>
  </w:footnote>
  <w:footnote w:id="519">
    <w:p w14:paraId="691B6AD8" w14:textId="363ABEDA"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13" w:history="1">
        <w:r w:rsidR="000C2318" w:rsidRPr="00955387">
          <w:rPr>
            <w:rStyle w:val="Hyperlink"/>
          </w:rPr>
          <w:t>Crypto asset investments and tax</w:t>
        </w:r>
      </w:hyperlink>
      <w:r w:rsidR="00F75232">
        <w:t>’</w:t>
      </w:r>
      <w:r w:rsidR="000C2318" w:rsidRPr="00B1515C">
        <w:t xml:space="preserve">, </w:t>
      </w:r>
      <w:r w:rsidR="000C2318" w:rsidRPr="0084535D">
        <w:rPr>
          <w:rStyle w:val="Emphasis"/>
        </w:rPr>
        <w:t>ATO</w:t>
      </w:r>
      <w:r w:rsidR="000C2318" w:rsidRPr="00B1515C">
        <w:t xml:space="preserve"> (Web Page, 4 October 2022)</w:t>
      </w:r>
      <w:r w:rsidR="00955387">
        <w:t>.</w:t>
      </w:r>
    </w:p>
  </w:footnote>
  <w:footnote w:id="520">
    <w:p w14:paraId="5BDED6C7" w14:textId="2C88FC89" w:rsidR="00217978" w:rsidRPr="00B1515C" w:rsidRDefault="00815763" w:rsidP="00A01254">
      <w:pPr>
        <w:pStyle w:val="FootnoteText"/>
      </w:pPr>
      <w:r w:rsidRPr="00815763">
        <w:rPr>
          <w:rStyle w:val="FootnoteReference"/>
          <w:vertAlign w:val="baseline"/>
        </w:rPr>
        <w:footnoteRef/>
      </w:r>
      <w:r w:rsidR="00217978" w:rsidRPr="00B1515C">
        <w:t xml:space="preserve"> </w:t>
      </w:r>
      <w:r w:rsidR="001A3A75" w:rsidRPr="00B1515C">
        <w:tab/>
      </w:r>
      <w:r w:rsidR="00F75232">
        <w:t>‘</w:t>
      </w:r>
      <w:hyperlink r:id="rId214" w:history="1">
        <w:r w:rsidR="006B10E3" w:rsidRPr="00955387">
          <w:rPr>
            <w:rStyle w:val="Hyperlink"/>
          </w:rPr>
          <w:t>Crypto asset investments and tax</w:t>
        </w:r>
      </w:hyperlink>
      <w:r w:rsidR="00F75232">
        <w:t>’</w:t>
      </w:r>
      <w:r w:rsidR="006B10E3" w:rsidRPr="00B1515C">
        <w:t xml:space="preserve">, </w:t>
      </w:r>
      <w:r w:rsidR="006B10E3" w:rsidRPr="0084535D">
        <w:rPr>
          <w:rStyle w:val="Emphasis"/>
        </w:rPr>
        <w:t>ATO</w:t>
      </w:r>
      <w:r w:rsidR="006B10E3" w:rsidRPr="00B1515C">
        <w:t xml:space="preserve"> (Web Page, 4 October 2022)</w:t>
      </w:r>
      <w:r w:rsidR="00955387">
        <w:t>.</w:t>
      </w:r>
    </w:p>
  </w:footnote>
  <w:footnote w:id="521">
    <w:p w14:paraId="06877642" w14:textId="482829C3" w:rsidR="00FC2929" w:rsidRPr="00B1515C" w:rsidRDefault="00815763" w:rsidP="00A01254">
      <w:pPr>
        <w:pStyle w:val="FootnoteText"/>
      </w:pPr>
      <w:r w:rsidRPr="00815763">
        <w:rPr>
          <w:rStyle w:val="FootnoteReference"/>
          <w:vertAlign w:val="baseline"/>
        </w:rPr>
        <w:footnoteRef/>
      </w:r>
      <w:r w:rsidR="00FC2929" w:rsidRPr="00B1515C">
        <w:t xml:space="preserve"> </w:t>
      </w:r>
      <w:r w:rsidR="001A3A75" w:rsidRPr="00B1515C">
        <w:tab/>
      </w:r>
      <w:r w:rsidR="00F75232">
        <w:t>‘</w:t>
      </w:r>
      <w:hyperlink r:id="rId215" w:history="1">
        <w:r w:rsidR="006B10E3" w:rsidRPr="00955387">
          <w:rPr>
            <w:rStyle w:val="Hyperlink"/>
          </w:rPr>
          <w:t>Decentralised finance and wrapping crypto</w:t>
        </w:r>
      </w:hyperlink>
      <w:r w:rsidR="00F75232">
        <w:t>’</w:t>
      </w:r>
      <w:r w:rsidR="006B10E3" w:rsidRPr="00B1515C">
        <w:t xml:space="preserve">, </w:t>
      </w:r>
      <w:r w:rsidR="006B10E3" w:rsidRPr="0084535D">
        <w:rPr>
          <w:rStyle w:val="Emphasis"/>
        </w:rPr>
        <w:t>ATO</w:t>
      </w:r>
      <w:r w:rsidR="00257300" w:rsidRPr="00B1515C">
        <w:t xml:space="preserve"> (Web Page, 9 November 2023)</w:t>
      </w:r>
      <w:r w:rsidR="00955387">
        <w:t>.</w:t>
      </w:r>
    </w:p>
  </w:footnote>
  <w:footnote w:id="522">
    <w:p w14:paraId="4945B2C0" w14:textId="53B1ECDF" w:rsidR="00BF7E2D" w:rsidRPr="00B1515C" w:rsidRDefault="00815763" w:rsidP="00A01254">
      <w:pPr>
        <w:pStyle w:val="FootnoteText"/>
      </w:pPr>
      <w:r w:rsidRPr="00815763">
        <w:rPr>
          <w:rStyle w:val="FootnoteReference"/>
          <w:vertAlign w:val="baseline"/>
        </w:rPr>
        <w:footnoteRef/>
      </w:r>
      <w:r w:rsidR="00BF7E2D" w:rsidRPr="00B1515C">
        <w:t xml:space="preserve"> </w:t>
      </w:r>
      <w:r w:rsidR="001A3A75" w:rsidRPr="00B1515C">
        <w:tab/>
      </w:r>
      <w:r w:rsidR="00BF7E2D" w:rsidRPr="00B1515C">
        <w:t>Submission A08, 11.</w:t>
      </w:r>
    </w:p>
  </w:footnote>
  <w:footnote w:id="523">
    <w:p w14:paraId="4FF33667" w14:textId="04DFEA1D" w:rsidR="004F557F" w:rsidRPr="00B1515C" w:rsidRDefault="00815763" w:rsidP="00A01254">
      <w:pPr>
        <w:pStyle w:val="FootnoteText"/>
      </w:pPr>
      <w:r w:rsidRPr="00815763">
        <w:rPr>
          <w:rStyle w:val="FootnoteReference"/>
          <w:vertAlign w:val="baseline"/>
        </w:rPr>
        <w:footnoteRef/>
      </w:r>
      <w:r w:rsidR="004F557F" w:rsidRPr="00B1515C">
        <w:t xml:space="preserve"> </w:t>
      </w:r>
      <w:r w:rsidR="001A3A75" w:rsidRPr="00B1515C">
        <w:tab/>
      </w:r>
      <w:r w:rsidR="004F557F" w:rsidRPr="00B1515C">
        <w:t>Submission A33, 14.</w:t>
      </w:r>
    </w:p>
  </w:footnote>
  <w:footnote w:id="524">
    <w:p w14:paraId="708DE604" w14:textId="795F3012" w:rsidR="000D5FF5" w:rsidRPr="00B1515C" w:rsidRDefault="00815763" w:rsidP="00A01254">
      <w:pPr>
        <w:pStyle w:val="FootnoteText"/>
      </w:pPr>
      <w:r w:rsidRPr="00815763">
        <w:rPr>
          <w:rStyle w:val="FootnoteReference"/>
          <w:vertAlign w:val="baseline"/>
        </w:rPr>
        <w:footnoteRef/>
      </w:r>
      <w:r w:rsidR="000D5FF5" w:rsidRPr="00B1515C">
        <w:t xml:space="preserve"> </w:t>
      </w:r>
      <w:r w:rsidR="001A3A75" w:rsidRPr="00B1515C">
        <w:tab/>
      </w:r>
      <w:r w:rsidR="000D5FF5" w:rsidRPr="00B1515C">
        <w:t xml:space="preserve">See </w:t>
      </w:r>
      <w:r w:rsidR="00372633">
        <w:t>Chapter </w:t>
      </w:r>
      <w:r w:rsidR="000D5FF5" w:rsidRPr="00B1515C">
        <w:t xml:space="preserve">3 under </w:t>
      </w:r>
      <w:r w:rsidR="00F75232">
        <w:t>‘</w:t>
      </w:r>
      <w:r w:rsidR="000D5FF5" w:rsidRPr="00B1515C">
        <w:t>Wrapping</w:t>
      </w:r>
      <w:r w:rsidR="00F75232">
        <w:t>’</w:t>
      </w:r>
      <w:r w:rsidR="00257300" w:rsidRPr="00B1515C">
        <w:t xml:space="preserve"> </w:t>
      </w:r>
      <w:r w:rsidR="000D5FF5" w:rsidRPr="00B1515C">
        <w:t>for an explanation of the different uses of the terms bridging and wrapping</w:t>
      </w:r>
      <w:r w:rsidR="00257300" w:rsidRPr="00B1515C">
        <w:t>.</w:t>
      </w:r>
    </w:p>
  </w:footnote>
  <w:footnote w:id="525">
    <w:p w14:paraId="24F64EB9" w14:textId="5C9849F7" w:rsidR="00233CB9" w:rsidRPr="00B1515C" w:rsidRDefault="00815763" w:rsidP="00A01254">
      <w:pPr>
        <w:pStyle w:val="FootnoteText"/>
      </w:pPr>
      <w:r w:rsidRPr="00815763">
        <w:rPr>
          <w:rStyle w:val="FootnoteReference"/>
          <w:vertAlign w:val="baseline"/>
        </w:rPr>
        <w:footnoteRef/>
      </w:r>
      <w:r w:rsidR="00233CB9" w:rsidRPr="00B1515C">
        <w:t xml:space="preserve"> </w:t>
      </w:r>
      <w:r w:rsidR="001A3A75" w:rsidRPr="00B1515C">
        <w:tab/>
      </w:r>
      <w:r w:rsidR="00233CB9" w:rsidRPr="00B1515C">
        <w:t>Submission A33, 12.</w:t>
      </w:r>
    </w:p>
  </w:footnote>
  <w:footnote w:id="526">
    <w:p w14:paraId="1836CA1A" w14:textId="21F5E5E9" w:rsidR="00233CB9" w:rsidRPr="00B1515C" w:rsidRDefault="00815763" w:rsidP="00A01254">
      <w:pPr>
        <w:pStyle w:val="FootnoteText"/>
      </w:pPr>
      <w:r w:rsidRPr="00815763">
        <w:rPr>
          <w:rStyle w:val="FootnoteReference"/>
          <w:vertAlign w:val="baseline"/>
        </w:rPr>
        <w:footnoteRef/>
      </w:r>
      <w:r w:rsidR="00233CB9" w:rsidRPr="00B1515C">
        <w:t xml:space="preserve"> </w:t>
      </w:r>
      <w:r w:rsidR="001A3A75" w:rsidRPr="00B1515C">
        <w:tab/>
      </w:r>
      <w:r w:rsidR="00233CB9" w:rsidRPr="00B1515C">
        <w:t>Submission A08, 12.</w:t>
      </w:r>
    </w:p>
  </w:footnote>
  <w:footnote w:id="527">
    <w:p w14:paraId="08F41872" w14:textId="1E739D8D" w:rsidR="00233CB9" w:rsidRPr="00B1515C" w:rsidRDefault="00815763" w:rsidP="00A01254">
      <w:pPr>
        <w:pStyle w:val="FootnoteText"/>
      </w:pPr>
      <w:r w:rsidRPr="00815763">
        <w:rPr>
          <w:rStyle w:val="FootnoteReference"/>
          <w:vertAlign w:val="baseline"/>
        </w:rPr>
        <w:footnoteRef/>
      </w:r>
      <w:r w:rsidR="00233CB9" w:rsidRPr="00B1515C">
        <w:t xml:space="preserve"> </w:t>
      </w:r>
      <w:r w:rsidR="001A3A75" w:rsidRPr="00B1515C">
        <w:tab/>
      </w:r>
      <w:r w:rsidR="00233CB9" w:rsidRPr="00B1515C">
        <w:t>Submission A19, [144].</w:t>
      </w:r>
    </w:p>
  </w:footnote>
  <w:footnote w:id="528">
    <w:p w14:paraId="00B9904B" w14:textId="46BA554E" w:rsidR="00980053" w:rsidRPr="00B1515C" w:rsidRDefault="00815763" w:rsidP="00A01254">
      <w:pPr>
        <w:pStyle w:val="FootnoteText"/>
      </w:pPr>
      <w:r w:rsidRPr="00815763">
        <w:rPr>
          <w:rStyle w:val="FootnoteReference"/>
          <w:vertAlign w:val="baseline"/>
        </w:rPr>
        <w:footnoteRef/>
      </w:r>
      <w:r w:rsidR="00980053" w:rsidRPr="00B1515C">
        <w:t xml:space="preserve"> </w:t>
      </w:r>
      <w:r w:rsidR="001A3A75" w:rsidRPr="00B1515C">
        <w:tab/>
      </w:r>
      <w:r w:rsidR="00F75232">
        <w:t>‘</w:t>
      </w:r>
      <w:hyperlink r:id="rId216" w:history="1">
        <w:r w:rsidR="009858D8" w:rsidRPr="00204823">
          <w:rPr>
            <w:rStyle w:val="Hyperlink"/>
          </w:rPr>
          <w:t>Decentralised finance and wrapping crypto</w:t>
        </w:r>
        <w:r w:rsidR="00F75232" w:rsidRPr="00F75622">
          <w:t>’</w:t>
        </w:r>
      </w:hyperlink>
      <w:r w:rsidR="009858D8" w:rsidRPr="00B1515C">
        <w:t xml:space="preserve">, </w:t>
      </w:r>
      <w:r w:rsidR="009858D8" w:rsidRPr="0084535D">
        <w:rPr>
          <w:rStyle w:val="Emphasis"/>
        </w:rPr>
        <w:t>ATO</w:t>
      </w:r>
      <w:r w:rsidR="009858D8" w:rsidRPr="00B1515C">
        <w:t xml:space="preserve"> (Web Page, 9 November 2023)</w:t>
      </w:r>
      <w:r w:rsidR="00204823">
        <w:t>.</w:t>
      </w:r>
      <w:hyperlink w:history="1"/>
      <w:r w:rsidR="00980053" w:rsidRPr="00B1515C">
        <w:t xml:space="preserve"> </w:t>
      </w:r>
    </w:p>
  </w:footnote>
  <w:footnote w:id="529">
    <w:p w14:paraId="469FC050" w14:textId="276719E9" w:rsidR="00561A8E" w:rsidRPr="00B1515C" w:rsidRDefault="00815763" w:rsidP="00A01254">
      <w:pPr>
        <w:pStyle w:val="FootnoteText"/>
      </w:pPr>
      <w:r w:rsidRPr="00815763">
        <w:rPr>
          <w:rStyle w:val="FootnoteReference"/>
          <w:vertAlign w:val="baseline"/>
        </w:rPr>
        <w:footnoteRef/>
      </w:r>
      <w:r w:rsidR="00561A8E" w:rsidRPr="00B1515C">
        <w:t xml:space="preserve"> </w:t>
      </w:r>
      <w:r w:rsidR="001A3A75" w:rsidRPr="00B1515C">
        <w:tab/>
      </w:r>
      <w:r w:rsidR="00561A8E" w:rsidRPr="00B1515C">
        <w:t xml:space="preserve">Although in this regard refer to the comments in </w:t>
      </w:r>
      <w:r w:rsidR="00372633">
        <w:t>Chapter </w:t>
      </w:r>
      <w:r w:rsidR="00561A8E" w:rsidRPr="00B1515C">
        <w:t xml:space="preserve">4 </w:t>
      </w:r>
      <w:r w:rsidR="00E447A5" w:rsidRPr="00B1515C">
        <w:t>under the heading</w:t>
      </w:r>
      <w:r w:rsidR="00561A8E" w:rsidRPr="00B1515C">
        <w:t xml:space="preserve"> </w:t>
      </w:r>
      <w:r w:rsidR="00F75232">
        <w:t>‘</w:t>
      </w:r>
      <w:r w:rsidR="00E447A5" w:rsidRPr="00B1515C">
        <w:t>criticisms of digital assets</w:t>
      </w:r>
      <w:r w:rsidR="00F75232">
        <w:t>’</w:t>
      </w:r>
      <w:r w:rsidR="00E447A5" w:rsidRPr="00B1515C">
        <w:t>, which may impact on an</w:t>
      </w:r>
      <w:r w:rsidR="002137FB" w:rsidRPr="00B1515C">
        <w:t>y</w:t>
      </w:r>
      <w:r w:rsidR="00E447A5" w:rsidRPr="00B1515C">
        <w:t xml:space="preserve"> assessment as to whether crypto asset transactions are </w:t>
      </w:r>
      <w:r w:rsidR="002137FB" w:rsidRPr="00B1515C">
        <w:t>in all senses economically equivalent to traditional finance.</w:t>
      </w:r>
      <w:r w:rsidR="004F0A51" w:rsidRPr="00B1515C">
        <w:t xml:space="preserve"> </w:t>
      </w:r>
    </w:p>
  </w:footnote>
  <w:footnote w:id="530">
    <w:p w14:paraId="42A482E0" w14:textId="3202FB8B" w:rsidR="002D3E21" w:rsidRPr="00B1515C" w:rsidRDefault="00815763" w:rsidP="00A01254">
      <w:pPr>
        <w:pStyle w:val="FootnoteText"/>
      </w:pPr>
      <w:r w:rsidRPr="00815763">
        <w:rPr>
          <w:rStyle w:val="FootnoteReference"/>
          <w:vertAlign w:val="baseline"/>
        </w:rPr>
        <w:footnoteRef/>
      </w:r>
      <w:r w:rsidR="004F0A51" w:rsidRPr="00B1515C">
        <w:t xml:space="preserve"> </w:t>
      </w:r>
      <w:r w:rsidR="001A3A75" w:rsidRPr="00B1515C">
        <w:tab/>
      </w:r>
      <w:r w:rsidR="00F75232">
        <w:t>‘</w:t>
      </w:r>
      <w:hyperlink r:id="rId217" w:history="1">
        <w:r w:rsidR="009858D8" w:rsidRPr="00955387">
          <w:rPr>
            <w:rStyle w:val="Hyperlink"/>
          </w:rPr>
          <w:t>Crypto chain splits</w:t>
        </w:r>
      </w:hyperlink>
      <w:r w:rsidR="00F75232">
        <w:t>’</w:t>
      </w:r>
      <w:r w:rsidR="009858D8" w:rsidRPr="00B1515C">
        <w:t xml:space="preserve">, </w:t>
      </w:r>
      <w:r w:rsidR="009858D8" w:rsidRPr="0084535D">
        <w:rPr>
          <w:rStyle w:val="Emphasis"/>
        </w:rPr>
        <w:t>ATO</w:t>
      </w:r>
      <w:r w:rsidR="009858D8" w:rsidRPr="00B1515C">
        <w:t xml:space="preserve"> (Web Page, 30 June 2023)</w:t>
      </w:r>
      <w:r w:rsidR="00955387">
        <w:t>.</w:t>
      </w:r>
      <w:r w:rsidR="009858D8" w:rsidRPr="00B1515C">
        <w:t xml:space="preserve"> </w:t>
      </w:r>
    </w:p>
  </w:footnote>
  <w:footnote w:id="531">
    <w:p w14:paraId="3C3D98ED" w14:textId="2598B2D6" w:rsidR="002D3E21" w:rsidRPr="00B1515C" w:rsidRDefault="00815763" w:rsidP="00A01254">
      <w:pPr>
        <w:pStyle w:val="FootnoteText"/>
      </w:pPr>
      <w:r w:rsidRPr="00815763">
        <w:rPr>
          <w:rStyle w:val="FootnoteReference"/>
          <w:vertAlign w:val="baseline"/>
        </w:rPr>
        <w:footnoteRef/>
      </w:r>
      <w:r w:rsidR="004F0A51" w:rsidRPr="00B1515C">
        <w:t xml:space="preserve"> </w:t>
      </w:r>
      <w:r w:rsidR="001A3A75" w:rsidRPr="00B1515C">
        <w:tab/>
      </w:r>
      <w:r w:rsidR="00955387">
        <w:t>‘</w:t>
      </w:r>
      <w:hyperlink r:id="rId218" w:history="1">
        <w:r w:rsidR="00955387" w:rsidRPr="00955387">
          <w:rPr>
            <w:rStyle w:val="Hyperlink"/>
          </w:rPr>
          <w:t>Crypto chain splits</w:t>
        </w:r>
      </w:hyperlink>
      <w:r w:rsidR="00955387">
        <w:t>’</w:t>
      </w:r>
      <w:r w:rsidR="00955387" w:rsidRPr="00B1515C">
        <w:t xml:space="preserve">, </w:t>
      </w:r>
      <w:r w:rsidR="00955387" w:rsidRPr="0084535D">
        <w:rPr>
          <w:rStyle w:val="Emphasis"/>
        </w:rPr>
        <w:t>ATO</w:t>
      </w:r>
      <w:r w:rsidR="00955387" w:rsidRPr="00B1515C">
        <w:t xml:space="preserve"> (Web Page, 30 June 2023)</w:t>
      </w:r>
      <w:r w:rsidR="00955387">
        <w:t>.</w:t>
      </w:r>
    </w:p>
  </w:footnote>
  <w:footnote w:id="532">
    <w:p w14:paraId="222095DD" w14:textId="72B110F0" w:rsidR="002D3E21" w:rsidRPr="00B1515C" w:rsidRDefault="00815763" w:rsidP="00A01254">
      <w:pPr>
        <w:pStyle w:val="FootnoteText"/>
      </w:pPr>
      <w:r w:rsidRPr="00815763">
        <w:rPr>
          <w:rStyle w:val="FootnoteReference"/>
          <w:vertAlign w:val="baseline"/>
        </w:rPr>
        <w:footnoteRef/>
      </w:r>
      <w:r w:rsidR="004F0A51" w:rsidRPr="00B1515C">
        <w:t xml:space="preserve"> </w:t>
      </w:r>
      <w:r w:rsidR="001A3A75" w:rsidRPr="00B1515C">
        <w:tab/>
      </w:r>
      <w:r w:rsidR="00F75232">
        <w:t>‘</w:t>
      </w:r>
      <w:hyperlink r:id="rId219" w:history="1">
        <w:r w:rsidR="009858D8" w:rsidRPr="00955387">
          <w:rPr>
            <w:rStyle w:val="Hyperlink"/>
          </w:rPr>
          <w:t>Crypto chain splits</w:t>
        </w:r>
        <w:r w:rsidR="00F75232" w:rsidRPr="00955387">
          <w:t>’</w:t>
        </w:r>
      </w:hyperlink>
      <w:r w:rsidR="009858D8" w:rsidRPr="00B1515C">
        <w:t xml:space="preserve">, </w:t>
      </w:r>
      <w:r w:rsidR="009858D8" w:rsidRPr="0084535D">
        <w:rPr>
          <w:rStyle w:val="Emphasis"/>
        </w:rPr>
        <w:t>ATO</w:t>
      </w:r>
      <w:r w:rsidR="009858D8" w:rsidRPr="00B1515C">
        <w:t xml:space="preserve"> (Web Page, 30 June 2023)</w:t>
      </w:r>
      <w:r w:rsidR="00955387">
        <w:t>.</w:t>
      </w:r>
    </w:p>
  </w:footnote>
  <w:footnote w:id="533">
    <w:p w14:paraId="572209FD" w14:textId="1F7FCE43" w:rsidR="002D3E21" w:rsidRPr="00B1515C" w:rsidRDefault="00815763" w:rsidP="00A01254">
      <w:pPr>
        <w:pStyle w:val="FootnoteText"/>
      </w:pPr>
      <w:r w:rsidRPr="00815763">
        <w:rPr>
          <w:rStyle w:val="FootnoteReference"/>
          <w:vertAlign w:val="baseline"/>
        </w:rPr>
        <w:footnoteRef/>
      </w:r>
      <w:r w:rsidR="004F0A51" w:rsidRPr="00B1515C">
        <w:t xml:space="preserve"> </w:t>
      </w:r>
      <w:r w:rsidR="001A3A75" w:rsidRPr="00B1515C">
        <w:tab/>
      </w:r>
      <w:r w:rsidR="00955387">
        <w:t>‘</w:t>
      </w:r>
      <w:hyperlink r:id="rId220" w:history="1">
        <w:r w:rsidR="00955387" w:rsidRPr="00955387">
          <w:rPr>
            <w:rStyle w:val="Hyperlink"/>
          </w:rPr>
          <w:t>Crypto chain splits</w:t>
        </w:r>
        <w:r w:rsidR="00955387" w:rsidRPr="00955387">
          <w:t>’</w:t>
        </w:r>
      </w:hyperlink>
      <w:r w:rsidR="00955387" w:rsidRPr="00B1515C">
        <w:t xml:space="preserve">, </w:t>
      </w:r>
      <w:r w:rsidR="00955387" w:rsidRPr="0084535D">
        <w:rPr>
          <w:rStyle w:val="Emphasis"/>
        </w:rPr>
        <w:t>ATO</w:t>
      </w:r>
      <w:r w:rsidR="00955387" w:rsidRPr="00B1515C">
        <w:t xml:space="preserve"> (Web Page, 30 June 2023)</w:t>
      </w:r>
      <w:r w:rsidR="00955387">
        <w:t xml:space="preserve">. </w:t>
      </w:r>
      <w:r w:rsidR="00B70034" w:rsidRPr="00B1515C">
        <w:t>The ATO does not address why this consequence does not follow from a soft fork.</w:t>
      </w:r>
    </w:p>
  </w:footnote>
  <w:footnote w:id="534">
    <w:p w14:paraId="4FE60C6C" w14:textId="147D85D7" w:rsidR="002D3E21" w:rsidRPr="00B1515C" w:rsidRDefault="00815763" w:rsidP="00A01254">
      <w:pPr>
        <w:pStyle w:val="FootnoteText"/>
      </w:pPr>
      <w:r w:rsidRPr="00815763">
        <w:rPr>
          <w:rStyle w:val="FootnoteReference"/>
          <w:vertAlign w:val="baseline"/>
        </w:rPr>
        <w:footnoteRef/>
      </w:r>
      <w:r w:rsidR="002D3E21" w:rsidRPr="00B1515C">
        <w:t xml:space="preserve"> </w:t>
      </w:r>
      <w:r w:rsidR="001A3A75" w:rsidRPr="00B1515C">
        <w:tab/>
      </w:r>
      <w:r w:rsidR="002D3E21" w:rsidRPr="00B1515C">
        <w:t>Submission A33, 17, for example.</w:t>
      </w:r>
    </w:p>
  </w:footnote>
  <w:footnote w:id="535">
    <w:p w14:paraId="47775916" w14:textId="5E581839" w:rsidR="002D3E21" w:rsidRPr="00B1515C" w:rsidRDefault="00815763" w:rsidP="00A01254">
      <w:pPr>
        <w:pStyle w:val="FootnoteText"/>
      </w:pPr>
      <w:r w:rsidRPr="00815763">
        <w:rPr>
          <w:rStyle w:val="FootnoteReference"/>
          <w:vertAlign w:val="baseline"/>
        </w:rPr>
        <w:footnoteRef/>
      </w:r>
      <w:r w:rsidR="002D3E21" w:rsidRPr="00B1515C">
        <w:t xml:space="preserve"> </w:t>
      </w:r>
      <w:r w:rsidR="001A3A75" w:rsidRPr="00B1515C">
        <w:tab/>
      </w:r>
      <w:r w:rsidR="002D3E21" w:rsidRPr="00B1515C">
        <w:t>Submission A30, 10.</w:t>
      </w:r>
    </w:p>
  </w:footnote>
  <w:footnote w:id="536">
    <w:p w14:paraId="48A17044" w14:textId="27C7E0E2" w:rsidR="002D3E21" w:rsidRPr="00B1515C" w:rsidRDefault="00815763" w:rsidP="00A01254">
      <w:pPr>
        <w:pStyle w:val="FootnoteText"/>
      </w:pPr>
      <w:r w:rsidRPr="00815763">
        <w:rPr>
          <w:rStyle w:val="FootnoteReference"/>
          <w:vertAlign w:val="baseline"/>
        </w:rPr>
        <w:footnoteRef/>
      </w:r>
      <w:r w:rsidR="002D3E21" w:rsidRPr="00B1515C">
        <w:t xml:space="preserve"> </w:t>
      </w:r>
      <w:r w:rsidR="001A3A75" w:rsidRPr="00B1515C">
        <w:tab/>
      </w:r>
      <w:r w:rsidR="002D3E21" w:rsidRPr="00B1515C">
        <w:t>Submission A26, 20</w:t>
      </w:r>
      <w:r w:rsidR="00416930">
        <w:t>–</w:t>
      </w:r>
      <w:r w:rsidR="002D3E21" w:rsidRPr="00B1515C">
        <w:t>21.</w:t>
      </w:r>
    </w:p>
  </w:footnote>
  <w:footnote w:id="537">
    <w:p w14:paraId="08C30ACB" w14:textId="3BE2E8E6" w:rsidR="00D96157" w:rsidRPr="00B1515C" w:rsidRDefault="00815763" w:rsidP="00A01254">
      <w:pPr>
        <w:pStyle w:val="FootnoteText"/>
      </w:pPr>
      <w:r w:rsidRPr="00815763">
        <w:rPr>
          <w:rStyle w:val="FootnoteReference"/>
          <w:vertAlign w:val="baseline"/>
        </w:rPr>
        <w:footnoteRef/>
      </w:r>
      <w:r w:rsidR="00D96157" w:rsidRPr="00B1515C">
        <w:t xml:space="preserve"> </w:t>
      </w:r>
      <w:r w:rsidR="001A3A75" w:rsidRPr="00B1515C">
        <w:tab/>
      </w:r>
      <w:r w:rsidR="009858D8" w:rsidRPr="00B1515C">
        <w:t>ITAA 1997 s</w:t>
      </w:r>
      <w:r w:rsidR="000354A1" w:rsidRPr="00B1515C">
        <w:t xml:space="preserve"> </w:t>
      </w:r>
      <w:r w:rsidR="00EC3066" w:rsidRPr="00B1515C">
        <w:t>116</w:t>
      </w:r>
      <w:r w:rsidR="00F75232">
        <w:t>-</w:t>
      </w:r>
      <w:r w:rsidR="00EC3066" w:rsidRPr="00B1515C">
        <w:t>30</w:t>
      </w:r>
      <w:r w:rsidR="009858D8" w:rsidRPr="00B1515C">
        <w:t>.</w:t>
      </w:r>
    </w:p>
  </w:footnote>
  <w:footnote w:id="538">
    <w:p w14:paraId="5EFC1CA9" w14:textId="354B90BB"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 9</w:t>
      </w:r>
      <w:r w:rsidR="00F75232">
        <w:t>-</w:t>
      </w:r>
      <w:r w:rsidR="00D51E0B" w:rsidRPr="00B1515C">
        <w:t xml:space="preserve">20 defines and enterprise as an activity, or series of activities, done including in the form of a business; or in the form of an adventure or concern in the nature of trade; or on a regular or continuous basis, in the form of a lease, licence or other grant of an interest in property. </w:t>
      </w:r>
    </w:p>
  </w:footnote>
  <w:footnote w:id="539">
    <w:p w14:paraId="08E4605B" w14:textId="06807C76"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 9</w:t>
      </w:r>
      <w:r w:rsidR="00F75232">
        <w:t>-</w:t>
      </w:r>
      <w:r w:rsidR="00D51E0B" w:rsidRPr="00B1515C">
        <w:t>15 defines consideration.</w:t>
      </w:r>
    </w:p>
  </w:footnote>
  <w:footnote w:id="540">
    <w:p w14:paraId="6602DB39" w14:textId="60365F19" w:rsidR="008768E9" w:rsidRPr="00B1515C" w:rsidRDefault="00815763" w:rsidP="00A01254">
      <w:pPr>
        <w:pStyle w:val="FootnoteText"/>
      </w:pPr>
      <w:r w:rsidRPr="00815763">
        <w:rPr>
          <w:rStyle w:val="FootnoteReference"/>
          <w:vertAlign w:val="baseline"/>
        </w:rPr>
        <w:footnoteRef/>
      </w:r>
      <w:r w:rsidR="008768E9" w:rsidRPr="00B1515C">
        <w:t xml:space="preserve"> </w:t>
      </w:r>
      <w:r w:rsidR="001A3A75" w:rsidRPr="00B1515C">
        <w:tab/>
      </w:r>
      <w:r w:rsidR="008768E9" w:rsidRPr="00B1515C">
        <w:t>GST Act s 195</w:t>
      </w:r>
      <w:r w:rsidR="00F75232">
        <w:t>-</w:t>
      </w:r>
      <w:r w:rsidR="008768E9" w:rsidRPr="00B1515C">
        <w:t xml:space="preserve">1 </w:t>
      </w:r>
      <w:r w:rsidR="00C90E84" w:rsidRPr="00B1515C">
        <w:t xml:space="preserve">(definition of </w:t>
      </w:r>
      <w:r w:rsidR="00F75232">
        <w:t>‘</w:t>
      </w:r>
      <w:r w:rsidR="00C90E84" w:rsidRPr="00B1515C">
        <w:t>indirect tax zone</w:t>
      </w:r>
      <w:r w:rsidR="00F75232">
        <w:t>’</w:t>
      </w:r>
      <w:r w:rsidR="00C90E84" w:rsidRPr="00B1515C">
        <w:t>):</w:t>
      </w:r>
      <w:r w:rsidR="008768E9" w:rsidRPr="00B1515C">
        <w:t xml:space="preserve"> meaning Australia (within the meaning of the ITAA 1997), but does not include the external Territories; an offshore area for the purposes of the </w:t>
      </w:r>
      <w:r w:rsidR="008768E9" w:rsidRPr="0084535D">
        <w:rPr>
          <w:rStyle w:val="Emphasis"/>
        </w:rPr>
        <w:t>Offshore Petroleum and Greenhouse Gas Storage Act 2006</w:t>
      </w:r>
      <w:r w:rsidR="008768E9" w:rsidRPr="00B1515C">
        <w:t xml:space="preserve">; other than an installation (within the meaning of the </w:t>
      </w:r>
      <w:r w:rsidR="008768E9" w:rsidRPr="0084535D">
        <w:rPr>
          <w:rStyle w:val="Emphasis"/>
        </w:rPr>
        <w:t>Customs Act 1901</w:t>
      </w:r>
      <w:r w:rsidR="008768E9" w:rsidRPr="00B1515C">
        <w:t>) that is deemed by section</w:t>
      </w:r>
      <w:r w:rsidR="004B56CD">
        <w:t> </w:t>
      </w:r>
      <w:r w:rsidR="008768E9" w:rsidRPr="00B1515C">
        <w:t xml:space="preserve">5C of the </w:t>
      </w:r>
      <w:r w:rsidR="008768E9" w:rsidRPr="0084535D">
        <w:rPr>
          <w:rStyle w:val="Emphasis"/>
        </w:rPr>
        <w:t>Customs Act 1901</w:t>
      </w:r>
      <w:r w:rsidR="008768E9" w:rsidRPr="00B1515C">
        <w:t xml:space="preserve"> to be part of Australia and that is located in an offshore area.</w:t>
      </w:r>
    </w:p>
  </w:footnote>
  <w:footnote w:id="541">
    <w:p w14:paraId="79F9760D" w14:textId="28C7FA98" w:rsidR="008768E9" w:rsidRPr="00B1515C" w:rsidRDefault="00815763" w:rsidP="00A01254">
      <w:pPr>
        <w:pStyle w:val="FootnoteText"/>
      </w:pPr>
      <w:r w:rsidRPr="00815763">
        <w:rPr>
          <w:rStyle w:val="FootnoteReference"/>
          <w:vertAlign w:val="baseline"/>
        </w:rPr>
        <w:footnoteRef/>
      </w:r>
      <w:r w:rsidR="008768E9" w:rsidRPr="00B1515C">
        <w:t xml:space="preserve"> </w:t>
      </w:r>
      <w:r w:rsidR="001A3A75" w:rsidRPr="00B1515C">
        <w:tab/>
      </w:r>
      <w:r w:rsidR="008768E9" w:rsidRPr="00B1515C">
        <w:t>GST Act s 195</w:t>
      </w:r>
      <w:r w:rsidR="00F75232">
        <w:t>-</w:t>
      </w:r>
      <w:r w:rsidR="008768E9" w:rsidRPr="00B1515C">
        <w:t xml:space="preserve">1 (definition of </w:t>
      </w:r>
      <w:r w:rsidR="00F75232">
        <w:t>‘</w:t>
      </w:r>
      <w:r w:rsidR="008768E9" w:rsidRPr="00B1515C">
        <w:t>GST turnover</w:t>
      </w:r>
      <w:r w:rsidR="00F75232">
        <w:t>’</w:t>
      </w:r>
      <w:r w:rsidR="008768E9" w:rsidRPr="00B1515C">
        <w:t xml:space="preserve">), discussed further at </w:t>
      </w:r>
      <w:r w:rsidR="00F83484" w:rsidRPr="00B1515C">
        <w:t xml:space="preserve">GST Act </w:t>
      </w:r>
      <w:r w:rsidR="004443EC" w:rsidRPr="00B1515C">
        <w:t>s 188</w:t>
      </w:r>
      <w:r w:rsidR="00F75232">
        <w:t>-</w:t>
      </w:r>
      <w:r w:rsidR="004443EC" w:rsidRPr="00B1515C">
        <w:t>10</w:t>
      </w:r>
      <w:r w:rsidR="00054A40">
        <w:t>0</w:t>
      </w:r>
      <w:r w:rsidR="008768E9" w:rsidRPr="00B1515C">
        <w:t>.</w:t>
      </w:r>
    </w:p>
  </w:footnote>
  <w:footnote w:id="542">
    <w:p w14:paraId="7E1F9D08" w14:textId="15B1478E"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84535D">
        <w:rPr>
          <w:rStyle w:val="Emphasis"/>
        </w:rPr>
        <w:t xml:space="preserve">A New Tax System (Goods and Services Tax) Regulations 2019 </w:t>
      </w:r>
      <w:r w:rsidR="00D51E0B" w:rsidRPr="00B1515C">
        <w:t>(GST Regulations) regs 23</w:t>
      </w:r>
      <w:r w:rsidR="00F75232">
        <w:t>-</w:t>
      </w:r>
      <w:r w:rsidR="00D51E0B" w:rsidRPr="00B1515C">
        <w:t>15.01</w:t>
      </w:r>
      <w:r w:rsidR="003803D6" w:rsidRPr="00B1515C">
        <w:t>—</w:t>
      </w:r>
      <w:r w:rsidR="00D51E0B" w:rsidRPr="00B1515C">
        <w:t>23</w:t>
      </w:r>
      <w:r w:rsidR="00F75232">
        <w:t>-</w:t>
      </w:r>
      <w:r w:rsidR="00D51E0B" w:rsidRPr="00B1515C">
        <w:t>15.02 currently sets the thresholds at $150,000 for not profit entities and $75,000 for other entities.</w:t>
      </w:r>
    </w:p>
  </w:footnote>
  <w:footnote w:id="543">
    <w:p w14:paraId="1DD838BD" w14:textId="29AB9441"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 195</w:t>
      </w:r>
      <w:r w:rsidR="00F75232">
        <w:t>-</w:t>
      </w:r>
      <w:r w:rsidR="00D51E0B" w:rsidRPr="00B1515C">
        <w:t xml:space="preserve">1 (definition of </w:t>
      </w:r>
      <w:r w:rsidR="00F75232">
        <w:t>‘</w:t>
      </w:r>
      <w:r w:rsidR="00D51E0B" w:rsidRPr="00B1515C">
        <w:t>digital currency</w:t>
      </w:r>
      <w:r w:rsidR="00F75232">
        <w:t>’</w:t>
      </w:r>
      <w:r w:rsidR="00D51E0B" w:rsidRPr="00B1515C">
        <w:t>).</w:t>
      </w:r>
    </w:p>
  </w:footnote>
  <w:footnote w:id="544">
    <w:p w14:paraId="0B0575D1" w14:textId="03B8CFCD"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 9</w:t>
      </w:r>
      <w:r w:rsidR="00F75232">
        <w:t>-</w:t>
      </w:r>
      <w:r w:rsidR="00D51E0B" w:rsidRPr="00B1515C">
        <w:t>5.</w:t>
      </w:r>
    </w:p>
  </w:footnote>
  <w:footnote w:id="545">
    <w:p w14:paraId="6B858D84" w14:textId="72C796D7"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As set out in GST Act s 188</w:t>
      </w:r>
      <w:r w:rsidR="00F75232">
        <w:t>-</w:t>
      </w:r>
      <w:r w:rsidR="00D51E0B" w:rsidRPr="00B1515C">
        <w:t>10, you have a GST turnover that meets a particular turnover threshold if (a) your current GST turnover is at or above the turnover threshold, and the Commissioner is not satisfied that your projected GST turnover is below the turnover threshold; or (b) your projected GST turnover is at or above the turnover threshold. Current GST turnover includes the supplies you have made in the 12 months ending at the end of the current month (</w:t>
      </w:r>
      <w:r w:rsidR="00B122B5" w:rsidRPr="00B1515C">
        <w:t xml:space="preserve">s </w:t>
      </w:r>
      <w:r w:rsidR="00D51E0B" w:rsidRPr="00B1515C">
        <w:t>188</w:t>
      </w:r>
      <w:r w:rsidR="00F75232">
        <w:t>-</w:t>
      </w:r>
      <w:r w:rsidR="00D51E0B" w:rsidRPr="00B1515C">
        <w:t>15) and projected GST turnover includes the supplies you have made in the current month plus the supplies you are likely to make in the next 11 months (</w:t>
      </w:r>
      <w:r w:rsidR="00B122B5" w:rsidRPr="00B1515C">
        <w:t xml:space="preserve">s </w:t>
      </w:r>
      <w:r w:rsidR="00D51E0B" w:rsidRPr="00B1515C">
        <w:t>188</w:t>
      </w:r>
      <w:r w:rsidR="00F75232">
        <w:t>-</w:t>
      </w:r>
      <w:r w:rsidR="00D51E0B" w:rsidRPr="00B1515C">
        <w:t xml:space="preserve">20). </w:t>
      </w:r>
    </w:p>
  </w:footnote>
  <w:footnote w:id="546">
    <w:p w14:paraId="7D9302CD" w14:textId="1F7DE9D7"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84535D">
        <w:rPr>
          <w:rStyle w:val="Emphasis"/>
        </w:rPr>
        <w:t xml:space="preserve">Taxation Administration Act 1953 </w:t>
      </w:r>
      <w:r w:rsidR="00D51E0B" w:rsidRPr="00B1515C">
        <w:t>(TAA 1953) s 288</w:t>
      </w:r>
      <w:r w:rsidR="00F75232">
        <w:t>-</w:t>
      </w:r>
      <w:r w:rsidR="00D51E0B" w:rsidRPr="00B1515C">
        <w:t>40 sch 1. The penalty unit rate as of 1 July 2023 was $313.</w:t>
      </w:r>
    </w:p>
  </w:footnote>
  <w:footnote w:id="547">
    <w:p w14:paraId="65C0CC6C" w14:textId="381667F3" w:rsidR="00287811" w:rsidRPr="00B1515C" w:rsidRDefault="00815763" w:rsidP="00A01254">
      <w:pPr>
        <w:pStyle w:val="FootnoteText"/>
      </w:pPr>
      <w:r w:rsidRPr="00815763">
        <w:rPr>
          <w:rStyle w:val="FootnoteReference"/>
          <w:vertAlign w:val="baseline"/>
        </w:rPr>
        <w:footnoteRef/>
      </w:r>
      <w:r w:rsidR="00287811" w:rsidRPr="00B1515C">
        <w:t xml:space="preserve"> </w:t>
      </w:r>
      <w:r w:rsidR="001A3A75" w:rsidRPr="00B1515C">
        <w:tab/>
      </w:r>
      <w:r w:rsidR="00287811" w:rsidRPr="00B1515C">
        <w:t xml:space="preserve">GST Act div 189 sets out that registered entities making </w:t>
      </w:r>
      <w:r w:rsidR="002C0E42" w:rsidRPr="00B1515C">
        <w:t>input</w:t>
      </w:r>
      <w:r w:rsidR="00F75232">
        <w:t>-</w:t>
      </w:r>
      <w:r w:rsidR="002C0E42" w:rsidRPr="00B1515C">
        <w:t>taxed</w:t>
      </w:r>
      <w:r w:rsidR="00287811" w:rsidRPr="00B1515C">
        <w:t xml:space="preserve"> financial supplies may be entitled to input tax credits where the financial acquisitions threshold is not exceeded. </w:t>
      </w:r>
    </w:p>
  </w:footnote>
  <w:footnote w:id="548">
    <w:p w14:paraId="1502F6D3" w14:textId="5BDE1C04"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 9</w:t>
      </w:r>
      <w:r w:rsidR="00F75232">
        <w:t>-</w:t>
      </w:r>
      <w:r w:rsidR="00D51E0B" w:rsidRPr="00B1515C">
        <w:t>5.</w:t>
      </w:r>
    </w:p>
  </w:footnote>
  <w:footnote w:id="549">
    <w:p w14:paraId="2DC3AF9B" w14:textId="57CA493F"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 38</w:t>
      </w:r>
      <w:r w:rsidR="00F75232">
        <w:t>-</w:t>
      </w:r>
      <w:r w:rsidR="00D51E0B" w:rsidRPr="00B1515C">
        <w:t>190.</w:t>
      </w:r>
    </w:p>
  </w:footnote>
  <w:footnote w:id="550">
    <w:p w14:paraId="47349491" w14:textId="59FA438A"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div 38.</w:t>
      </w:r>
    </w:p>
  </w:footnote>
  <w:footnote w:id="551">
    <w:p w14:paraId="47344E8D" w14:textId="5BA90A6E"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F75232">
        <w:t>‘</w:t>
      </w:r>
      <w:hyperlink r:id="rId221" w:history="1">
        <w:r w:rsidR="002D0500" w:rsidRPr="00F435A5">
          <w:rPr>
            <w:rStyle w:val="Hyperlink"/>
          </w:rPr>
          <w:t>GST and trading digital currency</w:t>
        </w:r>
      </w:hyperlink>
      <w:r w:rsidR="00F75232">
        <w:t>’</w:t>
      </w:r>
      <w:r w:rsidR="002D0500" w:rsidRPr="00B1515C">
        <w:t xml:space="preserve">, </w:t>
      </w:r>
      <w:r w:rsidR="00D51E0B" w:rsidRPr="0084535D">
        <w:rPr>
          <w:rStyle w:val="Emphasis"/>
        </w:rPr>
        <w:t>ATO</w:t>
      </w:r>
      <w:r w:rsidR="00D51E0B" w:rsidRPr="00B1515C">
        <w:t xml:space="preserve"> (</w:t>
      </w:r>
      <w:r w:rsidR="0046071D" w:rsidRPr="00B1515C">
        <w:t>Web Page, 5 July 2023</w:t>
      </w:r>
      <w:r w:rsidR="00D51E0B" w:rsidRPr="00B1515C">
        <w:t>)</w:t>
      </w:r>
      <w:r w:rsidR="00F435A5">
        <w:t>.</w:t>
      </w:r>
      <w:r w:rsidR="0046071D" w:rsidRPr="00B1515C">
        <w:t xml:space="preserve"> </w:t>
      </w:r>
    </w:p>
  </w:footnote>
  <w:footnote w:id="552">
    <w:p w14:paraId="3CB642D3" w14:textId="02404E6A"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sub</w:t>
      </w:r>
      <w:r w:rsidR="00F75232">
        <w:t>-</w:t>
      </w:r>
      <w:r w:rsidR="00D51E0B" w:rsidRPr="00B1515C">
        <w:t>s 9</w:t>
      </w:r>
      <w:r w:rsidR="00F75232">
        <w:t>-</w:t>
      </w:r>
      <w:r w:rsidR="00D51E0B" w:rsidRPr="00B1515C">
        <w:t xml:space="preserve">30(3) includes the note that certain choices such as those relating to school canteens and charity fund raising events may result in a different outcome. </w:t>
      </w:r>
    </w:p>
  </w:footnote>
  <w:footnote w:id="553">
    <w:p w14:paraId="372E7D0F" w14:textId="16E75FCD"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 xml:space="preserve">The Australian Government, </w:t>
      </w:r>
      <w:hyperlink r:id="rId222" w:history="1">
        <w:r w:rsidR="00BE5229" w:rsidRPr="00F435A5">
          <w:rPr>
            <w:rStyle w:val="Hyperlink"/>
            <w:i/>
            <w:iCs/>
          </w:rPr>
          <w:t>Backing Australian FinTech</w:t>
        </w:r>
      </w:hyperlink>
      <w:r w:rsidR="00D51E0B" w:rsidRPr="00B1515C">
        <w:t xml:space="preserve"> (Full Report, 18 March 2016) 22</w:t>
      </w:r>
      <w:r w:rsidR="00F435A5">
        <w:t>.</w:t>
      </w:r>
    </w:p>
  </w:footnote>
  <w:footnote w:id="554">
    <w:p w14:paraId="0D806B37" w14:textId="08D66742"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 xml:space="preserve">Withdrawn by </w:t>
      </w:r>
      <w:r w:rsidR="00E95891" w:rsidRPr="00B1515C">
        <w:t>ATO</w:t>
      </w:r>
      <w:r w:rsidR="00564052" w:rsidRPr="00B1515C">
        <w:t xml:space="preserve">, </w:t>
      </w:r>
      <w:r w:rsidR="00564052" w:rsidRPr="0084535D">
        <w:rPr>
          <w:rStyle w:val="Emphasis"/>
        </w:rPr>
        <w:t>Goods and Services tax: the GST implications of transactions involving bitcoin</w:t>
      </w:r>
      <w:r w:rsidR="00C06D5F" w:rsidRPr="0084535D">
        <w:rPr>
          <w:rStyle w:val="Emphasis"/>
        </w:rPr>
        <w:t xml:space="preserve"> </w:t>
      </w:r>
      <w:r w:rsidR="00C06D5F" w:rsidRPr="00B1515C">
        <w:t>(</w:t>
      </w:r>
      <w:r w:rsidR="00D51E0B" w:rsidRPr="00B1515C">
        <w:t>GSTR 2014/3W</w:t>
      </w:r>
      <w:r w:rsidR="00F00E3D" w:rsidRPr="00B1515C">
        <w:t xml:space="preserve">, </w:t>
      </w:r>
      <w:r w:rsidR="00D51E0B" w:rsidRPr="00B1515C">
        <w:t>18</w:t>
      </w:r>
      <w:r w:rsidR="00DE4CCC">
        <w:t> </w:t>
      </w:r>
      <w:r w:rsidR="00D51E0B" w:rsidRPr="00B1515C">
        <w:t>December 2017</w:t>
      </w:r>
      <w:r w:rsidR="00F00E3D" w:rsidRPr="00B1515C">
        <w:t>).</w:t>
      </w:r>
    </w:p>
  </w:footnote>
  <w:footnote w:id="555">
    <w:p w14:paraId="129DCA64" w14:textId="59731FDD"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Notably, GST Act sub</w:t>
      </w:r>
      <w:r w:rsidR="00F75232">
        <w:t>-</w:t>
      </w:r>
      <w:r w:rsidR="00D51E0B" w:rsidRPr="00B1515C">
        <w:t>ss</w:t>
      </w:r>
      <w:r w:rsidR="00D51E0B" w:rsidRPr="00B1515C">
        <w:rPr>
          <w:rFonts w:cs="Calibri"/>
          <w:color w:val="212121"/>
          <w:lang w:eastAsia="en-GB"/>
        </w:rPr>
        <w:t xml:space="preserve"> 9</w:t>
      </w:r>
      <w:r w:rsidR="00F75232">
        <w:rPr>
          <w:rFonts w:cs="Calibri"/>
          <w:color w:val="212121"/>
          <w:lang w:eastAsia="en-GB"/>
        </w:rPr>
        <w:t>-</w:t>
      </w:r>
      <w:r w:rsidR="00D51E0B" w:rsidRPr="00B1515C">
        <w:rPr>
          <w:rFonts w:cs="Calibri"/>
          <w:color w:val="212121"/>
          <w:lang w:eastAsia="en-GB"/>
        </w:rPr>
        <w:t>10(4)</w:t>
      </w:r>
      <w:r w:rsidR="00ED5CDC" w:rsidRPr="00B1515C">
        <w:rPr>
          <w:rFonts w:cs="Calibri"/>
          <w:color w:val="212121"/>
          <w:lang w:eastAsia="en-GB"/>
        </w:rPr>
        <w:t>,</w:t>
      </w:r>
      <w:r w:rsidR="00964266" w:rsidRPr="00B1515C">
        <w:rPr>
          <w:rFonts w:cs="Calibri"/>
          <w:color w:val="212121"/>
          <w:lang w:eastAsia="en-GB"/>
        </w:rPr>
        <w:t xml:space="preserve"> </w:t>
      </w:r>
      <w:r w:rsidR="00D51E0B" w:rsidRPr="00B1515C">
        <w:rPr>
          <w:rFonts w:cs="Calibri"/>
          <w:color w:val="212121"/>
          <w:lang w:eastAsia="en-GB"/>
        </w:rPr>
        <w:t>9</w:t>
      </w:r>
      <w:r w:rsidR="00F75232">
        <w:rPr>
          <w:rFonts w:cs="Calibri"/>
          <w:color w:val="212121"/>
          <w:lang w:eastAsia="en-GB"/>
        </w:rPr>
        <w:t>-</w:t>
      </w:r>
      <w:r w:rsidR="00D51E0B" w:rsidRPr="00B1515C">
        <w:rPr>
          <w:rFonts w:cs="Calibri"/>
          <w:color w:val="212121"/>
          <w:lang w:eastAsia="en-GB"/>
        </w:rPr>
        <w:t>85(2) are examples of the alignment of the treatment money and digital currency for GST purposes.</w:t>
      </w:r>
    </w:p>
  </w:footnote>
  <w:footnote w:id="556">
    <w:p w14:paraId="4A6A14A7" w14:textId="20EB328E"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rPr>
          <w:rFonts w:asciiTheme="minorHAnsi" w:hAnsiTheme="minorHAnsi" w:cstheme="minorHAnsi"/>
        </w:rPr>
        <w:t>GST Act s 195</w:t>
      </w:r>
      <w:r w:rsidR="00F75232">
        <w:rPr>
          <w:rFonts w:asciiTheme="minorHAnsi" w:hAnsiTheme="minorHAnsi" w:cstheme="minorHAnsi"/>
        </w:rPr>
        <w:t>-</w:t>
      </w:r>
      <w:r w:rsidR="00D51E0B" w:rsidRPr="00B1515C">
        <w:rPr>
          <w:rFonts w:asciiTheme="minorHAnsi" w:hAnsiTheme="minorHAnsi" w:cstheme="minorHAnsi"/>
        </w:rPr>
        <w:t xml:space="preserve">1 (definition of </w:t>
      </w:r>
      <w:r w:rsidR="00F75232">
        <w:rPr>
          <w:rFonts w:asciiTheme="minorHAnsi" w:hAnsiTheme="minorHAnsi" w:cstheme="minorHAnsi"/>
        </w:rPr>
        <w:t>‘</w:t>
      </w:r>
      <w:r w:rsidR="00D51E0B" w:rsidRPr="00B1515C">
        <w:rPr>
          <w:rFonts w:asciiTheme="minorHAnsi" w:hAnsiTheme="minorHAnsi" w:cstheme="minorHAnsi"/>
        </w:rPr>
        <w:t>digital currency</w:t>
      </w:r>
      <w:r w:rsidR="00F75232">
        <w:rPr>
          <w:rFonts w:asciiTheme="minorHAnsi" w:hAnsiTheme="minorHAnsi" w:cstheme="minorHAnsi"/>
        </w:rPr>
        <w:t>’</w:t>
      </w:r>
      <w:r w:rsidR="00D51E0B" w:rsidRPr="00B1515C">
        <w:rPr>
          <w:rFonts w:asciiTheme="minorHAnsi" w:hAnsiTheme="minorHAnsi" w:cstheme="minorHAnsi"/>
        </w:rPr>
        <w:t xml:space="preserve">). </w:t>
      </w:r>
      <w:r w:rsidR="00D51E0B" w:rsidRPr="00B1515C">
        <w:t>Digital currency is included as a financial supply under GST</w:t>
      </w:r>
      <w:r w:rsidR="00120D88">
        <w:t> </w:t>
      </w:r>
      <w:r w:rsidR="00D51E0B" w:rsidRPr="00B1515C">
        <w:t>Regulations reg 40.5.09.</w:t>
      </w:r>
      <w:r w:rsidR="00D51E0B" w:rsidRPr="00B1515C">
        <w:rPr>
          <w:sz w:val="20"/>
          <w:szCs w:val="20"/>
        </w:rPr>
        <w:t xml:space="preserve"> </w:t>
      </w:r>
    </w:p>
  </w:footnote>
  <w:footnote w:id="557">
    <w:p w14:paraId="62A71897" w14:textId="52D67E6C"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84535D">
        <w:rPr>
          <w:rStyle w:val="Emphasis"/>
        </w:rPr>
        <w:t xml:space="preserve">Treasury Laws Amendment (2022 Measures No. 4) Act 2023 </w:t>
      </w:r>
      <w:r w:rsidR="00D51E0B" w:rsidRPr="0084535D">
        <w:t xml:space="preserve">sch </w:t>
      </w:r>
      <w:r w:rsidR="00D51E0B" w:rsidRPr="00B1515C">
        <w:t>2.</w:t>
      </w:r>
    </w:p>
  </w:footnote>
  <w:footnote w:id="558">
    <w:p w14:paraId="3F675576" w14:textId="572BA240"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rPr>
          <w:rFonts w:asciiTheme="minorHAnsi" w:hAnsiTheme="minorHAnsi" w:cstheme="minorHAnsi"/>
        </w:rPr>
        <w:t>GST Act s 195</w:t>
      </w:r>
      <w:r w:rsidR="00F75232">
        <w:rPr>
          <w:rFonts w:asciiTheme="minorHAnsi" w:hAnsiTheme="minorHAnsi" w:cstheme="minorHAnsi"/>
        </w:rPr>
        <w:t>-</w:t>
      </w:r>
      <w:r w:rsidR="00D51E0B" w:rsidRPr="00B1515C">
        <w:rPr>
          <w:rFonts w:asciiTheme="minorHAnsi" w:hAnsiTheme="minorHAnsi" w:cstheme="minorHAnsi"/>
        </w:rPr>
        <w:t xml:space="preserve">1 (definition of </w:t>
      </w:r>
      <w:r w:rsidR="00F75232">
        <w:rPr>
          <w:rFonts w:asciiTheme="minorHAnsi" w:hAnsiTheme="minorHAnsi" w:cstheme="minorHAnsi"/>
        </w:rPr>
        <w:t>‘</w:t>
      </w:r>
      <w:r w:rsidR="00D51E0B" w:rsidRPr="00B1515C">
        <w:rPr>
          <w:rFonts w:asciiTheme="minorHAnsi" w:hAnsiTheme="minorHAnsi" w:cstheme="minorHAnsi"/>
        </w:rPr>
        <w:t>digital currency</w:t>
      </w:r>
      <w:r w:rsidR="00F75232">
        <w:rPr>
          <w:rFonts w:asciiTheme="minorHAnsi" w:hAnsiTheme="minorHAnsi" w:cstheme="minorHAnsi"/>
        </w:rPr>
        <w:t>’</w:t>
      </w:r>
      <w:r w:rsidR="00D51E0B" w:rsidRPr="00B1515C">
        <w:rPr>
          <w:rFonts w:asciiTheme="minorHAnsi" w:hAnsiTheme="minorHAnsi" w:cstheme="minorHAnsi"/>
        </w:rPr>
        <w:t>).</w:t>
      </w:r>
    </w:p>
  </w:footnote>
  <w:footnote w:id="559">
    <w:p w14:paraId="7A466C53" w14:textId="037B8F97" w:rsidR="00D51E0B" w:rsidRPr="00E23D88" w:rsidRDefault="00815763" w:rsidP="00E23D88">
      <w:pPr>
        <w:pStyle w:val="FootnoteText"/>
      </w:pPr>
      <w:r w:rsidRPr="00E23D88">
        <w:rPr>
          <w:rStyle w:val="FootnoteReference"/>
          <w:spacing w:val="-4"/>
          <w:vertAlign w:val="baseline"/>
        </w:rPr>
        <w:footnoteRef/>
      </w:r>
      <w:r w:rsidR="00D51E0B" w:rsidRPr="00E23D88">
        <w:t xml:space="preserve"> </w:t>
      </w:r>
      <w:r w:rsidR="001A3A75" w:rsidRPr="00E23D88">
        <w:tab/>
      </w:r>
      <w:r w:rsidR="00D51E0B" w:rsidRPr="00E23D88">
        <w:t xml:space="preserve">In the </w:t>
      </w:r>
      <w:r w:rsidR="007F6ECE" w:rsidRPr="00E23D88">
        <w:t>submission</w:t>
      </w:r>
      <w:r w:rsidR="00D51E0B" w:rsidRPr="00E23D88">
        <w:t xml:space="preserve"> from the Members of the Tax Profession</w:t>
      </w:r>
      <w:r w:rsidR="007F6ECE" w:rsidRPr="00E23D88">
        <w:t xml:space="preserve"> (Submission A08, 14)</w:t>
      </w:r>
      <w:r w:rsidR="00D51E0B" w:rsidRPr="00E23D88">
        <w:t xml:space="preserve">, it was noted that collateralised stable coins and utility tokens are likely to be excluded from the definition of digital currency, highlighting that </w:t>
      </w:r>
      <w:r w:rsidR="00F75232" w:rsidRPr="00E23D88">
        <w:t>‘</w:t>
      </w:r>
      <w:r w:rsidR="00D51E0B" w:rsidRPr="00E23D88">
        <w:t xml:space="preserve">these are likely to be characterised as a financial product and create additional burden to taxpayers to understand whether a stable coin supply could be an </w:t>
      </w:r>
      <w:r w:rsidR="002C0E42" w:rsidRPr="00E23D88">
        <w:t>input</w:t>
      </w:r>
      <w:r w:rsidR="00F75232" w:rsidRPr="00E23D88">
        <w:t>-</w:t>
      </w:r>
      <w:r w:rsidR="002C0E42" w:rsidRPr="00E23D88">
        <w:t>taxed</w:t>
      </w:r>
      <w:r w:rsidR="00D51E0B" w:rsidRPr="00E23D88">
        <w:t xml:space="preserve"> financial supply. Of particular concern is the exclusion of stable coins and law reform has already been recommended to include fully collateralised Australian dollar pegged stablecoins to be treated as money for legal and tax purposes.</w:t>
      </w:r>
      <w:r w:rsidR="00F75232" w:rsidRPr="00E23D88">
        <w:t>’</w:t>
      </w:r>
      <w:r w:rsidR="00D51E0B" w:rsidRPr="00E23D88">
        <w:rPr>
          <w:i/>
          <w:iCs/>
        </w:rPr>
        <w:t xml:space="preserve">. </w:t>
      </w:r>
      <w:r w:rsidR="00D51E0B" w:rsidRPr="00E23D88">
        <w:t xml:space="preserve">Similarly Tech Council of Australia </w:t>
      </w:r>
      <w:r w:rsidR="004D669D" w:rsidRPr="00E23D88">
        <w:t>(Submission A31, 2)</w:t>
      </w:r>
      <w:r w:rsidR="00D51E0B" w:rsidRPr="00E23D88">
        <w:t xml:space="preserve"> recommended that </w:t>
      </w:r>
      <w:r w:rsidR="00F75232" w:rsidRPr="00E23D88">
        <w:t>‘</w:t>
      </w:r>
      <w:r w:rsidR="00D51E0B" w:rsidRPr="00E23D88">
        <w:t>the Board of Taxation clarify that the GST treatment to be provided for bitcoin and digital currency includes other digital stablecoins (such as USDC).</w:t>
      </w:r>
      <w:r w:rsidR="00F75232" w:rsidRPr="00E23D88">
        <w:t>’</w:t>
      </w:r>
      <w:r w:rsidR="00915FDE" w:rsidRPr="00E23D88">
        <w:t>.</w:t>
      </w:r>
    </w:p>
  </w:footnote>
  <w:footnote w:id="560">
    <w:p w14:paraId="7AB6B1E5" w14:textId="4E16A2F3"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F75232">
        <w:t>‘</w:t>
      </w:r>
      <w:hyperlink r:id="rId223" w:history="1">
        <w:r w:rsidR="00955CAF" w:rsidRPr="00F26DE3">
          <w:rPr>
            <w:rStyle w:val="Hyperlink"/>
          </w:rPr>
          <w:t>GST and digital currency</w:t>
        </w:r>
      </w:hyperlink>
      <w:r w:rsidR="00F75232">
        <w:t>’</w:t>
      </w:r>
      <w:r w:rsidR="00955CAF" w:rsidRPr="00B1515C">
        <w:t xml:space="preserve">, </w:t>
      </w:r>
      <w:r w:rsidR="00D51E0B" w:rsidRPr="0084535D">
        <w:rPr>
          <w:rStyle w:val="Emphasis"/>
        </w:rPr>
        <w:t>ATO</w:t>
      </w:r>
      <w:r w:rsidR="00D51E0B" w:rsidRPr="00B1515C">
        <w:t xml:space="preserve"> (</w:t>
      </w:r>
      <w:r w:rsidR="00955CAF" w:rsidRPr="00B1515C">
        <w:t xml:space="preserve">Web Page, </w:t>
      </w:r>
      <w:r w:rsidR="003C7548" w:rsidRPr="00B1515C">
        <w:t xml:space="preserve">5 July </w:t>
      </w:r>
      <w:r w:rsidR="00D51E0B" w:rsidRPr="00B1515C">
        <w:t>2023)</w:t>
      </w:r>
      <w:r w:rsidR="000D5E55">
        <w:t>.</w:t>
      </w:r>
      <w:r w:rsidR="00D51E0B" w:rsidRPr="00B1515C">
        <w:rPr>
          <w:i/>
          <w:iCs/>
        </w:rPr>
        <w:t xml:space="preserve"> </w:t>
      </w:r>
    </w:p>
  </w:footnote>
  <w:footnote w:id="561">
    <w:p w14:paraId="1CD2A5C9" w14:textId="2E03C525" w:rsidR="00817CA7" w:rsidRPr="00B1515C" w:rsidRDefault="00815763" w:rsidP="00A01254">
      <w:pPr>
        <w:pStyle w:val="FootnoteText"/>
      </w:pPr>
      <w:r w:rsidRPr="00815763">
        <w:rPr>
          <w:rStyle w:val="FootnoteReference"/>
          <w:vertAlign w:val="baseline"/>
        </w:rPr>
        <w:footnoteRef/>
      </w:r>
      <w:r w:rsidR="00817CA7" w:rsidRPr="00B1515C">
        <w:t xml:space="preserve"> </w:t>
      </w:r>
      <w:r w:rsidR="001A3A75" w:rsidRPr="00B1515C">
        <w:tab/>
      </w:r>
      <w:r w:rsidR="00817CA7" w:rsidRPr="00B1515C">
        <w:t xml:space="preserve">ATO, </w:t>
      </w:r>
      <w:r w:rsidR="007241BA" w:rsidRPr="0084535D">
        <w:rPr>
          <w:rStyle w:val="Emphasis"/>
        </w:rPr>
        <w:t>GST consequences of using Tether as payment</w:t>
      </w:r>
      <w:r w:rsidR="00817CA7" w:rsidRPr="00BC3190">
        <w:t xml:space="preserve"> </w:t>
      </w:r>
      <w:r w:rsidR="00817CA7" w:rsidRPr="00B1515C">
        <w:t xml:space="preserve">(PBR Authorisation Number: 1052000336361, </w:t>
      </w:r>
      <w:r w:rsidR="007241BA" w:rsidRPr="00B1515C">
        <w:t>30 June 2022</w:t>
      </w:r>
      <w:r w:rsidR="00817CA7" w:rsidRPr="00B1515C">
        <w:t>).</w:t>
      </w:r>
    </w:p>
  </w:footnote>
  <w:footnote w:id="562">
    <w:p w14:paraId="4DD3A73C" w14:textId="47E0778C"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 xml:space="preserve">GST Regulations item 11 of the table in </w:t>
      </w:r>
      <w:r w:rsidR="005B7B44" w:rsidRPr="00B1515C">
        <w:t xml:space="preserve">reg </w:t>
      </w:r>
      <w:r w:rsidR="00D51E0B" w:rsidRPr="00B1515C">
        <w:t>40</w:t>
      </w:r>
      <w:r w:rsidR="00F75232">
        <w:t>-</w:t>
      </w:r>
      <w:r w:rsidR="00D51E0B" w:rsidRPr="00B1515C">
        <w:t>5.09.</w:t>
      </w:r>
    </w:p>
  </w:footnote>
  <w:footnote w:id="563">
    <w:p w14:paraId="4BC38B2D" w14:textId="52BDBFF6"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F75232">
        <w:t>‘</w:t>
      </w:r>
      <w:hyperlink r:id="rId224" w:history="1">
        <w:r w:rsidR="005B7B44" w:rsidRPr="000D5E55">
          <w:rPr>
            <w:rStyle w:val="Hyperlink"/>
          </w:rPr>
          <w:t>Non</w:t>
        </w:r>
        <w:r w:rsidR="00F75232" w:rsidRPr="000D5E55">
          <w:rPr>
            <w:rStyle w:val="Hyperlink"/>
          </w:rPr>
          <w:t>-</w:t>
        </w:r>
        <w:r w:rsidR="005B7B44" w:rsidRPr="000D5E55">
          <w:rPr>
            <w:rStyle w:val="Hyperlink"/>
          </w:rPr>
          <w:t>fungible tokens</w:t>
        </w:r>
      </w:hyperlink>
      <w:r w:rsidR="00F75232">
        <w:t>’</w:t>
      </w:r>
      <w:r w:rsidR="005B7B44" w:rsidRPr="00B1515C">
        <w:t xml:space="preserve">, </w:t>
      </w:r>
      <w:r w:rsidR="00D51E0B" w:rsidRPr="0084535D">
        <w:rPr>
          <w:rStyle w:val="Emphasis"/>
        </w:rPr>
        <w:t>ATO</w:t>
      </w:r>
      <w:r w:rsidR="00D51E0B" w:rsidRPr="00B1515C">
        <w:t xml:space="preserve"> (</w:t>
      </w:r>
      <w:r w:rsidR="005B7B44" w:rsidRPr="00B1515C">
        <w:t xml:space="preserve">Web Page, 30 June </w:t>
      </w:r>
      <w:r w:rsidR="00D51E0B" w:rsidRPr="00B1515C">
        <w:t>2023)</w:t>
      </w:r>
      <w:r w:rsidR="000D5E55">
        <w:t>.</w:t>
      </w:r>
    </w:p>
  </w:footnote>
  <w:footnote w:id="564">
    <w:p w14:paraId="27BF2A25" w14:textId="4B11C624"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F75232">
        <w:t>‘</w:t>
      </w:r>
      <w:hyperlink r:id="rId225" w:history="1">
        <w:r w:rsidR="005B7B44" w:rsidRPr="000D5E55">
          <w:rPr>
            <w:rStyle w:val="Hyperlink"/>
          </w:rPr>
          <w:t>GST and digital currency</w:t>
        </w:r>
      </w:hyperlink>
      <w:r w:rsidR="00F75232">
        <w:t>’</w:t>
      </w:r>
      <w:r w:rsidR="005B7B44" w:rsidRPr="00B1515C">
        <w:t xml:space="preserve">, </w:t>
      </w:r>
      <w:r w:rsidR="005B7B44" w:rsidRPr="0084535D">
        <w:rPr>
          <w:rStyle w:val="Emphasis"/>
        </w:rPr>
        <w:t>ATO</w:t>
      </w:r>
      <w:r w:rsidR="005B7B44" w:rsidRPr="00B1515C">
        <w:t xml:space="preserve"> (Web Page, 5 July 2023)</w:t>
      </w:r>
      <w:r w:rsidR="000D5E55">
        <w:t>.</w:t>
      </w:r>
    </w:p>
  </w:footnote>
  <w:footnote w:id="565">
    <w:p w14:paraId="33D16DFA" w14:textId="3FE3C3A7" w:rsidR="00E122C9" w:rsidRPr="00B1515C" w:rsidRDefault="00815763" w:rsidP="00A01254">
      <w:pPr>
        <w:pStyle w:val="FootnoteText"/>
      </w:pPr>
      <w:r w:rsidRPr="00815763">
        <w:rPr>
          <w:rStyle w:val="FootnoteReference"/>
          <w:vertAlign w:val="baseline"/>
        </w:rPr>
        <w:footnoteRef/>
      </w:r>
      <w:r w:rsidR="00E122C9" w:rsidRPr="00B1515C">
        <w:t xml:space="preserve"> </w:t>
      </w:r>
      <w:r w:rsidR="001A3A75" w:rsidRPr="00B1515C">
        <w:tab/>
      </w:r>
      <w:r w:rsidR="00DC043E" w:rsidRPr="00B1515C">
        <w:t>The Treasury</w:t>
      </w:r>
      <w:r w:rsidR="00DC043E" w:rsidRPr="00BC3190">
        <w:t xml:space="preserve">, </w:t>
      </w:r>
      <w:r w:rsidR="00DC043E" w:rsidRPr="00C77F3F">
        <w:rPr>
          <w:rStyle w:val="Emphasis"/>
        </w:rPr>
        <w:t xml:space="preserve">Token Mapping Consultation Paper </w:t>
      </w:r>
      <w:r w:rsidR="00DC043E" w:rsidRPr="00B1515C">
        <w:t xml:space="preserve">(n 4) </w:t>
      </w:r>
      <w:r w:rsidR="00E122C9" w:rsidRPr="00B1515C">
        <w:t>55.</w:t>
      </w:r>
    </w:p>
  </w:footnote>
  <w:footnote w:id="566">
    <w:p w14:paraId="5A889F8D" w14:textId="0A89712F"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002AD1" w:rsidRPr="00B1515C">
        <w:t xml:space="preserve">Submission </w:t>
      </w:r>
      <w:r w:rsidR="00D51E0B" w:rsidRPr="00B1515C">
        <w:t>A30</w:t>
      </w:r>
      <w:r w:rsidR="00A9449F" w:rsidRPr="00B1515C">
        <w:t>, 5</w:t>
      </w:r>
      <w:r w:rsidR="00002AD1" w:rsidRPr="00B1515C">
        <w:t>.</w:t>
      </w:r>
    </w:p>
  </w:footnote>
  <w:footnote w:id="567">
    <w:p w14:paraId="465DD36B" w14:textId="1086E721"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Submission A11, 4</w:t>
      </w:r>
      <w:r w:rsidR="00002AD1" w:rsidRPr="00B1515C">
        <w:t>.</w:t>
      </w:r>
    </w:p>
  </w:footnote>
  <w:footnote w:id="568">
    <w:p w14:paraId="18848418" w14:textId="2FD53D14"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Submission A26, 27</w:t>
      </w:r>
      <w:r w:rsidR="00002AD1" w:rsidRPr="00B1515C">
        <w:t>.</w:t>
      </w:r>
    </w:p>
  </w:footnote>
  <w:footnote w:id="569">
    <w:p w14:paraId="2ECC467D" w14:textId="75A0DEEB"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w:t>
      </w:r>
      <w:r w:rsidR="00752625" w:rsidRPr="00B1515C">
        <w:t>ub</w:t>
      </w:r>
      <w:r w:rsidR="00F75232">
        <w:t>-</w:t>
      </w:r>
      <w:r w:rsidR="00D51E0B" w:rsidRPr="00B1515C">
        <w:t>s 9</w:t>
      </w:r>
      <w:r w:rsidR="00F75232">
        <w:t>-</w:t>
      </w:r>
      <w:r w:rsidR="00D51E0B" w:rsidRPr="00B1515C">
        <w:t>25(5).</w:t>
      </w:r>
    </w:p>
  </w:footnote>
  <w:footnote w:id="570">
    <w:p w14:paraId="6DB904F8" w14:textId="0EB80564"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w:t>
      </w:r>
      <w:r w:rsidR="00752625" w:rsidRPr="00B1515C">
        <w:t>ub</w:t>
      </w:r>
      <w:r w:rsidR="00F75232">
        <w:t>-</w:t>
      </w:r>
      <w:r w:rsidR="00D51E0B" w:rsidRPr="00B1515C">
        <w:t>s 9</w:t>
      </w:r>
      <w:r w:rsidR="00F75232">
        <w:t>-</w:t>
      </w:r>
      <w:r w:rsidR="00D51E0B" w:rsidRPr="00B1515C">
        <w:t>25(7).</w:t>
      </w:r>
    </w:p>
  </w:footnote>
  <w:footnote w:id="571">
    <w:p w14:paraId="6E009CF2" w14:textId="41E6DF75" w:rsidR="00D51E0B" w:rsidRPr="003B5020"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 xml:space="preserve">GST Act </w:t>
      </w:r>
      <w:r w:rsidR="00752625" w:rsidRPr="00B1515C">
        <w:t>s</w:t>
      </w:r>
      <w:r w:rsidR="00D51E0B" w:rsidRPr="00B1515C">
        <w:t xml:space="preserve"> </w:t>
      </w:r>
      <w:r w:rsidR="00D51E0B" w:rsidRPr="003B5020">
        <w:t>84</w:t>
      </w:r>
      <w:r w:rsidR="00F75232">
        <w:t>-</w:t>
      </w:r>
      <w:r w:rsidR="00D51E0B" w:rsidRPr="003B5020">
        <w:t>100.</w:t>
      </w:r>
    </w:p>
  </w:footnote>
  <w:footnote w:id="572">
    <w:p w14:paraId="2891DDB0" w14:textId="4F065D3B" w:rsidR="00D51E0B" w:rsidRPr="003B5020" w:rsidRDefault="00815763" w:rsidP="00A01254">
      <w:pPr>
        <w:pStyle w:val="FootnoteText"/>
      </w:pPr>
      <w:r w:rsidRPr="00815763">
        <w:rPr>
          <w:rStyle w:val="FootnoteReference"/>
          <w:sz w:val="19"/>
          <w:szCs w:val="18"/>
          <w:vertAlign w:val="baseline"/>
        </w:rPr>
        <w:footnoteRef/>
      </w:r>
      <w:r w:rsidR="00D51E0B" w:rsidRPr="003B5020">
        <w:t xml:space="preserve"> </w:t>
      </w:r>
      <w:r w:rsidR="001A3A75" w:rsidRPr="003B5020">
        <w:tab/>
      </w:r>
      <w:r w:rsidR="00D51E0B" w:rsidRPr="003B5020">
        <w:t>Submission A20, 8.</w:t>
      </w:r>
    </w:p>
  </w:footnote>
  <w:footnote w:id="573">
    <w:p w14:paraId="7EF26075" w14:textId="1140DA9B" w:rsidR="00D51E0B" w:rsidRPr="00B1515C" w:rsidRDefault="00815763" w:rsidP="00A01254">
      <w:pPr>
        <w:pStyle w:val="FootnoteText"/>
      </w:pPr>
      <w:r w:rsidRPr="00815763">
        <w:rPr>
          <w:rStyle w:val="FootnoteReference"/>
          <w:sz w:val="19"/>
          <w:szCs w:val="18"/>
          <w:vertAlign w:val="baseline"/>
        </w:rPr>
        <w:footnoteRef/>
      </w:r>
      <w:r w:rsidR="00D51E0B" w:rsidRPr="003B5020">
        <w:t xml:space="preserve"> </w:t>
      </w:r>
      <w:r w:rsidR="001A3A75" w:rsidRPr="003B5020">
        <w:tab/>
      </w:r>
      <w:r w:rsidR="00F75232">
        <w:t>‘</w:t>
      </w:r>
      <w:hyperlink r:id="rId226" w:history="1">
        <w:r w:rsidR="00C4445D" w:rsidRPr="000D5E55">
          <w:rPr>
            <w:rStyle w:val="Hyperlink"/>
          </w:rPr>
          <w:t>GST and trading digital currency</w:t>
        </w:r>
      </w:hyperlink>
      <w:r w:rsidR="00F75232">
        <w:t>’</w:t>
      </w:r>
      <w:r w:rsidR="00C4445D" w:rsidRPr="00B1515C">
        <w:t xml:space="preserve">, </w:t>
      </w:r>
      <w:r w:rsidR="00C4445D" w:rsidRPr="00C77F3F">
        <w:rPr>
          <w:rStyle w:val="Emphasis"/>
        </w:rPr>
        <w:t>ATO</w:t>
      </w:r>
      <w:r w:rsidR="00C4445D" w:rsidRPr="00B1515C">
        <w:t xml:space="preserve"> (Web Page, 5 July 2023)</w:t>
      </w:r>
      <w:r w:rsidR="000D5E55">
        <w:t>.</w:t>
      </w:r>
      <w:r w:rsidR="00C4445D" w:rsidRPr="00B1515C">
        <w:t xml:space="preserve"> </w:t>
      </w:r>
    </w:p>
  </w:footnote>
  <w:footnote w:id="574">
    <w:p w14:paraId="336B5932" w14:textId="0309A613" w:rsidR="00D51E0B" w:rsidRPr="003B5020"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 xml:space="preserve">Digital </w:t>
      </w:r>
      <w:r w:rsidR="00D51E0B" w:rsidRPr="003B5020">
        <w:t xml:space="preserve">currency exchanges are required to be registered and enrolled with AUSTRAC. A core obligation of this registration is customer identification and verification, i.e. know your customer (KYC) procedures. </w:t>
      </w:r>
    </w:p>
  </w:footnote>
  <w:footnote w:id="575">
    <w:p w14:paraId="3849B432" w14:textId="63D6F7B3" w:rsidR="00D51E0B" w:rsidRPr="003B5020" w:rsidRDefault="00815763" w:rsidP="00A01254">
      <w:pPr>
        <w:pStyle w:val="FootnoteText"/>
      </w:pPr>
      <w:r w:rsidRPr="00815763">
        <w:rPr>
          <w:rStyle w:val="FootnoteReference"/>
          <w:sz w:val="19"/>
          <w:szCs w:val="18"/>
          <w:vertAlign w:val="baseline"/>
        </w:rPr>
        <w:footnoteRef/>
      </w:r>
      <w:r w:rsidR="00D51E0B" w:rsidRPr="003B5020">
        <w:t xml:space="preserve"> </w:t>
      </w:r>
      <w:r w:rsidR="001A3A75" w:rsidRPr="003B5020">
        <w:tab/>
      </w:r>
      <w:r w:rsidR="00D51E0B" w:rsidRPr="003B5020">
        <w:t>The turnover thresholds are set out in GST Act s</w:t>
      </w:r>
      <w:r w:rsidR="00752625" w:rsidRPr="003B5020">
        <w:t>ub</w:t>
      </w:r>
      <w:r w:rsidR="00F75232">
        <w:t>-</w:t>
      </w:r>
      <w:r w:rsidR="00752625" w:rsidRPr="003B5020">
        <w:t>s</w:t>
      </w:r>
      <w:r w:rsidR="00D51E0B" w:rsidRPr="003B5020">
        <w:t xml:space="preserve"> 188</w:t>
      </w:r>
      <w:r w:rsidR="00F75232">
        <w:t>-</w:t>
      </w:r>
      <w:r w:rsidR="00D51E0B" w:rsidRPr="003B5020">
        <w:t xml:space="preserve">10(3) as being the annual apportionment turnover threshold, cash accounting turnover threshold, electronic lodgement turnover threshold, instalment turnover threshold, registration turnover threshold, small enterprise turnover threshold and the tax period turnover threshold. </w:t>
      </w:r>
    </w:p>
  </w:footnote>
  <w:footnote w:id="576">
    <w:p w14:paraId="7E92C49E" w14:textId="1D2F9AA5" w:rsidR="00D51E0B" w:rsidRPr="00B1515C" w:rsidRDefault="00815763" w:rsidP="00A01254">
      <w:pPr>
        <w:pStyle w:val="FootnoteText"/>
      </w:pPr>
      <w:r w:rsidRPr="00815763">
        <w:rPr>
          <w:rStyle w:val="FootnoteReference"/>
          <w:sz w:val="19"/>
          <w:szCs w:val="18"/>
          <w:vertAlign w:val="baseline"/>
        </w:rPr>
        <w:footnoteRef/>
      </w:r>
      <w:r w:rsidR="00D51E0B" w:rsidRPr="003B5020">
        <w:t xml:space="preserve"> </w:t>
      </w:r>
      <w:r w:rsidR="001A3A75" w:rsidRPr="003B5020">
        <w:tab/>
      </w:r>
      <w:r w:rsidR="00D51E0B" w:rsidRPr="003B5020">
        <w:t>GST Act s 188</w:t>
      </w:r>
      <w:r w:rsidR="00F75232">
        <w:t>-</w:t>
      </w:r>
      <w:r w:rsidR="00D51E0B" w:rsidRPr="00B1515C">
        <w:t>15.</w:t>
      </w:r>
    </w:p>
  </w:footnote>
  <w:footnote w:id="577">
    <w:p w14:paraId="5F8DD529" w14:textId="7D76DFC4" w:rsidR="00D51E0B" w:rsidRPr="003B5020"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 xml:space="preserve">GST Act </w:t>
      </w:r>
      <w:r w:rsidR="00D51E0B" w:rsidRPr="003B5020">
        <w:t>s 188</w:t>
      </w:r>
      <w:r w:rsidR="00F75232">
        <w:t>-</w:t>
      </w:r>
      <w:r w:rsidR="00D51E0B" w:rsidRPr="003B5020">
        <w:t>20.</w:t>
      </w:r>
    </w:p>
  </w:footnote>
  <w:footnote w:id="578">
    <w:p w14:paraId="5F377829" w14:textId="1DDBADA5" w:rsidR="00D51E0B" w:rsidRPr="00B1515C" w:rsidRDefault="00815763" w:rsidP="00A01254">
      <w:pPr>
        <w:pStyle w:val="FootnoteText"/>
      </w:pPr>
      <w:r w:rsidRPr="00815763">
        <w:rPr>
          <w:rStyle w:val="FootnoteReference"/>
          <w:sz w:val="19"/>
          <w:szCs w:val="18"/>
          <w:vertAlign w:val="baseline"/>
        </w:rPr>
        <w:footnoteRef/>
      </w:r>
      <w:r w:rsidR="00D51E0B" w:rsidRPr="003B5020">
        <w:t xml:space="preserve"> </w:t>
      </w:r>
      <w:r w:rsidR="001A3A75" w:rsidRPr="003B5020">
        <w:tab/>
      </w:r>
      <w:r w:rsidR="00D51E0B" w:rsidRPr="003B5020">
        <w:t>GST Regulations regs 23</w:t>
      </w:r>
      <w:r w:rsidR="00F75232">
        <w:t>-</w:t>
      </w:r>
      <w:r w:rsidR="00D51E0B" w:rsidRPr="003B5020">
        <w:t>15.01</w:t>
      </w:r>
      <w:r w:rsidR="00ED00CA" w:rsidRPr="003B5020">
        <w:t xml:space="preserve">, </w:t>
      </w:r>
      <w:r w:rsidR="00D51E0B" w:rsidRPr="003B5020">
        <w:t>23.15.02.</w:t>
      </w:r>
    </w:p>
  </w:footnote>
  <w:footnote w:id="579">
    <w:p w14:paraId="6E0996CE" w14:textId="6E9B4666" w:rsidR="00D51E0B" w:rsidRPr="00B1515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B1515C">
        <w:t>GST Act s</w:t>
      </w:r>
      <w:r w:rsidR="00752625" w:rsidRPr="00B1515C">
        <w:t>ub</w:t>
      </w:r>
      <w:r w:rsidR="00F75232">
        <w:t>-</w:t>
      </w:r>
      <w:r w:rsidR="00D51E0B" w:rsidRPr="00B1515C">
        <w:t>s 29</w:t>
      </w:r>
      <w:r w:rsidR="00F75232">
        <w:t>-</w:t>
      </w:r>
      <w:r w:rsidR="00D51E0B" w:rsidRPr="00B1515C">
        <w:t>70(2).</w:t>
      </w:r>
    </w:p>
  </w:footnote>
  <w:footnote w:id="580">
    <w:p w14:paraId="323E6A3B" w14:textId="77777777" w:rsidR="007673C8" w:rsidRPr="00B1515C" w:rsidRDefault="007673C8" w:rsidP="00A01254">
      <w:pPr>
        <w:pStyle w:val="FootnoteText"/>
      </w:pPr>
      <w:r w:rsidRPr="00815763">
        <w:rPr>
          <w:rStyle w:val="FootnoteReference"/>
          <w:sz w:val="18"/>
          <w:szCs w:val="18"/>
          <w:vertAlign w:val="baseline"/>
        </w:rPr>
        <w:footnoteRef/>
      </w:r>
      <w:r w:rsidRPr="00B1515C">
        <w:t xml:space="preserve"> </w:t>
      </w:r>
      <w:r w:rsidRPr="00B1515C">
        <w:tab/>
      </w:r>
      <w:r w:rsidRPr="00B1515C">
        <w:rPr>
          <w:rFonts w:cs="Calibri"/>
          <w:color w:val="000000"/>
        </w:rPr>
        <w:t xml:space="preserve">Board of Taxation, </w:t>
      </w:r>
      <w:hyperlink r:id="rId227" w:history="1">
        <w:r w:rsidRPr="002D6833">
          <w:rPr>
            <w:rStyle w:val="Hyperlink"/>
            <w:i/>
            <w:iCs/>
          </w:rPr>
          <w:t>Review of the Application of GST to Cross-Border Transactions</w:t>
        </w:r>
      </w:hyperlink>
      <w:r w:rsidRPr="00C77F3F">
        <w:rPr>
          <w:rStyle w:val="Emphasis"/>
        </w:rPr>
        <w:t xml:space="preserve"> </w:t>
      </w:r>
      <w:r w:rsidRPr="00B1515C">
        <w:rPr>
          <w:rFonts w:cs="Calibri"/>
          <w:color w:val="000000"/>
        </w:rPr>
        <w:t>(Report, February 2010) (</w:t>
      </w:r>
      <w:r>
        <w:rPr>
          <w:rFonts w:cs="Calibri"/>
          <w:color w:val="000000"/>
        </w:rPr>
        <w:t>‘</w:t>
      </w:r>
      <w:r w:rsidRPr="00C77F3F">
        <w:rPr>
          <w:rStyle w:val="Emphasis"/>
        </w:rPr>
        <w:t>Review of Cross</w:t>
      </w:r>
      <w:r>
        <w:rPr>
          <w:rStyle w:val="Emphasis"/>
        </w:rPr>
        <w:t>-</w:t>
      </w:r>
      <w:r w:rsidRPr="00C77F3F">
        <w:rPr>
          <w:rStyle w:val="Emphasis"/>
        </w:rPr>
        <w:t>Border Transactions</w:t>
      </w:r>
      <w:r>
        <w:rPr>
          <w:rFonts w:cs="Calibri"/>
          <w:color w:val="000000"/>
        </w:rPr>
        <w:t>’</w:t>
      </w:r>
      <w:r w:rsidRPr="00B1515C">
        <w:rPr>
          <w:rFonts w:cs="Calibri"/>
          <w:color w:val="000000"/>
        </w:rPr>
        <w:t>).</w:t>
      </w:r>
    </w:p>
  </w:footnote>
  <w:footnote w:id="581">
    <w:p w14:paraId="08671423" w14:textId="39DDAC17" w:rsidR="006534F5" w:rsidRPr="00B1515C" w:rsidRDefault="00815763" w:rsidP="00A01254">
      <w:pPr>
        <w:pStyle w:val="FootnoteText"/>
      </w:pPr>
      <w:r w:rsidRPr="00815763">
        <w:rPr>
          <w:rStyle w:val="FootnoteReference"/>
          <w:sz w:val="18"/>
          <w:szCs w:val="18"/>
          <w:vertAlign w:val="baseline"/>
        </w:rPr>
        <w:footnoteRef/>
      </w:r>
      <w:r w:rsidR="006534F5" w:rsidRPr="00B1515C">
        <w:t xml:space="preserve"> </w:t>
      </w:r>
      <w:r w:rsidR="001A3A75" w:rsidRPr="00B1515C">
        <w:tab/>
      </w:r>
      <w:r w:rsidR="006534F5" w:rsidRPr="00C77F3F">
        <w:rPr>
          <w:rStyle w:val="Emphasis"/>
        </w:rPr>
        <w:t>Review of Cross</w:t>
      </w:r>
      <w:r w:rsidR="00F75232">
        <w:rPr>
          <w:rStyle w:val="Emphasis"/>
        </w:rPr>
        <w:t>-</w:t>
      </w:r>
      <w:r w:rsidR="006534F5" w:rsidRPr="00C77F3F">
        <w:rPr>
          <w:rStyle w:val="Emphasis"/>
        </w:rPr>
        <w:t>Border Transactions</w:t>
      </w:r>
      <w:r w:rsidR="006534F5" w:rsidRPr="00B1515C">
        <w:rPr>
          <w:rFonts w:cs="Calibri"/>
          <w:color w:val="000000"/>
        </w:rPr>
        <w:t xml:space="preserve"> </w:t>
      </w:r>
      <w:r w:rsidR="00795A41" w:rsidRPr="00B1515C">
        <w:rPr>
          <w:rFonts w:cs="Calibri"/>
          <w:color w:val="000000"/>
        </w:rPr>
        <w:t>(</w:t>
      </w:r>
      <w:r w:rsidR="001E44D4">
        <w:rPr>
          <w:rFonts w:cs="Calibri"/>
          <w:color w:val="000000"/>
        </w:rPr>
        <w:t>n 579</w:t>
      </w:r>
      <w:r w:rsidR="00795A41" w:rsidRPr="00B1515C">
        <w:rPr>
          <w:rFonts w:cs="Calibri"/>
          <w:color w:val="000000"/>
        </w:rPr>
        <w:t>)</w:t>
      </w:r>
      <w:r w:rsidR="006534F5" w:rsidRPr="00B1515C">
        <w:rPr>
          <w:rFonts w:cs="Calibri"/>
          <w:color w:val="000000"/>
        </w:rPr>
        <w:t xml:space="preserve"> </w:t>
      </w:r>
      <w:r w:rsidR="00460143" w:rsidRPr="00B1515C">
        <w:rPr>
          <w:rFonts w:cs="Calibri"/>
          <w:color w:val="000000"/>
        </w:rPr>
        <w:t>34.</w:t>
      </w:r>
    </w:p>
  </w:footnote>
  <w:footnote w:id="582">
    <w:p w14:paraId="0A633D5A" w14:textId="4C4AE690" w:rsidR="00D51E0B" w:rsidRPr="005049FC" w:rsidRDefault="00815763" w:rsidP="00A01254">
      <w:pPr>
        <w:pStyle w:val="FootnoteText"/>
      </w:pPr>
      <w:r w:rsidRPr="00815763">
        <w:rPr>
          <w:rStyle w:val="FootnoteReference"/>
          <w:vertAlign w:val="baseline"/>
        </w:rPr>
        <w:footnoteRef/>
      </w:r>
      <w:r w:rsidR="00D51E0B" w:rsidRPr="00B1515C">
        <w:t xml:space="preserve"> </w:t>
      </w:r>
      <w:r w:rsidR="001A3A75" w:rsidRPr="00B1515C">
        <w:tab/>
      </w:r>
      <w:r w:rsidR="00D51E0B" w:rsidRPr="005049FC">
        <w:t>Submission A31, 2</w:t>
      </w:r>
      <w:r w:rsidR="00460143" w:rsidRPr="005049FC">
        <w:t>.</w:t>
      </w:r>
    </w:p>
  </w:footnote>
  <w:footnote w:id="583">
    <w:p w14:paraId="1C354EE9" w14:textId="2FCCF98B" w:rsidR="00D51E0B" w:rsidRPr="005049FC" w:rsidRDefault="00815763" w:rsidP="00A01254">
      <w:pPr>
        <w:pStyle w:val="FootnoteText"/>
      </w:pPr>
      <w:r w:rsidRPr="00815763">
        <w:rPr>
          <w:rStyle w:val="FootnoteReference"/>
          <w:sz w:val="19"/>
          <w:szCs w:val="18"/>
          <w:vertAlign w:val="baseline"/>
        </w:rPr>
        <w:footnoteRef/>
      </w:r>
      <w:r w:rsidR="00D51E0B" w:rsidRPr="005049FC">
        <w:t xml:space="preserve"> </w:t>
      </w:r>
      <w:r w:rsidR="001A3A75" w:rsidRPr="005049FC">
        <w:tab/>
      </w:r>
      <w:r w:rsidR="00D51E0B" w:rsidRPr="005049FC">
        <w:t>Submission A12, 2</w:t>
      </w:r>
      <w:r w:rsidR="00460143" w:rsidRPr="005049FC">
        <w:t>.</w:t>
      </w:r>
    </w:p>
  </w:footnote>
  <w:footnote w:id="584">
    <w:p w14:paraId="4420F060" w14:textId="58B061EB" w:rsidR="00D51E0B" w:rsidRPr="001E44D4" w:rsidRDefault="00815763" w:rsidP="00A01254">
      <w:pPr>
        <w:pStyle w:val="FootnoteText"/>
      </w:pPr>
      <w:r w:rsidRPr="001E44D4">
        <w:rPr>
          <w:rStyle w:val="FootnoteReference"/>
          <w:sz w:val="19"/>
          <w:szCs w:val="18"/>
          <w:vertAlign w:val="baseline"/>
        </w:rPr>
        <w:footnoteRef/>
      </w:r>
      <w:r w:rsidR="00D51E0B" w:rsidRPr="001E44D4">
        <w:t xml:space="preserve"> </w:t>
      </w:r>
      <w:r w:rsidR="001A3A75" w:rsidRPr="001E44D4">
        <w:tab/>
      </w:r>
      <w:r w:rsidR="00D51E0B" w:rsidRPr="001E44D4">
        <w:t>Submission A41, 4</w:t>
      </w:r>
      <w:r w:rsidR="00460143" w:rsidRPr="001E44D4">
        <w:t>.</w:t>
      </w:r>
    </w:p>
  </w:footnote>
  <w:footnote w:id="585">
    <w:p w14:paraId="3EB26166" w14:textId="5E8AD8EB" w:rsidR="00D51E0B" w:rsidRPr="00B1515C" w:rsidRDefault="00815763" w:rsidP="00A01254">
      <w:pPr>
        <w:pStyle w:val="FootnoteText"/>
      </w:pPr>
      <w:r w:rsidRPr="001E44D4">
        <w:rPr>
          <w:rStyle w:val="FootnoteReference"/>
          <w:sz w:val="19"/>
          <w:szCs w:val="18"/>
          <w:vertAlign w:val="baseline"/>
        </w:rPr>
        <w:footnoteRef/>
      </w:r>
      <w:r w:rsidR="00D51E0B" w:rsidRPr="001E44D4">
        <w:t xml:space="preserve"> </w:t>
      </w:r>
      <w:r w:rsidR="001A3A75" w:rsidRPr="001E44D4">
        <w:tab/>
      </w:r>
      <w:r w:rsidR="00D51E0B" w:rsidRPr="001E44D4">
        <w:t>Updated by</w:t>
      </w:r>
      <w:r w:rsidR="00460143" w:rsidRPr="001E44D4">
        <w:t>:</w:t>
      </w:r>
      <w:r w:rsidR="00D51E0B" w:rsidRPr="001E44D4">
        <w:t xml:space="preserve"> ATO, </w:t>
      </w:r>
      <w:r w:rsidR="00D51E0B" w:rsidRPr="001E44D4">
        <w:rPr>
          <w:rStyle w:val="Emphasis"/>
          <w:i w:val="0"/>
          <w:iCs w:val="0"/>
        </w:rPr>
        <w:t>Goods and services tax: GST treatment of financial supplies and related supplies and acquisitions</w:t>
      </w:r>
      <w:r w:rsidR="00D51E0B" w:rsidRPr="001E44D4">
        <w:t xml:space="preserve"> (</w:t>
      </w:r>
      <w:hyperlink r:id="rId228" w:history="1">
        <w:r w:rsidR="00D51E0B" w:rsidRPr="001E44D4">
          <w:rPr>
            <w:rStyle w:val="Hyperlink"/>
            <w:color w:val="auto"/>
            <w:u w:val="none"/>
          </w:rPr>
          <w:t>GSTR 200</w:t>
        </w:r>
        <w:bookmarkStart w:id="143" w:name="_Hlt156829805"/>
        <w:bookmarkStart w:id="144" w:name="_Hlt156829806"/>
        <w:r w:rsidR="00D51E0B" w:rsidRPr="001E44D4">
          <w:rPr>
            <w:rStyle w:val="Hyperlink"/>
            <w:color w:val="auto"/>
            <w:u w:val="none"/>
          </w:rPr>
          <w:t>2</w:t>
        </w:r>
        <w:bookmarkEnd w:id="143"/>
        <w:bookmarkEnd w:id="144"/>
        <w:r w:rsidR="00D51E0B" w:rsidRPr="001E44D4">
          <w:rPr>
            <w:rStyle w:val="Hyperlink"/>
            <w:color w:val="auto"/>
            <w:u w:val="none"/>
          </w:rPr>
          <w:t>/2A10</w:t>
        </w:r>
      </w:hyperlink>
      <w:r w:rsidR="00D51E0B" w:rsidRPr="001E44D4">
        <w:t>, 22 March 2023).</w:t>
      </w:r>
    </w:p>
  </w:footnote>
  <w:footnote w:id="586">
    <w:p w14:paraId="0D5C201F" w14:textId="7E252D31"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 xml:space="preserve">In submission A10, 14, for example, Koinly noted </w:t>
      </w:r>
      <w:r w:rsidR="00F75232">
        <w:t>‘</w:t>
      </w:r>
      <w:r w:rsidR="00CF47D0" w:rsidRPr="00B1515C">
        <w:t>There is limited understanding of what threshold level of information is required to be retained.</w:t>
      </w:r>
      <w:r w:rsidR="00F75232">
        <w:t>’</w:t>
      </w:r>
    </w:p>
  </w:footnote>
  <w:footnote w:id="587">
    <w:p w14:paraId="2248F059" w14:textId="1A46AEEB"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Submission A20, 17</w:t>
      </w:r>
      <w:r w:rsidR="005423EA" w:rsidRPr="00B1515C">
        <w:t>.</w:t>
      </w:r>
      <w:r w:rsidR="00905013" w:rsidRPr="00B1515C">
        <w:t xml:space="preserve"> </w:t>
      </w:r>
    </w:p>
  </w:footnote>
  <w:footnote w:id="588">
    <w:p w14:paraId="63394AD1" w14:textId="79372BED"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TAA 1953 sch 1 s</w:t>
      </w:r>
      <w:r w:rsidR="005423EA" w:rsidRPr="00B1515C">
        <w:t>ub</w:t>
      </w:r>
      <w:r w:rsidR="00F75232">
        <w:t>-</w:t>
      </w:r>
      <w:r w:rsidR="00CF47D0" w:rsidRPr="00B1515C">
        <w:t>s 288</w:t>
      </w:r>
      <w:r w:rsidR="00F75232">
        <w:t>-</w:t>
      </w:r>
      <w:r w:rsidR="00CF47D0" w:rsidRPr="00B1515C">
        <w:t>25(1)</w:t>
      </w:r>
      <w:r w:rsidR="00CF47D0" w:rsidRPr="00B1515C">
        <w:rPr>
          <w:i/>
          <w:iCs/>
        </w:rPr>
        <w:t>.</w:t>
      </w:r>
    </w:p>
  </w:footnote>
  <w:footnote w:id="589">
    <w:p w14:paraId="27F80E84" w14:textId="43CAD457"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rPr>
          <w:rFonts w:cs="Calibri"/>
          <w:color w:val="000000"/>
          <w:sz w:val="18"/>
        </w:rPr>
        <w:t xml:space="preserve">ATO, </w:t>
      </w:r>
      <w:r w:rsidR="00CF47D0" w:rsidRPr="00C77F3F">
        <w:rPr>
          <w:rStyle w:val="Emphasis"/>
        </w:rPr>
        <w:t>Administration of the false or misleading statement penalty</w:t>
      </w:r>
      <w:r w:rsidR="00DD7E85" w:rsidRPr="00C77F3F">
        <w:rPr>
          <w:rStyle w:val="Emphasis"/>
        </w:rPr>
        <w:t xml:space="preserve"> – </w:t>
      </w:r>
      <w:r w:rsidR="00CF47D0" w:rsidRPr="00C77F3F">
        <w:rPr>
          <w:rStyle w:val="Emphasis"/>
        </w:rPr>
        <w:t>where there is a shortfall amount</w:t>
      </w:r>
      <w:r w:rsidR="00CF47D0" w:rsidRPr="00B1515C">
        <w:rPr>
          <w:rFonts w:cs="Calibri"/>
          <w:color w:val="000000"/>
          <w:sz w:val="18"/>
        </w:rPr>
        <w:t xml:space="preserve"> (</w:t>
      </w:r>
      <w:hyperlink r:id="rId229" w:history="1">
        <w:r w:rsidR="00CF47D0" w:rsidRPr="00C52E27">
          <w:rPr>
            <w:rStyle w:val="Hyperlink"/>
            <w:rFonts w:cs="Calibri"/>
            <w:sz w:val="18"/>
          </w:rPr>
          <w:t>PS LA 2012/5</w:t>
        </w:r>
      </w:hyperlink>
      <w:r w:rsidR="00D52A4A" w:rsidRPr="00B1515C">
        <w:rPr>
          <w:rFonts w:cs="Calibri"/>
          <w:color w:val="000000"/>
          <w:sz w:val="18"/>
        </w:rPr>
        <w:t>, 2</w:t>
      </w:r>
      <w:r w:rsidR="00254A4B">
        <w:rPr>
          <w:rFonts w:cs="Calibri"/>
          <w:color w:val="000000"/>
          <w:sz w:val="18"/>
        </w:rPr>
        <w:t> </w:t>
      </w:r>
      <w:r w:rsidR="00D52A4A" w:rsidRPr="00B1515C">
        <w:rPr>
          <w:rFonts w:cs="Calibri"/>
          <w:color w:val="000000"/>
          <w:sz w:val="18"/>
        </w:rPr>
        <w:t>March 2023</w:t>
      </w:r>
      <w:r w:rsidR="00CF47D0" w:rsidRPr="00B1515C">
        <w:rPr>
          <w:rFonts w:cs="Calibri"/>
          <w:color w:val="000000"/>
          <w:sz w:val="18"/>
        </w:rPr>
        <w:t>)</w:t>
      </w:r>
      <w:r w:rsidR="00CF47D0" w:rsidRPr="00B1515C">
        <w:rPr>
          <w:sz w:val="18"/>
        </w:rPr>
        <w:t xml:space="preserve"> </w:t>
      </w:r>
      <w:r w:rsidR="00D52A4A" w:rsidRPr="00B1515C">
        <w:rPr>
          <w:sz w:val="18"/>
        </w:rPr>
        <w:t>[</w:t>
      </w:r>
      <w:r w:rsidR="00CF47D0" w:rsidRPr="00B1515C">
        <w:rPr>
          <w:sz w:val="18"/>
        </w:rPr>
        <w:t>10F</w:t>
      </w:r>
      <w:r w:rsidR="00D52A4A" w:rsidRPr="00B1515C">
        <w:rPr>
          <w:sz w:val="18"/>
        </w:rPr>
        <w:t>]</w:t>
      </w:r>
      <w:r w:rsidR="00597C2F" w:rsidRPr="00B1515C">
        <w:rPr>
          <w:sz w:val="18"/>
        </w:rPr>
        <w:t xml:space="preserve"> (</w:t>
      </w:r>
      <w:r w:rsidR="00F75232">
        <w:rPr>
          <w:sz w:val="18"/>
        </w:rPr>
        <w:t>‘</w:t>
      </w:r>
      <w:r w:rsidR="00597C2F" w:rsidRPr="00B1515C">
        <w:rPr>
          <w:sz w:val="18"/>
        </w:rPr>
        <w:t>PS LA 2012/5</w:t>
      </w:r>
      <w:r w:rsidR="00F75232">
        <w:rPr>
          <w:sz w:val="18"/>
        </w:rPr>
        <w:t>’</w:t>
      </w:r>
      <w:r w:rsidR="00597C2F" w:rsidRPr="00B1515C">
        <w:rPr>
          <w:sz w:val="18"/>
        </w:rPr>
        <w:t>)</w:t>
      </w:r>
      <w:r w:rsidR="00CF47D0" w:rsidRPr="00B1515C">
        <w:rPr>
          <w:sz w:val="18"/>
        </w:rPr>
        <w:t>.</w:t>
      </w:r>
    </w:p>
  </w:footnote>
  <w:footnote w:id="590">
    <w:p w14:paraId="7251A894" w14:textId="3A7CE858"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ITAA 1997 div 121.</w:t>
      </w:r>
    </w:p>
  </w:footnote>
  <w:footnote w:id="591">
    <w:p w14:paraId="41BD32AC" w14:textId="657B07E5"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30" w:history="1">
        <w:r w:rsidR="00D52A4A" w:rsidRPr="00C52E27">
          <w:rPr>
            <w:rStyle w:val="Hyperlink"/>
          </w:rPr>
          <w:t>Keeping crypto records</w:t>
        </w:r>
      </w:hyperlink>
      <w:r w:rsidR="00F75232">
        <w:t>’</w:t>
      </w:r>
      <w:r w:rsidR="00D52A4A" w:rsidRPr="00B1515C">
        <w:t xml:space="preserve">, </w:t>
      </w:r>
      <w:r w:rsidR="00CF47D0" w:rsidRPr="00C77F3F">
        <w:rPr>
          <w:rStyle w:val="Emphasis"/>
        </w:rPr>
        <w:t>ATO</w:t>
      </w:r>
      <w:r w:rsidR="00CF47D0" w:rsidRPr="00B1515C">
        <w:t xml:space="preserve"> (</w:t>
      </w:r>
      <w:r w:rsidR="00D52A4A" w:rsidRPr="00B1515C">
        <w:t xml:space="preserve">Web Page, 30 June </w:t>
      </w:r>
      <w:r w:rsidR="00CF47D0" w:rsidRPr="00B1515C">
        <w:t>2023</w:t>
      </w:r>
      <w:r w:rsidR="00ED68F9" w:rsidRPr="00B1515C">
        <w:t>)</w:t>
      </w:r>
      <w:r w:rsidR="00C52E27">
        <w:t>.</w:t>
      </w:r>
    </w:p>
  </w:footnote>
  <w:footnote w:id="592">
    <w:p w14:paraId="124DC289" w14:textId="2E45C75A"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ITAA 1936 s 242A</w:t>
      </w:r>
      <w:r w:rsidR="00C52E27">
        <w:t>.</w:t>
      </w:r>
    </w:p>
  </w:footnote>
  <w:footnote w:id="593">
    <w:p w14:paraId="4C2CB146" w14:textId="0CB3AE0A"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31" w:history="1">
        <w:r w:rsidR="00EA54C6" w:rsidRPr="00C52E27">
          <w:rPr>
            <w:rStyle w:val="Hyperlink"/>
          </w:rPr>
          <w:t>Record keeping for business</w:t>
        </w:r>
        <w:r w:rsidR="00F75232" w:rsidRPr="00C52E27">
          <w:t>’</w:t>
        </w:r>
      </w:hyperlink>
      <w:r w:rsidR="00EA54C6" w:rsidRPr="00B1515C">
        <w:t xml:space="preserve">, </w:t>
      </w:r>
      <w:r w:rsidR="00CF47D0" w:rsidRPr="00C77F3F">
        <w:rPr>
          <w:rStyle w:val="Emphasis"/>
        </w:rPr>
        <w:t>ATO</w:t>
      </w:r>
      <w:r w:rsidR="00CF47D0" w:rsidRPr="00B1515C">
        <w:t xml:space="preserve"> (</w:t>
      </w:r>
      <w:r w:rsidR="00EA54C6" w:rsidRPr="00B1515C">
        <w:t xml:space="preserve">Web Page, accessed 22 January </w:t>
      </w:r>
      <w:r w:rsidR="00CF47D0" w:rsidRPr="00B1515C">
        <w:t>202</w:t>
      </w:r>
      <w:r w:rsidR="00EA54C6" w:rsidRPr="00B1515C">
        <w:t>4</w:t>
      </w:r>
      <w:r w:rsidR="00CF47D0" w:rsidRPr="00B1515C">
        <w:t>)</w:t>
      </w:r>
      <w:r w:rsidR="00C52E27">
        <w:t>.</w:t>
      </w:r>
    </w:p>
  </w:footnote>
  <w:footnote w:id="594">
    <w:p w14:paraId="6999AA69" w14:textId="7347C520"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TAA 1953 sch 1 s 382</w:t>
      </w:r>
      <w:r w:rsidR="00F75232">
        <w:t>-</w:t>
      </w:r>
      <w:r w:rsidR="00CF47D0" w:rsidRPr="00B1515C">
        <w:t>5</w:t>
      </w:r>
      <w:r w:rsidR="00536952">
        <w:t>.</w:t>
      </w:r>
    </w:p>
  </w:footnote>
  <w:footnote w:id="595">
    <w:p w14:paraId="472B7222" w14:textId="65D9BB8E"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32" w:history="1">
        <w:r w:rsidR="005311C7" w:rsidRPr="00C52E27">
          <w:rPr>
            <w:rStyle w:val="Hyperlink"/>
          </w:rPr>
          <w:t>Crypto assets used in business</w:t>
        </w:r>
      </w:hyperlink>
      <w:r w:rsidR="00F75232">
        <w:t>’</w:t>
      </w:r>
      <w:r w:rsidR="005311C7" w:rsidRPr="00B1515C">
        <w:t xml:space="preserve">, </w:t>
      </w:r>
      <w:r w:rsidR="00CF47D0" w:rsidRPr="00C77F3F">
        <w:rPr>
          <w:rStyle w:val="Emphasis"/>
        </w:rPr>
        <w:t xml:space="preserve">ATO </w:t>
      </w:r>
      <w:r w:rsidR="00CF47D0" w:rsidRPr="00B1515C">
        <w:t>(</w:t>
      </w:r>
      <w:r w:rsidR="005311C7" w:rsidRPr="00B1515C">
        <w:t xml:space="preserve">Web Page, 29 June </w:t>
      </w:r>
      <w:r w:rsidR="00CF47D0" w:rsidRPr="00B1515C">
        <w:t>2022)</w:t>
      </w:r>
      <w:r w:rsidR="00C52E27">
        <w:t>.</w:t>
      </w:r>
    </w:p>
  </w:footnote>
  <w:footnote w:id="596">
    <w:p w14:paraId="2FE86304" w14:textId="40B8DC51" w:rsidR="00511F44" w:rsidRPr="00B1515C" w:rsidRDefault="00815763" w:rsidP="00A01254">
      <w:pPr>
        <w:pStyle w:val="FootnoteText"/>
      </w:pPr>
      <w:r w:rsidRPr="00815763">
        <w:rPr>
          <w:rStyle w:val="FootnoteReference"/>
          <w:vertAlign w:val="baseline"/>
        </w:rPr>
        <w:footnoteRef/>
      </w:r>
      <w:r w:rsidR="00511F44" w:rsidRPr="00B1515C">
        <w:t xml:space="preserve"> </w:t>
      </w:r>
      <w:r w:rsidR="001A3A75" w:rsidRPr="00B1515C">
        <w:tab/>
      </w:r>
      <w:r w:rsidR="00511F44" w:rsidRPr="00B1515C">
        <w:t>Submission A</w:t>
      </w:r>
      <w:r w:rsidR="00560E47" w:rsidRPr="00B1515C">
        <w:t xml:space="preserve">23, </w:t>
      </w:r>
      <w:r w:rsidR="00F225F0" w:rsidRPr="00B1515C">
        <w:t>2</w:t>
      </w:r>
      <w:r w:rsidR="002F2132" w:rsidRPr="00B1515C">
        <w:t>.</w:t>
      </w:r>
    </w:p>
  </w:footnote>
  <w:footnote w:id="597">
    <w:p w14:paraId="68C66315" w14:textId="56095741"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 xml:space="preserve">FTX Exchange was one of the largest centralised cryptocurrency exchanges, filing for bankruptcy in November 2022, with the CEO being convicted of </w:t>
      </w:r>
      <w:r w:rsidR="00CF47D0" w:rsidRPr="005049FC">
        <w:t>money</w:t>
      </w:r>
      <w:r w:rsidR="00CF47D0" w:rsidRPr="00B1515C">
        <w:t xml:space="preserve"> laundering and fraud in November 2023. </w:t>
      </w:r>
    </w:p>
  </w:footnote>
  <w:footnote w:id="598">
    <w:p w14:paraId="1DD40994" w14:textId="0402ED24"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D04C1B" w:rsidRPr="00B1515C">
        <w:t xml:space="preserve">Samara LeMerle, </w:t>
      </w:r>
      <w:r w:rsidR="00F75232">
        <w:t>‘</w:t>
      </w:r>
      <w:hyperlink r:id="rId233" w:history="1">
        <w:r w:rsidR="00D04C1B" w:rsidRPr="00C52E27">
          <w:rPr>
            <w:rStyle w:val="Hyperlink"/>
          </w:rPr>
          <w:t>How to use a blockchain explorer</w:t>
        </w:r>
      </w:hyperlink>
      <w:r w:rsidR="00F75232">
        <w:t>’</w:t>
      </w:r>
      <w:r w:rsidR="00D04C1B" w:rsidRPr="00B1515C">
        <w:t>,</w:t>
      </w:r>
      <w:r w:rsidR="00CF47D0" w:rsidRPr="00B1515C">
        <w:t xml:space="preserve"> </w:t>
      </w:r>
      <w:r w:rsidR="00CF47D0" w:rsidRPr="00C77F3F">
        <w:rPr>
          <w:rStyle w:val="Emphasis"/>
        </w:rPr>
        <w:t>Crypto</w:t>
      </w:r>
      <w:r w:rsidR="00A52183">
        <w:rPr>
          <w:rStyle w:val="Emphasis"/>
        </w:rPr>
        <w:t xml:space="preserve"> </w:t>
      </w:r>
      <w:r w:rsidR="00CF47D0" w:rsidRPr="00C77F3F">
        <w:rPr>
          <w:rStyle w:val="Emphasis"/>
        </w:rPr>
        <w:t>Tax Calculator</w:t>
      </w:r>
      <w:r w:rsidR="00CF47D0" w:rsidRPr="00B1515C">
        <w:t xml:space="preserve"> (</w:t>
      </w:r>
      <w:r w:rsidR="00D04C1B" w:rsidRPr="00B1515C">
        <w:t xml:space="preserve">Web Page, </w:t>
      </w:r>
      <w:r w:rsidR="000C27AA" w:rsidRPr="00B1515C">
        <w:t>accessed 22 January 2024</w:t>
      </w:r>
      <w:r w:rsidR="00CF47D0" w:rsidRPr="00B1515C">
        <w:t>)</w:t>
      </w:r>
      <w:r w:rsidR="00C52E27">
        <w:rPr>
          <w:i/>
          <w:iCs/>
        </w:rPr>
        <w:t>.</w:t>
      </w:r>
    </w:p>
  </w:footnote>
  <w:footnote w:id="599">
    <w:p w14:paraId="5024F585" w14:textId="2BD89010" w:rsidR="005B2E59" w:rsidRPr="00B1515C" w:rsidRDefault="00815763" w:rsidP="00A01254">
      <w:pPr>
        <w:pStyle w:val="FootnoteText"/>
      </w:pPr>
      <w:r w:rsidRPr="00815763">
        <w:rPr>
          <w:rStyle w:val="FootnoteReference"/>
          <w:vertAlign w:val="baseline"/>
        </w:rPr>
        <w:footnoteRef/>
      </w:r>
      <w:r w:rsidR="005B2E59" w:rsidRPr="00B1515C">
        <w:t xml:space="preserve"> </w:t>
      </w:r>
      <w:r w:rsidR="005B2E59" w:rsidRPr="00B1515C">
        <w:tab/>
      </w:r>
      <w:r w:rsidR="00F75232">
        <w:t>‘</w:t>
      </w:r>
      <w:hyperlink r:id="rId234" w:history="1">
        <w:r w:rsidR="005B2E59" w:rsidRPr="00C52E27">
          <w:rPr>
            <w:rStyle w:val="Hyperlink"/>
          </w:rPr>
          <w:t>Customer identification and verification</w:t>
        </w:r>
      </w:hyperlink>
      <w:r w:rsidR="00F75232">
        <w:t>’</w:t>
      </w:r>
      <w:r w:rsidR="005B2E59" w:rsidRPr="00B1515C">
        <w:t xml:space="preserve">, </w:t>
      </w:r>
      <w:r w:rsidR="005B2E59" w:rsidRPr="00C77F3F">
        <w:rPr>
          <w:rStyle w:val="Emphasis"/>
        </w:rPr>
        <w:t>AUSTRAC</w:t>
      </w:r>
      <w:r w:rsidR="00950BC4" w:rsidRPr="00B1515C">
        <w:t xml:space="preserve"> (Web Page, 17 January 2024)</w:t>
      </w:r>
      <w:r w:rsidR="00C52E27">
        <w:t>.</w:t>
      </w:r>
    </w:p>
  </w:footnote>
  <w:footnote w:id="600">
    <w:p w14:paraId="6A802A49" w14:textId="02E101B0"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rPr>
          <w:color w:val="000000"/>
        </w:rPr>
        <w:t>OECD (2023), </w:t>
      </w:r>
      <w:hyperlink r:id="rId235" w:history="1">
        <w:r w:rsidR="00CF47D0" w:rsidRPr="00C52E27">
          <w:rPr>
            <w:rStyle w:val="Hyperlink"/>
            <w:i/>
            <w:iCs/>
          </w:rPr>
          <w:t>International Standards for Automatic Exchange of Information in Tax Matters: Crypto</w:t>
        </w:r>
        <w:r w:rsidR="00F75232" w:rsidRPr="00C52E27">
          <w:rPr>
            <w:rStyle w:val="Hyperlink"/>
            <w:i/>
            <w:iCs/>
          </w:rPr>
          <w:t>-</w:t>
        </w:r>
        <w:r w:rsidR="00CF47D0" w:rsidRPr="00C52E27">
          <w:rPr>
            <w:rStyle w:val="Hyperlink"/>
            <w:i/>
            <w:iCs/>
          </w:rPr>
          <w:t>Asset Reporting Framework and 2023 update to the Common Reporting Standard</w:t>
        </w:r>
      </w:hyperlink>
      <w:r w:rsidR="00CF47D0" w:rsidRPr="00B1515C">
        <w:rPr>
          <w:color w:val="000000"/>
        </w:rPr>
        <w:t>, OECD Publishing, Paris</w:t>
      </w:r>
      <w:r w:rsidR="00C52E27">
        <w:rPr>
          <w:color w:val="000000"/>
        </w:rPr>
        <w:t>.</w:t>
      </w:r>
    </w:p>
  </w:footnote>
  <w:footnote w:id="601">
    <w:p w14:paraId="11CAAFA7" w14:textId="7BAE04FD"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8A0FE1" w:rsidRPr="00B1515C">
        <w:t>The Treasury</w:t>
      </w:r>
      <w:r w:rsidR="00CF47D0" w:rsidRPr="00B1515C">
        <w:t xml:space="preserve">, </w:t>
      </w:r>
      <w:hyperlink r:id="rId236" w:anchor=":~:text=%22To%20keep%20pace%20with%20the,the%20OECD%20%E2%80%93%20the%20Crypto%2DAsset" w:history="1">
        <w:r w:rsidR="00CF47D0" w:rsidRPr="00C52E27">
          <w:rPr>
            <w:rStyle w:val="Hyperlink"/>
            <w:i/>
            <w:iCs/>
          </w:rPr>
          <w:t>Collective engagement to implement the Crypto</w:t>
        </w:r>
        <w:r w:rsidR="00F75232" w:rsidRPr="00C52E27">
          <w:rPr>
            <w:rStyle w:val="Hyperlink"/>
            <w:i/>
            <w:iCs/>
          </w:rPr>
          <w:t>-</w:t>
        </w:r>
        <w:r w:rsidR="00CF47D0" w:rsidRPr="00C52E27">
          <w:rPr>
            <w:rStyle w:val="Hyperlink"/>
            <w:i/>
            <w:iCs/>
          </w:rPr>
          <w:t>Asset Reporting Framework</w:t>
        </w:r>
      </w:hyperlink>
      <w:r w:rsidR="00CF47D0" w:rsidRPr="00B1515C">
        <w:t xml:space="preserve"> (Media Release, 10</w:t>
      </w:r>
      <w:r w:rsidR="00254A4B">
        <w:t> </w:t>
      </w:r>
      <w:r w:rsidR="00CF47D0" w:rsidRPr="00B1515C">
        <w:t>November 2023)</w:t>
      </w:r>
      <w:r w:rsidR="001A7F2D">
        <w:t>.</w:t>
      </w:r>
    </w:p>
  </w:footnote>
  <w:footnote w:id="602">
    <w:p w14:paraId="27C155C3" w14:textId="79E932E6"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Submission A23, 2.</w:t>
      </w:r>
    </w:p>
  </w:footnote>
  <w:footnote w:id="603">
    <w:p w14:paraId="3F03E73E" w14:textId="1C6EECFC"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Submission A09, 4.</w:t>
      </w:r>
    </w:p>
  </w:footnote>
  <w:footnote w:id="604">
    <w:p w14:paraId="40F3F245" w14:textId="081FBD1C" w:rsidR="0063591F" w:rsidRPr="00B1515C" w:rsidRDefault="00815763" w:rsidP="00A01254">
      <w:pPr>
        <w:pStyle w:val="FootnoteText"/>
      </w:pPr>
      <w:r w:rsidRPr="00815763">
        <w:rPr>
          <w:rStyle w:val="FootnoteReference"/>
          <w:vertAlign w:val="baseline"/>
        </w:rPr>
        <w:footnoteRef/>
      </w:r>
      <w:r w:rsidR="0063591F" w:rsidRPr="00B1515C">
        <w:t xml:space="preserve"> </w:t>
      </w:r>
      <w:r w:rsidR="001A3A75" w:rsidRPr="00B1515C">
        <w:tab/>
      </w:r>
      <w:r w:rsidR="0063591F" w:rsidRPr="00B1515C">
        <w:rPr>
          <w:rFonts w:cs="Calibri"/>
          <w:color w:val="000000"/>
        </w:rPr>
        <w:t xml:space="preserve">PS LA 2012/5 </w:t>
      </w:r>
      <w:r w:rsidR="00795A41" w:rsidRPr="00B1515C">
        <w:rPr>
          <w:rFonts w:cs="Calibri"/>
          <w:color w:val="000000"/>
        </w:rPr>
        <w:t>(</w:t>
      </w:r>
      <w:r w:rsidR="001E44D4">
        <w:rPr>
          <w:rFonts w:cs="Calibri"/>
          <w:color w:val="000000"/>
        </w:rPr>
        <w:t>n 588</w:t>
      </w:r>
      <w:r w:rsidR="00795A41" w:rsidRPr="00B1515C">
        <w:rPr>
          <w:rFonts w:cs="Calibri"/>
          <w:color w:val="000000"/>
        </w:rPr>
        <w:t>)</w:t>
      </w:r>
      <w:r w:rsidR="0063591F" w:rsidRPr="00B1515C">
        <w:rPr>
          <w:rFonts w:cs="Calibri"/>
          <w:color w:val="000000"/>
        </w:rPr>
        <w:t xml:space="preserve"> </w:t>
      </w:r>
      <w:r w:rsidR="0063591F" w:rsidRPr="00B1515C">
        <w:t>[10]; TAA 1953 sch 1 sub</w:t>
      </w:r>
      <w:r w:rsidR="00F75232">
        <w:t>-</w:t>
      </w:r>
      <w:r w:rsidR="0063591F" w:rsidRPr="00B1515C">
        <w:t>s 284</w:t>
      </w:r>
      <w:r w:rsidR="00F75232">
        <w:t>-</w:t>
      </w:r>
      <w:r w:rsidR="0063591F" w:rsidRPr="00B1515C">
        <w:t>90(1) item 3.</w:t>
      </w:r>
    </w:p>
  </w:footnote>
  <w:footnote w:id="605">
    <w:p w14:paraId="6DFFACA3" w14:textId="6CF5FE2F"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Submission A30, 23.</w:t>
      </w:r>
    </w:p>
  </w:footnote>
  <w:footnote w:id="606">
    <w:p w14:paraId="76F2B25C" w14:textId="04248D37"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Submission A27, 28.</w:t>
      </w:r>
    </w:p>
  </w:footnote>
  <w:footnote w:id="607">
    <w:p w14:paraId="57B16E87" w14:textId="2EB9333A"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C77F3F">
        <w:rPr>
          <w:rStyle w:val="Emphasis"/>
        </w:rPr>
        <w:t>Tax Agents Services Act 2009</w:t>
      </w:r>
      <w:r w:rsidR="00CF47D0" w:rsidRPr="00B1515C">
        <w:rPr>
          <w:rFonts w:cs="Calibri"/>
          <w:color w:val="000000"/>
        </w:rPr>
        <w:t xml:space="preserve"> </w:t>
      </w:r>
      <w:r w:rsidR="00AC5877" w:rsidRPr="00B1515C">
        <w:rPr>
          <w:rFonts w:cs="Calibri"/>
          <w:color w:val="000000"/>
        </w:rPr>
        <w:t xml:space="preserve">(TASA 2009) </w:t>
      </w:r>
      <w:r w:rsidR="00CF47D0" w:rsidRPr="00B1515C">
        <w:rPr>
          <w:rFonts w:cs="Calibri"/>
          <w:color w:val="000000"/>
        </w:rPr>
        <w:t>s</w:t>
      </w:r>
      <w:r w:rsidR="00AC5877" w:rsidRPr="00B1515C">
        <w:rPr>
          <w:rFonts w:cs="Calibri"/>
          <w:color w:val="000000"/>
        </w:rPr>
        <w:t>ub</w:t>
      </w:r>
      <w:r w:rsidR="00F75232">
        <w:rPr>
          <w:rFonts w:cs="Calibri"/>
          <w:color w:val="000000"/>
        </w:rPr>
        <w:t>-</w:t>
      </w:r>
      <w:r w:rsidR="00CF47D0" w:rsidRPr="00B1515C">
        <w:rPr>
          <w:rFonts w:cs="Calibri"/>
          <w:color w:val="000000"/>
        </w:rPr>
        <w:t>s 30</w:t>
      </w:r>
      <w:r w:rsidR="00F75232">
        <w:rPr>
          <w:rFonts w:cs="Calibri"/>
          <w:color w:val="000000"/>
        </w:rPr>
        <w:t>-</w:t>
      </w:r>
      <w:r w:rsidR="00CF47D0" w:rsidRPr="00B1515C">
        <w:rPr>
          <w:rFonts w:cs="Calibri"/>
          <w:color w:val="000000"/>
        </w:rPr>
        <w:t>10(9)</w:t>
      </w:r>
      <w:r w:rsidR="00440002" w:rsidRPr="00B1515C">
        <w:rPr>
          <w:rFonts w:cs="Calibri"/>
          <w:color w:val="000000"/>
        </w:rPr>
        <w:t>.</w:t>
      </w:r>
    </w:p>
  </w:footnote>
  <w:footnote w:id="608">
    <w:p w14:paraId="4CEA1BAA" w14:textId="78EC535C"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Submission A20, 17.</w:t>
      </w:r>
    </w:p>
  </w:footnote>
  <w:footnote w:id="609">
    <w:p w14:paraId="4C3434CE" w14:textId="6B92FEDC"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37" w:history="1">
        <w:r w:rsidR="003431AA" w:rsidRPr="001A7F2D">
          <w:rPr>
            <w:rStyle w:val="Hyperlink"/>
          </w:rPr>
          <w:t>Data matching</w:t>
        </w:r>
      </w:hyperlink>
      <w:r w:rsidR="00F75232">
        <w:t>’</w:t>
      </w:r>
      <w:r w:rsidR="003431AA" w:rsidRPr="00B1515C">
        <w:t xml:space="preserve">, </w:t>
      </w:r>
      <w:r w:rsidR="00CF47D0" w:rsidRPr="00C77F3F">
        <w:rPr>
          <w:rStyle w:val="Emphasis"/>
        </w:rPr>
        <w:t xml:space="preserve">ATO </w:t>
      </w:r>
      <w:r w:rsidR="00CF47D0" w:rsidRPr="00B1515C">
        <w:t>(</w:t>
      </w:r>
      <w:r w:rsidR="003431AA" w:rsidRPr="00B1515C">
        <w:t xml:space="preserve">Web Page, 12 May </w:t>
      </w:r>
      <w:r w:rsidR="00CF47D0" w:rsidRPr="00B1515C">
        <w:t>2023)</w:t>
      </w:r>
      <w:r w:rsidR="001A7F2D">
        <w:rPr>
          <w:i/>
          <w:iCs/>
        </w:rPr>
        <w:t>.</w:t>
      </w:r>
    </w:p>
  </w:footnote>
  <w:footnote w:id="610">
    <w:p w14:paraId="224C2F70" w14:textId="796A447E"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38" w:history="1">
        <w:r w:rsidR="00CB112C" w:rsidRPr="001A7F2D">
          <w:rPr>
            <w:rStyle w:val="Hyperlink"/>
          </w:rPr>
          <w:t>Crypto assets 2014</w:t>
        </w:r>
        <w:r w:rsidR="006B2D70" w:rsidRPr="001A7F2D">
          <w:rPr>
            <w:rStyle w:val="Hyperlink"/>
          </w:rPr>
          <w:t>–</w:t>
        </w:r>
        <w:r w:rsidR="00CB112C" w:rsidRPr="001A7F2D">
          <w:rPr>
            <w:rStyle w:val="Hyperlink"/>
          </w:rPr>
          <w:t>15 to 2022</w:t>
        </w:r>
        <w:r w:rsidR="006B2D70" w:rsidRPr="001A7F2D">
          <w:rPr>
            <w:rStyle w:val="Hyperlink"/>
          </w:rPr>
          <w:t>–</w:t>
        </w:r>
        <w:r w:rsidR="00CB112C" w:rsidRPr="001A7F2D">
          <w:rPr>
            <w:rStyle w:val="Hyperlink"/>
          </w:rPr>
          <w:t>23 data</w:t>
        </w:r>
        <w:r w:rsidR="00F75232" w:rsidRPr="001A7F2D">
          <w:rPr>
            <w:rStyle w:val="Hyperlink"/>
          </w:rPr>
          <w:t>-</w:t>
        </w:r>
        <w:r w:rsidR="00CB112C" w:rsidRPr="001A7F2D">
          <w:rPr>
            <w:rStyle w:val="Hyperlink"/>
          </w:rPr>
          <w:t>matching program protocol</w:t>
        </w:r>
      </w:hyperlink>
      <w:r w:rsidR="00F75232">
        <w:t>’</w:t>
      </w:r>
      <w:r w:rsidR="00CB112C" w:rsidRPr="00B1515C">
        <w:t xml:space="preserve">, </w:t>
      </w:r>
      <w:r w:rsidR="00CF47D0" w:rsidRPr="00C77F3F">
        <w:rPr>
          <w:rStyle w:val="Emphasis"/>
        </w:rPr>
        <w:t>ATO</w:t>
      </w:r>
      <w:r w:rsidR="00CF47D0" w:rsidRPr="00B1515C">
        <w:t xml:space="preserve"> (</w:t>
      </w:r>
      <w:r w:rsidR="00CB112C" w:rsidRPr="00B1515C">
        <w:t xml:space="preserve">Web Page, 29 June </w:t>
      </w:r>
      <w:r w:rsidR="00CF47D0" w:rsidRPr="00B1515C">
        <w:t>2022)</w:t>
      </w:r>
      <w:r w:rsidR="001A7F2D">
        <w:t>.</w:t>
      </w:r>
    </w:p>
  </w:footnote>
  <w:footnote w:id="611">
    <w:p w14:paraId="5FC491DC" w14:textId="6D95463F"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39" w:history="1">
        <w:r w:rsidR="00CB112C" w:rsidRPr="001A7F2D">
          <w:rPr>
            <w:rStyle w:val="Hyperlink"/>
          </w:rPr>
          <w:t>How we use the data</w:t>
        </w:r>
      </w:hyperlink>
      <w:r w:rsidR="00F75232">
        <w:t>’</w:t>
      </w:r>
      <w:r w:rsidR="00CB112C" w:rsidRPr="00B1515C">
        <w:t xml:space="preserve">, </w:t>
      </w:r>
      <w:r w:rsidR="00CB112C" w:rsidRPr="00C77F3F">
        <w:rPr>
          <w:rStyle w:val="Emphasis"/>
        </w:rPr>
        <w:t>ATO</w:t>
      </w:r>
      <w:r w:rsidR="00CB112C" w:rsidRPr="00B1515C">
        <w:t xml:space="preserve"> (Web Page, 29 June 2022)</w:t>
      </w:r>
      <w:r w:rsidR="001A7F2D">
        <w:t>.</w:t>
      </w:r>
    </w:p>
  </w:footnote>
  <w:footnote w:id="612">
    <w:p w14:paraId="131C8B47" w14:textId="700BC5A6"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40" w:history="1">
        <w:r w:rsidR="00CB112C" w:rsidRPr="001A7F2D">
          <w:rPr>
            <w:rStyle w:val="Hyperlink"/>
          </w:rPr>
          <w:t>How we use the data</w:t>
        </w:r>
        <w:r w:rsidR="00F75232" w:rsidRPr="001A7F2D">
          <w:t>’</w:t>
        </w:r>
      </w:hyperlink>
      <w:r w:rsidR="00CB112C" w:rsidRPr="00B1515C">
        <w:t xml:space="preserve">, </w:t>
      </w:r>
      <w:r w:rsidR="00CB112C" w:rsidRPr="00C77F3F">
        <w:rPr>
          <w:rStyle w:val="Emphasis"/>
        </w:rPr>
        <w:t>ATO</w:t>
      </w:r>
      <w:r w:rsidR="00CB112C" w:rsidRPr="00B1515C">
        <w:t xml:space="preserve"> (Web Page, 29 June 2022)</w:t>
      </w:r>
      <w:r w:rsidR="003117C2">
        <w:t>.</w:t>
      </w:r>
      <w:r w:rsidR="00CB112C" w:rsidRPr="00B1515C">
        <w:t xml:space="preserve"> </w:t>
      </w:r>
    </w:p>
  </w:footnote>
  <w:footnote w:id="613">
    <w:p w14:paraId="4917DAEA" w14:textId="49D021B9"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F75232">
        <w:t>‘</w:t>
      </w:r>
      <w:hyperlink r:id="rId241" w:history="1">
        <w:r w:rsidR="00CB112C" w:rsidRPr="003117C2">
          <w:rPr>
            <w:rStyle w:val="Hyperlink"/>
          </w:rPr>
          <w:t>About the crypto data</w:t>
        </w:r>
        <w:r w:rsidR="00F75232" w:rsidRPr="003117C2">
          <w:rPr>
            <w:rStyle w:val="Hyperlink"/>
          </w:rPr>
          <w:t>-</w:t>
        </w:r>
        <w:r w:rsidR="00CB112C" w:rsidRPr="003117C2">
          <w:rPr>
            <w:rStyle w:val="Hyperlink"/>
          </w:rPr>
          <w:t>matching program</w:t>
        </w:r>
      </w:hyperlink>
      <w:r w:rsidR="00F75232">
        <w:t>’</w:t>
      </w:r>
      <w:r w:rsidR="00CB112C" w:rsidRPr="00B1515C">
        <w:t xml:space="preserve">, </w:t>
      </w:r>
      <w:r w:rsidR="00CF47D0" w:rsidRPr="00C77F3F">
        <w:rPr>
          <w:rStyle w:val="Emphasis"/>
        </w:rPr>
        <w:t xml:space="preserve">ATO </w:t>
      </w:r>
      <w:r w:rsidR="00CF47D0" w:rsidRPr="00B1515C">
        <w:t>(</w:t>
      </w:r>
      <w:r w:rsidR="00CB112C" w:rsidRPr="00B1515C">
        <w:t xml:space="preserve">Web Page, 29 June </w:t>
      </w:r>
      <w:r w:rsidR="00CF47D0" w:rsidRPr="00B1515C">
        <w:t>2022)</w:t>
      </w:r>
      <w:r w:rsidR="003117C2">
        <w:t>.</w:t>
      </w:r>
    </w:p>
  </w:footnote>
  <w:footnote w:id="614">
    <w:p w14:paraId="03F7A9B0" w14:textId="4A287C48" w:rsidR="005A51AC" w:rsidRPr="00B1515C" w:rsidRDefault="00815763" w:rsidP="00A01254">
      <w:pPr>
        <w:pStyle w:val="FootnoteText"/>
      </w:pPr>
      <w:r w:rsidRPr="00815763">
        <w:rPr>
          <w:rStyle w:val="FootnoteReference"/>
          <w:vertAlign w:val="baseline"/>
        </w:rPr>
        <w:footnoteRef/>
      </w:r>
      <w:r w:rsidR="005A51AC" w:rsidRPr="00B1515C">
        <w:t xml:space="preserve"> </w:t>
      </w:r>
      <w:r w:rsidR="001A3A75" w:rsidRPr="00B1515C">
        <w:tab/>
      </w:r>
      <w:r w:rsidR="00AB248B" w:rsidRPr="00B1515C">
        <w:t>Submission A</w:t>
      </w:r>
      <w:r w:rsidR="00811C53" w:rsidRPr="00B1515C">
        <w:t xml:space="preserve">33, </w:t>
      </w:r>
      <w:r w:rsidR="00C0758F" w:rsidRPr="00B1515C">
        <w:t>27</w:t>
      </w:r>
      <w:r w:rsidR="004825A9" w:rsidRPr="00B1515C">
        <w:t>.</w:t>
      </w:r>
    </w:p>
  </w:footnote>
  <w:footnote w:id="615">
    <w:p w14:paraId="33361EB9" w14:textId="543AD36F"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Submission A30, 22.</w:t>
      </w:r>
    </w:p>
  </w:footnote>
  <w:footnote w:id="616">
    <w:p w14:paraId="18068608" w14:textId="12875F6C" w:rsidR="008B0C50" w:rsidRPr="00B1515C" w:rsidRDefault="00815763" w:rsidP="00A01254">
      <w:pPr>
        <w:pStyle w:val="FootnoteText"/>
      </w:pPr>
      <w:r w:rsidRPr="00815763">
        <w:rPr>
          <w:rStyle w:val="FootnoteReference"/>
          <w:vertAlign w:val="baseline"/>
        </w:rPr>
        <w:footnoteRef/>
      </w:r>
      <w:r w:rsidR="008B0C50" w:rsidRPr="00B1515C">
        <w:t xml:space="preserve"> </w:t>
      </w:r>
      <w:r w:rsidR="001A3A75" w:rsidRPr="00B1515C">
        <w:tab/>
      </w:r>
      <w:r w:rsidR="00F75232">
        <w:t>‘</w:t>
      </w:r>
      <w:hyperlink r:id="rId242" w:history="1">
        <w:r w:rsidR="008B0C50" w:rsidRPr="003117C2">
          <w:rPr>
            <w:rStyle w:val="Hyperlink"/>
          </w:rPr>
          <w:t>Capital gain or capital loss worksheet</w:t>
        </w:r>
      </w:hyperlink>
      <w:r w:rsidR="00F75232">
        <w:t>’</w:t>
      </w:r>
      <w:r w:rsidR="008B0C50" w:rsidRPr="00B1515C">
        <w:t xml:space="preserve">, </w:t>
      </w:r>
      <w:r w:rsidR="008B0C50" w:rsidRPr="00C77F3F">
        <w:rPr>
          <w:rStyle w:val="Emphasis"/>
        </w:rPr>
        <w:t xml:space="preserve">ATO </w:t>
      </w:r>
      <w:r w:rsidR="008B0C50" w:rsidRPr="00B1515C">
        <w:t>(Web Page, 25 May 2023)</w:t>
      </w:r>
      <w:r w:rsidR="003117C2">
        <w:t>.</w:t>
      </w:r>
    </w:p>
  </w:footnote>
  <w:footnote w:id="617">
    <w:p w14:paraId="4D50920F" w14:textId="16D76364" w:rsidR="008B0C50" w:rsidRPr="00B1515C" w:rsidRDefault="00815763" w:rsidP="00A01254">
      <w:pPr>
        <w:pStyle w:val="FootnoteText"/>
      </w:pPr>
      <w:r w:rsidRPr="00815763">
        <w:rPr>
          <w:rStyle w:val="FootnoteReference"/>
          <w:vertAlign w:val="baseline"/>
        </w:rPr>
        <w:footnoteRef/>
      </w:r>
      <w:r w:rsidR="008B0C50" w:rsidRPr="00B1515C">
        <w:t xml:space="preserve"> </w:t>
      </w:r>
      <w:r w:rsidR="001A3A75" w:rsidRPr="00B1515C">
        <w:tab/>
      </w:r>
      <w:r w:rsidR="00F75232">
        <w:t>‘</w:t>
      </w:r>
      <w:hyperlink r:id="rId243" w:history="1">
        <w:r w:rsidR="008B0C50" w:rsidRPr="003117C2">
          <w:rPr>
            <w:rStyle w:val="Hyperlink"/>
          </w:rPr>
          <w:t>Capital gains tax schedule 2023</w:t>
        </w:r>
        <w:r w:rsidR="00F75232" w:rsidRPr="003117C2">
          <w:t>’</w:t>
        </w:r>
      </w:hyperlink>
      <w:r w:rsidR="008B0C50" w:rsidRPr="00B1515C">
        <w:t xml:space="preserve">, </w:t>
      </w:r>
      <w:r w:rsidR="008B0C50" w:rsidRPr="00C77F3F">
        <w:rPr>
          <w:rStyle w:val="Emphasis"/>
        </w:rPr>
        <w:t>ATO</w:t>
      </w:r>
      <w:r w:rsidR="008B0C50" w:rsidRPr="00B1515C">
        <w:t xml:space="preserve"> (Web Page, 25 May 2023)</w:t>
      </w:r>
      <w:r w:rsidR="003117C2">
        <w:t>.</w:t>
      </w:r>
    </w:p>
  </w:footnote>
  <w:footnote w:id="618">
    <w:p w14:paraId="3F9B5978" w14:textId="21829C5A" w:rsidR="007F52D8" w:rsidRPr="00B1515C" w:rsidRDefault="00815763" w:rsidP="00A01254">
      <w:pPr>
        <w:pStyle w:val="FootnoteText"/>
      </w:pPr>
      <w:r w:rsidRPr="00815763">
        <w:rPr>
          <w:rStyle w:val="FootnoteReference"/>
          <w:vertAlign w:val="baseline"/>
        </w:rPr>
        <w:footnoteRef/>
      </w:r>
      <w:r w:rsidR="007F52D8" w:rsidRPr="00B1515C">
        <w:t xml:space="preserve"> </w:t>
      </w:r>
      <w:r w:rsidR="001A3A75" w:rsidRPr="00B1515C">
        <w:tab/>
      </w:r>
      <w:r w:rsidR="007F52D8" w:rsidRPr="00B1515C">
        <w:t xml:space="preserve">Canada Revenue Agency, </w:t>
      </w:r>
      <w:r w:rsidR="007F52D8" w:rsidRPr="00C77F3F">
        <w:rPr>
          <w:rStyle w:val="Emphasis"/>
        </w:rPr>
        <w:t>Schedule 3: Capital Gains (or Losses</w:t>
      </w:r>
      <w:r w:rsidR="00ED68F9" w:rsidRPr="00C77F3F">
        <w:rPr>
          <w:rStyle w:val="Emphasis"/>
        </w:rPr>
        <w:t>)</w:t>
      </w:r>
      <w:r w:rsidR="007F52D8" w:rsidRPr="00B1515C">
        <w:t xml:space="preserve"> (</w:t>
      </w:r>
      <w:hyperlink r:id="rId244" w:history="1">
        <w:r w:rsidR="007F52D8" w:rsidRPr="003117C2">
          <w:rPr>
            <w:rStyle w:val="Hyperlink"/>
          </w:rPr>
          <w:t>Form T1</w:t>
        </w:r>
        <w:r w:rsidR="00F75232" w:rsidRPr="003117C2">
          <w:rPr>
            <w:rStyle w:val="Hyperlink"/>
          </w:rPr>
          <w:t>-</w:t>
        </w:r>
        <w:r w:rsidR="007F52D8" w:rsidRPr="003117C2">
          <w:rPr>
            <w:rStyle w:val="Hyperlink"/>
          </w:rPr>
          <w:t>2022</w:t>
        </w:r>
      </w:hyperlink>
      <w:r w:rsidR="007F52D8" w:rsidRPr="00B1515C">
        <w:t>, 2022)</w:t>
      </w:r>
      <w:r w:rsidR="003117C2">
        <w:t>.</w:t>
      </w:r>
    </w:p>
  </w:footnote>
  <w:footnote w:id="619">
    <w:p w14:paraId="6C60C6B2" w14:textId="6EAAE4AB" w:rsidR="007F52D8" w:rsidRPr="00B1515C" w:rsidRDefault="00815763" w:rsidP="00A01254">
      <w:pPr>
        <w:pStyle w:val="FootnoteText"/>
      </w:pPr>
      <w:r w:rsidRPr="00815763">
        <w:rPr>
          <w:rStyle w:val="FootnoteReference"/>
          <w:vertAlign w:val="baseline"/>
        </w:rPr>
        <w:footnoteRef/>
      </w:r>
      <w:r w:rsidR="007F52D8" w:rsidRPr="00B1515C">
        <w:t xml:space="preserve"> </w:t>
      </w:r>
      <w:r w:rsidR="001A3A75" w:rsidRPr="00B1515C">
        <w:tab/>
      </w:r>
      <w:r w:rsidR="007F52D8" w:rsidRPr="00B1515C">
        <w:t xml:space="preserve">HM Revenue &amp; Customs, </w:t>
      </w:r>
      <w:r w:rsidR="007F52D8" w:rsidRPr="00C77F3F">
        <w:rPr>
          <w:rStyle w:val="Emphasis"/>
        </w:rPr>
        <w:t>Capital Gains Tax Summary</w:t>
      </w:r>
      <w:r w:rsidR="007F52D8" w:rsidRPr="00B1515C">
        <w:t xml:space="preserve"> (</w:t>
      </w:r>
      <w:hyperlink r:id="rId245" w:history="1">
        <w:r w:rsidR="007F52D8" w:rsidRPr="003117C2">
          <w:rPr>
            <w:rStyle w:val="Hyperlink"/>
          </w:rPr>
          <w:t>Form SA108</w:t>
        </w:r>
      </w:hyperlink>
      <w:r w:rsidR="007F52D8" w:rsidRPr="00B1515C">
        <w:t>, 2023)</w:t>
      </w:r>
      <w:r w:rsidR="003117C2">
        <w:t>.</w:t>
      </w:r>
    </w:p>
  </w:footnote>
  <w:footnote w:id="620">
    <w:p w14:paraId="57B387FC" w14:textId="51A8FF60" w:rsidR="007F52D8" w:rsidRPr="00B1515C" w:rsidRDefault="00815763" w:rsidP="00A01254">
      <w:pPr>
        <w:pStyle w:val="FootnoteText"/>
      </w:pPr>
      <w:r w:rsidRPr="00815763">
        <w:rPr>
          <w:rStyle w:val="FootnoteReference"/>
          <w:vertAlign w:val="baseline"/>
        </w:rPr>
        <w:footnoteRef/>
      </w:r>
      <w:r w:rsidR="001A3A75" w:rsidRPr="00B1515C">
        <w:tab/>
      </w:r>
      <w:r w:rsidR="007F52D8" w:rsidRPr="00B1515C">
        <w:t xml:space="preserve">HM Revenue &amp; Customs, </w:t>
      </w:r>
      <w:r w:rsidR="007F52D8" w:rsidRPr="00C77F3F">
        <w:rPr>
          <w:rStyle w:val="Emphasis"/>
        </w:rPr>
        <w:t>Trust and Estate Capital Gains</w:t>
      </w:r>
      <w:r w:rsidR="007F52D8" w:rsidRPr="00B1515C">
        <w:t xml:space="preserve"> (</w:t>
      </w:r>
      <w:hyperlink r:id="rId246" w:history="1">
        <w:r w:rsidR="007F52D8" w:rsidRPr="003117C2">
          <w:rPr>
            <w:rStyle w:val="Hyperlink"/>
          </w:rPr>
          <w:t>Form SA905</w:t>
        </w:r>
      </w:hyperlink>
      <w:r w:rsidR="007F52D8" w:rsidRPr="00B1515C">
        <w:t>, 2023)</w:t>
      </w:r>
      <w:r w:rsidR="003117C2">
        <w:t>.</w:t>
      </w:r>
    </w:p>
  </w:footnote>
  <w:footnote w:id="621">
    <w:p w14:paraId="3E455F45" w14:textId="48E37BD9"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 xml:space="preserve">IRS, </w:t>
      </w:r>
      <w:r w:rsidR="00CF47D0" w:rsidRPr="00C77F3F">
        <w:rPr>
          <w:rStyle w:val="Emphasis"/>
        </w:rPr>
        <w:t>U. S. Individual Income Tax Return (</w:t>
      </w:r>
      <w:hyperlink r:id="rId247" w:history="1">
        <w:r w:rsidR="00CF47D0" w:rsidRPr="003117C2">
          <w:rPr>
            <w:rStyle w:val="Hyperlink"/>
          </w:rPr>
          <w:t>Form 1040</w:t>
        </w:r>
      </w:hyperlink>
      <w:r w:rsidR="00CF47D0" w:rsidRPr="00B1515C">
        <w:t>, 2023)</w:t>
      </w:r>
      <w:r w:rsidR="003117C2">
        <w:t>.</w:t>
      </w:r>
    </w:p>
  </w:footnote>
  <w:footnote w:id="622">
    <w:p w14:paraId="0664BF86" w14:textId="16B7A10B"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 xml:space="preserve">IRS, </w:t>
      </w:r>
      <w:r w:rsidR="00CF47D0" w:rsidRPr="00C77F3F">
        <w:rPr>
          <w:rStyle w:val="Emphasis"/>
        </w:rPr>
        <w:t xml:space="preserve">Sales and Other Disposition of Capital Assets </w:t>
      </w:r>
      <w:r w:rsidR="00CF47D0" w:rsidRPr="00B1515C">
        <w:t>(</w:t>
      </w:r>
      <w:hyperlink r:id="rId248" w:history="1">
        <w:r w:rsidR="00CF47D0" w:rsidRPr="003117C2">
          <w:rPr>
            <w:rStyle w:val="Hyperlink"/>
          </w:rPr>
          <w:t>Form 8949</w:t>
        </w:r>
      </w:hyperlink>
      <w:r w:rsidR="00CF47D0" w:rsidRPr="00B1515C">
        <w:t>, 2022 Instructions)</w:t>
      </w:r>
      <w:r w:rsidR="003117C2">
        <w:t>.</w:t>
      </w:r>
    </w:p>
  </w:footnote>
  <w:footnote w:id="623">
    <w:p w14:paraId="7AED71D7" w14:textId="288E021D" w:rsidR="00CF47D0" w:rsidRPr="00B1515C" w:rsidRDefault="00815763" w:rsidP="00A01254">
      <w:pPr>
        <w:pStyle w:val="FootnoteText"/>
      </w:pPr>
      <w:r w:rsidRPr="00815763">
        <w:rPr>
          <w:rStyle w:val="FootnoteReference"/>
          <w:vertAlign w:val="baseline"/>
        </w:rPr>
        <w:footnoteRef/>
      </w:r>
      <w:r w:rsidR="00CF47D0" w:rsidRPr="00B1515C">
        <w:t xml:space="preserve"> </w:t>
      </w:r>
      <w:r w:rsidR="001A3A75" w:rsidRPr="00B1515C">
        <w:tab/>
      </w:r>
      <w:r w:rsidR="00CF47D0" w:rsidRPr="00B1515C">
        <w:t>In Submission A08, 5, for example</w:t>
      </w:r>
      <w:r w:rsidR="00607F04" w:rsidRPr="00B1515C">
        <w:t>,</w:t>
      </w:r>
      <w:r w:rsidR="00CF47D0" w:rsidRPr="00B1515C">
        <w:t xml:space="preserve"> the Members of the tax profession noted </w:t>
      </w:r>
      <w:r w:rsidR="00F75232">
        <w:t>‘</w:t>
      </w:r>
      <w:r w:rsidR="00CF47D0" w:rsidRPr="00B1515C">
        <w:t xml:space="preserve">the ATO needs to be mindful of their responses to where tax practitioners and taxpayers may ultimately get it </w:t>
      </w:r>
      <w:r w:rsidR="00F75232">
        <w:t>“</w:t>
      </w:r>
      <w:r w:rsidR="00CF47D0" w:rsidRPr="00B1515C">
        <w:t>wrong</w:t>
      </w:r>
      <w:r w:rsidR="00F75232">
        <w:t>”</w:t>
      </w:r>
      <w:r w:rsidR="00CF47D0" w:rsidRPr="00B1515C">
        <w:t xml:space="preserve"> or where their position is inconsistent with the ATO</w:t>
      </w:r>
      <w:r w:rsidR="00F75232">
        <w:t>’</w:t>
      </w:r>
      <w:r w:rsidR="00CF47D0" w:rsidRPr="00B1515C">
        <w:t>s interpretation whilst clarity lags. On this point, we highlight our earlier statement that there is an education problem. In this respect, the focus on administration should be educational rather than punitive unless there is evidence of intentional, undesirable behaviour.</w:t>
      </w:r>
      <w:r w:rsidR="00F75232">
        <w:t>’</w:t>
      </w:r>
      <w:r w:rsidR="00836B26" w:rsidRPr="00B1515C">
        <w:t>.</w:t>
      </w:r>
    </w:p>
  </w:footnote>
  <w:footnote w:id="624">
    <w:p w14:paraId="558F36E0" w14:textId="0BD2966B" w:rsidR="00B560C7" w:rsidRPr="00B1515C" w:rsidRDefault="00815763" w:rsidP="00A01254">
      <w:pPr>
        <w:pStyle w:val="FootnoteText"/>
        <w:rPr>
          <w:lang w:val="en-CA"/>
        </w:rPr>
      </w:pPr>
      <w:r w:rsidRPr="00815763">
        <w:rPr>
          <w:rStyle w:val="FootnoteReference"/>
          <w:vertAlign w:val="baseline"/>
        </w:rPr>
        <w:footnoteRef/>
      </w:r>
      <w:r w:rsidR="00B560C7" w:rsidRPr="00B1515C">
        <w:t xml:space="preserve"> </w:t>
      </w:r>
      <w:r w:rsidR="001A3A75" w:rsidRPr="00B1515C">
        <w:tab/>
      </w:r>
      <w:r w:rsidR="00B560C7" w:rsidRPr="00B1515C">
        <w:rPr>
          <w:lang w:val="en-CA"/>
        </w:rPr>
        <w:t xml:space="preserve">Regarding income tax (direct tax) considerations, the CRA has provided the definition of the term </w:t>
      </w:r>
      <w:r w:rsidR="00F75232">
        <w:rPr>
          <w:lang w:val="en-CA"/>
        </w:rPr>
        <w:t>‘</w:t>
      </w:r>
      <w:r w:rsidR="00B560C7" w:rsidRPr="00B1515C">
        <w:rPr>
          <w:lang w:val="en-CA"/>
        </w:rPr>
        <w:t>crypto</w:t>
      </w:r>
      <w:r w:rsidR="00F75232">
        <w:rPr>
          <w:lang w:val="en-CA"/>
        </w:rPr>
        <w:t>-</w:t>
      </w:r>
      <w:r w:rsidR="00B560C7" w:rsidRPr="00B1515C">
        <w:rPr>
          <w:lang w:val="en-CA"/>
        </w:rPr>
        <w:t>asset</w:t>
      </w:r>
      <w:r w:rsidR="00F75232">
        <w:rPr>
          <w:lang w:val="en-CA"/>
        </w:rPr>
        <w:t>’</w:t>
      </w:r>
      <w:r w:rsidR="00B560C7" w:rsidRPr="00B1515C">
        <w:rPr>
          <w:lang w:val="en-CA"/>
        </w:rPr>
        <w:t xml:space="preserve"> in Guide T4037. </w:t>
      </w:r>
    </w:p>
  </w:footnote>
  <w:footnote w:id="625">
    <w:p w14:paraId="78814F05" w14:textId="523F2EA3" w:rsidR="00B560C7" w:rsidRPr="00B1515C" w:rsidRDefault="00815763" w:rsidP="00A01254">
      <w:pPr>
        <w:pStyle w:val="FootnoteText"/>
        <w:rPr>
          <w:lang w:val="en-CA"/>
        </w:rPr>
      </w:pPr>
      <w:r w:rsidRPr="00815763">
        <w:rPr>
          <w:rStyle w:val="FootnoteReference"/>
          <w:vertAlign w:val="baseline"/>
        </w:rPr>
        <w:footnoteRef/>
      </w:r>
      <w:r w:rsidR="00B560C7" w:rsidRPr="00B1515C">
        <w:t xml:space="preserve"> </w:t>
      </w:r>
      <w:r w:rsidR="001A3A75" w:rsidRPr="00B1515C">
        <w:tab/>
      </w:r>
      <w:r w:rsidR="00B560C7" w:rsidRPr="00B1515C">
        <w:rPr>
          <w:lang w:val="en-CA"/>
        </w:rPr>
        <w:t xml:space="preserve">In the context of GST/HST (indirect tax) legislation, the term </w:t>
      </w:r>
      <w:r w:rsidR="00F75232">
        <w:rPr>
          <w:lang w:val="en-CA"/>
        </w:rPr>
        <w:t>‘</w:t>
      </w:r>
      <w:r w:rsidR="00B560C7" w:rsidRPr="00B1515C">
        <w:rPr>
          <w:lang w:val="en-CA"/>
        </w:rPr>
        <w:t>Cryptoasset</w:t>
      </w:r>
      <w:r w:rsidR="00F75232">
        <w:rPr>
          <w:lang w:val="en-CA"/>
        </w:rPr>
        <w:t>’</w:t>
      </w:r>
      <w:r w:rsidR="00B560C7" w:rsidRPr="00B1515C">
        <w:rPr>
          <w:lang w:val="en-CA"/>
        </w:rPr>
        <w:t xml:space="preserve"> is defined under ETA 188.2(1).</w:t>
      </w:r>
      <w:r w:rsidR="004F0A51" w:rsidRPr="00B1515C">
        <w:rPr>
          <w:lang w:val="en-CA"/>
        </w:rPr>
        <w:t xml:space="preserve"> </w:t>
      </w:r>
    </w:p>
  </w:footnote>
  <w:footnote w:id="626">
    <w:p w14:paraId="61EFB1CA" w14:textId="311FBEF1" w:rsidR="00714E0A" w:rsidRPr="00B1515C" w:rsidRDefault="00815763" w:rsidP="00A01254">
      <w:pPr>
        <w:pStyle w:val="FootnoteText"/>
      </w:pPr>
      <w:r w:rsidRPr="00815763">
        <w:rPr>
          <w:rStyle w:val="FootnoteReference"/>
          <w:sz w:val="18"/>
          <w:szCs w:val="18"/>
          <w:vertAlign w:val="baseline"/>
        </w:rPr>
        <w:footnoteRef/>
      </w:r>
      <w:r w:rsidR="00714E0A" w:rsidRPr="00B1515C">
        <w:t xml:space="preserve"> </w:t>
      </w:r>
      <w:r w:rsidR="001A3A75" w:rsidRPr="00B1515C">
        <w:tab/>
      </w:r>
      <w:r w:rsidR="001F5155" w:rsidRPr="00B1515C">
        <w:rPr>
          <w:rFonts w:asciiTheme="minorHAnsi" w:hAnsiTheme="minorHAnsi" w:cstheme="minorHAnsi"/>
        </w:rPr>
        <w:t xml:space="preserve">Cryptoasset is defined for this purpose to mean </w:t>
      </w:r>
      <w:r w:rsidR="00F75232">
        <w:rPr>
          <w:rFonts w:asciiTheme="minorHAnsi" w:hAnsiTheme="minorHAnsi" w:cstheme="minorHAnsi"/>
        </w:rPr>
        <w:t>‘</w:t>
      </w:r>
      <w:r w:rsidR="001F5155" w:rsidRPr="00B1515C">
        <w:rPr>
          <w:rFonts w:asciiTheme="minorHAnsi" w:hAnsiTheme="minorHAnsi" w:cstheme="minorHAnsi"/>
        </w:rPr>
        <w:t>property (other than prescribed property) that is a digital representation of value and that only exists at a digital address of a publicly distributed ledger.</w:t>
      </w:r>
      <w:r w:rsidR="00F75232">
        <w:rPr>
          <w:rFonts w:asciiTheme="minorHAnsi" w:hAnsiTheme="minorHAnsi" w:cstheme="minorHAnsi"/>
        </w:rPr>
        <w:t>’</w:t>
      </w:r>
      <w:r w:rsidR="001F5155" w:rsidRPr="00B1515C">
        <w:rPr>
          <w:rFonts w:asciiTheme="minorHAnsi" w:hAnsiTheme="minorHAnsi" w:cstheme="minorHAnsi"/>
        </w:rPr>
        <w:t xml:space="preserve"> The definition includes VPIs as well as property that may be excluded from the VPI definition, such as security tokens, utility tokens or NFTs; there is currently no prescribed property for the purpose of the cryptoasset definition.</w:t>
      </w:r>
    </w:p>
  </w:footnote>
  <w:footnote w:id="627">
    <w:p w14:paraId="55416E9B" w14:textId="14FB33EB" w:rsidR="00282864" w:rsidRPr="00B1515C" w:rsidRDefault="00815763" w:rsidP="00A01254">
      <w:pPr>
        <w:pStyle w:val="FootnoteText"/>
      </w:pPr>
      <w:r w:rsidRPr="00815763">
        <w:rPr>
          <w:rStyle w:val="FootnoteReference"/>
          <w:sz w:val="18"/>
          <w:szCs w:val="18"/>
          <w:vertAlign w:val="baseline"/>
        </w:rPr>
        <w:footnoteRef/>
      </w:r>
      <w:r w:rsidR="00282864" w:rsidRPr="00B1515C">
        <w:t xml:space="preserve"> </w:t>
      </w:r>
      <w:r w:rsidR="001A3A75" w:rsidRPr="00B1515C">
        <w:tab/>
      </w:r>
      <w:r w:rsidR="00F75232">
        <w:t>‘</w:t>
      </w:r>
      <w:hyperlink r:id="rId249" w:history="1">
        <w:r w:rsidR="00282864" w:rsidRPr="003117C2">
          <w:rPr>
            <w:rStyle w:val="Hyperlink"/>
          </w:rPr>
          <w:t>Information for crypto</w:t>
        </w:r>
        <w:r w:rsidR="00F75232" w:rsidRPr="003117C2">
          <w:rPr>
            <w:rStyle w:val="Hyperlink"/>
          </w:rPr>
          <w:t>-</w:t>
        </w:r>
        <w:r w:rsidR="00282864" w:rsidRPr="003117C2">
          <w:rPr>
            <w:rStyle w:val="Hyperlink"/>
          </w:rPr>
          <w:t>asset users and tax professionals</w:t>
        </w:r>
      </w:hyperlink>
      <w:r w:rsidR="00F75232">
        <w:t>’</w:t>
      </w:r>
      <w:r w:rsidR="00282864" w:rsidRPr="00B1515C">
        <w:t xml:space="preserve">, </w:t>
      </w:r>
      <w:r w:rsidR="00282864" w:rsidRPr="00C77F3F">
        <w:rPr>
          <w:rStyle w:val="Emphasis"/>
        </w:rPr>
        <w:t xml:space="preserve">Canada Revenue Agency </w:t>
      </w:r>
      <w:r w:rsidR="00282864" w:rsidRPr="00B1515C">
        <w:t>(Web Page, 12 December 2023)</w:t>
      </w:r>
      <w:r w:rsidR="00F23CA0" w:rsidRPr="00B1515C">
        <w:t xml:space="preserve"> (</w:t>
      </w:r>
      <w:r w:rsidR="00F75232">
        <w:t>‘</w:t>
      </w:r>
      <w:r w:rsidR="00F23CA0" w:rsidRPr="00C77F3F">
        <w:rPr>
          <w:rStyle w:val="Emphasis"/>
        </w:rPr>
        <w:t>CRA Information for crypto</w:t>
      </w:r>
      <w:r w:rsidR="00F75232">
        <w:rPr>
          <w:rStyle w:val="Emphasis"/>
        </w:rPr>
        <w:t>-</w:t>
      </w:r>
      <w:r w:rsidR="00F23CA0" w:rsidRPr="00C77F3F">
        <w:rPr>
          <w:rStyle w:val="Emphasis"/>
        </w:rPr>
        <w:t>asset users and tax professionals</w:t>
      </w:r>
      <w:r w:rsidR="00F75232">
        <w:t>’</w:t>
      </w:r>
      <w:r w:rsidR="00F23CA0" w:rsidRPr="00B1515C">
        <w:t>).</w:t>
      </w:r>
    </w:p>
  </w:footnote>
  <w:footnote w:id="628">
    <w:p w14:paraId="4DCC3600" w14:textId="44A68AFA" w:rsidR="00AF5A4E" w:rsidRPr="00B1515C" w:rsidRDefault="00815763" w:rsidP="00A01254">
      <w:pPr>
        <w:pStyle w:val="FootnoteText"/>
      </w:pPr>
      <w:r w:rsidRPr="00815763">
        <w:rPr>
          <w:rStyle w:val="FootnoteReference"/>
          <w:sz w:val="18"/>
          <w:szCs w:val="18"/>
          <w:vertAlign w:val="baseline"/>
        </w:rPr>
        <w:footnoteRef/>
      </w:r>
      <w:r w:rsidR="00AF5A4E" w:rsidRPr="00B1515C">
        <w:t xml:space="preserve"> </w:t>
      </w:r>
      <w:r w:rsidR="001A3A75" w:rsidRPr="00B1515C">
        <w:tab/>
      </w:r>
      <w:r w:rsidR="00BD49A5" w:rsidRPr="00B1515C">
        <w:t>CRA Information for crypto</w:t>
      </w:r>
      <w:r w:rsidR="00F75232">
        <w:t>-</w:t>
      </w:r>
      <w:r w:rsidR="00BD49A5" w:rsidRPr="00B1515C">
        <w:t xml:space="preserve">asset users and tax professionals </w:t>
      </w:r>
      <w:r w:rsidR="00795A41" w:rsidRPr="00B1515C">
        <w:t>(</w:t>
      </w:r>
      <w:r w:rsidR="001E44D4">
        <w:t>n 626</w:t>
      </w:r>
      <w:r w:rsidR="00795A41" w:rsidRPr="00B1515C">
        <w:t>)</w:t>
      </w:r>
      <w:r w:rsidR="00A2512C" w:rsidRPr="00B1515C">
        <w:t>.</w:t>
      </w:r>
    </w:p>
  </w:footnote>
  <w:footnote w:id="629">
    <w:p w14:paraId="119776F4" w14:textId="2825F1DC" w:rsidR="006E4AE4" w:rsidRPr="00B1515C" w:rsidRDefault="00815763" w:rsidP="00A01254">
      <w:pPr>
        <w:pStyle w:val="FootnoteText"/>
      </w:pPr>
      <w:r w:rsidRPr="00815763">
        <w:rPr>
          <w:rStyle w:val="FootnoteReference"/>
          <w:vertAlign w:val="baseline"/>
        </w:rPr>
        <w:footnoteRef/>
      </w:r>
      <w:r w:rsidR="006E4AE4" w:rsidRPr="00B1515C">
        <w:t xml:space="preserve"> </w:t>
      </w:r>
      <w:r w:rsidR="001A3A75" w:rsidRPr="00B1515C">
        <w:tab/>
      </w:r>
      <w:r w:rsidR="00673C0E" w:rsidRPr="00B1515C">
        <w:t>U</w:t>
      </w:r>
      <w:r w:rsidR="006E4AE4" w:rsidRPr="00B1515C">
        <w:rPr>
          <w:rFonts w:cstheme="minorHAnsi"/>
        </w:rPr>
        <w:t>nder subsections 231.2(2) and 231.2(3) of the ITA and subsections 289(2) and 289(3) of the Excise Tax Act</w:t>
      </w:r>
      <w:r w:rsidR="00673C0E" w:rsidRPr="00B1515C">
        <w:rPr>
          <w:rFonts w:cstheme="minorHAnsi"/>
        </w:rPr>
        <w:t xml:space="preserve"> (Canada). </w:t>
      </w:r>
    </w:p>
  </w:footnote>
  <w:footnote w:id="630">
    <w:p w14:paraId="07F31A14" w14:textId="39F4A2EC" w:rsidR="00D93558" w:rsidRPr="00B1515C" w:rsidRDefault="00815763" w:rsidP="00A01254">
      <w:pPr>
        <w:pStyle w:val="FootnoteText"/>
      </w:pPr>
      <w:r w:rsidRPr="00815763">
        <w:rPr>
          <w:rStyle w:val="FootnoteReference"/>
          <w:sz w:val="18"/>
          <w:szCs w:val="18"/>
          <w:vertAlign w:val="baseline"/>
        </w:rPr>
        <w:footnoteRef/>
      </w:r>
      <w:r w:rsidR="00D93558" w:rsidRPr="00B1515C">
        <w:t xml:space="preserve"> </w:t>
      </w:r>
      <w:r w:rsidR="001A3A75" w:rsidRPr="00B1515C">
        <w:tab/>
      </w:r>
      <w:r w:rsidR="00F75232">
        <w:t>‘</w:t>
      </w:r>
      <w:hyperlink r:id="rId250" w:history="1">
        <w:r w:rsidR="009C08E6" w:rsidRPr="0094421B">
          <w:rPr>
            <w:rStyle w:val="Hyperlink"/>
          </w:rPr>
          <w:t>Cryptocurrencies</w:t>
        </w:r>
      </w:hyperlink>
      <w:r w:rsidR="00F75232">
        <w:t>’</w:t>
      </w:r>
      <w:r w:rsidR="009C08E6" w:rsidRPr="00B1515C">
        <w:t xml:space="preserve">, </w:t>
      </w:r>
      <w:r w:rsidR="00D93558" w:rsidRPr="00C77F3F">
        <w:rPr>
          <w:rStyle w:val="Emphasis"/>
        </w:rPr>
        <w:t>Financial Markets Authority</w:t>
      </w:r>
      <w:r w:rsidR="00D93558" w:rsidRPr="00B1515C">
        <w:t xml:space="preserve"> (FMA) (</w:t>
      </w:r>
      <w:r w:rsidR="009C08E6" w:rsidRPr="00B1515C">
        <w:t xml:space="preserve">Web Page, </w:t>
      </w:r>
      <w:r w:rsidR="007B37D1" w:rsidRPr="00B1515C">
        <w:t xml:space="preserve">11 February </w:t>
      </w:r>
      <w:r w:rsidR="00D93558" w:rsidRPr="00B1515C">
        <w:t>202</w:t>
      </w:r>
      <w:r w:rsidR="007B37D1" w:rsidRPr="00B1515C">
        <w:t>4</w:t>
      </w:r>
      <w:r w:rsidR="00D93558" w:rsidRPr="00B1515C">
        <w:t>)</w:t>
      </w:r>
      <w:r w:rsidR="0094421B">
        <w:t>.</w:t>
      </w:r>
      <w:r w:rsidR="00D93558" w:rsidRPr="00B1515C">
        <w:t xml:space="preserve"> </w:t>
      </w:r>
    </w:p>
  </w:footnote>
  <w:footnote w:id="631">
    <w:p w14:paraId="143C21AC" w14:textId="2BAD5334" w:rsidR="00D93558" w:rsidRPr="00B1515C" w:rsidRDefault="00815763" w:rsidP="00A01254">
      <w:pPr>
        <w:pStyle w:val="FootnoteText"/>
      </w:pPr>
      <w:r w:rsidRPr="00815763">
        <w:rPr>
          <w:rStyle w:val="FootnoteReference"/>
          <w:sz w:val="18"/>
          <w:szCs w:val="18"/>
          <w:vertAlign w:val="baseline"/>
        </w:rPr>
        <w:footnoteRef/>
      </w:r>
      <w:r w:rsidR="00D93558" w:rsidRPr="00B1515C">
        <w:t xml:space="preserve"> </w:t>
      </w:r>
      <w:r w:rsidR="001A3A75" w:rsidRPr="00B1515C">
        <w:tab/>
      </w:r>
      <w:r w:rsidR="00F75232">
        <w:t>‘</w:t>
      </w:r>
      <w:hyperlink r:id="rId251" w:history="1">
        <w:r w:rsidR="00E876B0" w:rsidRPr="0094421B">
          <w:rPr>
            <w:rStyle w:val="Hyperlink"/>
          </w:rPr>
          <w:t xml:space="preserve">Working out your </w:t>
        </w:r>
        <w:r w:rsidR="00E72F94" w:rsidRPr="0094421B">
          <w:rPr>
            <w:rStyle w:val="Hyperlink"/>
          </w:rPr>
          <w:t>cryptoassets income and expenses</w:t>
        </w:r>
      </w:hyperlink>
      <w:r w:rsidR="00F75232">
        <w:t>’</w:t>
      </w:r>
      <w:r w:rsidR="00E72F94" w:rsidRPr="00B1515C">
        <w:t xml:space="preserve">, </w:t>
      </w:r>
      <w:r w:rsidR="00D93558" w:rsidRPr="00C77F3F">
        <w:rPr>
          <w:rStyle w:val="Emphasis"/>
        </w:rPr>
        <w:t>Inland Revenue NZ</w:t>
      </w:r>
      <w:r w:rsidR="00D93558" w:rsidRPr="00B1515C">
        <w:t xml:space="preserve"> (</w:t>
      </w:r>
      <w:r w:rsidR="00C92690" w:rsidRPr="00B1515C">
        <w:t xml:space="preserve">Web Page, </w:t>
      </w:r>
      <w:r w:rsidR="007B37D1" w:rsidRPr="00B1515C">
        <w:t>11 Febr</w:t>
      </w:r>
      <w:r w:rsidR="00072735" w:rsidRPr="00B1515C">
        <w:t xml:space="preserve">uary </w:t>
      </w:r>
      <w:r w:rsidR="00C92690" w:rsidRPr="00B1515C">
        <w:t>202</w:t>
      </w:r>
      <w:r w:rsidR="00072735" w:rsidRPr="00B1515C">
        <w:t>4</w:t>
      </w:r>
      <w:r w:rsidR="00ED68F9" w:rsidRPr="00B1515C">
        <w:t>)</w:t>
      </w:r>
      <w:r w:rsidR="0094421B">
        <w:t>.</w:t>
      </w:r>
      <w:r w:rsidR="00D93558" w:rsidRPr="00B1515C">
        <w:t xml:space="preserve"> </w:t>
      </w:r>
    </w:p>
  </w:footnote>
  <w:footnote w:id="632">
    <w:p w14:paraId="26585C40" w14:textId="461F6B8E" w:rsidR="00D75548" w:rsidRPr="00B1515C" w:rsidRDefault="00815763" w:rsidP="00A01254">
      <w:pPr>
        <w:pStyle w:val="FootnoteText"/>
      </w:pPr>
      <w:r w:rsidRPr="00815763">
        <w:rPr>
          <w:rStyle w:val="FootnoteReference"/>
          <w:vertAlign w:val="baseline"/>
        </w:rPr>
        <w:footnoteRef/>
      </w:r>
      <w:r w:rsidR="00D75548" w:rsidRPr="00B1515C">
        <w:t xml:space="preserve"> </w:t>
      </w:r>
      <w:r w:rsidR="001A3A75" w:rsidRPr="00B1515C">
        <w:tab/>
      </w:r>
      <w:r w:rsidR="00D75548" w:rsidRPr="00B1515C">
        <w:t>Trading stock means property that a person, who owns or carries on a business, has for the purpose of selling or exchanging in the ordinary course of the business.</w:t>
      </w:r>
    </w:p>
  </w:footnote>
  <w:footnote w:id="633">
    <w:p w14:paraId="7B046170" w14:textId="04964F53" w:rsidR="00AC705D" w:rsidRPr="00B1515C" w:rsidRDefault="00815763" w:rsidP="00A01254">
      <w:pPr>
        <w:pStyle w:val="FootnoteText"/>
      </w:pPr>
      <w:r w:rsidRPr="00815763">
        <w:rPr>
          <w:rStyle w:val="FootnoteReference"/>
          <w:vertAlign w:val="baseline"/>
        </w:rPr>
        <w:footnoteRef/>
      </w:r>
      <w:r w:rsidR="00AC705D" w:rsidRPr="00B1515C">
        <w:t xml:space="preserve"> </w:t>
      </w:r>
      <w:r w:rsidR="001A3A75" w:rsidRPr="00B1515C">
        <w:tab/>
      </w:r>
      <w:r w:rsidR="00F75232">
        <w:t>‘</w:t>
      </w:r>
      <w:hyperlink r:id="rId252" w:anchor=":~:text=Mining%20cryptoassets%20and%20tax,will%20be%20subject%20to%20GST.&amp;text=However%2C%20as%20the%20service%20is,it%20will%20be%20zero%20rated." w:history="1">
        <w:r w:rsidR="00AC705D" w:rsidRPr="0094421B">
          <w:rPr>
            <w:rStyle w:val="Hyperlink"/>
          </w:rPr>
          <w:t>Mining cryptoassets</w:t>
        </w:r>
      </w:hyperlink>
      <w:r w:rsidR="00F75232">
        <w:t>’</w:t>
      </w:r>
      <w:r w:rsidR="00AC705D" w:rsidRPr="00B1515C">
        <w:t xml:space="preserve">, </w:t>
      </w:r>
      <w:r w:rsidR="00AC705D" w:rsidRPr="00C77F3F">
        <w:rPr>
          <w:rStyle w:val="Emphasis"/>
        </w:rPr>
        <w:t>Inlan</w:t>
      </w:r>
      <w:r w:rsidR="00C32F9C" w:rsidRPr="00C77F3F">
        <w:rPr>
          <w:rStyle w:val="Emphasis"/>
        </w:rPr>
        <w:t xml:space="preserve">d Revenue NZ </w:t>
      </w:r>
      <w:r w:rsidR="00C32F9C" w:rsidRPr="00B1515C">
        <w:t>(Web Page, 28 April 2021)</w:t>
      </w:r>
      <w:r w:rsidR="0094421B">
        <w:t>.</w:t>
      </w:r>
      <w:r w:rsidR="00C32F9C" w:rsidRPr="00B1515C">
        <w:t xml:space="preserve"> </w:t>
      </w:r>
    </w:p>
  </w:footnote>
  <w:footnote w:id="634">
    <w:p w14:paraId="3BE22846" w14:textId="58BAD953" w:rsidR="007072F3" w:rsidRPr="00B1515C" w:rsidRDefault="00815763" w:rsidP="00A01254">
      <w:pPr>
        <w:pStyle w:val="FootnoteText"/>
      </w:pPr>
      <w:r w:rsidRPr="00815763">
        <w:rPr>
          <w:rStyle w:val="FootnoteReference"/>
          <w:vertAlign w:val="baseline"/>
        </w:rPr>
        <w:footnoteRef/>
      </w:r>
      <w:r w:rsidR="007072F3" w:rsidRPr="00B1515C">
        <w:t xml:space="preserve"> </w:t>
      </w:r>
      <w:r w:rsidR="001A3A75" w:rsidRPr="00B1515C">
        <w:tab/>
      </w:r>
      <w:r w:rsidR="00F75232">
        <w:t>‘</w:t>
      </w:r>
      <w:hyperlink r:id="rId253" w:history="1">
        <w:r w:rsidR="00BF49E5" w:rsidRPr="0094421B">
          <w:rPr>
            <w:rStyle w:val="Hyperlink"/>
          </w:rPr>
          <w:t>Airdrops</w:t>
        </w:r>
      </w:hyperlink>
      <w:r w:rsidR="00F75232">
        <w:t>’</w:t>
      </w:r>
      <w:r w:rsidR="00BF49E5" w:rsidRPr="00B1515C">
        <w:t xml:space="preserve">, </w:t>
      </w:r>
      <w:r w:rsidR="00BF49E5" w:rsidRPr="00C77F3F">
        <w:rPr>
          <w:rStyle w:val="Emphasis"/>
        </w:rPr>
        <w:t>Inland Revenue NZ</w:t>
      </w:r>
      <w:r w:rsidR="00BF49E5" w:rsidRPr="00B1515C">
        <w:t xml:space="preserve"> (Web Page, 29 July 2021)</w:t>
      </w:r>
      <w:r w:rsidR="0094421B">
        <w:t>.</w:t>
      </w:r>
    </w:p>
  </w:footnote>
  <w:footnote w:id="635">
    <w:p w14:paraId="1A0AB890" w14:textId="074E0841" w:rsidR="00371DB2" w:rsidRPr="00C77F3F" w:rsidRDefault="00815763" w:rsidP="00A01254">
      <w:pPr>
        <w:pStyle w:val="FootnoteText"/>
        <w:rPr>
          <w:rStyle w:val="Emphasis"/>
        </w:rPr>
      </w:pPr>
      <w:r w:rsidRPr="00815763">
        <w:rPr>
          <w:rStyle w:val="FootnoteReference"/>
          <w:vertAlign w:val="baseline"/>
        </w:rPr>
        <w:footnoteRef/>
      </w:r>
      <w:r w:rsidR="00371DB2" w:rsidRPr="00B1515C">
        <w:t xml:space="preserve"> </w:t>
      </w:r>
      <w:r w:rsidR="001A3A75" w:rsidRPr="00B1515C">
        <w:tab/>
      </w:r>
      <w:r w:rsidR="00F75232">
        <w:t>‘</w:t>
      </w:r>
      <w:hyperlink r:id="rId254" w:anchor=":~:text=If%20you%20receive%20cryptoassets%20as,GST%20rules%20apply%20from%20there." w:history="1">
        <w:r w:rsidR="00371DB2" w:rsidRPr="003A57D8">
          <w:rPr>
            <w:rStyle w:val="Hyperlink"/>
          </w:rPr>
          <w:t>Cryptoassets and GST (goods and services tax)</w:t>
        </w:r>
      </w:hyperlink>
      <w:r w:rsidR="00F75232">
        <w:t>’</w:t>
      </w:r>
      <w:r w:rsidR="00371DB2" w:rsidRPr="00B1515C">
        <w:t xml:space="preserve">, </w:t>
      </w:r>
      <w:r w:rsidR="00872135" w:rsidRPr="00C77F3F">
        <w:rPr>
          <w:rStyle w:val="Emphasis"/>
        </w:rPr>
        <w:t xml:space="preserve">NZ </w:t>
      </w:r>
      <w:r w:rsidR="00371DB2" w:rsidRPr="00C77F3F">
        <w:rPr>
          <w:rStyle w:val="Emphasis"/>
        </w:rPr>
        <w:t xml:space="preserve">Inland Revenue </w:t>
      </w:r>
      <w:r w:rsidR="00371DB2" w:rsidRPr="00B1515C">
        <w:t xml:space="preserve">(Web Page, </w:t>
      </w:r>
      <w:r w:rsidR="00894367" w:rsidRPr="00B1515C">
        <w:t>30 August 2022)</w:t>
      </w:r>
      <w:r w:rsidR="003A57D8">
        <w:t>.</w:t>
      </w:r>
      <w:r w:rsidR="00371DB2" w:rsidRPr="00C77F3F">
        <w:rPr>
          <w:rStyle w:val="Emphasis"/>
        </w:rPr>
        <w:t xml:space="preserve"> </w:t>
      </w:r>
    </w:p>
  </w:footnote>
  <w:footnote w:id="636">
    <w:p w14:paraId="7EE01D03" w14:textId="4EFA7D96" w:rsidR="00894367" w:rsidRPr="00B1515C" w:rsidRDefault="00815763" w:rsidP="00A01254">
      <w:pPr>
        <w:pStyle w:val="FootnoteText"/>
      </w:pPr>
      <w:r w:rsidRPr="00815763">
        <w:rPr>
          <w:rStyle w:val="FootnoteReference"/>
          <w:vertAlign w:val="baseline"/>
        </w:rPr>
        <w:footnoteRef/>
      </w:r>
      <w:r w:rsidR="00894367" w:rsidRPr="00B1515C">
        <w:t xml:space="preserve"> </w:t>
      </w:r>
      <w:r w:rsidR="001A3A75" w:rsidRPr="00B1515C">
        <w:tab/>
      </w:r>
      <w:r w:rsidR="00F75232">
        <w:t>‘</w:t>
      </w:r>
      <w:hyperlink r:id="rId255" w:history="1">
        <w:r w:rsidR="00D00472" w:rsidRPr="003A57D8">
          <w:rPr>
            <w:rStyle w:val="Hyperlink"/>
          </w:rPr>
          <w:t>Airdrops</w:t>
        </w:r>
      </w:hyperlink>
      <w:r w:rsidR="00F75232">
        <w:t>’</w:t>
      </w:r>
      <w:r w:rsidR="00D00472" w:rsidRPr="00B1515C">
        <w:t xml:space="preserve">, </w:t>
      </w:r>
      <w:r w:rsidR="00872135" w:rsidRPr="00C77F3F">
        <w:rPr>
          <w:rStyle w:val="Emphasis"/>
        </w:rPr>
        <w:t xml:space="preserve">NZ Inland Revenue </w:t>
      </w:r>
      <w:r w:rsidR="00D00472" w:rsidRPr="00B1515C">
        <w:t>(Web Page, 29 July 2021)</w:t>
      </w:r>
      <w:r w:rsidR="003A57D8">
        <w:t>.</w:t>
      </w:r>
    </w:p>
  </w:footnote>
  <w:footnote w:id="637">
    <w:p w14:paraId="16A8B68A" w14:textId="04BB6AAE" w:rsidR="00D93558" w:rsidRPr="00B1515C" w:rsidRDefault="00815763" w:rsidP="00A01254">
      <w:pPr>
        <w:pStyle w:val="FootnoteText"/>
      </w:pPr>
      <w:r w:rsidRPr="00815763">
        <w:rPr>
          <w:rStyle w:val="FootnoteReference"/>
          <w:vertAlign w:val="baseline"/>
        </w:rPr>
        <w:footnoteRef/>
      </w:r>
      <w:r w:rsidR="00D93558" w:rsidRPr="00B1515C">
        <w:t xml:space="preserve"> </w:t>
      </w:r>
      <w:r w:rsidR="001A3A75" w:rsidRPr="00B1515C">
        <w:tab/>
      </w:r>
      <w:r w:rsidR="00F75232">
        <w:t>‘</w:t>
      </w:r>
      <w:hyperlink r:id="rId256" w:history="1">
        <w:r w:rsidR="00943E04" w:rsidRPr="003A57D8">
          <w:rPr>
            <w:rStyle w:val="Hyperlink"/>
          </w:rPr>
          <w:t>Taxing crypto asset income</w:t>
        </w:r>
      </w:hyperlink>
      <w:r w:rsidR="00F75232">
        <w:t>’</w:t>
      </w:r>
      <w:r w:rsidR="00943E04" w:rsidRPr="00B1515C">
        <w:t xml:space="preserve">, </w:t>
      </w:r>
      <w:r w:rsidR="00872135" w:rsidRPr="00C77F3F">
        <w:rPr>
          <w:rStyle w:val="Emphasis"/>
        </w:rPr>
        <w:t xml:space="preserve">NZ Inland Revenue </w:t>
      </w:r>
      <w:r w:rsidR="00D93558" w:rsidRPr="00B1515C">
        <w:t>(</w:t>
      </w:r>
      <w:r w:rsidR="00943E04" w:rsidRPr="00B1515C">
        <w:t xml:space="preserve">Web Page, </w:t>
      </w:r>
      <w:r w:rsidR="00C450AC" w:rsidRPr="00B1515C">
        <w:t xml:space="preserve">28 April </w:t>
      </w:r>
      <w:r w:rsidR="00D93558" w:rsidRPr="00B1515C">
        <w:t>2021)</w:t>
      </w:r>
      <w:r w:rsidR="003A57D8">
        <w:t>.</w:t>
      </w:r>
    </w:p>
  </w:footnote>
  <w:footnote w:id="638">
    <w:p w14:paraId="616F8AFF" w14:textId="0A295FD6" w:rsidR="00D93558" w:rsidRPr="00B1515C" w:rsidRDefault="00815763" w:rsidP="00A01254">
      <w:pPr>
        <w:pStyle w:val="FootnoteText"/>
      </w:pPr>
      <w:r w:rsidRPr="00815763">
        <w:rPr>
          <w:rStyle w:val="FootnoteReference"/>
          <w:vertAlign w:val="baseline"/>
        </w:rPr>
        <w:footnoteRef/>
      </w:r>
      <w:r w:rsidR="00D93558" w:rsidRPr="00B1515C">
        <w:t xml:space="preserve"> </w:t>
      </w:r>
      <w:r w:rsidR="001A3A75" w:rsidRPr="00B1515C">
        <w:tab/>
      </w:r>
      <w:r w:rsidR="00F75232">
        <w:t>‘</w:t>
      </w:r>
      <w:hyperlink r:id="rId257" w:history="1">
        <w:r w:rsidR="00C450AC" w:rsidRPr="003A57D8">
          <w:rPr>
            <w:rStyle w:val="Hyperlink"/>
          </w:rPr>
          <w:t>Buying and selling cryptoassets</w:t>
        </w:r>
      </w:hyperlink>
      <w:r w:rsidR="00F75232">
        <w:t>’</w:t>
      </w:r>
      <w:r w:rsidR="00C450AC" w:rsidRPr="00B1515C">
        <w:t xml:space="preserve">, </w:t>
      </w:r>
      <w:r w:rsidR="00872135" w:rsidRPr="00C77F3F">
        <w:rPr>
          <w:rStyle w:val="Emphasis"/>
        </w:rPr>
        <w:t xml:space="preserve">NZ Inland Revenue </w:t>
      </w:r>
      <w:r w:rsidR="00D93558" w:rsidRPr="00B1515C">
        <w:t>(</w:t>
      </w:r>
      <w:r w:rsidR="00C450AC" w:rsidRPr="00B1515C">
        <w:t xml:space="preserve">Web Page, 30 August </w:t>
      </w:r>
      <w:r w:rsidR="00D93558" w:rsidRPr="00B1515C">
        <w:t>2022</w:t>
      </w:r>
      <w:r w:rsidR="00ED68F9" w:rsidRPr="00B1515C">
        <w:t>)</w:t>
      </w:r>
      <w:r w:rsidR="003A57D8">
        <w:t>.</w:t>
      </w:r>
      <w:r w:rsidR="00D93558" w:rsidRPr="00B1515C">
        <w:t xml:space="preserve"> </w:t>
      </w:r>
    </w:p>
  </w:footnote>
  <w:footnote w:id="639">
    <w:p w14:paraId="0F3441B1" w14:textId="746BE09B" w:rsidR="00D93558" w:rsidRPr="00B1515C" w:rsidRDefault="00815763" w:rsidP="00A01254">
      <w:pPr>
        <w:pStyle w:val="FootnoteText"/>
      </w:pPr>
      <w:r w:rsidRPr="00815763">
        <w:rPr>
          <w:rStyle w:val="FootnoteReference"/>
          <w:vertAlign w:val="baseline"/>
        </w:rPr>
        <w:footnoteRef/>
      </w:r>
      <w:r w:rsidR="00D93558" w:rsidRPr="00B1515C">
        <w:t xml:space="preserve"> </w:t>
      </w:r>
      <w:r w:rsidR="001A3A75" w:rsidRPr="00B1515C">
        <w:tab/>
      </w:r>
      <w:r w:rsidR="00F75232">
        <w:t>‘</w:t>
      </w:r>
      <w:hyperlink r:id="rId258" w:history="1">
        <w:r w:rsidR="008A62EE" w:rsidRPr="003A57D8">
          <w:rPr>
            <w:rStyle w:val="Hyperlink"/>
          </w:rPr>
          <w:t>Cryptoassets and tax residence</w:t>
        </w:r>
        <w:r w:rsidR="00F75232" w:rsidRPr="003A57D8">
          <w:t>’</w:t>
        </w:r>
      </w:hyperlink>
      <w:r w:rsidR="008A62EE" w:rsidRPr="00B1515C">
        <w:t xml:space="preserve">, </w:t>
      </w:r>
      <w:r w:rsidR="00872135" w:rsidRPr="00C77F3F">
        <w:rPr>
          <w:rStyle w:val="Emphasis"/>
        </w:rPr>
        <w:t xml:space="preserve">NZ Inland Revenue </w:t>
      </w:r>
      <w:r w:rsidR="00D93558" w:rsidRPr="00B1515C">
        <w:t>(</w:t>
      </w:r>
      <w:r w:rsidR="008A62EE" w:rsidRPr="00B1515C">
        <w:t xml:space="preserve">Web Page, 28 April </w:t>
      </w:r>
      <w:r w:rsidR="00D93558" w:rsidRPr="00B1515C">
        <w:t>2021)</w:t>
      </w:r>
      <w:r w:rsidR="003A57D8">
        <w:t>.</w:t>
      </w:r>
      <w:r w:rsidR="00D93558" w:rsidRPr="00B1515C">
        <w:t xml:space="preserve"> </w:t>
      </w:r>
    </w:p>
  </w:footnote>
  <w:footnote w:id="640">
    <w:p w14:paraId="62C8C9BD" w14:textId="724A0DCB" w:rsidR="00D93558" w:rsidRPr="00B1515C" w:rsidRDefault="00815763" w:rsidP="00A01254">
      <w:pPr>
        <w:pStyle w:val="FootnoteText"/>
      </w:pPr>
      <w:r w:rsidRPr="00815763">
        <w:rPr>
          <w:rStyle w:val="FootnoteReference"/>
          <w:vertAlign w:val="baseline"/>
        </w:rPr>
        <w:footnoteRef/>
      </w:r>
      <w:r w:rsidR="00D93558" w:rsidRPr="00B1515C">
        <w:t xml:space="preserve"> </w:t>
      </w:r>
      <w:r w:rsidR="001A3A75" w:rsidRPr="00B1515C">
        <w:tab/>
      </w:r>
      <w:r w:rsidR="00C04342" w:rsidRPr="00B1515C">
        <w:t xml:space="preserve">Inland Revenue, </w:t>
      </w:r>
      <w:r w:rsidR="00D93558" w:rsidRPr="00C77F3F">
        <w:rPr>
          <w:rStyle w:val="Emphasis"/>
        </w:rPr>
        <w:t>Income tax – application of the employee share scheme rules to employer issued crypto</w:t>
      </w:r>
      <w:r w:rsidR="00F75232">
        <w:rPr>
          <w:rStyle w:val="Emphasis"/>
        </w:rPr>
        <w:t>-</w:t>
      </w:r>
      <w:r w:rsidR="00D93558" w:rsidRPr="00C77F3F">
        <w:rPr>
          <w:rStyle w:val="Emphasis"/>
        </w:rPr>
        <w:t>assets provided to an employee</w:t>
      </w:r>
      <w:r w:rsidR="00C04342" w:rsidRPr="00B1515C">
        <w:t xml:space="preserve"> </w:t>
      </w:r>
      <w:r w:rsidR="00677B44" w:rsidRPr="00B1515C">
        <w:t>(</w:t>
      </w:r>
      <w:r w:rsidR="00C04342" w:rsidRPr="00B1515C">
        <w:t xml:space="preserve">Public Ruling </w:t>
      </w:r>
      <w:hyperlink r:id="rId259" w:history="1">
        <w:r w:rsidR="00C04342" w:rsidRPr="008E0E4E">
          <w:rPr>
            <w:rStyle w:val="Hyperlink"/>
          </w:rPr>
          <w:t xml:space="preserve">BR Pub </w:t>
        </w:r>
        <w:r w:rsidR="00D12BD2">
          <w:rPr>
            <w:rStyle w:val="Hyperlink"/>
          </w:rPr>
          <w:t>23/07</w:t>
        </w:r>
      </w:hyperlink>
      <w:r w:rsidR="00677B44" w:rsidRPr="00B1515C">
        <w:t xml:space="preserve">, </w:t>
      </w:r>
      <w:r w:rsidR="001B36E0">
        <w:t>15 May 2023</w:t>
      </w:r>
      <w:r w:rsidR="00677B44" w:rsidRPr="00B1515C">
        <w:t xml:space="preserve">). </w:t>
      </w:r>
    </w:p>
  </w:footnote>
  <w:footnote w:id="641">
    <w:p w14:paraId="6C7FA963" w14:textId="048E1229" w:rsidR="00942736" w:rsidRPr="00B1515C" w:rsidRDefault="00815763" w:rsidP="00A01254">
      <w:pPr>
        <w:pStyle w:val="FootnoteText"/>
      </w:pPr>
      <w:r w:rsidRPr="00815763">
        <w:rPr>
          <w:rStyle w:val="FootnoteReference"/>
          <w:vertAlign w:val="baseline"/>
        </w:rPr>
        <w:footnoteRef/>
      </w:r>
      <w:r w:rsidR="00942736" w:rsidRPr="00B1515C">
        <w:t xml:space="preserve"> </w:t>
      </w:r>
      <w:r w:rsidR="001A3A75" w:rsidRPr="00B1515C">
        <w:tab/>
      </w:r>
      <w:r w:rsidR="00F75232">
        <w:t>‘</w:t>
      </w:r>
      <w:hyperlink r:id="rId260" w:history="1">
        <w:r w:rsidR="00E02267" w:rsidRPr="008E0E4E">
          <w:rPr>
            <w:rStyle w:val="Hyperlink"/>
          </w:rPr>
          <w:t>Record keeping for cryptoassets</w:t>
        </w:r>
      </w:hyperlink>
      <w:r w:rsidR="00F75232">
        <w:t>’</w:t>
      </w:r>
      <w:r w:rsidR="00E02267" w:rsidRPr="00B1515C">
        <w:t xml:space="preserve">, </w:t>
      </w:r>
      <w:r w:rsidR="00982106" w:rsidRPr="00C77F3F">
        <w:rPr>
          <w:rStyle w:val="Emphasis"/>
        </w:rPr>
        <w:t xml:space="preserve">NZ Inland Revenue </w:t>
      </w:r>
      <w:r w:rsidR="00E02267" w:rsidRPr="00B1515C">
        <w:t>(Web Page, 28 April 2021)</w:t>
      </w:r>
      <w:r w:rsidR="008E0E4E">
        <w:t>.</w:t>
      </w:r>
    </w:p>
  </w:footnote>
  <w:footnote w:id="642">
    <w:p w14:paraId="3E21BF5B" w14:textId="3F6F32CD" w:rsidR="00B86AE3" w:rsidRPr="00802178" w:rsidRDefault="00B86AE3" w:rsidP="00A01254">
      <w:pPr>
        <w:pStyle w:val="FootnoteText"/>
      </w:pPr>
      <w:r w:rsidRPr="00BF2377">
        <w:rPr>
          <w:rStyle w:val="FootnoteReference"/>
          <w:vertAlign w:val="baseline"/>
        </w:rPr>
        <w:footnoteRef/>
      </w:r>
      <w:r>
        <w:t xml:space="preserve"> </w:t>
      </w:r>
      <w:r>
        <w:tab/>
        <w:t>‘</w:t>
      </w:r>
      <w:hyperlink r:id="rId261" w:history="1">
        <w:r w:rsidRPr="00823A90">
          <w:rPr>
            <w:rStyle w:val="Hyperlink"/>
          </w:rPr>
          <w:t>Calculating the New Zealand dollar value of cryptoassets</w:t>
        </w:r>
      </w:hyperlink>
      <w:r>
        <w:t xml:space="preserve">’, </w:t>
      </w:r>
      <w:r>
        <w:rPr>
          <w:i/>
          <w:iCs/>
        </w:rPr>
        <w:t xml:space="preserve">Inland Revenue </w:t>
      </w:r>
      <w:r>
        <w:t>(Web Page, 7 September 2020)</w:t>
      </w:r>
      <w:r w:rsidR="00823A90">
        <w:t>.</w:t>
      </w:r>
    </w:p>
  </w:footnote>
  <w:footnote w:id="643">
    <w:p w14:paraId="5392F669"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r>
      <w:r w:rsidRPr="00B1515C">
        <w:rPr>
          <w:rFonts w:eastAsiaTheme="minorHAnsi"/>
          <w:color w:val="000000"/>
        </w:rPr>
        <w:t>Represents a digital right that can be used or is intended to be used as a means of payment for goods and/or services. Common payment tokens include Bitcoin and Ether.</w:t>
      </w:r>
    </w:p>
  </w:footnote>
  <w:footnote w:id="644">
    <w:p w14:paraId="4804019F"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r>
      <w:r w:rsidRPr="00B1515C">
        <w:rPr>
          <w:rFonts w:eastAsiaTheme="minorHAnsi"/>
        </w:rPr>
        <w:t>Represents a right to a good or service.</w:t>
      </w:r>
    </w:p>
  </w:footnote>
  <w:footnote w:id="645">
    <w:p w14:paraId="5CBF04AE" w14:textId="06CA0DB3" w:rsidR="009B4E83" w:rsidRPr="00B1515C" w:rsidRDefault="009B4E83" w:rsidP="00A01254">
      <w:pPr>
        <w:pStyle w:val="FootnoteText"/>
      </w:pPr>
      <w:r w:rsidRPr="00815763">
        <w:rPr>
          <w:rStyle w:val="FootnoteReference"/>
          <w:vertAlign w:val="baseline"/>
        </w:rPr>
        <w:footnoteRef/>
      </w:r>
      <w:r w:rsidRPr="00B1515C">
        <w:t xml:space="preserve"> </w:t>
      </w:r>
      <w:r w:rsidRPr="00B1515C">
        <w:tab/>
      </w:r>
      <w:r w:rsidRPr="00B1515C">
        <w:rPr>
          <w:rFonts w:eastAsiaTheme="minorHAnsi"/>
        </w:rPr>
        <w:t>Represents a stake or an investment in an underlying asset e.g. shares in company</w:t>
      </w:r>
      <w:r w:rsidR="0039599C">
        <w:rPr>
          <w:rFonts w:eastAsiaTheme="minorHAnsi"/>
        </w:rPr>
        <w:t xml:space="preserve"> or</w:t>
      </w:r>
      <w:r w:rsidR="0039599C" w:rsidRPr="00B1515C">
        <w:rPr>
          <w:rFonts w:eastAsiaTheme="minorHAnsi"/>
        </w:rPr>
        <w:t xml:space="preserve"> </w:t>
      </w:r>
      <w:r w:rsidRPr="00B1515C">
        <w:rPr>
          <w:rFonts w:eastAsiaTheme="minorHAnsi"/>
        </w:rPr>
        <w:t>bonds.</w:t>
      </w:r>
    </w:p>
  </w:footnote>
  <w:footnote w:id="646">
    <w:p w14:paraId="272371D6"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t>With reference to section 2A of the GST Act (Singapore) digital payment tokens have the following characteristics: (i)</w:t>
      </w:r>
      <w:r>
        <w:t> </w:t>
      </w:r>
      <w:r w:rsidRPr="00B1515C">
        <w:t>it is expressed as a unit; (ii) it is designed to be fungible; (iii) it is not denominated in any currency, and is not pegged by its issuer to any currency; (iv) it can be transferred, stored or traded electronically; and (v) it is, or is intended to be, a medium of exchange accepted by the public, without any substantial restrictions on its uses as consideration. But it does not include: (vi) money; (vii) anything which if</w:t>
      </w:r>
      <w:r w:rsidRPr="00B1515C">
        <w:rPr>
          <w:lang w:val="en-SG"/>
        </w:rPr>
        <w:t xml:space="preserve"> supplied, would be an exempt supply under Part I of Fourth Schedule to the GST Act for a reason other than being a supply of a digital token(s) having the characteristics of (i) to (iv); (viii) anything which gives an entitlement to receive or to direct the supply of goods or services from a specific person or persons and ceases to function as a medium of exchange after the entitlement has been used.</w:t>
      </w:r>
    </w:p>
  </w:footnote>
  <w:footnote w:id="647">
    <w:p w14:paraId="15D2E46E"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t xml:space="preserve">Under </w:t>
      </w:r>
      <w:r w:rsidRPr="00C77F3F">
        <w:rPr>
          <w:rStyle w:val="Emphasis"/>
        </w:rPr>
        <w:t xml:space="preserve">GST Act </w:t>
      </w:r>
      <w:r w:rsidRPr="00B1515C">
        <w:t xml:space="preserve">(Singapore) para 1(e) and 1(f) of Part I of the Fourth Schedule. </w:t>
      </w:r>
    </w:p>
  </w:footnote>
  <w:footnote w:id="648">
    <w:p w14:paraId="56920097"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r>
      <w:r>
        <w:t>‘</w:t>
      </w:r>
      <w:hyperlink r:id="rId262" w:history="1">
        <w:r w:rsidRPr="00C51712">
          <w:rPr>
            <w:rStyle w:val="Hyperlink"/>
          </w:rPr>
          <w:t>IRAS e-Tax Guide GST: Treatment of Vouchers (Fifth Edition)</w:t>
        </w:r>
      </w:hyperlink>
      <w:r>
        <w:t>’</w:t>
      </w:r>
      <w:r w:rsidRPr="00B1515C">
        <w:t xml:space="preserve">, </w:t>
      </w:r>
      <w:r w:rsidRPr="00C77F3F">
        <w:rPr>
          <w:rStyle w:val="Emphasis"/>
        </w:rPr>
        <w:t>IRAS</w:t>
      </w:r>
      <w:r w:rsidRPr="00B1515C">
        <w:t xml:space="preserve"> (Guide, 1 January 2024)</w:t>
      </w:r>
      <w:r>
        <w:t>.</w:t>
      </w:r>
    </w:p>
  </w:footnote>
  <w:footnote w:id="649">
    <w:p w14:paraId="3A2D7646"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r>
      <w:r>
        <w:t>‘</w:t>
      </w:r>
      <w:hyperlink r:id="rId263" w:history="1">
        <w:r w:rsidRPr="00AE4DD9">
          <w:rPr>
            <w:rStyle w:val="Hyperlink"/>
          </w:rPr>
          <w:t>IRAS e-Tax Guide Income Tax Treatment of Digital Tokens</w:t>
        </w:r>
      </w:hyperlink>
      <w:r>
        <w:t>’</w:t>
      </w:r>
      <w:r w:rsidRPr="00B1515C">
        <w:t xml:space="preserve">, </w:t>
      </w:r>
      <w:r w:rsidRPr="00C77F3F">
        <w:rPr>
          <w:rStyle w:val="Emphasis"/>
        </w:rPr>
        <w:t>IRAS</w:t>
      </w:r>
      <w:r w:rsidRPr="00B1515C">
        <w:t xml:space="preserve"> (Guide, 9 October 2020) (</w:t>
      </w:r>
      <w:r>
        <w:rPr>
          <w:rStyle w:val="Emphasis"/>
        </w:rPr>
        <w:t>‘</w:t>
      </w:r>
      <w:r w:rsidRPr="00C77F3F">
        <w:rPr>
          <w:rStyle w:val="Emphasis"/>
        </w:rPr>
        <w:t>IRAS Income Tax Guide</w:t>
      </w:r>
      <w:r>
        <w:rPr>
          <w:rStyle w:val="Emphasis"/>
        </w:rPr>
        <w:t>’</w:t>
      </w:r>
      <w:r w:rsidRPr="00C77F3F">
        <w:rPr>
          <w:rStyle w:val="Emphasis"/>
        </w:rPr>
        <w:t>)</w:t>
      </w:r>
      <w:r w:rsidRPr="00B1515C">
        <w:t>.</w:t>
      </w:r>
    </w:p>
  </w:footnote>
  <w:footnote w:id="650">
    <w:p w14:paraId="7D1F37F6"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r>
      <w:r>
        <w:t>‘</w:t>
      </w:r>
      <w:hyperlink r:id="rId264" w:history="1">
        <w:r w:rsidRPr="00AE4DD9">
          <w:rPr>
            <w:rStyle w:val="Hyperlink"/>
          </w:rPr>
          <w:t>IRAS e-Tax Guide GST: Digital Payment Tokens (Second Edition)</w:t>
        </w:r>
      </w:hyperlink>
      <w:r>
        <w:t>’</w:t>
      </w:r>
      <w:r w:rsidRPr="00B1515C">
        <w:t xml:space="preserve">, </w:t>
      </w:r>
      <w:r w:rsidRPr="00C77F3F">
        <w:rPr>
          <w:rStyle w:val="Emphasis"/>
        </w:rPr>
        <w:t>IRAS</w:t>
      </w:r>
      <w:r w:rsidRPr="00B1515C">
        <w:t xml:space="preserve"> (Guide, 3 August 2022)</w:t>
      </w:r>
      <w:r>
        <w:t>.</w:t>
      </w:r>
    </w:p>
  </w:footnote>
  <w:footnote w:id="651">
    <w:p w14:paraId="31B2E515" w14:textId="442E6E50" w:rsidR="009B4E83" w:rsidRPr="00B1515C" w:rsidRDefault="009B4E83" w:rsidP="00A01254">
      <w:pPr>
        <w:pStyle w:val="FootnoteText"/>
      </w:pPr>
      <w:r w:rsidRPr="00815763">
        <w:rPr>
          <w:rStyle w:val="FootnoteReference"/>
          <w:vertAlign w:val="baseline"/>
        </w:rPr>
        <w:footnoteRef/>
      </w:r>
      <w:r w:rsidRPr="00B1515C">
        <w:t xml:space="preserve"> </w:t>
      </w:r>
      <w:r w:rsidRPr="00B1515C">
        <w:tab/>
        <w:t>IRAS Income Tax Guide (</w:t>
      </w:r>
      <w:r w:rsidR="001E44D4">
        <w:t>n 648</w:t>
      </w:r>
      <w:r w:rsidRPr="00B1515C">
        <w:t>) [12].</w:t>
      </w:r>
    </w:p>
  </w:footnote>
  <w:footnote w:id="652">
    <w:p w14:paraId="370B3544" w14:textId="77777777" w:rsidR="009B4E83" w:rsidRPr="00B1515C" w:rsidRDefault="009B4E83" w:rsidP="00A01254">
      <w:pPr>
        <w:pStyle w:val="FootnoteText"/>
      </w:pPr>
      <w:r w:rsidRPr="00815763">
        <w:rPr>
          <w:rStyle w:val="FootnoteReference"/>
          <w:vertAlign w:val="baseline"/>
        </w:rPr>
        <w:footnoteRef/>
      </w:r>
      <w:r w:rsidRPr="00B1515C">
        <w:t xml:space="preserve"> </w:t>
      </w:r>
      <w:r w:rsidRPr="00B1515C">
        <w:tab/>
        <w:t>For example, it is determined using an average of exchange rates available on payment token exchanges, such as Coinbase and Binance. Where the exchange rate is not available on exchanges, taxpayers can use other means to support their claim that the basis of the exchange rate used is reasonable.</w:t>
      </w:r>
    </w:p>
  </w:footnote>
  <w:footnote w:id="653">
    <w:p w14:paraId="36211D42" w14:textId="4C654940" w:rsidR="000D40FB" w:rsidRPr="00B1515C" w:rsidRDefault="00815763" w:rsidP="00A01254">
      <w:pPr>
        <w:pStyle w:val="FootnoteText"/>
      </w:pPr>
      <w:r w:rsidRPr="00815763">
        <w:rPr>
          <w:rStyle w:val="FootnoteReference"/>
          <w:vertAlign w:val="baseline"/>
        </w:rPr>
        <w:footnoteRef/>
      </w:r>
      <w:r w:rsidR="000D40FB" w:rsidRPr="00B1515C">
        <w:t xml:space="preserve"> </w:t>
      </w:r>
      <w:r w:rsidR="001A3A75" w:rsidRPr="00B1515C">
        <w:tab/>
      </w:r>
      <w:r w:rsidR="000D40FB" w:rsidRPr="00B1515C">
        <w:rPr>
          <w:rFonts w:asciiTheme="minorHAnsi" w:eastAsiaTheme="minorHAnsi" w:hAnsiTheme="minorHAnsi" w:cstheme="minorBidi"/>
          <w:lang w:eastAsia="en-US"/>
        </w:rPr>
        <w:t xml:space="preserve">The term </w:t>
      </w:r>
      <w:r w:rsidR="00F75232">
        <w:rPr>
          <w:rFonts w:asciiTheme="minorHAnsi" w:eastAsiaTheme="minorHAnsi" w:hAnsiTheme="minorHAnsi" w:cstheme="minorBidi"/>
          <w:lang w:eastAsia="en-US"/>
        </w:rPr>
        <w:t>‘</w:t>
      </w:r>
      <w:r w:rsidR="000D40FB" w:rsidRPr="00B1515C">
        <w:rPr>
          <w:rFonts w:asciiTheme="minorHAnsi" w:eastAsiaTheme="minorHAnsi" w:hAnsiTheme="minorHAnsi" w:cstheme="minorBidi"/>
          <w:lang w:eastAsia="en-US"/>
        </w:rPr>
        <w:t>gambling</w:t>
      </w:r>
      <w:r w:rsidR="00F75232">
        <w:rPr>
          <w:rFonts w:asciiTheme="minorHAnsi" w:eastAsiaTheme="minorHAnsi" w:hAnsiTheme="minorHAnsi" w:cstheme="minorBidi"/>
          <w:lang w:eastAsia="en-US"/>
        </w:rPr>
        <w:t>’</w:t>
      </w:r>
      <w:r w:rsidR="000D40FB" w:rsidRPr="00B1515C">
        <w:rPr>
          <w:rFonts w:asciiTheme="minorHAnsi" w:eastAsiaTheme="minorHAnsi" w:hAnsiTheme="minorHAnsi" w:cstheme="minorBidi"/>
          <w:lang w:eastAsia="en-US"/>
        </w:rPr>
        <w:t xml:space="preserve"> is not defined and whether a transaction can be characterised as betting or gambling is a question of fact.</w:t>
      </w:r>
    </w:p>
  </w:footnote>
  <w:footnote w:id="654">
    <w:p w14:paraId="2FA964CE" w14:textId="68F3ECF1" w:rsidR="00F876D7" w:rsidRPr="00B1515C" w:rsidRDefault="00815763" w:rsidP="00A01254">
      <w:pPr>
        <w:pStyle w:val="FootnoteText"/>
      </w:pPr>
      <w:r w:rsidRPr="00815763">
        <w:rPr>
          <w:rStyle w:val="FootnoteReference"/>
          <w:vertAlign w:val="baseline"/>
        </w:rPr>
        <w:footnoteRef/>
      </w:r>
      <w:r w:rsidR="00F876D7" w:rsidRPr="00B1515C">
        <w:t xml:space="preserve"> </w:t>
      </w:r>
      <w:r w:rsidR="001A3A75" w:rsidRPr="00B1515C">
        <w:tab/>
      </w:r>
      <w:r w:rsidR="006E4085" w:rsidRPr="00B1515C">
        <w:t xml:space="preserve">Exchange tokens are </w:t>
      </w:r>
      <w:r w:rsidR="003B3C75" w:rsidRPr="00B1515C">
        <w:t xml:space="preserve">tokens that are intended to be used as a means of payment, for example bitcoin, see </w:t>
      </w:r>
      <w:r w:rsidR="00F75232">
        <w:t>‘</w:t>
      </w:r>
      <w:hyperlink r:id="rId265" w:history="1">
        <w:r w:rsidR="00423C9C" w:rsidRPr="008E0E4E">
          <w:rPr>
            <w:rStyle w:val="Hyperlink"/>
          </w:rPr>
          <w:t>CRYPTO10100 – Introduction to cryptoassets: what are crypto assets</w:t>
        </w:r>
      </w:hyperlink>
      <w:r w:rsidR="00F75232">
        <w:t>’</w:t>
      </w:r>
      <w:r w:rsidR="00423C9C" w:rsidRPr="00B1515C">
        <w:t xml:space="preserve">, </w:t>
      </w:r>
      <w:r w:rsidR="00423C9C" w:rsidRPr="00C77F3F">
        <w:rPr>
          <w:rStyle w:val="Emphasis"/>
        </w:rPr>
        <w:t xml:space="preserve">HMRC </w:t>
      </w:r>
      <w:r w:rsidR="00423C9C" w:rsidRPr="00B1515C">
        <w:t>(Web Page, 21 August 2023</w:t>
      </w:r>
      <w:r w:rsidR="0062463F" w:rsidRPr="00B1515C">
        <w:t>)</w:t>
      </w:r>
      <w:r w:rsidR="008E0E4E">
        <w:t>.</w:t>
      </w:r>
    </w:p>
  </w:footnote>
  <w:footnote w:id="655">
    <w:p w14:paraId="7B7FD188" w14:textId="2557178A" w:rsidR="001C7FB5" w:rsidRPr="00B1515C" w:rsidRDefault="00815763" w:rsidP="00A01254">
      <w:pPr>
        <w:pStyle w:val="FootnoteText"/>
      </w:pPr>
      <w:r w:rsidRPr="00815763">
        <w:rPr>
          <w:rStyle w:val="FootnoteReference"/>
          <w:vertAlign w:val="baseline"/>
        </w:rPr>
        <w:footnoteRef/>
      </w:r>
      <w:r w:rsidR="001C7FB5" w:rsidRPr="00B1515C">
        <w:t xml:space="preserve"> </w:t>
      </w:r>
      <w:r w:rsidR="001A3A75" w:rsidRPr="00B1515C">
        <w:tab/>
      </w:r>
      <w:r w:rsidR="00F75232">
        <w:t>‘</w:t>
      </w:r>
      <w:hyperlink r:id="rId266" w:history="1">
        <w:r w:rsidR="00ED2F90" w:rsidRPr="008E0E4E">
          <w:rPr>
            <w:rStyle w:val="Hyperlink"/>
          </w:rPr>
          <w:t>CRYPTO45000 – Cryptoassets for businesses: Value Added Tax (VAT)</w:t>
        </w:r>
        <w:r w:rsidR="00F75232" w:rsidRPr="008E0E4E">
          <w:t>’</w:t>
        </w:r>
      </w:hyperlink>
      <w:r w:rsidR="00ED2F90" w:rsidRPr="00B1515C">
        <w:t xml:space="preserve">, </w:t>
      </w:r>
      <w:r w:rsidR="00ED2F90" w:rsidRPr="00C77F3F">
        <w:rPr>
          <w:rStyle w:val="Emphasis"/>
        </w:rPr>
        <w:t xml:space="preserve">HMRC </w:t>
      </w:r>
      <w:r w:rsidR="00ED2F90" w:rsidRPr="00B1515C">
        <w:t>(Web Page, 21 August 2023)</w:t>
      </w:r>
      <w:r w:rsidR="008E0E4E">
        <w:t>.</w:t>
      </w:r>
      <w:r w:rsidR="00ED2F90" w:rsidRPr="00B1515C">
        <w:t xml:space="preserve"> </w:t>
      </w:r>
    </w:p>
  </w:footnote>
  <w:footnote w:id="656">
    <w:p w14:paraId="07E45A3B" w14:textId="60C6D05F" w:rsidR="00ED2F90" w:rsidRPr="00B1515C" w:rsidRDefault="00815763" w:rsidP="00A01254">
      <w:pPr>
        <w:pStyle w:val="FootnoteText"/>
      </w:pPr>
      <w:r w:rsidRPr="00815763">
        <w:rPr>
          <w:rStyle w:val="FootnoteReference"/>
          <w:vertAlign w:val="baseline"/>
        </w:rPr>
        <w:footnoteRef/>
      </w:r>
      <w:r w:rsidR="00ED2F90" w:rsidRPr="00B1515C">
        <w:t xml:space="preserve"> </w:t>
      </w:r>
      <w:r w:rsidR="001A3A75" w:rsidRPr="00B1515C">
        <w:tab/>
      </w:r>
      <w:r w:rsidR="00991134" w:rsidRPr="00B1515C">
        <w:t xml:space="preserve">This was confirmed in the Court of Justice of the EU (CJEU) in the Swedish case, </w:t>
      </w:r>
      <w:r w:rsidR="00991134" w:rsidRPr="00C77F3F">
        <w:rPr>
          <w:rStyle w:val="Emphasis"/>
        </w:rPr>
        <w:t xml:space="preserve">David Hedqvist </w:t>
      </w:r>
      <w:r w:rsidR="00991134" w:rsidRPr="00B1515C">
        <w:t>(C</w:t>
      </w:r>
      <w:r w:rsidR="00F75232">
        <w:t>-</w:t>
      </w:r>
      <w:r w:rsidR="00991134" w:rsidRPr="00B1515C">
        <w:t>264/14)</w:t>
      </w:r>
      <w:r w:rsidR="00991134" w:rsidRPr="00B1515C">
        <w:rPr>
          <w:i/>
          <w:iCs/>
        </w:rPr>
        <w:t>.</w:t>
      </w:r>
      <w:r w:rsidR="00991134" w:rsidRPr="00B1515C">
        <w:t xml:space="preserve"> The CJEU referred to the judgment </w:t>
      </w:r>
      <w:r w:rsidR="00991134" w:rsidRPr="00C77F3F">
        <w:rPr>
          <w:rStyle w:val="Emphasis"/>
        </w:rPr>
        <w:t>in First National Bank of Chicago</w:t>
      </w:r>
      <w:r w:rsidR="00991134" w:rsidRPr="00B1515C">
        <w:t xml:space="preserve"> (C</w:t>
      </w:r>
      <w:r w:rsidR="00F75232">
        <w:t>-</w:t>
      </w:r>
      <w:r w:rsidR="00991134" w:rsidRPr="00B1515C">
        <w:t>172/96) and concluded that the exchange of traditional currencies for non</w:t>
      </w:r>
      <w:r w:rsidR="00F75232">
        <w:t>-</w:t>
      </w:r>
      <w:r w:rsidR="00991134" w:rsidRPr="00B1515C">
        <w:t xml:space="preserve">legal tender such as Bitcoin (and vice versa) are financial transactions and fall within the exemption under Article 135(1)(e) of the </w:t>
      </w:r>
      <w:r w:rsidR="00991134" w:rsidRPr="00C77F3F">
        <w:rPr>
          <w:rStyle w:val="Emphasis"/>
        </w:rPr>
        <w:t>VAT Directive</w:t>
      </w:r>
      <w:r w:rsidR="00991134" w:rsidRPr="00B1515C">
        <w:t>.</w:t>
      </w:r>
    </w:p>
  </w:footnote>
  <w:footnote w:id="657">
    <w:p w14:paraId="5C85C431" w14:textId="08411415" w:rsidR="00663842" w:rsidRPr="00B1515C" w:rsidRDefault="00815763" w:rsidP="00A01254">
      <w:pPr>
        <w:pStyle w:val="FootnoteText"/>
      </w:pPr>
      <w:r w:rsidRPr="00815763">
        <w:rPr>
          <w:rStyle w:val="FootnoteReference"/>
          <w:vertAlign w:val="baseline"/>
        </w:rPr>
        <w:footnoteRef/>
      </w:r>
      <w:r w:rsidR="00663842" w:rsidRPr="00B1515C">
        <w:t xml:space="preserve"> </w:t>
      </w:r>
      <w:r w:rsidR="001A3A75" w:rsidRPr="00B1515C">
        <w:tab/>
      </w:r>
      <w:r w:rsidR="00F75232">
        <w:t>‘</w:t>
      </w:r>
      <w:hyperlink r:id="rId267" w:history="1">
        <w:r w:rsidR="00663842" w:rsidRPr="002179DE">
          <w:rPr>
            <w:rStyle w:val="Hyperlink"/>
          </w:rPr>
          <w:t>CRYPTO10400 – Introduction to cryptoassets: record keeping</w:t>
        </w:r>
        <w:r w:rsidR="00F75232" w:rsidRPr="002179DE">
          <w:t>’</w:t>
        </w:r>
      </w:hyperlink>
      <w:r w:rsidR="00663842" w:rsidRPr="00B1515C">
        <w:t xml:space="preserve">, </w:t>
      </w:r>
      <w:r w:rsidR="00663842" w:rsidRPr="00C77F3F">
        <w:rPr>
          <w:rStyle w:val="Emphasis"/>
        </w:rPr>
        <w:t xml:space="preserve">HM Revenue &amp; Customs </w:t>
      </w:r>
      <w:r w:rsidR="00663842" w:rsidRPr="00B1515C">
        <w:t>(Web Page, 21 August 2023)</w:t>
      </w:r>
      <w:r w:rsidR="002179DE">
        <w:t>.</w:t>
      </w:r>
    </w:p>
  </w:footnote>
  <w:footnote w:id="658">
    <w:p w14:paraId="290DAB3A" w14:textId="772FF658" w:rsidR="00B071BE" w:rsidRPr="00B1515C" w:rsidRDefault="00815763" w:rsidP="00A01254">
      <w:pPr>
        <w:pStyle w:val="FootnoteText"/>
      </w:pPr>
      <w:r w:rsidRPr="00815763">
        <w:rPr>
          <w:rStyle w:val="FootnoteReference"/>
          <w:vertAlign w:val="baseline"/>
        </w:rPr>
        <w:footnoteRef/>
      </w:r>
      <w:r w:rsidR="00B071BE" w:rsidRPr="00B1515C">
        <w:t xml:space="preserve"> </w:t>
      </w:r>
      <w:r w:rsidR="00587B4A" w:rsidRPr="00B1515C">
        <w:tab/>
      </w:r>
      <w:r w:rsidR="00F75232">
        <w:t>‘</w:t>
      </w:r>
      <w:hyperlink r:id="rId268" w:history="1">
        <w:r w:rsidR="00B071BE" w:rsidRPr="002179DE">
          <w:rPr>
            <w:rStyle w:val="Hyperlink"/>
          </w:rPr>
          <w:t>CRYPTO23000 – Cryptoassets for individuals: valuation</w:t>
        </w:r>
      </w:hyperlink>
      <w:r w:rsidR="00F75232">
        <w:t>’</w:t>
      </w:r>
      <w:r w:rsidR="00B071BE" w:rsidRPr="00B1515C">
        <w:t>,</w:t>
      </w:r>
      <w:r w:rsidR="00B071BE" w:rsidRPr="00C77F3F">
        <w:rPr>
          <w:rStyle w:val="Emphasis"/>
        </w:rPr>
        <w:t xml:space="preserve"> HM Revenue &amp; Customs </w:t>
      </w:r>
      <w:r w:rsidR="00B071BE" w:rsidRPr="00B1515C">
        <w:t xml:space="preserve">(Web Page, </w:t>
      </w:r>
      <w:r w:rsidR="00F36608" w:rsidRPr="00B1515C">
        <w:t>21 August 2023)</w:t>
      </w:r>
      <w:r w:rsidR="002179DE">
        <w:t>.</w:t>
      </w:r>
      <w:r w:rsidR="00F36608" w:rsidRPr="00B1515C">
        <w:t xml:space="preserve"> </w:t>
      </w:r>
    </w:p>
  </w:footnote>
  <w:footnote w:id="659">
    <w:p w14:paraId="51D9D9C7" w14:textId="22105995" w:rsidR="00002DD6" w:rsidRPr="00B1515C" w:rsidRDefault="00815763" w:rsidP="00A01254">
      <w:pPr>
        <w:pStyle w:val="FootnoteText"/>
      </w:pPr>
      <w:r w:rsidRPr="00815763">
        <w:rPr>
          <w:rStyle w:val="FootnoteReference"/>
          <w:vertAlign w:val="baseline"/>
        </w:rPr>
        <w:footnoteRef/>
      </w:r>
      <w:r w:rsidR="00002DD6" w:rsidRPr="00B1515C">
        <w:t xml:space="preserve"> </w:t>
      </w:r>
      <w:r w:rsidR="00587B4A" w:rsidRPr="00B1515C">
        <w:tab/>
      </w:r>
      <w:r w:rsidR="00F75232">
        <w:t>‘</w:t>
      </w:r>
      <w:hyperlink r:id="rId269" w:history="1">
        <w:r w:rsidR="00905112" w:rsidRPr="002179DE">
          <w:rPr>
            <w:rStyle w:val="Hyperlink"/>
          </w:rPr>
          <w:t>Digital Assets</w:t>
        </w:r>
      </w:hyperlink>
      <w:r w:rsidR="00F75232">
        <w:t>’</w:t>
      </w:r>
      <w:r w:rsidR="00905112" w:rsidRPr="00B1515C">
        <w:t xml:space="preserve">, </w:t>
      </w:r>
      <w:r w:rsidR="00905112" w:rsidRPr="00C77F3F">
        <w:rPr>
          <w:rStyle w:val="Emphasis"/>
        </w:rPr>
        <w:t xml:space="preserve">IRS </w:t>
      </w:r>
      <w:r w:rsidR="00905112" w:rsidRPr="00B1515C">
        <w:t>(Web Page, 29 September 2023)</w:t>
      </w:r>
      <w:r w:rsidR="002179DE">
        <w:t>.</w:t>
      </w:r>
    </w:p>
  </w:footnote>
  <w:footnote w:id="660">
    <w:p w14:paraId="53FBD452" w14:textId="3D7B1D5D" w:rsidR="00851F2E" w:rsidRPr="00B1515C" w:rsidRDefault="00815763" w:rsidP="00A01254">
      <w:pPr>
        <w:pStyle w:val="FootnoteText"/>
      </w:pPr>
      <w:r w:rsidRPr="00815763">
        <w:rPr>
          <w:rStyle w:val="FootnoteReference"/>
          <w:vertAlign w:val="baseline"/>
        </w:rPr>
        <w:footnoteRef/>
      </w:r>
      <w:r w:rsidR="00851F2E" w:rsidRPr="00B1515C">
        <w:t xml:space="preserve"> </w:t>
      </w:r>
      <w:r w:rsidR="00587B4A" w:rsidRPr="00B1515C">
        <w:tab/>
      </w:r>
      <w:r w:rsidR="009F509F" w:rsidRPr="00B1515C">
        <w:rPr>
          <w:rFonts w:eastAsia="Calibri" w:cs="Calibri"/>
          <w:szCs w:val="19"/>
        </w:rPr>
        <w:t xml:space="preserve">Submission </w:t>
      </w:r>
      <w:r w:rsidR="00F64040" w:rsidRPr="00B1515C">
        <w:rPr>
          <w:rFonts w:eastAsia="Calibri" w:cs="Calibri"/>
          <w:szCs w:val="19"/>
        </w:rPr>
        <w:t xml:space="preserve">A11, </w:t>
      </w:r>
      <w:r w:rsidR="00002DD6" w:rsidRPr="00B1515C">
        <w:rPr>
          <w:rFonts w:eastAsia="Calibri" w:cs="Calibri"/>
          <w:szCs w:val="19"/>
        </w:rPr>
        <w:t>2.</w:t>
      </w:r>
    </w:p>
  </w:footnote>
  <w:footnote w:id="661">
    <w:p w14:paraId="2E1F5412" w14:textId="4533F031" w:rsidR="00FE534D" w:rsidRPr="00B1515C" w:rsidRDefault="00815763" w:rsidP="00A01254">
      <w:pPr>
        <w:pStyle w:val="FootnoteText"/>
      </w:pPr>
      <w:r w:rsidRPr="00815763">
        <w:rPr>
          <w:rStyle w:val="FootnoteReference"/>
          <w:vertAlign w:val="baseline"/>
        </w:rPr>
        <w:footnoteRef/>
      </w:r>
      <w:r w:rsidR="00FE534D" w:rsidRPr="00B1515C">
        <w:rPr>
          <w:rStyle w:val="FootnoteReference"/>
          <w:vertAlign w:val="baseline"/>
        </w:rPr>
        <w:t xml:space="preserve"> </w:t>
      </w:r>
      <w:r w:rsidR="00587B4A" w:rsidRPr="00B1515C">
        <w:tab/>
      </w:r>
      <w:r w:rsidR="00FE534D" w:rsidRPr="00B1515C">
        <w:t xml:space="preserve">IRS, </w:t>
      </w:r>
      <w:r w:rsidR="00FE534D" w:rsidRPr="00C77F3F">
        <w:rPr>
          <w:rStyle w:val="Emphasis"/>
        </w:rPr>
        <w:t>Virtual Currency Guidelines</w:t>
      </w:r>
      <w:r w:rsidR="00FE534D" w:rsidRPr="00B1515C">
        <w:t xml:space="preserve"> (</w:t>
      </w:r>
      <w:hyperlink r:id="rId270" w:anchor="NOT-2014-21" w:history="1">
        <w:r w:rsidR="00FE534D" w:rsidRPr="00DB7364">
          <w:rPr>
            <w:rStyle w:val="Hyperlink"/>
            <w:rFonts w:eastAsia="Calibri"/>
          </w:rPr>
          <w:t>Notice 2014</w:t>
        </w:r>
        <w:r w:rsidR="00F75232">
          <w:rPr>
            <w:rStyle w:val="Hyperlink"/>
            <w:rFonts w:eastAsia="Calibri"/>
          </w:rPr>
          <w:t>-</w:t>
        </w:r>
        <w:r w:rsidR="00FE534D" w:rsidRPr="00DB7364">
          <w:rPr>
            <w:rStyle w:val="Hyperlink"/>
            <w:rFonts w:eastAsia="Calibri"/>
          </w:rPr>
          <w:t>21</w:t>
        </w:r>
      </w:hyperlink>
      <w:r w:rsidR="00FE534D" w:rsidRPr="00B1515C">
        <w:rPr>
          <w:rFonts w:eastAsia="Calibri" w:cs="Calibri"/>
        </w:rPr>
        <w:t xml:space="preserve">, accessed 27 January 2024). </w:t>
      </w:r>
    </w:p>
  </w:footnote>
  <w:footnote w:id="662">
    <w:p w14:paraId="4E774459" w14:textId="2936F8C1" w:rsidR="00A3488B" w:rsidRPr="00B1515C" w:rsidRDefault="00815763" w:rsidP="00A01254">
      <w:pPr>
        <w:pStyle w:val="FootnoteText"/>
      </w:pPr>
      <w:r w:rsidRPr="00815763">
        <w:rPr>
          <w:rStyle w:val="FootnoteReference"/>
          <w:vertAlign w:val="baseline"/>
        </w:rPr>
        <w:footnoteRef/>
      </w:r>
      <w:r w:rsidR="00A3488B" w:rsidRPr="00B1515C">
        <w:t xml:space="preserve"> </w:t>
      </w:r>
      <w:r w:rsidR="00587B4A" w:rsidRPr="00B1515C">
        <w:tab/>
      </w:r>
      <w:r w:rsidR="007D799B" w:rsidRPr="00B1515C">
        <w:t xml:space="preserve">IRS, </w:t>
      </w:r>
      <w:r w:rsidR="007D799B" w:rsidRPr="00C77F3F">
        <w:rPr>
          <w:rStyle w:val="Emphasis"/>
        </w:rPr>
        <w:t>Gross income</w:t>
      </w:r>
      <w:r w:rsidR="00B24DFB" w:rsidRPr="00B1515C">
        <w:t xml:space="preserve"> (</w:t>
      </w:r>
      <w:hyperlink r:id="rId271" w:history="1">
        <w:r w:rsidR="00BF6CB0" w:rsidRPr="00AD0953">
          <w:rPr>
            <w:rStyle w:val="Hyperlink"/>
            <w:rFonts w:eastAsia="Calibri" w:cs="Calibri"/>
          </w:rPr>
          <w:t>Revenue Ruling 2019</w:t>
        </w:r>
        <w:r w:rsidR="006B2D70" w:rsidRPr="00AD0953">
          <w:rPr>
            <w:rStyle w:val="Hyperlink"/>
            <w:rFonts w:eastAsia="Calibri" w:cs="Calibri"/>
          </w:rPr>
          <w:t>–</w:t>
        </w:r>
        <w:r w:rsidR="00BF6CB0" w:rsidRPr="00AD0953">
          <w:rPr>
            <w:rStyle w:val="Hyperlink"/>
            <w:rFonts w:eastAsia="Calibri" w:cs="Calibri"/>
          </w:rPr>
          <w:t>24</w:t>
        </w:r>
      </w:hyperlink>
      <w:r w:rsidR="00B24DFB" w:rsidRPr="00B1515C">
        <w:rPr>
          <w:rFonts w:eastAsia="Calibri" w:cs="Calibri"/>
          <w:color w:val="000000" w:themeColor="text1"/>
        </w:rPr>
        <w:t xml:space="preserve">, </w:t>
      </w:r>
      <w:r w:rsidR="00AF29BA" w:rsidRPr="00B1515C">
        <w:rPr>
          <w:rFonts w:eastAsia="Calibri" w:cs="Calibri"/>
          <w:color w:val="000000" w:themeColor="text1"/>
        </w:rPr>
        <w:t>9 October 2019)</w:t>
      </w:r>
      <w:r w:rsidR="006C4E9A" w:rsidRPr="00B1515C">
        <w:rPr>
          <w:rFonts w:eastAsia="Calibri" w:cs="Calibri"/>
          <w:color w:val="000000" w:themeColor="text1"/>
        </w:rPr>
        <w:t>.</w:t>
      </w:r>
    </w:p>
  </w:footnote>
  <w:footnote w:id="663">
    <w:p w14:paraId="1051AAC6" w14:textId="11E219CE" w:rsidR="00BF6CB0" w:rsidRPr="00B1515C" w:rsidRDefault="00815763" w:rsidP="00A01254">
      <w:pPr>
        <w:pStyle w:val="FootnoteText"/>
      </w:pPr>
      <w:r w:rsidRPr="00815763">
        <w:rPr>
          <w:rStyle w:val="FootnoteReference"/>
          <w:vertAlign w:val="baseline"/>
        </w:rPr>
        <w:footnoteRef/>
      </w:r>
      <w:r w:rsidR="00BF6CB0" w:rsidRPr="00B1515C">
        <w:t xml:space="preserve"> </w:t>
      </w:r>
      <w:r w:rsidR="00587B4A" w:rsidRPr="00B1515C">
        <w:tab/>
      </w:r>
      <w:r w:rsidR="006C4E9A" w:rsidRPr="00B1515C">
        <w:t>IRS,</w:t>
      </w:r>
      <w:r w:rsidR="006C4E9A" w:rsidRPr="00C77F3F">
        <w:rPr>
          <w:rStyle w:val="Emphasis"/>
        </w:rPr>
        <w:t xml:space="preserve"> </w:t>
      </w:r>
      <w:r w:rsidR="00E45BAC" w:rsidRPr="00C77F3F">
        <w:rPr>
          <w:rStyle w:val="Emphasis"/>
        </w:rPr>
        <w:t xml:space="preserve">Gross Income </w:t>
      </w:r>
      <w:r w:rsidR="00E45BAC" w:rsidRPr="00B1515C">
        <w:rPr>
          <w:rFonts w:eastAsia="Calibri" w:cs="Calibri"/>
          <w:color w:val="000000" w:themeColor="text1"/>
        </w:rPr>
        <w:t>(</w:t>
      </w:r>
      <w:hyperlink r:id="rId272" w:history="1">
        <w:r w:rsidR="00E45BAC" w:rsidRPr="0042741D">
          <w:rPr>
            <w:rStyle w:val="Hyperlink"/>
            <w:rFonts w:eastAsia="Calibri" w:cs="Calibri"/>
          </w:rPr>
          <w:t>R</w:t>
        </w:r>
        <w:r w:rsidR="00BF6CB0" w:rsidRPr="0042741D">
          <w:rPr>
            <w:rStyle w:val="Hyperlink"/>
            <w:rFonts w:eastAsia="Calibri" w:cs="Calibri"/>
          </w:rPr>
          <w:t>evenue Ruling 2023</w:t>
        </w:r>
        <w:r w:rsidR="006B2D70" w:rsidRPr="0042741D">
          <w:rPr>
            <w:rStyle w:val="Hyperlink"/>
            <w:rFonts w:eastAsia="Calibri" w:cs="Calibri"/>
          </w:rPr>
          <w:t>–</w:t>
        </w:r>
        <w:r w:rsidR="00BF6CB0" w:rsidRPr="0042741D">
          <w:rPr>
            <w:rStyle w:val="Hyperlink"/>
            <w:rFonts w:eastAsia="Calibri" w:cs="Calibri"/>
          </w:rPr>
          <w:t>14</w:t>
        </w:r>
      </w:hyperlink>
      <w:r w:rsidR="00E45BAC" w:rsidRPr="00B1515C">
        <w:rPr>
          <w:rFonts w:eastAsia="Calibri" w:cs="Calibri"/>
          <w:color w:val="000000" w:themeColor="text1"/>
        </w:rPr>
        <w:t xml:space="preserve">, </w:t>
      </w:r>
      <w:r w:rsidR="00C353CB" w:rsidRPr="00B1515C">
        <w:rPr>
          <w:rFonts w:eastAsia="Calibri" w:cs="Calibri"/>
          <w:color w:val="000000" w:themeColor="text1"/>
        </w:rPr>
        <w:t>31 July 2023).</w:t>
      </w:r>
    </w:p>
  </w:footnote>
  <w:footnote w:id="664">
    <w:p w14:paraId="09EA87DF" w14:textId="6A0FF877" w:rsidR="00BF6CB0" w:rsidRPr="00B1515C" w:rsidRDefault="00815763" w:rsidP="00A01254">
      <w:pPr>
        <w:pStyle w:val="FootnoteText"/>
      </w:pPr>
      <w:r w:rsidRPr="00815763">
        <w:rPr>
          <w:rStyle w:val="FootnoteReference"/>
          <w:vertAlign w:val="baseline"/>
        </w:rPr>
        <w:footnoteRef/>
      </w:r>
      <w:r w:rsidR="00BF6CB0" w:rsidRPr="00B1515C">
        <w:t xml:space="preserve"> </w:t>
      </w:r>
      <w:r w:rsidR="00587B4A" w:rsidRPr="00B1515C">
        <w:tab/>
      </w:r>
      <w:r w:rsidR="00BF6CB0" w:rsidRPr="00B1515C">
        <w:rPr>
          <w:rFonts w:eastAsia="Calibri" w:cs="Calibri"/>
          <w:color w:val="000000" w:themeColor="text1"/>
        </w:rPr>
        <w:t>IRS</w:t>
      </w:r>
      <w:r w:rsidR="00C353CB" w:rsidRPr="00B1515C">
        <w:rPr>
          <w:rFonts w:eastAsia="Calibri" w:cs="Calibri"/>
          <w:color w:val="000000" w:themeColor="text1"/>
        </w:rPr>
        <w:t xml:space="preserve">, </w:t>
      </w:r>
      <w:r w:rsidR="00C353CB" w:rsidRPr="00C77F3F">
        <w:rPr>
          <w:rStyle w:val="Emphasis"/>
          <w:rFonts w:eastAsia="Calibri"/>
        </w:rPr>
        <w:t>Treatment of certain nonfungible tokens as collectibles</w:t>
      </w:r>
      <w:r w:rsidR="00C353CB" w:rsidRPr="00BC3190">
        <w:rPr>
          <w:rFonts w:eastAsia="Calibri"/>
        </w:rPr>
        <w:t xml:space="preserve"> </w:t>
      </w:r>
      <w:r w:rsidR="00C353CB" w:rsidRPr="00B1515C">
        <w:rPr>
          <w:rFonts w:eastAsia="Calibri" w:cs="Calibri"/>
          <w:color w:val="000000" w:themeColor="text1"/>
        </w:rPr>
        <w:t>(</w:t>
      </w:r>
      <w:hyperlink r:id="rId273" w:history="1">
        <w:r w:rsidR="00BF6CB0" w:rsidRPr="0042741D">
          <w:rPr>
            <w:rStyle w:val="Hyperlink"/>
            <w:rFonts w:eastAsia="Calibri" w:cs="Calibri"/>
          </w:rPr>
          <w:t>Notice 2023</w:t>
        </w:r>
        <w:r w:rsidR="006B2D70" w:rsidRPr="0042741D">
          <w:rPr>
            <w:rStyle w:val="Hyperlink"/>
            <w:rFonts w:eastAsia="Calibri" w:cs="Calibri"/>
          </w:rPr>
          <w:t>–</w:t>
        </w:r>
        <w:r w:rsidR="00BF6CB0" w:rsidRPr="0042741D">
          <w:rPr>
            <w:rStyle w:val="Hyperlink"/>
            <w:rFonts w:eastAsia="Calibri" w:cs="Calibri"/>
          </w:rPr>
          <w:t>27</w:t>
        </w:r>
      </w:hyperlink>
      <w:r w:rsidR="009335AD" w:rsidRPr="00C51712">
        <w:rPr>
          <w:rFonts w:eastAsia="Calibri"/>
        </w:rPr>
        <w:t>,</w:t>
      </w:r>
      <w:r w:rsidR="009335AD" w:rsidRPr="00B1515C">
        <w:rPr>
          <w:rFonts w:eastAsia="Calibri" w:cs="Calibri"/>
          <w:color w:val="000000" w:themeColor="text1"/>
        </w:rPr>
        <w:t xml:space="preserve"> 21 March 2023).</w:t>
      </w:r>
    </w:p>
  </w:footnote>
  <w:footnote w:id="665">
    <w:p w14:paraId="2A540A22" w14:textId="4DBE33BA" w:rsidR="00BF6CB0" w:rsidRPr="00B1515C" w:rsidRDefault="00815763" w:rsidP="00A01254">
      <w:pPr>
        <w:pStyle w:val="FootnoteText"/>
      </w:pPr>
      <w:r w:rsidRPr="00815763">
        <w:rPr>
          <w:rStyle w:val="FootnoteReference"/>
          <w:vertAlign w:val="baseline"/>
        </w:rPr>
        <w:footnoteRef/>
      </w:r>
      <w:r w:rsidR="00BF6CB0" w:rsidRPr="00B1515C">
        <w:t xml:space="preserve"> </w:t>
      </w:r>
      <w:r w:rsidR="00587B4A" w:rsidRPr="00B1515C">
        <w:tab/>
      </w:r>
      <w:r w:rsidR="00FD1465" w:rsidRPr="00B1515C">
        <w:rPr>
          <w:rFonts w:eastAsia="Calibri" w:cs="Calibri"/>
          <w:color w:val="000000" w:themeColor="text1"/>
        </w:rPr>
        <w:t>IRS</w:t>
      </w:r>
      <w:r w:rsidR="001822D4" w:rsidRPr="00B1515C">
        <w:rPr>
          <w:rFonts w:eastAsia="Calibri" w:cs="Calibri"/>
          <w:color w:val="000000" w:themeColor="text1"/>
        </w:rPr>
        <w:t>,</w:t>
      </w:r>
      <w:r w:rsidR="00FD1465" w:rsidRPr="00B1515C">
        <w:rPr>
          <w:rFonts w:eastAsia="Calibri" w:cs="Calibri"/>
          <w:color w:val="000000" w:themeColor="text1"/>
        </w:rPr>
        <w:t xml:space="preserve"> </w:t>
      </w:r>
      <w:r w:rsidR="00C51712">
        <w:rPr>
          <w:rFonts w:eastAsia="Calibri" w:cs="Calibri"/>
          <w:i/>
          <w:iCs/>
          <w:color w:val="000000" w:themeColor="text1"/>
        </w:rPr>
        <w:t xml:space="preserve">Internal Revenue Bulletin </w:t>
      </w:r>
      <w:r w:rsidR="009335AD" w:rsidRPr="00B1515C">
        <w:rPr>
          <w:rFonts w:eastAsia="Calibri" w:cs="Calibri"/>
          <w:color w:val="000000" w:themeColor="text1"/>
        </w:rPr>
        <w:t>(</w:t>
      </w:r>
      <w:hyperlink r:id="rId274" w:history="1">
        <w:r w:rsidR="00FD1465" w:rsidRPr="00C51712">
          <w:rPr>
            <w:rStyle w:val="Hyperlink"/>
            <w:rFonts w:eastAsia="Calibri" w:cs="Calibri"/>
          </w:rPr>
          <w:t>Notice 2023</w:t>
        </w:r>
        <w:r w:rsidR="006B2D70" w:rsidRPr="00C51712">
          <w:rPr>
            <w:rStyle w:val="Hyperlink"/>
            <w:rFonts w:eastAsia="Calibri" w:cs="Calibri"/>
          </w:rPr>
          <w:t>–</w:t>
        </w:r>
        <w:r w:rsidR="00FD1465" w:rsidRPr="00C51712">
          <w:rPr>
            <w:rStyle w:val="Hyperlink"/>
            <w:rFonts w:eastAsia="Calibri" w:cs="Calibri"/>
          </w:rPr>
          <w:t>34</w:t>
        </w:r>
      </w:hyperlink>
      <w:r w:rsidR="009335AD" w:rsidRPr="00B1515C">
        <w:rPr>
          <w:rFonts w:eastAsia="Calibri" w:cs="Calibri"/>
          <w:color w:val="000000" w:themeColor="text1"/>
        </w:rPr>
        <w:t>, 21 August 2023).</w:t>
      </w:r>
    </w:p>
  </w:footnote>
  <w:footnote w:id="666">
    <w:p w14:paraId="3E9A15B3" w14:textId="2BA8C420" w:rsidR="007F2179" w:rsidRPr="00B1515C" w:rsidRDefault="00815763" w:rsidP="00A01254">
      <w:pPr>
        <w:pStyle w:val="FootnoteText"/>
      </w:pPr>
      <w:r w:rsidRPr="00815763">
        <w:rPr>
          <w:rStyle w:val="FootnoteReference"/>
          <w:vertAlign w:val="baseline"/>
        </w:rPr>
        <w:footnoteRef/>
      </w:r>
      <w:r w:rsidR="007F2179" w:rsidRPr="00B1515C">
        <w:t xml:space="preserve"> </w:t>
      </w:r>
      <w:r w:rsidR="00587B4A" w:rsidRPr="00B1515C">
        <w:tab/>
      </w:r>
      <w:r w:rsidR="007F2179" w:rsidRPr="00B1515C">
        <w:t>Submission A38, 5.</w:t>
      </w:r>
    </w:p>
  </w:footnote>
  <w:footnote w:id="667">
    <w:p w14:paraId="725094D6" w14:textId="462E59BA" w:rsidR="008E31E4" w:rsidRDefault="008E31E4" w:rsidP="00A01254">
      <w:pPr>
        <w:pStyle w:val="FootnoteText"/>
      </w:pPr>
      <w:r w:rsidRPr="003134B4">
        <w:rPr>
          <w:rStyle w:val="FootnoteReference"/>
          <w:vertAlign w:val="baseline"/>
        </w:rPr>
        <w:footnoteRef/>
      </w:r>
      <w:r w:rsidRPr="007D7759">
        <w:t xml:space="preserve"> </w:t>
      </w:r>
      <w:r w:rsidR="007D7759">
        <w:tab/>
        <w:t>Belonging status is a term used under the Singaporean GST legislation and determines whether a taxpayer is treated as ‘belonging’ in Singapore. In general terms, it relies upon the existence of business establishments (BE) or fixed establishments (FE) in Singapore; place of residence; and where there are BEs/FEs both in and outside of Singapore, the one that is most directly concerned with supply services or where services are most directly used.</w:t>
      </w:r>
    </w:p>
  </w:footnote>
  <w:footnote w:id="668">
    <w:p w14:paraId="258C65CB" w14:textId="116A2202" w:rsidR="00641869" w:rsidRPr="00B1515C" w:rsidRDefault="00815763" w:rsidP="00A01254">
      <w:pPr>
        <w:pStyle w:val="FootnoteText"/>
      </w:pPr>
      <w:r w:rsidRPr="00815763">
        <w:rPr>
          <w:rStyle w:val="FootnoteReference"/>
          <w:sz w:val="18"/>
          <w:szCs w:val="18"/>
          <w:vertAlign w:val="baseline"/>
        </w:rPr>
        <w:footnoteRef/>
      </w:r>
      <w:r w:rsidR="00641869" w:rsidRPr="00B1515C">
        <w:t xml:space="preserve"> </w:t>
      </w:r>
      <w:r w:rsidR="00587B4A" w:rsidRPr="00B1515C">
        <w:tab/>
      </w:r>
      <w:r w:rsidR="00641869" w:rsidRPr="00B1515C">
        <w:t xml:space="preserve">A tax expenditure arises where the tax treatment of a class of taxpayer or an activity differs from the standard tax treatment (tax benchmark) that would otherwise apply. Tax expenditures can include tax exemptions, some deductions, rebates and offsets, concessional or higher tax rates applying to a specific class of taxpayers, and deferrals of tax liability. Commonwealth of Australia, </w:t>
      </w:r>
      <w:hyperlink r:id="rId275" w:history="1">
        <w:r w:rsidR="00641869" w:rsidRPr="000D1876">
          <w:rPr>
            <w:rStyle w:val="Hyperlink"/>
            <w:i/>
            <w:iCs/>
          </w:rPr>
          <w:t>Tax Expenditures and Insights Statement</w:t>
        </w:r>
      </w:hyperlink>
      <w:r w:rsidR="00641869" w:rsidRPr="00B1515C">
        <w:t xml:space="preserve"> (</w:t>
      </w:r>
      <w:r w:rsidR="00B73AB8" w:rsidRPr="00B1515C">
        <w:t xml:space="preserve">Statement, </w:t>
      </w:r>
      <w:r w:rsidR="00641869" w:rsidRPr="00B1515C">
        <w:t>February</w:t>
      </w:r>
      <w:r w:rsidR="00385CAD">
        <w:t> </w:t>
      </w:r>
      <w:r w:rsidR="00641869" w:rsidRPr="00B1515C">
        <w:t>2023) 2</w:t>
      </w:r>
      <w:r w:rsidR="000D1876">
        <w:t>.</w:t>
      </w:r>
    </w:p>
  </w:footnote>
  <w:footnote w:id="669">
    <w:p w14:paraId="6E970F9F" w14:textId="7CE118BC" w:rsidR="001A49CB" w:rsidRPr="00B1515C" w:rsidRDefault="00815763" w:rsidP="00A01254">
      <w:pPr>
        <w:pStyle w:val="FootnoteText"/>
      </w:pPr>
      <w:r w:rsidRPr="00815763">
        <w:rPr>
          <w:rStyle w:val="FootnoteReference"/>
          <w:sz w:val="18"/>
          <w:szCs w:val="18"/>
          <w:vertAlign w:val="baseline"/>
        </w:rPr>
        <w:footnoteRef/>
      </w:r>
      <w:r w:rsidR="00AC4199" w:rsidRPr="00B1515C">
        <w:t xml:space="preserve"> </w:t>
      </w:r>
      <w:r w:rsidR="00587B4A" w:rsidRPr="00B1515C">
        <w:tab/>
      </w:r>
      <w:r w:rsidR="001A49CB" w:rsidRPr="00B1515C">
        <w:t xml:space="preserve">Lubomir Tassev, </w:t>
      </w:r>
      <w:r w:rsidR="00F75232">
        <w:t>‘</w:t>
      </w:r>
      <w:hyperlink r:id="rId276" w:history="1">
        <w:r w:rsidR="001A49CB" w:rsidRPr="000D1876">
          <w:rPr>
            <w:rStyle w:val="Hyperlink"/>
          </w:rPr>
          <w:t>Tax Benefits for Bitcoin Businesses in Belarus Extended Until 2025</w:t>
        </w:r>
      </w:hyperlink>
      <w:r w:rsidR="00F75232">
        <w:t>’</w:t>
      </w:r>
      <w:r w:rsidR="001A49CB" w:rsidRPr="00B1515C">
        <w:t xml:space="preserve">, </w:t>
      </w:r>
      <w:r w:rsidR="001A49CB" w:rsidRPr="00C77F3F">
        <w:rPr>
          <w:rStyle w:val="Emphasis"/>
        </w:rPr>
        <w:t>Bitcoin.com</w:t>
      </w:r>
      <w:r w:rsidR="001A49CB" w:rsidRPr="00B1515C">
        <w:t xml:space="preserve"> (Web Page</w:t>
      </w:r>
      <w:r w:rsidR="003E303D">
        <w:t>,</w:t>
      </w:r>
      <w:r w:rsidR="001A49CB" w:rsidRPr="00B1515C">
        <w:t xml:space="preserve"> 1</w:t>
      </w:r>
      <w:r w:rsidR="00385CAD">
        <w:t> </w:t>
      </w:r>
      <w:r w:rsidR="001A49CB" w:rsidRPr="00B1515C">
        <w:t>April</w:t>
      </w:r>
      <w:r w:rsidR="00385CAD">
        <w:t> </w:t>
      </w:r>
      <w:r w:rsidR="001A49CB" w:rsidRPr="00B1515C">
        <w:t>2023)</w:t>
      </w:r>
      <w:r w:rsidR="000D1876">
        <w:t>.</w:t>
      </w:r>
    </w:p>
  </w:footnote>
  <w:footnote w:id="670">
    <w:p w14:paraId="41FA68C9" w14:textId="6CBC28E1" w:rsidR="0022687B" w:rsidRPr="00B1515C" w:rsidRDefault="00815763" w:rsidP="00A01254">
      <w:pPr>
        <w:pStyle w:val="FootnoteText"/>
      </w:pPr>
      <w:r w:rsidRPr="00815763">
        <w:rPr>
          <w:rStyle w:val="FootnoteReference"/>
          <w:sz w:val="18"/>
          <w:szCs w:val="18"/>
          <w:vertAlign w:val="baseline"/>
        </w:rPr>
        <w:footnoteRef/>
      </w:r>
      <w:r w:rsidR="0022687B" w:rsidRPr="00B1515C">
        <w:t xml:space="preserve"> </w:t>
      </w:r>
      <w:r w:rsidR="00587B4A" w:rsidRPr="00B1515C">
        <w:tab/>
      </w:r>
      <w:r w:rsidR="0022687B" w:rsidRPr="00B1515C">
        <w:t>As referenced in Submission A10, 18; A25, 3; A35, 6.</w:t>
      </w:r>
    </w:p>
  </w:footnote>
  <w:footnote w:id="671">
    <w:p w14:paraId="36D53D5C" w14:textId="33BFFCC2" w:rsidR="003D438F" w:rsidRPr="00B1515C" w:rsidRDefault="00815763" w:rsidP="00A01254">
      <w:pPr>
        <w:pStyle w:val="FootnoteText"/>
      </w:pPr>
      <w:r w:rsidRPr="00815763">
        <w:rPr>
          <w:rStyle w:val="FootnoteReference"/>
          <w:sz w:val="18"/>
          <w:szCs w:val="18"/>
          <w:vertAlign w:val="baseline"/>
        </w:rPr>
        <w:footnoteRef/>
      </w:r>
      <w:r w:rsidR="003D438F" w:rsidRPr="00B1515C">
        <w:t xml:space="preserve"> </w:t>
      </w:r>
      <w:r w:rsidR="00587B4A" w:rsidRPr="00B1515C">
        <w:tab/>
      </w:r>
      <w:r w:rsidR="003D0BA1" w:rsidRPr="00B1515C">
        <w:t xml:space="preserve">Ektha Surana, </w:t>
      </w:r>
      <w:r w:rsidR="00F75232">
        <w:t>‘</w:t>
      </w:r>
      <w:hyperlink r:id="rId277" w:history="1">
        <w:r w:rsidR="003D0BA1" w:rsidRPr="000D1876">
          <w:rPr>
            <w:rStyle w:val="Hyperlink"/>
          </w:rPr>
          <w:t>Taxation on Cryptocurrency: Guide To Crypto Taxes in India 2024</w:t>
        </w:r>
      </w:hyperlink>
      <w:r w:rsidR="00F75232">
        <w:t>’</w:t>
      </w:r>
      <w:r w:rsidR="003D0BA1" w:rsidRPr="00B1515C">
        <w:t xml:space="preserve">, </w:t>
      </w:r>
      <w:r w:rsidR="003D0BA1" w:rsidRPr="00C77F3F">
        <w:rPr>
          <w:rStyle w:val="Emphasis"/>
        </w:rPr>
        <w:t>Clear Tax</w:t>
      </w:r>
      <w:r w:rsidR="009D6E68" w:rsidRPr="00B1515C">
        <w:t xml:space="preserve"> (Web Page, 4</w:t>
      </w:r>
      <w:r w:rsidR="00385CAD">
        <w:t> </w:t>
      </w:r>
      <w:r w:rsidR="009D6E68" w:rsidRPr="00B1515C">
        <w:t>January</w:t>
      </w:r>
      <w:r w:rsidR="00385CAD">
        <w:t> </w:t>
      </w:r>
      <w:r w:rsidR="009D6E68" w:rsidRPr="00B1515C">
        <w:t>2024)</w:t>
      </w:r>
      <w:r w:rsidR="000D1876">
        <w:t>.</w:t>
      </w:r>
    </w:p>
  </w:footnote>
  <w:footnote w:id="672">
    <w:p w14:paraId="365D18B4" w14:textId="590632FB" w:rsidR="00D436A2" w:rsidRPr="00B1515C" w:rsidRDefault="00815763" w:rsidP="00A01254">
      <w:pPr>
        <w:pStyle w:val="FootnoteText"/>
      </w:pPr>
      <w:r w:rsidRPr="00815763">
        <w:rPr>
          <w:rStyle w:val="FootnoteReference"/>
          <w:vertAlign w:val="baseline"/>
        </w:rPr>
        <w:footnoteRef/>
      </w:r>
      <w:r w:rsidR="00D436A2" w:rsidRPr="00B1515C">
        <w:t xml:space="preserve"> </w:t>
      </w:r>
      <w:r w:rsidR="00587B4A" w:rsidRPr="00B1515C">
        <w:tab/>
      </w:r>
      <w:r w:rsidR="00D436A2" w:rsidRPr="00B1515C">
        <w:t>Michelle Legge</w:t>
      </w:r>
      <w:r w:rsidR="000D1876">
        <w:t>,</w:t>
      </w:r>
      <w:r w:rsidR="00D436A2" w:rsidRPr="00B1515C">
        <w:t xml:space="preserve"> </w:t>
      </w:r>
      <w:r w:rsidR="00F75232">
        <w:t>‘</w:t>
      </w:r>
      <w:hyperlink r:id="rId278" w:history="1">
        <w:r w:rsidR="00D436A2" w:rsidRPr="000D1876">
          <w:rPr>
            <w:rStyle w:val="Hyperlink"/>
          </w:rPr>
          <w:t>Italy Crypto Tax Guide 2023</w:t>
        </w:r>
        <w:r w:rsidR="00F75232" w:rsidRPr="000D1876">
          <w:t>’</w:t>
        </w:r>
      </w:hyperlink>
      <w:r w:rsidR="00D436A2" w:rsidRPr="00B1515C">
        <w:t xml:space="preserve">, </w:t>
      </w:r>
      <w:r w:rsidR="00D436A2" w:rsidRPr="00C77F3F">
        <w:rPr>
          <w:rStyle w:val="Emphasis"/>
        </w:rPr>
        <w:t>Koinly</w:t>
      </w:r>
      <w:r w:rsidR="00D436A2" w:rsidRPr="00B1515C">
        <w:t xml:space="preserve"> (Blog, 5 January 2023)</w:t>
      </w:r>
      <w:r w:rsidR="000D1876">
        <w:t>.</w:t>
      </w:r>
    </w:p>
  </w:footnote>
  <w:footnote w:id="673">
    <w:p w14:paraId="5048A825" w14:textId="76B57E02" w:rsidR="007B6AC2" w:rsidRPr="00B1515C" w:rsidRDefault="00815763" w:rsidP="00A01254">
      <w:pPr>
        <w:pStyle w:val="FootnoteText"/>
      </w:pPr>
      <w:r w:rsidRPr="00815763">
        <w:rPr>
          <w:rStyle w:val="FootnoteReference"/>
          <w:sz w:val="18"/>
          <w:szCs w:val="18"/>
          <w:vertAlign w:val="baseline"/>
        </w:rPr>
        <w:footnoteRef/>
      </w:r>
      <w:r w:rsidR="007B6AC2" w:rsidRPr="00B1515C">
        <w:t xml:space="preserve"> </w:t>
      </w:r>
      <w:r w:rsidR="00587B4A" w:rsidRPr="00B1515C">
        <w:tab/>
      </w:r>
      <w:r w:rsidR="00B0534F" w:rsidRPr="00B1515C">
        <w:t xml:space="preserve">Zac McClure, </w:t>
      </w:r>
      <w:r w:rsidR="00F75232">
        <w:t>‘</w:t>
      </w:r>
      <w:hyperlink r:id="rId279" w:history="1">
        <w:r w:rsidR="00B0534F" w:rsidRPr="002F1FB8">
          <w:rPr>
            <w:rStyle w:val="Hyperlink"/>
          </w:rPr>
          <w:t>The Essential Guide to Crypto Tax in Portugal for 2024</w:t>
        </w:r>
      </w:hyperlink>
      <w:r w:rsidR="00F75232">
        <w:t>’</w:t>
      </w:r>
      <w:r w:rsidR="00B0534F" w:rsidRPr="00B1515C">
        <w:t xml:space="preserve">, </w:t>
      </w:r>
      <w:r w:rsidR="00B0534F" w:rsidRPr="00C77F3F">
        <w:rPr>
          <w:rStyle w:val="Emphasis"/>
        </w:rPr>
        <w:t>TokenTax</w:t>
      </w:r>
      <w:r w:rsidR="00B0534F" w:rsidRPr="00B1515C">
        <w:t xml:space="preserve"> (Web Page, </w:t>
      </w:r>
      <w:r w:rsidR="00CE4F79" w:rsidRPr="00B1515C">
        <w:t>29 December 2023)</w:t>
      </w:r>
      <w:r w:rsidR="002F1FB8">
        <w:t>.</w:t>
      </w:r>
      <w:r w:rsidR="00CE4F79" w:rsidRPr="00B1515C">
        <w:t xml:space="preserve"> </w:t>
      </w:r>
    </w:p>
  </w:footnote>
  <w:footnote w:id="674">
    <w:p w14:paraId="1CCED476" w14:textId="3E02187E"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For example, in Submission A33, 34; Submission A08, 5. In Submission A25, 3, Oracle Accounting noted a low balance election may reduce compliance costs but questioned whether this would be the case for those with a large number of trades as they would still need to establish their cumulative profits were below the reportable threshold.</w:t>
      </w:r>
    </w:p>
  </w:footnote>
  <w:footnote w:id="675">
    <w:p w14:paraId="40FBD8E4" w14:textId="4A515D54"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 xml:space="preserve">As referenced in Submission A10, 18; </w:t>
      </w:r>
      <w:r w:rsidR="00FC3F71">
        <w:t xml:space="preserve">Submission </w:t>
      </w:r>
      <w:r w:rsidR="00F24D1D" w:rsidRPr="00B1515C">
        <w:t xml:space="preserve">A25, 3; </w:t>
      </w:r>
      <w:r w:rsidR="00FC3F71">
        <w:t xml:space="preserve">Submission </w:t>
      </w:r>
      <w:r w:rsidR="00F24D1D" w:rsidRPr="00B1515C">
        <w:t xml:space="preserve">A35, 6. </w:t>
      </w:r>
    </w:p>
  </w:footnote>
  <w:footnote w:id="676">
    <w:p w14:paraId="0F6C9BCD" w14:textId="415537B8"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 xml:space="preserve">Michelle Legge </w:t>
      </w:r>
      <w:r w:rsidR="00F75232">
        <w:t>‘</w:t>
      </w:r>
      <w:hyperlink r:id="rId280" w:history="1">
        <w:r w:rsidR="00F24D1D" w:rsidRPr="00A26A08">
          <w:rPr>
            <w:rStyle w:val="Hyperlink"/>
          </w:rPr>
          <w:t>Italy Crypto Tax Guide 2023</w:t>
        </w:r>
      </w:hyperlink>
      <w:r w:rsidR="00F75232">
        <w:t>’</w:t>
      </w:r>
      <w:r w:rsidR="00F24D1D" w:rsidRPr="00B1515C">
        <w:t xml:space="preserve">, </w:t>
      </w:r>
      <w:r w:rsidR="00F24D1D" w:rsidRPr="00C77F3F">
        <w:rPr>
          <w:rStyle w:val="Emphasis"/>
        </w:rPr>
        <w:t>Koinly</w:t>
      </w:r>
      <w:r w:rsidR="00F24D1D" w:rsidRPr="00B1515C">
        <w:t xml:space="preserve"> (Blog, 5 January 2023)</w:t>
      </w:r>
      <w:r w:rsidR="00A26A08">
        <w:t>.</w:t>
      </w:r>
    </w:p>
  </w:footnote>
  <w:footnote w:id="677">
    <w:p w14:paraId="54A1B780" w14:textId="084A08D7"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 xml:space="preserve">Submission A35, 6. Henrique Almeidia, </w:t>
      </w:r>
      <w:r w:rsidR="00F75232">
        <w:t>‘</w:t>
      </w:r>
      <w:hyperlink r:id="rId281" w:history="1">
        <w:r w:rsidR="00F24D1D" w:rsidRPr="00A26A08">
          <w:rPr>
            <w:rStyle w:val="Hyperlink"/>
          </w:rPr>
          <w:t>Crypto taxes can</w:t>
        </w:r>
        <w:r w:rsidR="00F75232" w:rsidRPr="00A26A08">
          <w:rPr>
            <w:rStyle w:val="Hyperlink"/>
          </w:rPr>
          <w:t>’</w:t>
        </w:r>
        <w:r w:rsidR="00F24D1D" w:rsidRPr="00A26A08">
          <w:rPr>
            <w:rStyle w:val="Hyperlink"/>
          </w:rPr>
          <w:t>t stop the party in Portugal</w:t>
        </w:r>
      </w:hyperlink>
      <w:r w:rsidR="00F75232">
        <w:t>’</w:t>
      </w:r>
      <w:r w:rsidR="00F24D1D" w:rsidRPr="00B1515C">
        <w:t xml:space="preserve">, </w:t>
      </w:r>
      <w:r w:rsidR="00F24D1D" w:rsidRPr="00C77F3F">
        <w:rPr>
          <w:rStyle w:val="Emphasis"/>
        </w:rPr>
        <w:t xml:space="preserve">Bloomberg </w:t>
      </w:r>
      <w:r w:rsidR="00F24D1D" w:rsidRPr="00B1515C">
        <w:t>(</w:t>
      </w:r>
      <w:r w:rsidR="00A26A08">
        <w:t>Web Page</w:t>
      </w:r>
      <w:r w:rsidR="00F24D1D" w:rsidRPr="00B1515C">
        <w:t>, 19</w:t>
      </w:r>
      <w:r w:rsidR="00385CAD">
        <w:t> </w:t>
      </w:r>
      <w:r w:rsidR="00F24D1D" w:rsidRPr="00B1515C">
        <w:t>October</w:t>
      </w:r>
      <w:r w:rsidR="00385CAD">
        <w:t> </w:t>
      </w:r>
      <w:r w:rsidR="00F24D1D" w:rsidRPr="00B1515C">
        <w:t>2022)</w:t>
      </w:r>
      <w:r w:rsidR="00A26A08">
        <w:t>.</w:t>
      </w:r>
    </w:p>
  </w:footnote>
  <w:footnote w:id="678">
    <w:p w14:paraId="197BB5B3" w14:textId="45B3BDA4"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In Submission A30, 5, KPMG proposed a one</w:t>
      </w:r>
      <w:r w:rsidR="00F75232">
        <w:t>-</w:t>
      </w:r>
      <w:r w:rsidR="00F24D1D" w:rsidRPr="00B1515C">
        <w:t>off election to apply CGT treatment for certain assets, with a similar proposal noted by the Joint Bodies in Submission A33, 30.</w:t>
      </w:r>
    </w:p>
  </w:footnote>
  <w:footnote w:id="679">
    <w:p w14:paraId="3E2A7646" w14:textId="5629DE96"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Senate Select Committee</w:t>
      </w:r>
      <w:r w:rsidR="00D6358B" w:rsidRPr="00B1515C">
        <w:t xml:space="preserve"> Report </w:t>
      </w:r>
      <w:r w:rsidR="001609BE" w:rsidRPr="00B1515C">
        <w:t>(n 9)</w:t>
      </w:r>
      <w:r w:rsidR="00F24D1D" w:rsidRPr="00B1515C">
        <w:t xml:space="preserve"> </w:t>
      </w:r>
      <w:r w:rsidR="002406FB" w:rsidRPr="00B1515C">
        <w:t>140</w:t>
      </w:r>
      <w:r w:rsidR="00F24D1D" w:rsidRPr="00B1515C">
        <w:t xml:space="preserve"> </w:t>
      </w:r>
      <w:r w:rsidR="00CF1196" w:rsidRPr="00B1515C">
        <w:t>[6.49]</w:t>
      </w:r>
      <w:r w:rsidR="00D6358B" w:rsidRPr="00B1515C">
        <w:t>,</w:t>
      </w:r>
      <w:r w:rsidR="00CF1196" w:rsidRPr="00B1515C">
        <w:t xml:space="preserve"> [6.50]</w:t>
      </w:r>
      <w:r w:rsidR="00D6358B" w:rsidRPr="00B1515C">
        <w:t>.</w:t>
      </w:r>
    </w:p>
  </w:footnote>
  <w:footnote w:id="680">
    <w:p w14:paraId="284814B3" w14:textId="434884D9"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A28, 52; Submission A35, 7; Submission A25, 4.</w:t>
      </w:r>
    </w:p>
  </w:footnote>
  <w:footnote w:id="681">
    <w:p w14:paraId="61C58986" w14:textId="1CA5D34C" w:rsidR="000359E8" w:rsidRPr="00B1515C" w:rsidRDefault="00815763" w:rsidP="00A01254">
      <w:pPr>
        <w:pStyle w:val="FootnoteText"/>
      </w:pPr>
      <w:r w:rsidRPr="00815763">
        <w:rPr>
          <w:rStyle w:val="FootnoteReference"/>
          <w:vertAlign w:val="baseline"/>
        </w:rPr>
        <w:footnoteRef/>
      </w:r>
      <w:r w:rsidR="000359E8" w:rsidRPr="00B1515C">
        <w:t xml:space="preserve"> </w:t>
      </w:r>
      <w:r w:rsidR="00587B4A" w:rsidRPr="00B1515C">
        <w:tab/>
      </w:r>
      <w:r w:rsidR="000359E8" w:rsidRPr="00B1515C">
        <w:t xml:space="preserve">Clara Hathorne and Robert Breunig, </w:t>
      </w:r>
      <w:r w:rsidR="00F75232">
        <w:t>‘</w:t>
      </w:r>
      <w:r w:rsidR="000359E8" w:rsidRPr="00B1515C">
        <w:t>Digital Service Taxation: An introduction and policy options for Australia</w:t>
      </w:r>
      <w:r w:rsidR="00F75232">
        <w:t>’</w:t>
      </w:r>
      <w:r w:rsidR="000359E8" w:rsidRPr="00B1515C">
        <w:t xml:space="preserve">, </w:t>
      </w:r>
      <w:r w:rsidR="006B2D70">
        <w:br/>
      </w:r>
      <w:r w:rsidR="000359E8" w:rsidRPr="00B1515C">
        <w:t xml:space="preserve">Tax and Transfer Policy Institute </w:t>
      </w:r>
      <w:r w:rsidR="003968DD" w:rsidRPr="00B1515C">
        <w:t>(</w:t>
      </w:r>
      <w:hyperlink r:id="rId282" w:history="1">
        <w:r w:rsidR="000359E8" w:rsidRPr="00BF3061">
          <w:rPr>
            <w:rStyle w:val="Hyperlink"/>
          </w:rPr>
          <w:t>Policy Brief 7/2020</w:t>
        </w:r>
      </w:hyperlink>
      <w:r w:rsidR="000359E8" w:rsidRPr="00B1515C">
        <w:t>, December 2020</w:t>
      </w:r>
      <w:r w:rsidR="003968DD" w:rsidRPr="00B1515C">
        <w:t>)</w:t>
      </w:r>
      <w:r w:rsidR="00BF3061">
        <w:t>.</w:t>
      </w:r>
      <w:r w:rsidR="00C67C82" w:rsidRPr="00B1515C">
        <w:t xml:space="preserve"> </w:t>
      </w:r>
    </w:p>
  </w:footnote>
  <w:footnote w:id="682">
    <w:p w14:paraId="6E330FD1" w14:textId="13720ADA" w:rsidR="00F24D1D" w:rsidRPr="00B1515C" w:rsidRDefault="00815763" w:rsidP="00A01254">
      <w:pPr>
        <w:pStyle w:val="FootnoteText"/>
        <w:rPr>
          <w:lang w:val="en-US"/>
        </w:rPr>
      </w:pPr>
      <w:r w:rsidRPr="00815763">
        <w:rPr>
          <w:rStyle w:val="FootnoteReference"/>
          <w:vertAlign w:val="baseline"/>
        </w:rPr>
        <w:footnoteRef/>
      </w:r>
      <w:r w:rsidR="00F24D1D" w:rsidRPr="00B1515C">
        <w:t xml:space="preserve"> </w:t>
      </w:r>
      <w:bookmarkStart w:id="165" w:name="_Hlk41644161"/>
      <w:r w:rsidR="00587B4A" w:rsidRPr="00B1515C">
        <w:tab/>
      </w:r>
      <w:r w:rsidR="00F24D1D" w:rsidRPr="00B1515C">
        <w:rPr>
          <w:rFonts w:cstheme="minorHAnsi"/>
          <w:lang w:val="en-US"/>
        </w:rPr>
        <w:t xml:space="preserve">Chris Sanger and Rob Thomas, </w:t>
      </w:r>
      <w:r w:rsidR="00F75232">
        <w:rPr>
          <w:rFonts w:cstheme="minorHAnsi"/>
          <w:lang w:val="en-US"/>
        </w:rPr>
        <w:t>‘</w:t>
      </w:r>
      <w:hyperlink r:id="rId283" w:history="1">
        <w:r w:rsidR="00F24D1D" w:rsidRPr="00BF3061">
          <w:rPr>
            <w:rStyle w:val="Hyperlink"/>
            <w:rFonts w:cstheme="minorHAnsi"/>
          </w:rPr>
          <w:t>New digital tax policies What, when, where, how and by whom?</w:t>
        </w:r>
      </w:hyperlink>
      <w:r w:rsidR="00F75232">
        <w:rPr>
          <w:rFonts w:cstheme="minorHAnsi"/>
        </w:rPr>
        <w:t>’</w:t>
      </w:r>
      <w:r w:rsidR="00F24D1D" w:rsidRPr="00B1515C">
        <w:rPr>
          <w:rFonts w:cstheme="minorHAnsi"/>
        </w:rPr>
        <w:t xml:space="preserve"> (2018) EY</w:t>
      </w:r>
      <w:r w:rsidR="00F75232">
        <w:rPr>
          <w:rFonts w:cstheme="minorHAnsi"/>
        </w:rPr>
        <w:t>’</w:t>
      </w:r>
      <w:r w:rsidR="00F24D1D" w:rsidRPr="00B1515C">
        <w:rPr>
          <w:rFonts w:cstheme="minorHAnsi"/>
        </w:rPr>
        <w:t>s Global Tax Policy and Controversy Brief</w:t>
      </w:r>
      <w:bookmarkEnd w:id="165"/>
      <w:r w:rsidR="00BF3061">
        <w:rPr>
          <w:rFonts w:cstheme="minorHAnsi"/>
        </w:rPr>
        <w:t>.</w:t>
      </w:r>
    </w:p>
  </w:footnote>
  <w:footnote w:id="683">
    <w:p w14:paraId="4D552622" w14:textId="20C6D319" w:rsidR="00375992" w:rsidRPr="00B1515C" w:rsidRDefault="00815763" w:rsidP="00A01254">
      <w:pPr>
        <w:pStyle w:val="FootnoteText"/>
      </w:pPr>
      <w:r w:rsidRPr="00815763">
        <w:rPr>
          <w:rStyle w:val="FootnoteReference"/>
          <w:vertAlign w:val="baseline"/>
        </w:rPr>
        <w:footnoteRef/>
      </w:r>
      <w:r w:rsidR="00375992" w:rsidRPr="00B1515C">
        <w:t xml:space="preserve"> </w:t>
      </w:r>
      <w:r w:rsidR="00CD741B" w:rsidRPr="00B1515C">
        <w:tab/>
        <w:t>Amount A of Pillar One has been developed as part of the Two</w:t>
      </w:r>
      <w:r w:rsidR="00F75232">
        <w:t>-</w:t>
      </w:r>
      <w:r w:rsidR="00CD741B" w:rsidRPr="00B1515C">
        <w:t>Pillar Solution for addressing the tax challenges arising from the digitalisation of the economy</w:t>
      </w:r>
      <w:r w:rsidR="00F75232">
        <w:t xml:space="preserve">. </w:t>
      </w:r>
      <w:r w:rsidR="00CD741B" w:rsidRPr="00B1515C">
        <w:t>It provides jurisdictions in which consumers and users are located</w:t>
      </w:r>
      <w:r w:rsidR="00000F10" w:rsidRPr="00B1515C">
        <w:t>,</w:t>
      </w:r>
      <w:r w:rsidR="00CD741B" w:rsidRPr="00B1515C">
        <w:t xml:space="preserve"> a new taxing right over a portion of the residual profits of the largest and most profitable multinational enterprises in the world</w:t>
      </w:r>
      <w:r w:rsidR="00000F10" w:rsidRPr="00B1515C">
        <w:t xml:space="preserve">: OECD, </w:t>
      </w:r>
      <w:hyperlink r:id="rId284" w:history="1">
        <w:r w:rsidR="00000F10" w:rsidRPr="00BF3061">
          <w:rPr>
            <w:rStyle w:val="Hyperlink"/>
            <w:i/>
            <w:iCs/>
          </w:rPr>
          <w:t>Pillar One Amount A Fact Sheet</w:t>
        </w:r>
      </w:hyperlink>
      <w:r w:rsidR="00000F10" w:rsidRPr="00C77F3F">
        <w:rPr>
          <w:rStyle w:val="Emphasis"/>
        </w:rPr>
        <w:t xml:space="preserve"> </w:t>
      </w:r>
      <w:r w:rsidR="0006225C" w:rsidRPr="00B1515C">
        <w:t>(Fact Sheet, accessed 29 January 2024)</w:t>
      </w:r>
      <w:r w:rsidR="00BF3061">
        <w:t>.</w:t>
      </w:r>
    </w:p>
  </w:footnote>
  <w:footnote w:id="684">
    <w:p w14:paraId="37F2BF36" w14:textId="5E520DDB" w:rsidR="00F24D1D" w:rsidRPr="00B1515C" w:rsidRDefault="00815763" w:rsidP="00A01254">
      <w:pPr>
        <w:pStyle w:val="FootnoteText"/>
        <w:rPr>
          <w:rFonts w:cstheme="minorHAnsi"/>
        </w:rPr>
      </w:pPr>
      <w:r w:rsidRPr="00815763">
        <w:rPr>
          <w:rStyle w:val="FootnoteReference"/>
          <w:sz w:val="18"/>
          <w:szCs w:val="18"/>
          <w:vertAlign w:val="baseline"/>
        </w:rPr>
        <w:footnoteRef/>
      </w:r>
      <w:r w:rsidR="00F24D1D" w:rsidRPr="00B1515C">
        <w:t xml:space="preserve"> </w:t>
      </w:r>
      <w:r w:rsidR="00587B4A" w:rsidRPr="00B1515C">
        <w:tab/>
      </w:r>
      <w:r w:rsidR="00064D49" w:rsidRPr="00B1515C">
        <w:rPr>
          <w:rFonts w:cstheme="minorHAnsi"/>
        </w:rPr>
        <w:t>Ken Henry et al,</w:t>
      </w:r>
      <w:r w:rsidR="00F24D1D" w:rsidRPr="00B1515C">
        <w:rPr>
          <w:rFonts w:cstheme="minorHAnsi"/>
        </w:rPr>
        <w:t xml:space="preserve"> </w:t>
      </w:r>
      <w:r w:rsidR="00F24D1D" w:rsidRPr="00C77F3F">
        <w:rPr>
          <w:rStyle w:val="Emphasis"/>
        </w:rPr>
        <w:t>Australia</w:t>
      </w:r>
      <w:r w:rsidR="00F75232">
        <w:rPr>
          <w:rStyle w:val="Emphasis"/>
        </w:rPr>
        <w:t>’</w:t>
      </w:r>
      <w:r w:rsidR="00F24D1D" w:rsidRPr="00C77F3F">
        <w:rPr>
          <w:rStyle w:val="Emphasis"/>
        </w:rPr>
        <w:t>s Future Tax System: Report to the Treasurer, Part One, Overview</w:t>
      </w:r>
      <w:r w:rsidR="00F24D1D" w:rsidRPr="00B1515C">
        <w:rPr>
          <w:rFonts w:cstheme="minorHAnsi"/>
        </w:rPr>
        <w:t>, Commonwealth of Australia, Canberra</w:t>
      </w:r>
      <w:r w:rsidR="00BC6D18" w:rsidRPr="00B1515C">
        <w:rPr>
          <w:rFonts w:cstheme="minorHAnsi"/>
        </w:rPr>
        <w:t xml:space="preserve"> (Report, December 2009)</w:t>
      </w:r>
      <w:r w:rsidR="00F24D1D" w:rsidRPr="00B1515C">
        <w:rPr>
          <w:rFonts w:cstheme="minorHAnsi"/>
        </w:rPr>
        <w:t xml:space="preserve"> 172</w:t>
      </w:r>
      <w:r w:rsidR="00BC6D18" w:rsidRPr="00B1515C">
        <w:rPr>
          <w:rFonts w:cstheme="minorHAnsi"/>
        </w:rPr>
        <w:t>.</w:t>
      </w:r>
    </w:p>
  </w:footnote>
  <w:footnote w:id="685">
    <w:p w14:paraId="769E55F4" w14:textId="30EC8706" w:rsidR="00F24D1D" w:rsidRPr="00B1515C" w:rsidRDefault="00815763" w:rsidP="00A01254">
      <w:pPr>
        <w:pStyle w:val="FootnoteText"/>
      </w:pPr>
      <w:r w:rsidRPr="00815763">
        <w:rPr>
          <w:rStyle w:val="FootnoteReference"/>
          <w:rFonts w:cstheme="minorHAnsi"/>
          <w:sz w:val="18"/>
          <w:szCs w:val="18"/>
          <w:vertAlign w:val="baseline"/>
        </w:rPr>
        <w:footnoteRef/>
      </w:r>
      <w:r w:rsidR="00F24D1D" w:rsidRPr="00B1515C">
        <w:rPr>
          <w:rFonts w:cstheme="minorHAnsi"/>
        </w:rPr>
        <w:t xml:space="preserve"> </w:t>
      </w:r>
      <w:r w:rsidR="00587B4A" w:rsidRPr="00B1515C">
        <w:rPr>
          <w:rFonts w:cstheme="minorHAnsi"/>
        </w:rPr>
        <w:tab/>
      </w:r>
      <w:r w:rsidR="00F24D1D" w:rsidRPr="00B1515C">
        <w:rPr>
          <w:rFonts w:cstheme="minorHAnsi"/>
          <w:lang w:val="en"/>
        </w:rPr>
        <w:t xml:space="preserve">Sam </w:t>
      </w:r>
      <w:r w:rsidR="00CE3B4F" w:rsidRPr="00B1515C">
        <w:rPr>
          <w:rFonts w:cstheme="minorHAnsi"/>
          <w:lang w:val="en"/>
        </w:rPr>
        <w:t>Reinhardt, Lee Steel,</w:t>
      </w:r>
      <w:r w:rsidR="00F24D1D" w:rsidRPr="00B1515C">
        <w:rPr>
          <w:rFonts w:cstheme="minorHAnsi"/>
          <w:lang w:val="en"/>
        </w:rPr>
        <w:t xml:space="preserve"> </w:t>
      </w:r>
      <w:r w:rsidR="00F75232">
        <w:rPr>
          <w:rFonts w:cstheme="minorHAnsi"/>
          <w:lang w:val="en"/>
        </w:rPr>
        <w:t>‘</w:t>
      </w:r>
      <w:hyperlink r:id="rId285" w:history="1">
        <w:r w:rsidR="00F24D1D" w:rsidRPr="00BF3061">
          <w:rPr>
            <w:rStyle w:val="Hyperlink"/>
            <w:rFonts w:cstheme="minorHAnsi"/>
            <w:lang w:val="en"/>
          </w:rPr>
          <w:t>A Brief History of Australia</w:t>
        </w:r>
        <w:r w:rsidR="00F75232" w:rsidRPr="00BF3061">
          <w:rPr>
            <w:rStyle w:val="Hyperlink"/>
            <w:rFonts w:cstheme="minorHAnsi"/>
            <w:lang w:val="en"/>
          </w:rPr>
          <w:t>’</w:t>
        </w:r>
        <w:r w:rsidR="00F24D1D" w:rsidRPr="00BF3061">
          <w:rPr>
            <w:rStyle w:val="Hyperlink"/>
            <w:rFonts w:cstheme="minorHAnsi"/>
            <w:lang w:val="en"/>
          </w:rPr>
          <w:t>s Tax System</w:t>
        </w:r>
      </w:hyperlink>
      <w:r w:rsidR="00F75232">
        <w:rPr>
          <w:rFonts w:cstheme="minorHAnsi"/>
          <w:lang w:val="en"/>
        </w:rPr>
        <w:t>’</w:t>
      </w:r>
      <w:r w:rsidR="00000E36" w:rsidRPr="00B1515C">
        <w:rPr>
          <w:rFonts w:cstheme="minorHAnsi"/>
          <w:lang w:val="en"/>
        </w:rPr>
        <w:t xml:space="preserve"> (Winter 2006)</w:t>
      </w:r>
      <w:r w:rsidR="00F24D1D" w:rsidRPr="00B1515C">
        <w:rPr>
          <w:rFonts w:cstheme="minorHAnsi"/>
          <w:lang w:val="en"/>
        </w:rPr>
        <w:t xml:space="preserve"> </w:t>
      </w:r>
      <w:r w:rsidR="00F24D1D" w:rsidRPr="00C77F3F">
        <w:rPr>
          <w:rStyle w:val="Emphasis"/>
        </w:rPr>
        <w:t>Economic Round</w:t>
      </w:r>
      <w:r w:rsidR="00F75232">
        <w:rPr>
          <w:rStyle w:val="Emphasis"/>
        </w:rPr>
        <w:t>-</w:t>
      </w:r>
      <w:r w:rsidR="00F24D1D" w:rsidRPr="006B2D70">
        <w:rPr>
          <w:rStyle w:val="Emphasis"/>
        </w:rPr>
        <w:t xml:space="preserve">up </w:t>
      </w:r>
      <w:r w:rsidR="001D6DC6" w:rsidRPr="006B2D70">
        <w:rPr>
          <w:rStyle w:val="Emphasis"/>
        </w:rPr>
        <w:t>22</w:t>
      </w:r>
      <w:r w:rsidR="001D6DC6" w:rsidRPr="00B1515C">
        <w:rPr>
          <w:rFonts w:cstheme="minorHAnsi"/>
          <w:lang w:val="en"/>
        </w:rPr>
        <w:t xml:space="preserve"> </w:t>
      </w:r>
      <w:r w:rsidR="00B16542" w:rsidRPr="00B1515C">
        <w:t>(</w:t>
      </w:r>
      <w:r w:rsidR="00F75232">
        <w:t>‘</w:t>
      </w:r>
      <w:r w:rsidR="00B16542" w:rsidRPr="00B1515C">
        <w:t>A Brief History of Australia</w:t>
      </w:r>
      <w:r w:rsidR="00F75232">
        <w:t>’</w:t>
      </w:r>
      <w:r w:rsidR="00B16542" w:rsidRPr="00B1515C">
        <w:t>s Tax System</w:t>
      </w:r>
      <w:r w:rsidR="00F75232">
        <w:t>’</w:t>
      </w:r>
      <w:r w:rsidR="00B16542" w:rsidRPr="00B1515C">
        <w:t>)</w:t>
      </w:r>
      <w:r w:rsidR="001D6DC6" w:rsidRPr="00B1515C">
        <w:t>.</w:t>
      </w:r>
    </w:p>
  </w:footnote>
  <w:footnote w:id="686">
    <w:p w14:paraId="09991A60" w14:textId="02FCF167" w:rsidR="00B459D5" w:rsidRPr="00B1515C" w:rsidRDefault="00815763" w:rsidP="00A01254">
      <w:pPr>
        <w:pStyle w:val="FootnoteText"/>
      </w:pPr>
      <w:r w:rsidRPr="00815763">
        <w:rPr>
          <w:rStyle w:val="FootnoteReference"/>
          <w:sz w:val="18"/>
          <w:szCs w:val="18"/>
          <w:vertAlign w:val="baseline"/>
        </w:rPr>
        <w:footnoteRef/>
      </w:r>
      <w:r w:rsidR="00B459D5" w:rsidRPr="00B1515C">
        <w:t xml:space="preserve"> </w:t>
      </w:r>
      <w:r w:rsidR="00587B4A" w:rsidRPr="00B1515C">
        <w:tab/>
      </w:r>
      <w:r w:rsidR="00B1013F" w:rsidRPr="00C77F3F">
        <w:rPr>
          <w:rStyle w:val="Emphasis"/>
        </w:rPr>
        <w:t>Vanderstock &amp; Anor v State of Victoria</w:t>
      </w:r>
      <w:r w:rsidR="00B1013F" w:rsidRPr="00B1515C">
        <w:t xml:space="preserve"> [2023] HCA 30</w:t>
      </w:r>
      <w:r w:rsidR="00795A41" w:rsidRPr="00B1515C">
        <w:t>.</w:t>
      </w:r>
    </w:p>
  </w:footnote>
  <w:footnote w:id="687">
    <w:p w14:paraId="33545B97" w14:textId="2EC563A6" w:rsidR="00F24D1D" w:rsidRPr="00B1515C" w:rsidRDefault="00815763" w:rsidP="00A01254">
      <w:pPr>
        <w:pStyle w:val="FootnoteText"/>
      </w:pPr>
      <w:r w:rsidRPr="00815763">
        <w:rPr>
          <w:rStyle w:val="FootnoteReference"/>
          <w:rFonts w:cstheme="minorHAnsi"/>
          <w:sz w:val="18"/>
          <w:szCs w:val="18"/>
          <w:vertAlign w:val="baseline"/>
        </w:rPr>
        <w:footnoteRef/>
      </w:r>
      <w:r w:rsidR="00F24D1D" w:rsidRPr="00B1515C">
        <w:t xml:space="preserve"> </w:t>
      </w:r>
      <w:r w:rsidR="00587B4A" w:rsidRPr="00B1515C">
        <w:tab/>
      </w:r>
      <w:r w:rsidR="00637318" w:rsidRPr="00B1515C">
        <w:rPr>
          <w:rFonts w:cs="Calibri"/>
          <w:color w:val="000000"/>
        </w:rPr>
        <w:t>A Brief History of Australia</w:t>
      </w:r>
      <w:r w:rsidR="00F75232">
        <w:rPr>
          <w:rFonts w:cs="Calibri"/>
          <w:color w:val="000000"/>
        </w:rPr>
        <w:t>’</w:t>
      </w:r>
      <w:r w:rsidR="00637318" w:rsidRPr="00B1515C">
        <w:rPr>
          <w:rFonts w:cs="Calibri"/>
          <w:color w:val="000000"/>
        </w:rPr>
        <w:t xml:space="preserve">s Tax System </w:t>
      </w:r>
      <w:r w:rsidR="00795A41" w:rsidRPr="00B1515C">
        <w:rPr>
          <w:rFonts w:cs="Calibri"/>
          <w:color w:val="000000"/>
        </w:rPr>
        <w:t>(n 684)</w:t>
      </w:r>
      <w:r w:rsidR="00637318" w:rsidRPr="00B1515C">
        <w:rPr>
          <w:rFonts w:cs="Calibri"/>
          <w:color w:val="000000"/>
        </w:rPr>
        <w:t xml:space="preserve">: </w:t>
      </w:r>
      <w:r w:rsidR="00F24D1D" w:rsidRPr="00B1515C">
        <w:t xml:space="preserve">Inelastic demand means that excise taxes can be applied without creating undue distortions to consumption decisions, the hallmark of an efficient tax. </w:t>
      </w:r>
    </w:p>
  </w:footnote>
  <w:footnote w:id="688">
    <w:p w14:paraId="464A83B3" w14:textId="7B677A76" w:rsidR="00F24D1D" w:rsidRPr="00B1515C" w:rsidRDefault="00815763" w:rsidP="00A01254">
      <w:pPr>
        <w:pStyle w:val="FootnoteText"/>
        <w:rPr>
          <w:rFonts w:cstheme="minorHAnsi"/>
        </w:rPr>
      </w:pPr>
      <w:r w:rsidRPr="00815763">
        <w:rPr>
          <w:rStyle w:val="FootnoteReference"/>
          <w:rFonts w:cstheme="minorHAnsi"/>
          <w:vertAlign w:val="baseline"/>
        </w:rPr>
        <w:footnoteRef/>
      </w:r>
      <w:r w:rsidR="00F24D1D" w:rsidRPr="00B1515C">
        <w:rPr>
          <w:rFonts w:cstheme="minorHAnsi"/>
        </w:rPr>
        <w:t xml:space="preserve"> </w:t>
      </w:r>
      <w:r w:rsidR="00587B4A" w:rsidRPr="00B1515C">
        <w:rPr>
          <w:rFonts w:cstheme="minorHAnsi"/>
        </w:rPr>
        <w:tab/>
      </w:r>
      <w:r w:rsidR="00637318" w:rsidRPr="00B1515C">
        <w:rPr>
          <w:rFonts w:cs="Calibri"/>
          <w:color w:val="000000"/>
        </w:rPr>
        <w:t>A Brief History of Australia</w:t>
      </w:r>
      <w:r w:rsidR="00F75232">
        <w:rPr>
          <w:rFonts w:cs="Calibri"/>
          <w:color w:val="000000"/>
        </w:rPr>
        <w:t>’</w:t>
      </w:r>
      <w:r w:rsidR="00637318" w:rsidRPr="00B1515C">
        <w:rPr>
          <w:rFonts w:cs="Calibri"/>
          <w:color w:val="000000"/>
        </w:rPr>
        <w:t xml:space="preserve">s Tax System </w:t>
      </w:r>
      <w:r w:rsidR="00795A41" w:rsidRPr="00B1515C">
        <w:rPr>
          <w:rFonts w:cs="Calibri"/>
          <w:color w:val="000000"/>
        </w:rPr>
        <w:t>(n 684)</w:t>
      </w:r>
      <w:r w:rsidR="00637318" w:rsidRPr="00B1515C">
        <w:rPr>
          <w:rFonts w:cs="Calibri"/>
          <w:color w:val="000000"/>
        </w:rPr>
        <w:t>.</w:t>
      </w:r>
    </w:p>
  </w:footnote>
  <w:footnote w:id="689">
    <w:p w14:paraId="33AB4DAF" w14:textId="21F0242C" w:rsidR="00F24D1D" w:rsidRPr="00B1515C" w:rsidRDefault="00815763" w:rsidP="00A01254">
      <w:pPr>
        <w:pStyle w:val="FootnoteText"/>
        <w:rPr>
          <w:rFonts w:cstheme="minorHAnsi"/>
        </w:rPr>
      </w:pPr>
      <w:r w:rsidRPr="00815763">
        <w:rPr>
          <w:rStyle w:val="FootnoteReference"/>
          <w:rFonts w:cstheme="minorHAnsi"/>
          <w:vertAlign w:val="baseline"/>
        </w:rPr>
        <w:footnoteRef/>
      </w:r>
      <w:r w:rsidR="00F24D1D" w:rsidRPr="00B1515C">
        <w:rPr>
          <w:rFonts w:cstheme="minorHAnsi"/>
        </w:rPr>
        <w:t xml:space="preserve"> </w:t>
      </w:r>
      <w:r w:rsidR="00587B4A" w:rsidRPr="00B1515C">
        <w:rPr>
          <w:rFonts w:cstheme="minorHAnsi"/>
        </w:rPr>
        <w:tab/>
      </w:r>
      <w:r w:rsidR="00637318" w:rsidRPr="00B1515C">
        <w:rPr>
          <w:rFonts w:cs="Calibri"/>
          <w:color w:val="000000"/>
        </w:rPr>
        <w:t>A Brief History of Australia</w:t>
      </w:r>
      <w:r w:rsidR="00F75232">
        <w:rPr>
          <w:rFonts w:cs="Calibri"/>
          <w:color w:val="000000"/>
        </w:rPr>
        <w:t>’</w:t>
      </w:r>
      <w:r w:rsidR="00637318" w:rsidRPr="00B1515C">
        <w:rPr>
          <w:rFonts w:cs="Calibri"/>
          <w:color w:val="000000"/>
        </w:rPr>
        <w:t xml:space="preserve">s Tax System </w:t>
      </w:r>
      <w:r w:rsidR="00795A41" w:rsidRPr="00B1515C">
        <w:rPr>
          <w:rFonts w:cs="Calibri"/>
          <w:color w:val="000000"/>
        </w:rPr>
        <w:t>(n 684)</w:t>
      </w:r>
      <w:r w:rsidR="00637318" w:rsidRPr="00B1515C">
        <w:rPr>
          <w:rFonts w:cs="Calibri"/>
          <w:color w:val="000000"/>
        </w:rPr>
        <w:t>.</w:t>
      </w:r>
    </w:p>
  </w:footnote>
  <w:footnote w:id="690">
    <w:p w14:paraId="377863A5" w14:textId="4364A480" w:rsidR="0095186D" w:rsidRPr="00B1515C" w:rsidRDefault="00815763" w:rsidP="00A01254">
      <w:pPr>
        <w:pStyle w:val="FootnoteText"/>
      </w:pPr>
      <w:r w:rsidRPr="00815763">
        <w:rPr>
          <w:rStyle w:val="FootnoteReference"/>
          <w:vertAlign w:val="baseline"/>
        </w:rPr>
        <w:footnoteRef/>
      </w:r>
      <w:r w:rsidR="0095186D" w:rsidRPr="00B1515C">
        <w:t xml:space="preserve"> </w:t>
      </w:r>
      <w:r w:rsidR="00587B4A" w:rsidRPr="00B1515C">
        <w:tab/>
      </w:r>
      <w:r w:rsidR="00E86588" w:rsidRPr="00B1515C">
        <w:t>Currently applies to real property disposals where the contract price Is $750,000 or more and certain conditions are met.</w:t>
      </w:r>
    </w:p>
  </w:footnote>
  <w:footnote w:id="691">
    <w:p w14:paraId="173E6554" w14:textId="1474EFD4" w:rsidR="00F24D1D" w:rsidRPr="00B1515C" w:rsidDel="00E72AEA" w:rsidRDefault="00815763" w:rsidP="00A01254">
      <w:pPr>
        <w:pStyle w:val="FootnoteText"/>
      </w:pPr>
      <w:r w:rsidRPr="00815763">
        <w:rPr>
          <w:rStyle w:val="FootnoteReference"/>
          <w:vertAlign w:val="baseline"/>
        </w:rPr>
        <w:footnoteRef/>
      </w:r>
      <w:r w:rsidR="00E72AEA" w:rsidRPr="00B1515C">
        <w:t xml:space="preserve"> </w:t>
      </w:r>
      <w:r w:rsidR="00587B4A" w:rsidRPr="00B1515C">
        <w:tab/>
      </w:r>
      <w:r w:rsidR="00821B54" w:rsidRPr="00B1515C">
        <w:t>Submission A11, 7.</w:t>
      </w:r>
    </w:p>
  </w:footnote>
  <w:footnote w:id="692">
    <w:p w14:paraId="5FBB5A8E" w14:textId="36834127"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75232">
        <w:t>‘</w:t>
      </w:r>
      <w:hyperlink r:id="rId286" w:history="1">
        <w:r w:rsidR="00F24D1D" w:rsidRPr="00BF3061">
          <w:rPr>
            <w:rStyle w:val="Hyperlink"/>
          </w:rPr>
          <w:t>What is decentralized autonomous organisation and how does a DAO work?</w:t>
        </w:r>
      </w:hyperlink>
      <w:r w:rsidR="00F75232">
        <w:t>’</w:t>
      </w:r>
      <w:r w:rsidR="00276541" w:rsidRPr="00B1515C">
        <w:t>,</w:t>
      </w:r>
      <w:r w:rsidR="00F24D1D" w:rsidRPr="00C77F3F">
        <w:rPr>
          <w:rStyle w:val="Emphasis"/>
        </w:rPr>
        <w:t xml:space="preserve"> Cointelegraph</w:t>
      </w:r>
      <w:r w:rsidR="00F24D1D" w:rsidRPr="00B1515C">
        <w:t xml:space="preserve"> (</w:t>
      </w:r>
      <w:r w:rsidR="00276541" w:rsidRPr="00B1515C">
        <w:t>Web Page,</w:t>
      </w:r>
      <w:r w:rsidR="00F24D1D" w:rsidRPr="00B1515C">
        <w:t xml:space="preserve"> </w:t>
      </w:r>
      <w:r w:rsidR="00276541" w:rsidRPr="00B1515C">
        <w:t xml:space="preserve">accessed </w:t>
      </w:r>
      <w:r w:rsidR="00F24D1D" w:rsidRPr="00B1515C">
        <w:t>13</w:t>
      </w:r>
      <w:r w:rsidR="000437AD">
        <w:t> </w:t>
      </w:r>
      <w:r w:rsidR="00F24D1D" w:rsidRPr="00B1515C">
        <w:t>December 2023</w:t>
      </w:r>
      <w:r w:rsidR="00BF3061">
        <w:t>).</w:t>
      </w:r>
    </w:p>
  </w:footnote>
  <w:footnote w:id="693">
    <w:p w14:paraId="22C49900" w14:textId="2CBE4CCB" w:rsidR="00F24D1D" w:rsidRPr="00B1515C" w:rsidRDefault="00815763" w:rsidP="00A01254">
      <w:pPr>
        <w:pStyle w:val="FootnoteText"/>
      </w:pPr>
      <w:r w:rsidRPr="00815763">
        <w:rPr>
          <w:rStyle w:val="FootnoteReference"/>
          <w:sz w:val="18"/>
          <w:szCs w:val="18"/>
          <w:vertAlign w:val="baseline"/>
        </w:rPr>
        <w:footnoteRef/>
      </w:r>
      <w:r w:rsidR="00F24D1D" w:rsidRPr="00B1515C">
        <w:t xml:space="preserve"> </w:t>
      </w:r>
      <w:r w:rsidR="00587B4A" w:rsidRPr="00B1515C">
        <w:tab/>
      </w:r>
      <w:r w:rsidR="007A73E1" w:rsidRPr="00B1515C">
        <w:t xml:space="preserve">World Economic Forum, </w:t>
      </w:r>
      <w:r w:rsidR="007A73E1" w:rsidRPr="00C77F3F">
        <w:rPr>
          <w:rStyle w:val="Emphasis"/>
        </w:rPr>
        <w:t xml:space="preserve">Decentralized Finance Toolkit </w:t>
      </w:r>
      <w:r w:rsidR="00795A41" w:rsidRPr="00B1515C">
        <w:t>(n 143)</w:t>
      </w:r>
      <w:r w:rsidR="007A73E1" w:rsidRPr="00B1515C">
        <w:t xml:space="preserve"> </w:t>
      </w:r>
      <w:r w:rsidR="00F24D1D" w:rsidRPr="00B1515C">
        <w:t>6</w:t>
      </w:r>
      <w:r w:rsidR="00F75232">
        <w:t>-</w:t>
      </w:r>
      <w:r w:rsidR="002B5CD1" w:rsidRPr="00B1515C">
        <w:t>7</w:t>
      </w:r>
      <w:r w:rsidR="007A73E1" w:rsidRPr="00B1515C">
        <w:t>.</w:t>
      </w:r>
      <w:r w:rsidR="00F24D1D" w:rsidRPr="00B1515C">
        <w:t xml:space="preserve"> </w:t>
      </w:r>
    </w:p>
  </w:footnote>
  <w:footnote w:id="694">
    <w:p w14:paraId="5F16C1EC" w14:textId="501F771B" w:rsidR="008D4162" w:rsidRPr="00B1515C" w:rsidRDefault="00815763" w:rsidP="00A01254">
      <w:pPr>
        <w:pStyle w:val="FootnoteText"/>
      </w:pPr>
      <w:r w:rsidRPr="00815763">
        <w:rPr>
          <w:rStyle w:val="FootnoteReference"/>
          <w:sz w:val="18"/>
          <w:szCs w:val="18"/>
          <w:vertAlign w:val="baseline"/>
        </w:rPr>
        <w:footnoteRef/>
      </w:r>
      <w:r w:rsidR="008D4162" w:rsidRPr="00B1515C">
        <w:t xml:space="preserve"> </w:t>
      </w:r>
      <w:r w:rsidR="00587B4A" w:rsidRPr="00B1515C">
        <w:tab/>
      </w:r>
      <w:r w:rsidR="007A73E1" w:rsidRPr="00B1515C">
        <w:t>ITAA 1997 sub</w:t>
      </w:r>
      <w:r w:rsidR="00F75232">
        <w:t>-</w:t>
      </w:r>
      <w:r w:rsidR="007A73E1" w:rsidRPr="00B1515C">
        <w:t xml:space="preserve">s </w:t>
      </w:r>
      <w:r w:rsidR="008D4162" w:rsidRPr="00B1515C">
        <w:t>960</w:t>
      </w:r>
      <w:r w:rsidR="00F75232">
        <w:t>-</w:t>
      </w:r>
      <w:r w:rsidR="008D4162" w:rsidRPr="00B1515C">
        <w:t>100</w:t>
      </w:r>
      <w:r w:rsidR="00665170" w:rsidRPr="00B1515C">
        <w:t>(1)</w:t>
      </w:r>
      <w:r w:rsidR="007A73E1" w:rsidRPr="00B1515C">
        <w:t>.</w:t>
      </w:r>
    </w:p>
  </w:footnote>
  <w:footnote w:id="695">
    <w:p w14:paraId="6B2E62C6" w14:textId="7F84AD9F"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A27, 1.</w:t>
      </w:r>
    </w:p>
  </w:footnote>
  <w:footnote w:id="696">
    <w:p w14:paraId="6D903499" w14:textId="2D4B7160"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A10, 13.</w:t>
      </w:r>
    </w:p>
  </w:footnote>
  <w:footnote w:id="697">
    <w:p w14:paraId="503EB65C" w14:textId="583A67BA"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 xml:space="preserve">Chainalysis team, </w:t>
      </w:r>
      <w:r w:rsidR="00F75232">
        <w:t>‘</w:t>
      </w:r>
      <w:hyperlink r:id="rId287" w:history="1">
        <w:r w:rsidR="00F24D1D" w:rsidRPr="00BF3061">
          <w:rPr>
            <w:rStyle w:val="Hyperlink"/>
          </w:rPr>
          <w:t>Introduction to Decentralized Autonomous Organizations (DAOs)</w:t>
        </w:r>
      </w:hyperlink>
      <w:r w:rsidR="00F75232">
        <w:t>’</w:t>
      </w:r>
      <w:r w:rsidR="00F24D1D" w:rsidRPr="00B1515C">
        <w:rPr>
          <w:i/>
          <w:iCs/>
        </w:rPr>
        <w:t>,</w:t>
      </w:r>
      <w:r w:rsidR="00F24D1D" w:rsidRPr="00B1515C">
        <w:t xml:space="preserve"> </w:t>
      </w:r>
      <w:r w:rsidR="00F24D1D" w:rsidRPr="00C77F3F">
        <w:rPr>
          <w:rStyle w:val="Emphasis"/>
        </w:rPr>
        <w:t>Chainalysis</w:t>
      </w:r>
      <w:r w:rsidR="00F24D1D" w:rsidRPr="00B1515C">
        <w:t xml:space="preserve"> (Blog</w:t>
      </w:r>
      <w:r w:rsidR="00975C14" w:rsidRPr="00B1515C">
        <w:t>,</w:t>
      </w:r>
      <w:r w:rsidR="00F24D1D" w:rsidRPr="00B1515C">
        <w:t xml:space="preserve"> 7 April 2023)</w:t>
      </w:r>
      <w:r w:rsidR="00BF3061">
        <w:t>.</w:t>
      </w:r>
    </w:p>
  </w:footnote>
  <w:footnote w:id="698">
    <w:p w14:paraId="44D65B21" w14:textId="1FA06CE2" w:rsidR="007F19FD" w:rsidRPr="00B1515C" w:rsidRDefault="00815763" w:rsidP="00A01254">
      <w:pPr>
        <w:pStyle w:val="FootnoteText"/>
      </w:pPr>
      <w:r w:rsidRPr="00815763">
        <w:rPr>
          <w:rStyle w:val="FootnoteReference"/>
          <w:vertAlign w:val="baseline"/>
        </w:rPr>
        <w:footnoteRef/>
      </w:r>
      <w:r w:rsidR="007F19FD" w:rsidRPr="00B1515C">
        <w:t xml:space="preserve"> </w:t>
      </w:r>
      <w:r w:rsidR="00587B4A" w:rsidRPr="00B1515C">
        <w:tab/>
      </w:r>
      <w:r w:rsidR="00975C14" w:rsidRPr="00B1515C">
        <w:rPr>
          <w:rFonts w:cs="Calibri"/>
          <w:color w:val="000000"/>
        </w:rPr>
        <w:t xml:space="preserve">World Economic Forum, </w:t>
      </w:r>
      <w:r w:rsidR="00975C14" w:rsidRPr="00C77F3F">
        <w:rPr>
          <w:rStyle w:val="Emphasis"/>
        </w:rPr>
        <w:t xml:space="preserve">Decentralized Finance Toolkit </w:t>
      </w:r>
      <w:r w:rsidR="00795A41" w:rsidRPr="00B1515C">
        <w:rPr>
          <w:rFonts w:cs="Calibri"/>
          <w:color w:val="000000"/>
        </w:rPr>
        <w:t>(n 143)</w:t>
      </w:r>
      <w:r w:rsidR="00975C14" w:rsidRPr="00B1515C">
        <w:rPr>
          <w:rFonts w:cs="Calibri"/>
          <w:color w:val="000000"/>
        </w:rPr>
        <w:t xml:space="preserve"> </w:t>
      </w:r>
      <w:r w:rsidR="007F19FD" w:rsidRPr="00B1515C">
        <w:rPr>
          <w:rFonts w:cs="Calibri"/>
          <w:color w:val="000000"/>
        </w:rPr>
        <w:t>17</w:t>
      </w:r>
      <w:r w:rsidR="00975C14" w:rsidRPr="00B1515C">
        <w:rPr>
          <w:rFonts w:cs="Calibri"/>
          <w:color w:val="000000"/>
        </w:rPr>
        <w:t>.</w:t>
      </w:r>
    </w:p>
  </w:footnote>
  <w:footnote w:id="699">
    <w:p w14:paraId="0BDF6A28" w14:textId="0AF8D9E4" w:rsidR="003757A4" w:rsidRPr="00B1515C" w:rsidRDefault="00815763" w:rsidP="00A01254">
      <w:pPr>
        <w:pStyle w:val="FootnoteText"/>
      </w:pPr>
      <w:r w:rsidRPr="00815763">
        <w:rPr>
          <w:rStyle w:val="FootnoteReference"/>
          <w:vertAlign w:val="baseline"/>
        </w:rPr>
        <w:footnoteRef/>
      </w:r>
      <w:r w:rsidR="003757A4" w:rsidRPr="00B1515C">
        <w:t xml:space="preserve"> </w:t>
      </w:r>
      <w:r w:rsidR="00587B4A" w:rsidRPr="00B1515C">
        <w:tab/>
      </w:r>
      <w:r w:rsidR="00675C9E" w:rsidRPr="00B1515C">
        <w:t xml:space="preserve">See </w:t>
      </w:r>
      <w:r w:rsidR="003757A4" w:rsidRPr="00B1515C">
        <w:t xml:space="preserve">Jonathan Mollod &amp; Jason Finger, </w:t>
      </w:r>
      <w:r w:rsidR="00F75232">
        <w:t>‘</w:t>
      </w:r>
      <w:hyperlink r:id="rId288" w:history="1">
        <w:r w:rsidR="003757A4" w:rsidRPr="00BF3061">
          <w:rPr>
            <w:rStyle w:val="Hyperlink"/>
          </w:rPr>
          <w:t xml:space="preserve">DAO Deemed </w:t>
        </w:r>
        <w:r w:rsidR="00F75232" w:rsidRPr="00BF3061">
          <w:rPr>
            <w:rStyle w:val="Hyperlink"/>
          </w:rPr>
          <w:t>‘</w:t>
        </w:r>
        <w:r w:rsidR="003757A4" w:rsidRPr="00BF3061">
          <w:rPr>
            <w:rStyle w:val="Hyperlink"/>
          </w:rPr>
          <w:t>General Partnership</w:t>
        </w:r>
      </w:hyperlink>
      <w:r w:rsidR="00F75232">
        <w:t>’</w:t>
      </w:r>
      <w:r w:rsidR="003757A4" w:rsidRPr="00B1515C">
        <w:t xml:space="preserve"> in Negligence Suit over </w:t>
      </w:r>
      <w:r w:rsidR="002340E2" w:rsidRPr="00B1515C">
        <w:t>Crypto</w:t>
      </w:r>
      <w:r w:rsidR="003757A4" w:rsidRPr="00B1515C">
        <w:t xml:space="preserve"> Hack, Prompting Decentralized Orgs to Rethink Corporate Formation</w:t>
      </w:r>
      <w:r w:rsidR="00F75232">
        <w:t>’</w:t>
      </w:r>
      <w:r w:rsidR="003757A4" w:rsidRPr="00B1515C">
        <w:t xml:space="preserve">, </w:t>
      </w:r>
      <w:r w:rsidR="003757A4" w:rsidRPr="00C77F3F">
        <w:rPr>
          <w:rStyle w:val="Emphasis"/>
        </w:rPr>
        <w:t>Proskauer</w:t>
      </w:r>
      <w:r w:rsidR="003757A4" w:rsidRPr="00B1515C">
        <w:t xml:space="preserve"> </w:t>
      </w:r>
      <w:r w:rsidR="00D170F4" w:rsidRPr="00B1515C">
        <w:t xml:space="preserve">(Web Page, </w:t>
      </w:r>
      <w:r w:rsidR="003757A4" w:rsidRPr="00B1515C">
        <w:t>28 April 2023</w:t>
      </w:r>
      <w:r w:rsidR="00D170F4" w:rsidRPr="00B1515C">
        <w:t>)</w:t>
      </w:r>
      <w:r w:rsidR="003757A4" w:rsidRPr="00B1515C">
        <w:t xml:space="preserve">; </w:t>
      </w:r>
      <w:r w:rsidR="00F75232">
        <w:t>‘</w:t>
      </w:r>
      <w:hyperlink r:id="rId289" w:history="1">
        <w:r w:rsidR="002154FC" w:rsidRPr="00E0456A">
          <w:rPr>
            <w:rStyle w:val="Hyperlink"/>
          </w:rPr>
          <w:t>From Code to Consequence: CFTC Obtains Default Judgment Against Ooki DAO for Commodity Exchange Act Violations</w:t>
        </w:r>
      </w:hyperlink>
      <w:r w:rsidR="00F75232">
        <w:t>’</w:t>
      </w:r>
      <w:r w:rsidR="002154FC" w:rsidRPr="00B1515C">
        <w:t xml:space="preserve">, </w:t>
      </w:r>
      <w:r w:rsidR="00F50BC0" w:rsidRPr="00C77F3F">
        <w:rPr>
          <w:rStyle w:val="Emphasis"/>
        </w:rPr>
        <w:t>Proskauer</w:t>
      </w:r>
      <w:r w:rsidR="00F50BC0" w:rsidRPr="00B1515C">
        <w:t xml:space="preserve"> (Web Page, </w:t>
      </w:r>
      <w:r w:rsidR="002154FC" w:rsidRPr="00B1515C">
        <w:t>20 July 2023</w:t>
      </w:r>
      <w:r w:rsidR="00E0456A">
        <w:t>)</w:t>
      </w:r>
      <w:r w:rsidR="00D436EA" w:rsidRPr="00B1515C">
        <w:t>;</w:t>
      </w:r>
      <w:r w:rsidR="00460819" w:rsidRPr="00B1515C">
        <w:t xml:space="preserve"> </w:t>
      </w:r>
      <w:r w:rsidR="00F75232">
        <w:t>‘</w:t>
      </w:r>
      <w:hyperlink r:id="rId290" w:history="1">
        <w:r w:rsidR="00DB1B5D" w:rsidRPr="00E0456A">
          <w:rPr>
            <w:rStyle w:val="Hyperlink"/>
          </w:rPr>
          <w:t>Statement of CFTC Division of Enforcement Director Ian McGinley on the Ooki DAO Litigation Victory</w:t>
        </w:r>
      </w:hyperlink>
      <w:r w:rsidR="00F75232">
        <w:t>’</w:t>
      </w:r>
      <w:r w:rsidR="00DB1B5D" w:rsidRPr="00B1515C">
        <w:t xml:space="preserve"> </w:t>
      </w:r>
      <w:r w:rsidR="002922F1" w:rsidRPr="00B1515C">
        <w:t>(Media Release 8715</w:t>
      </w:r>
      <w:r w:rsidR="00F75232">
        <w:t>-</w:t>
      </w:r>
      <w:r w:rsidR="002922F1" w:rsidRPr="00B1515C">
        <w:t xml:space="preserve">23, </w:t>
      </w:r>
      <w:r w:rsidR="00F633BF" w:rsidRPr="00B1515C">
        <w:t>Commodity Futures Trading Commission (</w:t>
      </w:r>
      <w:r w:rsidR="002922F1" w:rsidRPr="00B1515C">
        <w:t>CFTC</w:t>
      </w:r>
      <w:r w:rsidR="00ED68F9" w:rsidRPr="00B1515C">
        <w:t>)</w:t>
      </w:r>
      <w:r w:rsidR="00F633BF" w:rsidRPr="00B1515C">
        <w:t>, 9 June 2023)</w:t>
      </w:r>
      <w:r w:rsidR="00E0456A">
        <w:t>;</w:t>
      </w:r>
      <w:r w:rsidR="00D436EA" w:rsidRPr="00B1515C">
        <w:t xml:space="preserve"> </w:t>
      </w:r>
      <w:r w:rsidR="00503174" w:rsidRPr="00B1515C">
        <w:t>Danny</w:t>
      </w:r>
      <w:r w:rsidR="00B43CCC">
        <w:t> </w:t>
      </w:r>
      <w:r w:rsidR="00503174" w:rsidRPr="00B1515C">
        <w:t xml:space="preserve">Nelson, </w:t>
      </w:r>
      <w:r w:rsidR="00F75232">
        <w:t>‘</w:t>
      </w:r>
      <w:hyperlink r:id="rId291" w:history="1">
        <w:r w:rsidR="00503174" w:rsidRPr="00E0456A">
          <w:rPr>
            <w:rStyle w:val="Hyperlink"/>
          </w:rPr>
          <w:t xml:space="preserve">SEC Blasts </w:t>
        </w:r>
        <w:r w:rsidR="00F75232" w:rsidRPr="00E0456A">
          <w:rPr>
            <w:rStyle w:val="Hyperlink"/>
          </w:rPr>
          <w:t>‘</w:t>
        </w:r>
        <w:r w:rsidR="00503174" w:rsidRPr="00E0456A">
          <w:rPr>
            <w:rStyle w:val="Hyperlink"/>
          </w:rPr>
          <w:t>Purportedly Decentralized</w:t>
        </w:r>
        <w:r w:rsidR="00F75232" w:rsidRPr="00E0456A">
          <w:rPr>
            <w:rStyle w:val="Hyperlink"/>
          </w:rPr>
          <w:t>’</w:t>
        </w:r>
        <w:r w:rsidR="00503174" w:rsidRPr="00E0456A">
          <w:rPr>
            <w:rStyle w:val="Hyperlink"/>
          </w:rPr>
          <w:t xml:space="preserve"> DAOs in </w:t>
        </w:r>
        <w:r w:rsidR="00040582" w:rsidRPr="00E0456A">
          <w:rPr>
            <w:rStyle w:val="Hyperlink"/>
          </w:rPr>
          <w:t>$</w:t>
        </w:r>
        <w:r w:rsidR="00503174" w:rsidRPr="00E0456A">
          <w:rPr>
            <w:rStyle w:val="Hyperlink"/>
          </w:rPr>
          <w:t>1.7M Settlement with BarnBridge</w:t>
        </w:r>
      </w:hyperlink>
      <w:r w:rsidR="00F75232">
        <w:t>’</w:t>
      </w:r>
      <w:r w:rsidR="00AD694E" w:rsidRPr="00B1515C">
        <w:t>,</w:t>
      </w:r>
      <w:r w:rsidR="00503174" w:rsidRPr="00B1515C">
        <w:t xml:space="preserve"> </w:t>
      </w:r>
      <w:r w:rsidR="00AD694E" w:rsidRPr="00C77F3F">
        <w:rPr>
          <w:rStyle w:val="Emphasis"/>
        </w:rPr>
        <w:t xml:space="preserve">Coindesk </w:t>
      </w:r>
      <w:r w:rsidR="00040582" w:rsidRPr="00B1515C">
        <w:t xml:space="preserve">(Web Page, </w:t>
      </w:r>
      <w:r w:rsidR="00503174" w:rsidRPr="00B1515C">
        <w:t>23</w:t>
      </w:r>
      <w:r w:rsidR="00CD6949">
        <w:t> </w:t>
      </w:r>
      <w:r w:rsidR="00503174" w:rsidRPr="00B1515C">
        <w:t>December 2023</w:t>
      </w:r>
      <w:r w:rsidR="00AD694E" w:rsidRPr="00B1515C">
        <w:t>)</w:t>
      </w:r>
      <w:r w:rsidR="00E0456A">
        <w:t>.</w:t>
      </w:r>
    </w:p>
  </w:footnote>
  <w:footnote w:id="700">
    <w:p w14:paraId="07231C35" w14:textId="533A956D"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75232">
        <w:t>‘</w:t>
      </w:r>
      <w:hyperlink r:id="rId292" w:history="1">
        <w:r w:rsidR="00C46901" w:rsidRPr="00E0456A">
          <w:rPr>
            <w:rStyle w:val="Hyperlink"/>
          </w:rPr>
          <w:t>Organizations</w:t>
        </w:r>
      </w:hyperlink>
      <w:r w:rsidR="00F75232">
        <w:t>’</w:t>
      </w:r>
      <w:r w:rsidR="00C46901" w:rsidRPr="00B1515C">
        <w:t xml:space="preserve">, </w:t>
      </w:r>
      <w:r w:rsidR="00F24D1D" w:rsidRPr="00C77F3F">
        <w:rPr>
          <w:rStyle w:val="Emphasis"/>
        </w:rPr>
        <w:t>Deep DAO</w:t>
      </w:r>
      <w:r w:rsidR="00F24D1D" w:rsidRPr="00B1515C">
        <w:t xml:space="preserve"> </w:t>
      </w:r>
      <w:r w:rsidR="00C46901" w:rsidRPr="00B1515C">
        <w:t>(Web</w:t>
      </w:r>
      <w:r w:rsidR="002019F1" w:rsidRPr="00B1515C">
        <w:t xml:space="preserve"> Page</w:t>
      </w:r>
      <w:r w:rsidR="00C46901" w:rsidRPr="00B1515C">
        <w:t>,</w:t>
      </w:r>
      <w:r w:rsidR="00F24D1D" w:rsidRPr="00B1515C">
        <w:t xml:space="preserve"> </w:t>
      </w:r>
      <w:r w:rsidR="002019F1" w:rsidRPr="00B1515C">
        <w:t>accessed 27 January 2024</w:t>
      </w:r>
      <w:r w:rsidR="00F24D1D" w:rsidRPr="00B1515C">
        <w:t>)</w:t>
      </w:r>
      <w:r w:rsidR="00E0456A">
        <w:t>.</w:t>
      </w:r>
    </w:p>
  </w:footnote>
  <w:footnote w:id="701">
    <w:p w14:paraId="3CBBFD5C" w14:textId="0BF443EF" w:rsidR="00675C9E" w:rsidRPr="00B1515C" w:rsidRDefault="00815763" w:rsidP="00A01254">
      <w:pPr>
        <w:pStyle w:val="FootnoteText"/>
        <w:rPr>
          <w:rFonts w:cs="Calibri"/>
          <w:color w:val="000000"/>
          <w:sz w:val="18"/>
        </w:rPr>
      </w:pPr>
      <w:r w:rsidRPr="00815763">
        <w:rPr>
          <w:rStyle w:val="FootnoteReference"/>
          <w:sz w:val="18"/>
          <w:szCs w:val="18"/>
          <w:vertAlign w:val="baseline"/>
        </w:rPr>
        <w:footnoteRef/>
      </w:r>
      <w:r w:rsidR="00675C9E" w:rsidRPr="00B1515C">
        <w:rPr>
          <w:sz w:val="18"/>
        </w:rPr>
        <w:t xml:space="preserve"> </w:t>
      </w:r>
      <w:r w:rsidR="00587B4A" w:rsidRPr="00B1515C">
        <w:rPr>
          <w:sz w:val="18"/>
        </w:rPr>
        <w:tab/>
      </w:r>
      <w:r w:rsidR="00DC043E" w:rsidRPr="00B1515C">
        <w:rPr>
          <w:sz w:val="18"/>
        </w:rPr>
        <w:t>The Treasury</w:t>
      </w:r>
      <w:r w:rsidR="00DC043E" w:rsidRPr="00BC3190">
        <w:t xml:space="preserve">, </w:t>
      </w:r>
      <w:r w:rsidR="00DC043E" w:rsidRPr="00C77F3F">
        <w:rPr>
          <w:rStyle w:val="Emphasis"/>
        </w:rPr>
        <w:t xml:space="preserve">Token Mapping Consultation Paper </w:t>
      </w:r>
      <w:r w:rsidR="00DC043E" w:rsidRPr="00B1515C">
        <w:rPr>
          <w:sz w:val="18"/>
        </w:rPr>
        <w:t>(n 4).</w:t>
      </w:r>
    </w:p>
  </w:footnote>
  <w:footnote w:id="702">
    <w:p w14:paraId="12F37C28" w14:textId="656494A3" w:rsidR="00675C9E" w:rsidRPr="00B1515C" w:rsidRDefault="00815763" w:rsidP="00A01254">
      <w:pPr>
        <w:pStyle w:val="FootnoteText"/>
      </w:pPr>
      <w:r w:rsidRPr="00815763">
        <w:rPr>
          <w:rStyle w:val="FootnoteReference"/>
          <w:vertAlign w:val="baseline"/>
        </w:rPr>
        <w:footnoteRef/>
      </w:r>
      <w:r w:rsidR="00675C9E" w:rsidRPr="00B1515C">
        <w:t xml:space="preserve"> </w:t>
      </w:r>
      <w:r w:rsidR="00587B4A" w:rsidRPr="00B1515C">
        <w:tab/>
      </w:r>
      <w:r w:rsidR="008A0FE1" w:rsidRPr="00B1515C">
        <w:t>The Treasury</w:t>
      </w:r>
      <w:r w:rsidR="00675C9E" w:rsidRPr="00B1515C">
        <w:t>,</w:t>
      </w:r>
      <w:r w:rsidR="00951B3B" w:rsidRPr="00B1515C">
        <w:t xml:space="preserve"> </w:t>
      </w:r>
      <w:r w:rsidR="00675C9E" w:rsidRPr="00C77F3F">
        <w:rPr>
          <w:rStyle w:val="Emphasis"/>
        </w:rPr>
        <w:t>Regulating Digital Asset Platforms</w:t>
      </w:r>
      <w:r w:rsidR="00675C9E" w:rsidRPr="00B1515C">
        <w:t xml:space="preserve"> </w:t>
      </w:r>
      <w:r w:rsidR="001609BE" w:rsidRPr="00B1515C">
        <w:t>(n 10)</w:t>
      </w:r>
      <w:r w:rsidR="00675C9E" w:rsidRPr="00B1515C">
        <w:t>.</w:t>
      </w:r>
    </w:p>
  </w:footnote>
  <w:footnote w:id="703">
    <w:p w14:paraId="68FDD9F2" w14:textId="6BCDA96A"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A19, 27.</w:t>
      </w:r>
    </w:p>
  </w:footnote>
  <w:footnote w:id="704">
    <w:p w14:paraId="6D9F0333" w14:textId="4E861BDE"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A10, 13; Submission A39, 1; Submission A38, 2.</w:t>
      </w:r>
      <w:r w:rsidR="00F24D1D" w:rsidRPr="00B1515C" w:rsidDel="006A72F7">
        <w:t xml:space="preserve"> </w:t>
      </w:r>
    </w:p>
  </w:footnote>
  <w:footnote w:id="705">
    <w:p w14:paraId="084A9B70" w14:textId="7B4E48B7"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A20,</w:t>
      </w:r>
      <w:r w:rsidR="00951B3B" w:rsidRPr="00B1515C">
        <w:t xml:space="preserve"> </w:t>
      </w:r>
      <w:r w:rsidR="00F24D1D" w:rsidRPr="00B1515C">
        <w:t>14; Submission A30, 10; Submission A33, 8; Submission A38, 2.</w:t>
      </w:r>
    </w:p>
  </w:footnote>
  <w:footnote w:id="706">
    <w:p w14:paraId="3139DE59" w14:textId="02782026"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A30, 10.</w:t>
      </w:r>
    </w:p>
  </w:footnote>
  <w:footnote w:id="707">
    <w:p w14:paraId="1413BAD3" w14:textId="0D285805"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A20, 15.</w:t>
      </w:r>
    </w:p>
  </w:footnote>
  <w:footnote w:id="708">
    <w:p w14:paraId="53F2F6DC" w14:textId="2FFC1FF9" w:rsidR="00F24D1D" w:rsidRPr="00B1515C" w:rsidRDefault="00815763" w:rsidP="00A01254">
      <w:pPr>
        <w:pStyle w:val="FootnoteText"/>
        <w:rPr>
          <w:lang w:val="de-DE"/>
        </w:rPr>
      </w:pPr>
      <w:r w:rsidRPr="00815763">
        <w:rPr>
          <w:rStyle w:val="FootnoteReference"/>
          <w:vertAlign w:val="baseline"/>
        </w:rPr>
        <w:footnoteRef/>
      </w:r>
      <w:r w:rsidR="00F24D1D" w:rsidRPr="00B1515C">
        <w:rPr>
          <w:lang w:val="de-DE"/>
        </w:rPr>
        <w:t xml:space="preserve"> </w:t>
      </w:r>
      <w:r w:rsidR="00587B4A" w:rsidRPr="00B1515C">
        <w:rPr>
          <w:lang w:val="de-DE"/>
        </w:rPr>
        <w:tab/>
      </w:r>
      <w:r w:rsidR="00F24D1D" w:rsidRPr="00B1515C">
        <w:rPr>
          <w:lang w:val="de-DE"/>
        </w:rPr>
        <w:t>Submission A24, 3; Submission A35, 5.</w:t>
      </w:r>
    </w:p>
  </w:footnote>
  <w:footnote w:id="709">
    <w:p w14:paraId="2AF53755" w14:textId="5970CB9D" w:rsidR="00F24D1D" w:rsidRPr="00B1515C" w:rsidRDefault="00815763" w:rsidP="00A01254">
      <w:pPr>
        <w:pStyle w:val="FootnoteText"/>
        <w:rPr>
          <w:lang w:val="de-DE"/>
        </w:rPr>
      </w:pPr>
      <w:r w:rsidRPr="00815763">
        <w:rPr>
          <w:rStyle w:val="FootnoteReference"/>
          <w:vertAlign w:val="baseline"/>
        </w:rPr>
        <w:footnoteRef/>
      </w:r>
      <w:r w:rsidR="00F24D1D" w:rsidRPr="00B1515C">
        <w:rPr>
          <w:lang w:val="de-DE"/>
        </w:rPr>
        <w:t xml:space="preserve"> </w:t>
      </w:r>
      <w:r w:rsidR="00587B4A" w:rsidRPr="00B1515C">
        <w:rPr>
          <w:lang w:val="de-DE"/>
        </w:rPr>
        <w:tab/>
      </w:r>
      <w:r w:rsidR="00F24D1D" w:rsidRPr="00B1515C">
        <w:rPr>
          <w:lang w:val="de-DE"/>
        </w:rPr>
        <w:t>Submission A24, 4.</w:t>
      </w:r>
    </w:p>
  </w:footnote>
  <w:footnote w:id="710">
    <w:p w14:paraId="1C587074" w14:textId="11C90D3A"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A33, 34.</w:t>
      </w:r>
    </w:p>
  </w:footnote>
  <w:footnote w:id="711">
    <w:p w14:paraId="07DECAF1" w14:textId="7F8BB5DB"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BB6D9D" w:rsidRPr="00B1515C">
        <w:t>Submission A27, 9.</w:t>
      </w:r>
    </w:p>
  </w:footnote>
  <w:footnote w:id="712">
    <w:p w14:paraId="33A50227" w14:textId="44D4F8E1"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AF63EB" w:rsidRPr="00B1515C">
        <w:t xml:space="preserve">OECD, </w:t>
      </w:r>
      <w:hyperlink r:id="rId293" w:history="1">
        <w:r w:rsidR="00AF63EB" w:rsidRPr="006B1845">
          <w:rPr>
            <w:rStyle w:val="Hyperlink"/>
            <w:i/>
            <w:iCs/>
          </w:rPr>
          <w:t>Why Decentralised Finance (DeFi) Matters and the Policy Implications</w:t>
        </w:r>
      </w:hyperlink>
      <w:r w:rsidR="00AF63EB" w:rsidRPr="00B1515C">
        <w:t xml:space="preserve"> (Report, 2022) 3</w:t>
      </w:r>
      <w:r w:rsidR="006B1845">
        <w:t>.</w:t>
      </w:r>
    </w:p>
  </w:footnote>
  <w:footnote w:id="713">
    <w:p w14:paraId="5C506A95" w14:textId="2991AC8E"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6B1845" w:rsidRPr="00B1515C">
        <w:t xml:space="preserve">OECD, </w:t>
      </w:r>
      <w:hyperlink r:id="rId294" w:history="1">
        <w:r w:rsidR="006B1845" w:rsidRPr="006B1845">
          <w:rPr>
            <w:rStyle w:val="Hyperlink"/>
            <w:i/>
            <w:iCs/>
          </w:rPr>
          <w:t>Why Decentralised Finance (DeFi) Matters and the Policy Implications</w:t>
        </w:r>
      </w:hyperlink>
      <w:r w:rsidR="006B1845" w:rsidRPr="00B1515C">
        <w:t xml:space="preserve"> (Report, 2022) </w:t>
      </w:r>
      <w:r w:rsidR="00AF63EB" w:rsidRPr="00B1515C">
        <w:t>15</w:t>
      </w:r>
      <w:r w:rsidR="006B1845">
        <w:t>.</w:t>
      </w:r>
      <w:r w:rsidR="00AF63EB" w:rsidRPr="00B1515C">
        <w:t xml:space="preserve"> </w:t>
      </w:r>
    </w:p>
  </w:footnote>
  <w:footnote w:id="714">
    <w:p w14:paraId="33F1E5E6" w14:textId="741D7F9A" w:rsidR="009B0AA5" w:rsidRPr="00B1515C" w:rsidRDefault="00815763" w:rsidP="00A01254">
      <w:pPr>
        <w:pStyle w:val="FootnoteText"/>
      </w:pPr>
      <w:r w:rsidRPr="00815763">
        <w:rPr>
          <w:rStyle w:val="FootnoteReference"/>
          <w:vertAlign w:val="baseline"/>
        </w:rPr>
        <w:footnoteRef/>
      </w:r>
      <w:r w:rsidR="009B0AA5" w:rsidRPr="00B1515C">
        <w:t xml:space="preserve"> </w:t>
      </w:r>
      <w:r w:rsidR="00587B4A" w:rsidRPr="00B1515C">
        <w:tab/>
      </w:r>
      <w:r w:rsidR="00E13D44" w:rsidRPr="00B1515C">
        <w:t xml:space="preserve">Pooja Singh, Arushi Goel, </w:t>
      </w:r>
      <w:r w:rsidR="00F75232">
        <w:t>‘</w:t>
      </w:r>
      <w:hyperlink r:id="rId295" w:history="1">
        <w:r w:rsidR="009B0AA5" w:rsidRPr="006B1845">
          <w:rPr>
            <w:rStyle w:val="Hyperlink"/>
          </w:rPr>
          <w:t>What is GameFi</w:t>
        </w:r>
      </w:hyperlink>
      <w:r w:rsidR="00F75232">
        <w:t>’</w:t>
      </w:r>
      <w:r w:rsidR="00E13D44" w:rsidRPr="00B1515C">
        <w:t xml:space="preserve">, </w:t>
      </w:r>
      <w:r w:rsidR="00E13D44" w:rsidRPr="00C77F3F">
        <w:rPr>
          <w:rStyle w:val="Emphasis"/>
        </w:rPr>
        <w:t>World Economic Forum</w:t>
      </w:r>
      <w:r w:rsidR="009B0AA5" w:rsidRPr="00B1515C">
        <w:t xml:space="preserve"> (Blog, 23 November 2022)</w:t>
      </w:r>
      <w:r w:rsidR="006B1845">
        <w:t>.</w:t>
      </w:r>
      <w:r w:rsidR="009B0AA5" w:rsidRPr="00B1515C">
        <w:t xml:space="preserve"> </w:t>
      </w:r>
    </w:p>
  </w:footnote>
  <w:footnote w:id="715">
    <w:p w14:paraId="620D73DB" w14:textId="5FC035A5" w:rsidR="009B0AA5" w:rsidRPr="00B1515C" w:rsidRDefault="00815763" w:rsidP="00A01254">
      <w:pPr>
        <w:pStyle w:val="FootnoteText"/>
      </w:pPr>
      <w:r w:rsidRPr="00815763">
        <w:rPr>
          <w:rStyle w:val="FootnoteReference"/>
          <w:vertAlign w:val="baseline"/>
        </w:rPr>
        <w:footnoteRef/>
      </w:r>
      <w:r w:rsidR="009B0AA5" w:rsidRPr="00B1515C">
        <w:t xml:space="preserve"> </w:t>
      </w:r>
      <w:r w:rsidR="00587B4A" w:rsidRPr="00B1515C">
        <w:tab/>
      </w:r>
      <w:r w:rsidR="009B0AA5" w:rsidRPr="00B1515C">
        <w:t xml:space="preserve">Business Research Insights, </w:t>
      </w:r>
      <w:hyperlink r:id="rId296" w:history="1">
        <w:r w:rsidR="009B0AA5" w:rsidRPr="006B1845">
          <w:rPr>
            <w:rStyle w:val="Hyperlink"/>
            <w:i/>
            <w:iCs/>
          </w:rPr>
          <w:t>GameFi Market Report Overview</w:t>
        </w:r>
      </w:hyperlink>
      <w:r w:rsidR="009B0AA5" w:rsidRPr="00BC3190">
        <w:t xml:space="preserve"> </w:t>
      </w:r>
      <w:r w:rsidR="009B0AA5" w:rsidRPr="00B1515C">
        <w:t>(Report, 27 November 2023)</w:t>
      </w:r>
      <w:r w:rsidR="006B1845">
        <w:t>.</w:t>
      </w:r>
    </w:p>
  </w:footnote>
  <w:footnote w:id="716">
    <w:p w14:paraId="39228774" w14:textId="1897C75D" w:rsidR="009B0AA5" w:rsidRPr="00B1515C" w:rsidRDefault="00815763" w:rsidP="00A01254">
      <w:pPr>
        <w:pStyle w:val="FootnoteText"/>
      </w:pPr>
      <w:r w:rsidRPr="00815763">
        <w:rPr>
          <w:rStyle w:val="FootnoteReference"/>
          <w:vertAlign w:val="baseline"/>
        </w:rPr>
        <w:footnoteRef/>
      </w:r>
      <w:r w:rsidR="009B0AA5" w:rsidRPr="00B1515C">
        <w:t xml:space="preserve"> </w:t>
      </w:r>
      <w:r w:rsidR="00587B4A" w:rsidRPr="00B1515C">
        <w:tab/>
      </w:r>
      <w:r w:rsidR="009B0AA5" w:rsidRPr="00B1515C">
        <w:t>Classification used to categorise video games produced and distributed by a mid</w:t>
      </w:r>
      <w:r w:rsidR="00F75232">
        <w:t>-</w:t>
      </w:r>
      <w:r w:rsidR="009B0AA5" w:rsidRPr="00B1515C">
        <w:t xml:space="preserve">sized or major publisher, which typically have higher development and marketing budgets than other tiers of publishers. </w:t>
      </w:r>
    </w:p>
  </w:footnote>
  <w:footnote w:id="717">
    <w:p w14:paraId="7CB34062" w14:textId="251C2EC3" w:rsidR="009B0AA5" w:rsidRPr="00B1515C" w:rsidRDefault="00815763" w:rsidP="00A01254">
      <w:pPr>
        <w:pStyle w:val="FootnoteText"/>
      </w:pPr>
      <w:r w:rsidRPr="00815763">
        <w:rPr>
          <w:rStyle w:val="FootnoteReference"/>
          <w:vertAlign w:val="baseline"/>
        </w:rPr>
        <w:footnoteRef/>
      </w:r>
      <w:r w:rsidR="009B0AA5" w:rsidRPr="00B1515C">
        <w:t xml:space="preserve"> </w:t>
      </w:r>
      <w:r w:rsidR="00587B4A" w:rsidRPr="00B1515C">
        <w:tab/>
      </w:r>
      <w:r w:rsidR="009B0AA5" w:rsidRPr="00B1515C">
        <w:t>Submission A37, 7.</w:t>
      </w:r>
    </w:p>
  </w:footnote>
  <w:footnote w:id="718">
    <w:p w14:paraId="131781EF" w14:textId="70873B70" w:rsidR="00101C37" w:rsidRPr="00B1515C" w:rsidRDefault="00815763" w:rsidP="00A01254">
      <w:pPr>
        <w:pStyle w:val="FootnoteText"/>
      </w:pPr>
      <w:r w:rsidRPr="00815763">
        <w:rPr>
          <w:rStyle w:val="FootnoteReference"/>
          <w:vertAlign w:val="baseline"/>
        </w:rPr>
        <w:footnoteRef/>
      </w:r>
      <w:r w:rsidR="00101C37" w:rsidRPr="00B1515C">
        <w:t xml:space="preserve"> </w:t>
      </w:r>
      <w:r w:rsidR="00587B4A" w:rsidRPr="00B1515C">
        <w:tab/>
      </w:r>
      <w:r w:rsidR="00101C37" w:rsidRPr="00B1515C">
        <w:t>Young Ran (Christine) Kim</w:t>
      </w:r>
      <w:r w:rsidR="00D15135" w:rsidRPr="00B1515C">
        <w:t xml:space="preserve">, </w:t>
      </w:r>
      <w:r w:rsidR="00F75232">
        <w:t>‘</w:t>
      </w:r>
      <w:r w:rsidR="00D15135" w:rsidRPr="00B1515C">
        <w:t>Taxing the Metaverse</w:t>
      </w:r>
      <w:r w:rsidR="00F75232">
        <w:t>’</w:t>
      </w:r>
      <w:r w:rsidR="00D15135" w:rsidRPr="00B1515C">
        <w:t xml:space="preserve"> </w:t>
      </w:r>
      <w:r w:rsidR="00101C37" w:rsidRPr="00B1515C">
        <w:t xml:space="preserve">(2024) </w:t>
      </w:r>
      <w:r w:rsidR="00101C37" w:rsidRPr="00C77F3F">
        <w:rPr>
          <w:rStyle w:val="Emphasis"/>
        </w:rPr>
        <w:t>112 Georgetown Law Journal</w:t>
      </w:r>
      <w:r w:rsidR="008F6046" w:rsidRPr="00B1515C">
        <w:t xml:space="preserve"> (forthcoming)</w:t>
      </w:r>
      <w:r w:rsidR="00FA0BF8" w:rsidRPr="00B1515C">
        <w:t>.</w:t>
      </w:r>
    </w:p>
  </w:footnote>
  <w:footnote w:id="719">
    <w:p w14:paraId="6884ACA8" w14:textId="02DBDCFD" w:rsidR="00CF1196" w:rsidRPr="00B1515C" w:rsidRDefault="00815763" w:rsidP="00A01254">
      <w:pPr>
        <w:pStyle w:val="FootnoteText"/>
      </w:pPr>
      <w:r w:rsidRPr="00815763">
        <w:rPr>
          <w:rStyle w:val="FootnoteReference"/>
          <w:vertAlign w:val="baseline"/>
        </w:rPr>
        <w:footnoteRef/>
      </w:r>
      <w:r w:rsidR="00CF1196" w:rsidRPr="00B1515C">
        <w:t xml:space="preserve"> </w:t>
      </w:r>
      <w:r w:rsidR="00587B4A" w:rsidRPr="00B1515C">
        <w:tab/>
      </w:r>
      <w:r w:rsidR="007B5C20" w:rsidRPr="00B1515C">
        <w:t>Submission A</w:t>
      </w:r>
      <w:r w:rsidR="00FA0BF8" w:rsidRPr="00B1515C">
        <w:t xml:space="preserve">10, </w:t>
      </w:r>
      <w:r w:rsidR="00B47E1F" w:rsidRPr="00B1515C">
        <w:t>11</w:t>
      </w:r>
      <w:r w:rsidR="00FF69EA">
        <w:t>–</w:t>
      </w:r>
      <w:r w:rsidR="00B47E1F" w:rsidRPr="00B1515C">
        <w:t>12.</w:t>
      </w:r>
    </w:p>
  </w:footnote>
  <w:footnote w:id="720">
    <w:p w14:paraId="0CA0688D" w14:textId="57241ABA" w:rsidR="00101C37" w:rsidRPr="00B1515C" w:rsidRDefault="00815763" w:rsidP="00A01254">
      <w:pPr>
        <w:pStyle w:val="FootnoteText"/>
      </w:pPr>
      <w:r w:rsidRPr="00815763">
        <w:rPr>
          <w:rStyle w:val="FootnoteReference"/>
          <w:vertAlign w:val="baseline"/>
        </w:rPr>
        <w:footnoteRef/>
      </w:r>
      <w:r w:rsidR="00101C37" w:rsidRPr="00B1515C">
        <w:t xml:space="preserve"> </w:t>
      </w:r>
      <w:r w:rsidR="00587B4A" w:rsidRPr="00B1515C">
        <w:tab/>
      </w:r>
      <w:r w:rsidR="00101C37" w:rsidRPr="00B1515C">
        <w:t>Submission A37, 7.</w:t>
      </w:r>
    </w:p>
  </w:footnote>
  <w:footnote w:id="721">
    <w:p w14:paraId="00D79236" w14:textId="194360C9" w:rsidR="00101C37" w:rsidRPr="00B1515C" w:rsidRDefault="00815763" w:rsidP="00A01254">
      <w:pPr>
        <w:pStyle w:val="FootnoteText"/>
      </w:pPr>
      <w:r w:rsidRPr="00815763">
        <w:rPr>
          <w:rStyle w:val="FootnoteReference"/>
          <w:vertAlign w:val="baseline"/>
        </w:rPr>
        <w:footnoteRef/>
      </w:r>
      <w:r w:rsidR="00101C37" w:rsidRPr="00B1515C">
        <w:t xml:space="preserve"> </w:t>
      </w:r>
      <w:r w:rsidR="00587B4A" w:rsidRPr="00B1515C">
        <w:tab/>
      </w:r>
      <w:r w:rsidR="00101C37" w:rsidRPr="00B1515C">
        <w:t>Submission A36, 27.</w:t>
      </w:r>
    </w:p>
  </w:footnote>
  <w:footnote w:id="722">
    <w:p w14:paraId="1415BCDC" w14:textId="5C7D7DD9"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A33, 11.</w:t>
      </w:r>
    </w:p>
  </w:footnote>
  <w:footnote w:id="723">
    <w:p w14:paraId="20FAF886" w14:textId="449B94AB" w:rsidR="00F24D1D" w:rsidRPr="00B1515C" w:rsidRDefault="00815763" w:rsidP="00A01254">
      <w:pPr>
        <w:pStyle w:val="FootnoteText"/>
      </w:pPr>
      <w:r w:rsidRPr="00815763">
        <w:rPr>
          <w:rStyle w:val="FootnoteReference"/>
          <w:vertAlign w:val="baseline"/>
        </w:rPr>
        <w:footnoteRef/>
      </w:r>
      <w:r w:rsidR="00F24D1D" w:rsidRPr="00B1515C">
        <w:t xml:space="preserve"> </w:t>
      </w:r>
      <w:r w:rsidR="00587B4A" w:rsidRPr="00B1515C">
        <w:tab/>
      </w:r>
      <w:r w:rsidR="00F24D1D" w:rsidRPr="00B1515C">
        <w:t>Submission A20, 7.</w:t>
      </w:r>
    </w:p>
  </w:footnote>
  <w:footnote w:id="724">
    <w:p w14:paraId="657DA221" w14:textId="4211143C" w:rsidR="00416471" w:rsidRPr="00B1515C" w:rsidRDefault="00815763" w:rsidP="00A01254">
      <w:pPr>
        <w:pStyle w:val="FootnoteText"/>
      </w:pPr>
      <w:r w:rsidRPr="00815763">
        <w:rPr>
          <w:rStyle w:val="FootnoteReference"/>
          <w:vertAlign w:val="baseline"/>
        </w:rPr>
        <w:footnoteRef/>
      </w:r>
      <w:r w:rsidR="00416471" w:rsidRPr="00B1515C">
        <w:t xml:space="preserve"> </w:t>
      </w:r>
      <w:r w:rsidR="00587B4A" w:rsidRPr="00B1515C">
        <w:tab/>
      </w:r>
      <w:r w:rsidR="00416471" w:rsidRPr="00B1515C">
        <w:t xml:space="preserve">As was apparent in the </w:t>
      </w:r>
      <w:r w:rsidR="002B1161" w:rsidRPr="00B1515C">
        <w:t>NZ</w:t>
      </w:r>
      <w:r w:rsidR="00416471" w:rsidRPr="00B1515C">
        <w:t xml:space="preserve"> case concerning a custodial crypto exchange </w:t>
      </w:r>
      <w:r w:rsidR="00416471" w:rsidRPr="00C77F3F">
        <w:rPr>
          <w:rStyle w:val="Emphasis"/>
        </w:rPr>
        <w:t>Rusco v Cryptopia Limited (in liq)</w:t>
      </w:r>
      <w:r w:rsidR="00416471" w:rsidRPr="00B1515C">
        <w:t xml:space="preserve"> [2020] NZHC 728; [2020] 2 NZLR 809 (Gendall J) – see </w:t>
      </w:r>
      <w:r w:rsidR="00372633">
        <w:t>Chapter </w:t>
      </w:r>
      <w:r w:rsidR="00416471" w:rsidRPr="00B1515C">
        <w:t>3.</w:t>
      </w:r>
    </w:p>
  </w:footnote>
  <w:footnote w:id="725">
    <w:p w14:paraId="1FC1C3CD" w14:textId="718E2EAF" w:rsidR="00416471" w:rsidRPr="00B1515C" w:rsidRDefault="00815763" w:rsidP="00A01254">
      <w:pPr>
        <w:pStyle w:val="FootnoteText"/>
      </w:pPr>
      <w:r w:rsidRPr="00815763">
        <w:rPr>
          <w:rStyle w:val="FootnoteReference"/>
          <w:vertAlign w:val="baseline"/>
        </w:rPr>
        <w:footnoteRef/>
      </w:r>
      <w:r w:rsidR="00416471" w:rsidRPr="00B1515C">
        <w:t xml:space="preserve"> </w:t>
      </w:r>
      <w:r w:rsidR="00587B4A" w:rsidRPr="00B1515C">
        <w:tab/>
      </w:r>
      <w:r w:rsidR="00416471" w:rsidRPr="00B1515C">
        <w:t>As this is a compilation of terms in different contracts, no one term should be taken to be in all contracts – for example, a term stating that a trading platform is not an exchange would not appear in a contract with an entity that is an exchange.</w:t>
      </w:r>
      <w:r w:rsidR="004F0A51" w:rsidRPr="00B1515C">
        <w:t xml:space="preserve"> </w:t>
      </w:r>
    </w:p>
  </w:footnote>
  <w:footnote w:id="726">
    <w:p w14:paraId="541EAC81" w14:textId="77777777" w:rsidR="00BA52E4" w:rsidRPr="00B1515C" w:rsidRDefault="00BA52E4" w:rsidP="00A01254">
      <w:pPr>
        <w:pStyle w:val="FootnoteText"/>
      </w:pPr>
      <w:r w:rsidRPr="00B1515C">
        <w:rPr>
          <w:rStyle w:val="FootnoteReference"/>
          <w:vertAlign w:val="baseline"/>
        </w:rPr>
        <w:footnoteRef/>
      </w:r>
      <w:r w:rsidRPr="00B1515C">
        <w:t xml:space="preserve"> </w:t>
      </w:r>
      <w:r>
        <w:tab/>
      </w:r>
      <w:r w:rsidRPr="00B1515C">
        <w:t xml:space="preserve">yK1 uses </w:t>
      </w:r>
      <w:r w:rsidRPr="00B1515C">
        <w:rPr>
          <w:rFonts w:cstheme="minorHAnsi"/>
        </w:rPr>
        <w:t>data from lodged forms to visually depict relationships and income/loss flow between payers and payees. It draws graphs of nodes and links to help visualise complex corporate and flow-through structures. CKGE provides investigators (Revenue Agents, Revenue Officers, Special Agents, etc.) means to visualise and explore graph connections between entities.</w:t>
      </w:r>
    </w:p>
  </w:footnote>
  <w:footnote w:id="727">
    <w:p w14:paraId="783689A7" w14:textId="275D1F7F" w:rsidR="006930CE" w:rsidRPr="00B1515C" w:rsidRDefault="006930CE" w:rsidP="00A01254">
      <w:pPr>
        <w:pStyle w:val="FootnoteText"/>
      </w:pPr>
      <w:r w:rsidRPr="00B1515C">
        <w:rPr>
          <w:rStyle w:val="FootnoteReference"/>
          <w:vertAlign w:val="baseline"/>
        </w:rPr>
        <w:footnoteRef/>
      </w:r>
      <w:r w:rsidRPr="00B1515C">
        <w:t xml:space="preserve"> </w:t>
      </w:r>
      <w:r>
        <w:tab/>
      </w:r>
      <w:r w:rsidRPr="00B1515C">
        <w:t xml:space="preserve">HM Revenue &amp; Customs, Kantar Public, </w:t>
      </w:r>
      <w:hyperlink r:id="rId297" w:history="1">
        <w:r w:rsidRPr="00960891">
          <w:rPr>
            <w:rStyle w:val="Hyperlink"/>
            <w:i/>
            <w:iCs/>
          </w:rPr>
          <w:t>Individuals holding cryptoassets: uptake and understanding</w:t>
        </w:r>
      </w:hyperlink>
      <w:r w:rsidRPr="00B1515C">
        <w:rPr>
          <w:i/>
          <w:iCs/>
        </w:rPr>
        <w:t xml:space="preserve"> </w:t>
      </w:r>
      <w:r w:rsidRPr="00B1515C">
        <w:t>(Research Report No. 643, February 2022).</w:t>
      </w:r>
    </w:p>
  </w:footnote>
  <w:footnote w:id="728">
    <w:p w14:paraId="5F4BCC05" w14:textId="6DF9A26B" w:rsidR="006930CE" w:rsidRPr="00B1515C" w:rsidRDefault="006930CE" w:rsidP="00A01254">
      <w:pPr>
        <w:pStyle w:val="FootnoteText"/>
      </w:pPr>
      <w:r w:rsidRPr="00B1515C">
        <w:rPr>
          <w:rStyle w:val="FootnoteReference"/>
          <w:vertAlign w:val="baseline"/>
        </w:rPr>
        <w:footnoteRef/>
      </w:r>
      <w:r w:rsidRPr="00B1515C">
        <w:t xml:space="preserve"> </w:t>
      </w:r>
      <w:r>
        <w:tab/>
      </w:r>
      <w:r w:rsidRPr="00B1515C">
        <w:t>‘</w:t>
      </w:r>
      <w:hyperlink r:id="rId298" w:history="1">
        <w:r w:rsidRPr="00B00BBD">
          <w:rPr>
            <w:rStyle w:val="Hyperlink"/>
          </w:rPr>
          <w:t>Cryptoassets Manual</w:t>
        </w:r>
      </w:hyperlink>
      <w:r w:rsidRPr="00B1515C">
        <w:t>’,</w:t>
      </w:r>
      <w:r w:rsidRPr="00B1515C">
        <w:rPr>
          <w:i/>
          <w:iCs/>
        </w:rPr>
        <w:t xml:space="preserve"> HM Revenue &amp; Customs </w:t>
      </w:r>
      <w:r w:rsidRPr="00B1515C">
        <w:t>(Web Page, 21 August 2023).</w:t>
      </w:r>
    </w:p>
  </w:footnote>
  <w:footnote w:id="729">
    <w:p w14:paraId="79DEBB7F" w14:textId="674CD1DB" w:rsidR="006930CE" w:rsidRPr="00B1515C" w:rsidRDefault="006930CE" w:rsidP="00A01254">
      <w:pPr>
        <w:pStyle w:val="FootnoteText"/>
      </w:pPr>
      <w:r w:rsidRPr="00B1515C">
        <w:rPr>
          <w:rStyle w:val="FootnoteReference"/>
          <w:vertAlign w:val="baseline"/>
        </w:rPr>
        <w:footnoteRef/>
      </w:r>
      <w:r w:rsidRPr="00B1515C">
        <w:t xml:space="preserve"> </w:t>
      </w:r>
      <w:r>
        <w:tab/>
      </w:r>
      <w:r w:rsidRPr="00B1515C">
        <w:t xml:space="preserve">HM Revenue &amp; Customs, </w:t>
      </w:r>
      <w:hyperlink r:id="rId299" w:anchor="Chapter-2" w:history="1">
        <w:r w:rsidRPr="00B00BBD">
          <w:rPr>
            <w:rStyle w:val="Hyperlink"/>
            <w:i/>
            <w:iCs/>
          </w:rPr>
          <w:t>Spring Budget 2023 – Overview of tax legislation and rates (OOTLAR)</w:t>
        </w:r>
      </w:hyperlink>
      <w:r w:rsidRPr="00B1515C">
        <w:t xml:space="preserve"> (Policy Paper, 15 March 2023) [2.41]</w:t>
      </w:r>
      <w:r w:rsidR="00B00BB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84D0" w14:textId="646ED9E6" w:rsidR="00D3340C" w:rsidRDefault="005313BD" w:rsidP="00DB7D6F">
    <w:pPr>
      <w:pStyle w:val="SecurityClassificationHeader"/>
    </w:pPr>
    <w:r>
      <w:fldChar w:fldCharType="begin"/>
    </w:r>
    <w:r>
      <w:instrText xml:space="preserve"> DOCPROPERTY WorkingDocStatus \* MERGEFORMAT </w:instrText>
    </w:r>
    <w:r>
      <w:fldChar w:fldCharType="end"/>
    </w:r>
    <w:r w:rsidR="00372633">
      <w:t>Chapter </w:t>
    </w:r>
    <w:r w:rsidR="00D3340C">
      <w:t>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002B" w14:textId="19FFDD52" w:rsidR="00D51441" w:rsidRPr="005E0DC1" w:rsidRDefault="00054A40" w:rsidP="005E0DC1">
    <w:pPr>
      <w:pStyle w:val="HeaderEven"/>
    </w:pPr>
    <w:fldSimple w:instr=" STYLEREF  &quot;Cover Title Main&quot;  \* MERGEFORMAT ">
      <w:r>
        <w:rPr>
          <w:noProof/>
        </w:rPr>
        <w:t>Review of the tax treatment of digital assets and transactions in Australia</w:t>
      </w:r>
    </w:fldSimple>
    <w:r w:rsidR="00D51441" w:rsidRPr="005E0DC1">
      <w:rPr>
        <w:noProof/>
      </w:rPr>
      <w:drawing>
        <wp:anchor distT="0" distB="0" distL="114300" distR="114300" simplePos="0" relativeHeight="251658240" behindDoc="1" locked="1" layoutInCell="1" allowOverlap="1" wp14:anchorId="129F440C" wp14:editId="03022C59">
          <wp:simplePos x="904875" y="952500"/>
          <wp:positionH relativeFrom="column">
            <wp:align>center</wp:align>
          </wp:positionH>
          <wp:positionV relativeFrom="page">
            <wp:align>top</wp:align>
          </wp:positionV>
          <wp:extent cx="7559675" cy="125857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258984"/>
                  </a:xfrm>
                  <a:prstGeom prst="rect">
                    <a:avLst/>
                  </a:prstGeom>
                </pic:spPr>
              </pic:pic>
            </a:graphicData>
          </a:graphic>
          <wp14:sizeRelH relativeFrom="margin">
            <wp14:pctWidth>0</wp14:pctWidth>
          </wp14:sizeRelH>
          <wp14:sizeRelV relativeFrom="margin">
            <wp14:pctHeight>0</wp14:pctHeight>
          </wp14:sizeRelV>
        </wp:anchor>
      </w:drawing>
    </w:r>
  </w:p>
  <w:p w14:paraId="54964D3E" w14:textId="616D9BB9" w:rsidR="006256BA" w:rsidRPr="009F50E3" w:rsidRDefault="006256BA" w:rsidP="00111646">
    <w:pPr>
      <w:pStyle w:val="HeaderEv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C6D7" w14:textId="6F9482D3" w:rsidR="006256BA" w:rsidRPr="00D2761C" w:rsidRDefault="006256BA" w:rsidP="00D276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2153" w14:textId="28E40675" w:rsidR="00A41D6F" w:rsidRPr="00D51441" w:rsidRDefault="00A41D6F" w:rsidP="00D514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69AE" w14:textId="1FA1D6B2" w:rsidR="00F879C7" w:rsidRDefault="00054A40" w:rsidP="005E0DC1">
    <w:pPr>
      <w:pStyle w:val="HeaderEven"/>
      <w:rPr>
        <w:noProof/>
      </w:rPr>
    </w:pPr>
    <w:fldSimple w:instr="STYLEREF  &quot;Cover Title Main&quot;  \* MERGEFORMAT">
      <w:r>
        <w:rPr>
          <w:noProof/>
        </w:rPr>
        <w:t>Review of the tax treatment of digital assets and transactions in Australia</w:t>
      </w:r>
    </w:fldSimple>
  </w:p>
  <w:p w14:paraId="0E7B8DB7" w14:textId="239CBADF" w:rsidR="001D6A8A" w:rsidRPr="00F879C7" w:rsidRDefault="00F879C7" w:rsidP="00F879C7">
    <w:pPr>
      <w:pStyle w:val="HeaderOdd"/>
      <w:jc w:val="center"/>
      <w:rPr>
        <w:b/>
        <w:bCs/>
        <w:color w:val="FF0000"/>
      </w:rPr>
    </w:pPr>
    <w:r w:rsidRPr="00FC30AC">
      <w:rPr>
        <w:b/>
        <w:bCs/>
        <w:noProof/>
        <w:color w:val="FF0000"/>
      </w:rPr>
      <w:t>CONFIDENTIAL</w:t>
    </w:r>
  </w:p>
  <w:p w14:paraId="06B897D1" w14:textId="77777777" w:rsidR="009F1E56" w:rsidRDefault="009F1E5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BA25" w14:textId="6BF82099" w:rsidR="009F1E56" w:rsidRPr="00D2761C" w:rsidRDefault="00D2761C" w:rsidP="00D2761C">
    <w:pPr>
      <w:pStyle w:val="HeaderOdd"/>
    </w:pPr>
    <w:r w:rsidRPr="005E0DC1">
      <w:rPr>
        <w:noProof/>
      </w:rPr>
      <w:drawing>
        <wp:anchor distT="0" distB="0" distL="114300" distR="114300" simplePos="0" relativeHeight="251658244" behindDoc="1" locked="1" layoutInCell="1" allowOverlap="1" wp14:anchorId="75D4936B" wp14:editId="62DF004A">
          <wp:simplePos x="904875" y="800100"/>
          <wp:positionH relativeFrom="page">
            <wp:align>center</wp:align>
          </wp:positionH>
          <wp:positionV relativeFrom="page">
            <wp:align>top</wp:align>
          </wp:positionV>
          <wp:extent cx="7559675" cy="1258570"/>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258570"/>
                  </a:xfrm>
                  <a:prstGeom prst="rect">
                    <a:avLst/>
                  </a:prstGeom>
                </pic:spPr>
              </pic:pic>
            </a:graphicData>
          </a:graphic>
          <wp14:sizeRelH relativeFrom="margin">
            <wp14:pctWidth>0</wp14:pctWidth>
          </wp14:sizeRelH>
          <wp14:sizeRelV relativeFrom="margin">
            <wp14:pctHeight>0</wp14:pctHeight>
          </wp14:sizeRelV>
        </wp:anchor>
      </w:drawing>
    </w:r>
    <w:fldSimple w:instr=" STYLEREF  &quot;Cover Title Main&quot;  \* MERGEFORMAT ">
      <w:r w:rsidR="00895C63">
        <w:rPr>
          <w:noProof/>
        </w:rPr>
        <w:t>Review of the tax treatment of digital assets and transactions in Australia</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4346" w14:textId="4062C154" w:rsidR="00622D85" w:rsidRPr="004605F1" w:rsidRDefault="00622D85" w:rsidP="004605F1">
    <w:pPr>
      <w:pStyle w:val="Header"/>
    </w:pPr>
  </w:p>
  <w:p w14:paraId="46C3648F" w14:textId="77777777" w:rsidR="009F1E56" w:rsidRDefault="009F1E5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7AEB" w14:textId="1416BDD9" w:rsidR="00A07FD8" w:rsidRPr="00D2761C" w:rsidRDefault="00D2761C" w:rsidP="00D2761C">
    <w:pPr>
      <w:pStyle w:val="HeaderOdd"/>
      <w:rPr>
        <w:noProof/>
      </w:rPr>
    </w:pPr>
    <w:r w:rsidRPr="005E0DC1">
      <w:rPr>
        <w:noProof/>
      </w:rPr>
      <w:drawing>
        <wp:anchor distT="0" distB="0" distL="114300" distR="114300" simplePos="0" relativeHeight="251658241" behindDoc="1" locked="1" layoutInCell="1" allowOverlap="1" wp14:anchorId="1956075B" wp14:editId="51E80683">
          <wp:simplePos x="904875" y="800100"/>
          <wp:positionH relativeFrom="page">
            <wp:align>right</wp:align>
          </wp:positionH>
          <wp:positionV relativeFrom="page">
            <wp:align>top</wp:align>
          </wp:positionV>
          <wp:extent cx="7560000" cy="1260000"/>
          <wp:effectExtent l="6668"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sidR="00D5245B">
      <w:rPr>
        <w:noProof/>
      </w:rPr>
      <mc:AlternateContent>
        <mc:Choice Requires="wps">
          <w:drawing>
            <wp:anchor distT="0" distB="0" distL="114300" distR="114300" simplePos="0" relativeHeight="251658242" behindDoc="0" locked="1" layoutInCell="1" allowOverlap="1" wp14:anchorId="19ADDD8A" wp14:editId="47D1F1B0">
              <wp:simplePos x="0" y="0"/>
              <wp:positionH relativeFrom="page">
                <wp:align>right</wp:align>
              </wp:positionH>
              <wp:positionV relativeFrom="page">
                <wp:align>top</wp:align>
              </wp:positionV>
              <wp:extent cx="7560000" cy="1195200"/>
              <wp:effectExtent l="3493" t="0" r="0"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560000" cy="1195200"/>
                      </a:xfrm>
                      <a:prstGeom prst="rect">
                        <a:avLst/>
                      </a:prstGeom>
                      <a:noFill/>
                      <a:ln w="6350">
                        <a:noFill/>
                      </a:ln>
                    </wps:spPr>
                    <wps:txbx>
                      <w:txbxContent>
                        <w:p w14:paraId="7C9BA081" w14:textId="3BF70532" w:rsidR="00A07FD8" w:rsidRDefault="00054A40" w:rsidP="00A07FD8">
                          <w:pPr>
                            <w:pStyle w:val="HeaderOdd"/>
                            <w:rPr>
                              <w:noProof/>
                            </w:rPr>
                          </w:pPr>
                          <w:fldSimple w:instr=" STYLEREF  &quot;Cover Title Main&quot;  \* MERGEFORMAT ">
                            <w:r w:rsidR="00895C63">
                              <w:rPr>
                                <w:noProof/>
                              </w:rPr>
                              <w:t>Review of the tax treatment of digital assets and transactions in Australia</w:t>
                            </w:r>
                          </w:fldSimple>
                        </w:p>
                      </w:txbxContent>
                    </wps:txbx>
                    <wps:bodyPr rot="0" spcFirstLastPara="0" vertOverflow="overflow" horzOverflow="overflow" vert="horz" wrap="square" lIns="720000" tIns="720000" rIns="72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9ADDD8A" id="_x0000_t202" coordsize="21600,21600" o:spt="202" path="m,l,21600r21600,l21600,xe">
              <v:stroke joinstyle="miter"/>
              <v:path gradientshapeok="t" o:connecttype="rect"/>
            </v:shapetype>
            <v:shape id="Text Box 9" o:spid="_x0000_s1026" type="#_x0000_t202" alt="&quot;&quot;" style="position:absolute;margin-left:544.1pt;margin-top:0;width:595.3pt;height:94.1pt;rotation:90;z-index:25165824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" filled="f" stroked="f" strokeweight=".5pt">
              <v:textbox style="mso-fit-shape-to-text:t" inset="20mm,20mm,20mm,0">
                <w:txbxContent>
                  <w:p w14:paraId="7C9BA081" w14:textId="3BF70532" w:rsidR="00A07FD8" w:rsidRDefault="00054A40" w:rsidP="00A07FD8">
                    <w:pPr>
                      <w:pStyle w:val="HeaderOdd"/>
                      <w:rPr>
                        <w:noProof/>
                      </w:rPr>
                    </w:pPr>
                    <w:fldSimple w:instr=" STYLEREF  &quot;Cover Title Main&quot;  \* MERGEFORMAT ">
                      <w:r w:rsidR="00895C63">
                        <w:rPr>
                          <w:noProof/>
                        </w:rPr>
                        <w:t>Review of the tax treatment of digital assets and transactions in Australia</w:t>
                      </w:r>
                    </w:fldSimple>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4684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DE3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A04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66FB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AB0D0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1877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44CD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86FE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7459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8045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20AF4"/>
    <w:multiLevelType w:val="hybridMultilevel"/>
    <w:tmpl w:val="ED464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45583F"/>
    <w:multiLevelType w:val="multilevel"/>
    <w:tmpl w:val="697C19B2"/>
    <w:name w:val="Outline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b w:val="0"/>
        <w:i w:val="0"/>
      </w:rPr>
    </w:lvl>
    <w:lvl w:ilvl="2">
      <w:start w:val="1"/>
      <w:numFmt w:val="lowerRoman"/>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12" w15:restartNumberingAfterBreak="0">
    <w:nsid w:val="10C21F48"/>
    <w:multiLevelType w:val="singleLevel"/>
    <w:tmpl w:val="F0B87A5C"/>
    <w:name w:val="Case study bullet List"/>
    <w:lvl w:ilvl="0">
      <w:start w:val="1"/>
      <w:numFmt w:val="bullet"/>
      <w:lvlRestart w:val="0"/>
      <w:lvlText w:val="•"/>
      <w:lvlJc w:val="left"/>
      <w:pPr>
        <w:tabs>
          <w:tab w:val="num" w:pos="283"/>
        </w:tabs>
        <w:ind w:left="283" w:hanging="283"/>
      </w:pPr>
      <w:rPr>
        <w:rFonts w:ascii="Book Antiqua" w:hAnsi="Book Antiqua"/>
        <w:b w:val="0"/>
        <w:i w:val="0"/>
        <w:color w:val="000080"/>
        <w:sz w:val="16"/>
      </w:rPr>
    </w:lvl>
  </w:abstractNum>
  <w:abstractNum w:abstractNumId="13" w15:restartNumberingAfterBreak="0">
    <w:nsid w:val="164A4E0E"/>
    <w:multiLevelType w:val="multilevel"/>
    <w:tmpl w:val="6B2272A8"/>
    <w:name w:val="BoTStandardBulletedList"/>
    <w:lvl w:ilvl="0">
      <w:start w:val="1"/>
      <w:numFmt w:val="bullet"/>
      <w:lvlRestart w:val="0"/>
      <w:lvlText w:val="•"/>
      <w:lvlJc w:val="left"/>
      <w:pPr>
        <w:tabs>
          <w:tab w:val="num" w:pos="567"/>
        </w:tabs>
        <w:ind w:left="567" w:hanging="567"/>
      </w:pPr>
      <w:rPr>
        <w:rFonts w:ascii="Times New Roman" w:hAnsi="Times New Roman" w:cs="Times New Roman"/>
        <w:b w:val="0"/>
        <w:i w:val="0"/>
      </w:rPr>
    </w:lvl>
    <w:lvl w:ilvl="1">
      <w:start w:val="1"/>
      <w:numFmt w:val="bullet"/>
      <w:lvlText w:val="–"/>
      <w:lvlJc w:val="left"/>
      <w:pPr>
        <w:tabs>
          <w:tab w:val="num" w:pos="1134"/>
        </w:tabs>
        <w:ind w:left="1134" w:hanging="567"/>
      </w:pPr>
      <w:rPr>
        <w:rFonts w:ascii="Times New Roman" w:hAnsi="Times New Roman" w:cs="Times New Roman"/>
        <w:b w:val="0"/>
        <w:i w:val="0"/>
      </w:rPr>
    </w:lvl>
    <w:lvl w:ilvl="2">
      <w:start w:val="1"/>
      <w:numFmt w:val="bullet"/>
      <w:lvlText w:val=":"/>
      <w:lvlJc w:val="left"/>
      <w:pPr>
        <w:tabs>
          <w:tab w:val="num" w:pos="1701"/>
        </w:tabs>
        <w:ind w:left="1701" w:hanging="567"/>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19C960FD"/>
    <w:multiLevelType w:val="multilevel"/>
    <w:tmpl w:val="0CAC953E"/>
    <w:name w:val="OneLevelNumberedParagraphList"/>
    <w:lvl w:ilvl="0">
      <w:start w:val="1"/>
      <w:numFmt w:val="decimal"/>
      <w:lvlRestart w:val="0"/>
      <w:lvlText w:val="%1."/>
      <w:lvlJc w:val="left"/>
      <w:pPr>
        <w:tabs>
          <w:tab w:val="num" w:pos="567"/>
        </w:tabs>
        <w:ind w:left="567" w:hanging="567"/>
      </w:pPr>
      <w:rPr>
        <w:rFonts w:asciiTheme="minorHAnsi" w:hAnsiTheme="minorHAnsi" w:cs="Times New Roman" w:hint="default"/>
        <w:b w:val="0"/>
        <w:i w:val="0"/>
        <w:color w:val="000000"/>
      </w:rPr>
    </w:lvl>
    <w:lvl w:ilvl="1">
      <w:start w:val="1"/>
      <w:numFmt w:val="decimal"/>
      <w:lvlText w:val="%2"/>
      <w:lvlJc w:val="left"/>
      <w:pPr>
        <w:tabs>
          <w:tab w:val="num" w:pos="1134"/>
        </w:tabs>
        <w:ind w:left="1134" w:hanging="567"/>
      </w:pPr>
      <w:rPr>
        <w:rFonts w:ascii="Times New Roman" w:hAnsi="Times New Roman" w:cs="Times New Roman" w:hint="default"/>
        <w:b w:val="0"/>
        <w:i w:val="0"/>
        <w:color w:val="000000"/>
      </w:rPr>
    </w:lvl>
    <w:lvl w:ilvl="2">
      <w:start w:val="1"/>
      <w:numFmt w:val="decimal"/>
      <w:lvlText w:val="%3"/>
      <w:lvlJc w:val="left"/>
      <w:pPr>
        <w:tabs>
          <w:tab w:val="num" w:pos="1701"/>
        </w:tabs>
        <w:ind w:left="1701" w:hanging="567"/>
      </w:pPr>
      <w:rPr>
        <w:rFonts w:ascii="Times New Roman" w:hAnsi="Times New Roman" w:cs="Times New Roman" w:hint="default"/>
        <w:b w:val="0"/>
        <w:i w:val="0"/>
        <w:color w:val="000000"/>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15" w15:restartNumberingAfterBreak="0">
    <w:nsid w:val="22EF74E1"/>
    <w:multiLevelType w:val="hybridMultilevel"/>
    <w:tmpl w:val="7CBA6DB2"/>
    <w:lvl w:ilvl="0" w:tplc="64CC5AA0">
      <w:start w:val="1"/>
      <w:numFmt w:val="decimal"/>
      <w:lvlText w:val="%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4237C5"/>
    <w:multiLevelType w:val="multilevel"/>
    <w:tmpl w:val="EFA2A530"/>
    <w:lvl w:ilvl="0">
      <w:start w:val="1"/>
      <w:numFmt w:val="decimal"/>
      <w:lvlText w:val="%1."/>
      <w:lvlJc w:val="left"/>
      <w:pPr>
        <w:tabs>
          <w:tab w:val="num" w:pos="520"/>
        </w:tabs>
        <w:ind w:left="520" w:hanging="520"/>
      </w:pPr>
      <w:rPr>
        <w:rFonts w:hint="default"/>
        <w:b w:val="0"/>
        <w:i w:val="0"/>
      </w:rPr>
    </w:lvl>
    <w:lvl w:ilvl="1">
      <w:start w:val="1"/>
      <w:numFmt w:val="decimal"/>
      <w:lvlText w:val="%1.%2."/>
      <w:lvlJc w:val="left"/>
      <w:pPr>
        <w:tabs>
          <w:tab w:val="num" w:pos="1040"/>
        </w:tabs>
        <w:ind w:left="1040" w:hanging="520"/>
      </w:pPr>
      <w:rPr>
        <w:rFonts w:hint="default"/>
        <w:b w:val="0"/>
        <w:i w:val="0"/>
      </w:rPr>
    </w:lvl>
    <w:lvl w:ilvl="2">
      <w:start w:val="1"/>
      <w:numFmt w:val="decimal"/>
      <w:lvlText w:val="%1.%2.%3."/>
      <w:lvlJc w:val="left"/>
      <w:pPr>
        <w:tabs>
          <w:tab w:val="num" w:pos="1560"/>
        </w:tabs>
        <w:ind w:left="1560" w:hanging="52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27440C8B"/>
    <w:multiLevelType w:val="multilevel"/>
    <w:tmpl w:val="2C484BBC"/>
    <w:name w:val="NewParagraphList"/>
    <w:lvl w:ilvl="0">
      <w:start w:val="1"/>
      <w:numFmt w:val="decimal"/>
      <w:lvlRestart w:val="0"/>
      <w:suff w:val="nothing"/>
      <w:lvlText w:val=""/>
      <w:lvlJc w:val="left"/>
      <w:pPr>
        <w:ind w:left="0" w:firstLine="0"/>
      </w:pPr>
      <w:rPr>
        <w:rFonts w:hint="default"/>
        <w:b w:val="0"/>
        <w:i w:val="0"/>
        <w:vanish w:val="0"/>
        <w:color w:val="000000"/>
        <w:sz w:val="2"/>
      </w:rPr>
    </w:lvl>
    <w:lvl w:ilvl="1">
      <w:start w:val="1"/>
      <w:numFmt w:val="decimal"/>
      <w:lvlText w:val="%1.%2"/>
      <w:lvlJc w:val="left"/>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134"/>
        </w:tabs>
        <w:ind w:left="1418" w:hanging="851"/>
      </w:pPr>
      <w:rPr>
        <w:rFonts w:hint="default"/>
        <w:b w:val="0"/>
        <w:i w:val="0"/>
        <w:color w:val="000000"/>
      </w:rPr>
    </w:lvl>
    <w:lvl w:ilvl="3">
      <w:start w:val="1"/>
      <w:numFmt w:val="decimal"/>
      <w:lvlText w:val="%1.%2.%3.%4"/>
      <w:lvlJc w:val="left"/>
      <w:pPr>
        <w:tabs>
          <w:tab w:val="num" w:pos="1701"/>
        </w:tabs>
        <w:ind w:left="1701" w:hanging="283"/>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8" w15:restartNumberingAfterBreak="0">
    <w:nsid w:val="2ADB4AF1"/>
    <w:multiLevelType w:val="multilevel"/>
    <w:tmpl w:val="24CAB2A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665DFA"/>
    <w:multiLevelType w:val="singleLevel"/>
    <w:tmpl w:val="C0868FF0"/>
    <w:name w:val="RecommendationAlphaList"/>
    <w:lvl w:ilvl="0">
      <w:start w:val="1"/>
      <w:numFmt w:val="lowerLetter"/>
      <w:pStyle w:val="AlphaParagraph"/>
      <w:lvlText w:val="(%1)"/>
      <w:lvlJc w:val="left"/>
      <w:pPr>
        <w:ind w:left="360" w:hanging="360"/>
      </w:pPr>
      <w:rPr>
        <w:rFonts w:ascii="Calibri" w:hAnsi="Calibri" w:cs="Times New Roman" w:hint="default"/>
        <w:b w:val="0"/>
        <w:i w:val="0"/>
        <w:color w:val="auto"/>
        <w:sz w:val="22"/>
      </w:rPr>
    </w:lvl>
  </w:abstractNum>
  <w:abstractNum w:abstractNumId="20" w15:restartNumberingAfterBreak="0">
    <w:nsid w:val="3077770F"/>
    <w:multiLevelType w:val="multilevel"/>
    <w:tmpl w:val="BBF2C4AE"/>
    <w:styleLink w:val="CurrentList1"/>
    <w:lvl w:ilvl="0">
      <w:start w:val="1"/>
      <w:numFmt w:val="bullet"/>
      <w:pStyle w:val="Bullet"/>
      <w:lvlText w:val="•"/>
      <w:lvlJc w:val="left"/>
      <w:pPr>
        <w:ind w:left="284" w:hanging="284"/>
      </w:pPr>
      <w:rPr>
        <w:rFonts w:ascii="Times New Roman" w:hAnsi="Times New Roman" w:cs="Times New Roman" w:hint="default"/>
        <w:color w:val="auto"/>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Times New Roman" w:hAnsi="Times New Roman" w:cs="Times New Roman"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361452D5"/>
    <w:multiLevelType w:val="hybridMultilevel"/>
    <w:tmpl w:val="1CA67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793604"/>
    <w:multiLevelType w:val="multilevel"/>
    <w:tmpl w:val="1C4A8F08"/>
    <w:name w:val="OutlineList2"/>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b w:val="0"/>
        <w:i w:val="0"/>
      </w:rPr>
    </w:lvl>
    <w:lvl w:ilvl="2">
      <w:start w:val="1"/>
      <w:numFmt w:val="lowerRoman"/>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23" w15:restartNumberingAfterBreak="0">
    <w:nsid w:val="3F81708F"/>
    <w:multiLevelType w:val="multilevel"/>
    <w:tmpl w:val="9C46D02A"/>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b w:val="0"/>
        <w:i w:val="0"/>
      </w:rPr>
    </w:lvl>
    <w:lvl w:ilvl="2">
      <w:start w:val="1"/>
      <w:numFmt w:val="lowerRoman"/>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24" w15:restartNumberingAfterBreak="0">
    <w:nsid w:val="423700C6"/>
    <w:multiLevelType w:val="multilevel"/>
    <w:tmpl w:val="91921BC0"/>
    <w:lvl w:ilvl="0">
      <w:start w:val="1"/>
      <w:numFmt w:val="decimal"/>
      <w:pStyle w:val="NumberedParagraph1"/>
      <w:lvlText w:val="%1"/>
      <w:lvlJc w:val="left"/>
      <w:pPr>
        <w:ind w:left="567" w:hanging="567"/>
      </w:pPr>
      <w:rPr>
        <w:rFonts w:asciiTheme="minorHAnsi" w:hAnsiTheme="minorHAnsi" w:hint="default"/>
        <w:b w:val="0"/>
        <w:i w:val="0"/>
        <w:vanish w:val="0"/>
        <w:sz w:val="22"/>
      </w:rPr>
    </w:lvl>
    <w:lvl w:ilvl="1">
      <w:start w:val="1"/>
      <w:numFmt w:val="decimal"/>
      <w:pStyle w:val="NumberedParagraph11"/>
      <w:lvlText w:val="%1.%2"/>
      <w:lvlJc w:val="left"/>
      <w:pPr>
        <w:ind w:left="567" w:hanging="567"/>
      </w:pPr>
      <w:rPr>
        <w:rFonts w:hint="default"/>
        <w:b w:val="0"/>
        <w:i w:val="0"/>
      </w:rPr>
    </w:lvl>
    <w:lvl w:ilvl="2">
      <w:start w:val="1"/>
      <w:numFmt w:val="decimal"/>
      <w:pStyle w:val="NumberedParagraph111"/>
      <w:lvlText w:val="%1.%2.%3"/>
      <w:lvlJc w:val="left"/>
      <w:pPr>
        <w:ind w:left="567" w:hanging="567"/>
      </w:pPr>
      <w:rPr>
        <w:rFonts w:hint="default"/>
        <w:b w:val="0"/>
        <w:i w:val="0"/>
      </w:rPr>
    </w:lvl>
    <w:lvl w:ilvl="3">
      <w:start w:val="1"/>
      <w:numFmt w:val="lowerLetter"/>
      <w:pStyle w:val="NumberedParagraphalpha"/>
      <w:lvlText w:val="(%4)"/>
      <w:lvlJc w:val="left"/>
      <w:pPr>
        <w:ind w:left="1134" w:hanging="567"/>
      </w:pPr>
      <w:rPr>
        <w:rFonts w:hint="default"/>
        <w:b w:val="0"/>
        <w:i w:val="0"/>
      </w:rPr>
    </w:lvl>
    <w:lvl w:ilvl="4">
      <w:start w:val="1"/>
      <w:numFmt w:val="decimal"/>
      <w:pStyle w:val="NumberedParagraphnumbers"/>
      <w:lvlText w:val="(%5)"/>
      <w:lvlJc w:val="left"/>
      <w:pPr>
        <w:ind w:left="1134" w:hanging="567"/>
      </w:pPr>
      <w:rPr>
        <w:rFonts w:hint="default"/>
        <w:b w:val="0"/>
        <w:i w:val="0"/>
      </w:rPr>
    </w:lvl>
    <w:lvl w:ilvl="5">
      <w:start w:val="1"/>
      <w:numFmt w:val="lowerRoman"/>
      <w:pStyle w:val="NumberedParagraphroman"/>
      <w:lvlText w:val="(%6)"/>
      <w:lvlJc w:val="left"/>
      <w:pPr>
        <w:ind w:left="1134" w:hanging="567"/>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5" w15:restartNumberingAfterBreak="0">
    <w:nsid w:val="488A1E7E"/>
    <w:multiLevelType w:val="multilevel"/>
    <w:tmpl w:val="5BB0C4BA"/>
    <w:lvl w:ilvl="0">
      <w:start w:val="1"/>
      <w:numFmt w:val="decimal"/>
      <w:pStyle w:val="OutlineNumbered1"/>
      <w:lvlText w:val="%1."/>
      <w:lvlJc w:val="left"/>
      <w:pPr>
        <w:ind w:left="284" w:hanging="284"/>
      </w:pPr>
      <w:rPr>
        <w:rFonts w:hint="default"/>
      </w:rPr>
    </w:lvl>
    <w:lvl w:ilvl="1">
      <w:start w:val="1"/>
      <w:numFmt w:val="lowerLetter"/>
      <w:pStyle w:val="OutlineNumbered2"/>
      <w:lvlText w:val="%2)"/>
      <w:lvlJc w:val="left"/>
      <w:pPr>
        <w:ind w:left="568" w:hanging="284"/>
      </w:pPr>
      <w:rPr>
        <w:rFonts w:hint="default"/>
        <w:b w:val="0"/>
        <w:i w:val="0"/>
      </w:rPr>
    </w:lvl>
    <w:lvl w:ilvl="2">
      <w:start w:val="1"/>
      <w:numFmt w:val="lowerRoman"/>
      <w:pStyle w:val="OutlineNumbered3"/>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26" w15:restartNumberingAfterBreak="0">
    <w:nsid w:val="4A7A65AE"/>
    <w:multiLevelType w:val="hybridMultilevel"/>
    <w:tmpl w:val="3176C45C"/>
    <w:lvl w:ilvl="0" w:tplc="91F4E678">
      <w:start w:val="1"/>
      <w:numFmt w:val="bullet"/>
      <w:lvlText w:val=""/>
      <w:lvlJc w:val="left"/>
      <w:pPr>
        <w:ind w:left="1080" w:hanging="360"/>
      </w:pPr>
      <w:rPr>
        <w:rFonts w:ascii="Symbol" w:hAnsi="Symbol"/>
      </w:rPr>
    </w:lvl>
    <w:lvl w:ilvl="1" w:tplc="36BAD5BA">
      <w:start w:val="1"/>
      <w:numFmt w:val="bullet"/>
      <w:lvlText w:val=""/>
      <w:lvlJc w:val="left"/>
      <w:pPr>
        <w:ind w:left="1080" w:hanging="360"/>
      </w:pPr>
      <w:rPr>
        <w:rFonts w:ascii="Symbol" w:hAnsi="Symbol"/>
      </w:rPr>
    </w:lvl>
    <w:lvl w:ilvl="2" w:tplc="C018CFD6">
      <w:start w:val="1"/>
      <w:numFmt w:val="bullet"/>
      <w:lvlText w:val=""/>
      <w:lvlJc w:val="left"/>
      <w:pPr>
        <w:ind w:left="1080" w:hanging="360"/>
      </w:pPr>
      <w:rPr>
        <w:rFonts w:ascii="Symbol" w:hAnsi="Symbol"/>
      </w:rPr>
    </w:lvl>
    <w:lvl w:ilvl="3" w:tplc="E4147D64">
      <w:start w:val="1"/>
      <w:numFmt w:val="bullet"/>
      <w:lvlText w:val=""/>
      <w:lvlJc w:val="left"/>
      <w:pPr>
        <w:ind w:left="1080" w:hanging="360"/>
      </w:pPr>
      <w:rPr>
        <w:rFonts w:ascii="Symbol" w:hAnsi="Symbol"/>
      </w:rPr>
    </w:lvl>
    <w:lvl w:ilvl="4" w:tplc="0C4614C4">
      <w:start w:val="1"/>
      <w:numFmt w:val="bullet"/>
      <w:lvlText w:val=""/>
      <w:lvlJc w:val="left"/>
      <w:pPr>
        <w:ind w:left="1080" w:hanging="360"/>
      </w:pPr>
      <w:rPr>
        <w:rFonts w:ascii="Symbol" w:hAnsi="Symbol"/>
      </w:rPr>
    </w:lvl>
    <w:lvl w:ilvl="5" w:tplc="FD4263E8">
      <w:start w:val="1"/>
      <w:numFmt w:val="bullet"/>
      <w:lvlText w:val=""/>
      <w:lvlJc w:val="left"/>
      <w:pPr>
        <w:ind w:left="1080" w:hanging="360"/>
      </w:pPr>
      <w:rPr>
        <w:rFonts w:ascii="Symbol" w:hAnsi="Symbol"/>
      </w:rPr>
    </w:lvl>
    <w:lvl w:ilvl="6" w:tplc="10642D00">
      <w:start w:val="1"/>
      <w:numFmt w:val="bullet"/>
      <w:lvlText w:val=""/>
      <w:lvlJc w:val="left"/>
      <w:pPr>
        <w:ind w:left="1080" w:hanging="360"/>
      </w:pPr>
      <w:rPr>
        <w:rFonts w:ascii="Symbol" w:hAnsi="Symbol"/>
      </w:rPr>
    </w:lvl>
    <w:lvl w:ilvl="7" w:tplc="C33ED39E">
      <w:start w:val="1"/>
      <w:numFmt w:val="bullet"/>
      <w:lvlText w:val=""/>
      <w:lvlJc w:val="left"/>
      <w:pPr>
        <w:ind w:left="1080" w:hanging="360"/>
      </w:pPr>
      <w:rPr>
        <w:rFonts w:ascii="Symbol" w:hAnsi="Symbol"/>
      </w:rPr>
    </w:lvl>
    <w:lvl w:ilvl="8" w:tplc="131EA6F6">
      <w:start w:val="1"/>
      <w:numFmt w:val="bullet"/>
      <w:lvlText w:val=""/>
      <w:lvlJc w:val="left"/>
      <w:pPr>
        <w:ind w:left="1080" w:hanging="360"/>
      </w:pPr>
      <w:rPr>
        <w:rFonts w:ascii="Symbol" w:hAnsi="Symbol"/>
      </w:rPr>
    </w:lvl>
  </w:abstractNum>
  <w:abstractNum w:abstractNumId="27" w15:restartNumberingAfterBreak="0">
    <w:nsid w:val="4AEB61B7"/>
    <w:multiLevelType w:val="multilevel"/>
    <w:tmpl w:val="9C46D02A"/>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b w:val="0"/>
        <w:i w:val="0"/>
      </w:rPr>
    </w:lvl>
    <w:lvl w:ilvl="2">
      <w:start w:val="1"/>
      <w:numFmt w:val="lowerRoman"/>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28" w15:restartNumberingAfterBreak="0">
    <w:nsid w:val="4CE06931"/>
    <w:multiLevelType w:val="singleLevel"/>
    <w:tmpl w:val="4BF4570C"/>
    <w:lvl w:ilvl="0">
      <w:start w:val="1"/>
      <w:numFmt w:val="lowerLetter"/>
      <w:pStyle w:val="Notealpha"/>
      <w:lvlText w:val="%1)"/>
      <w:lvlJc w:val="left"/>
      <w:pPr>
        <w:ind w:left="360" w:hanging="360"/>
      </w:pPr>
      <w:rPr>
        <w:rFonts w:hint="default"/>
        <w:b w:val="0"/>
        <w:i w:val="0"/>
        <w:color w:val="000000"/>
        <w:sz w:val="16"/>
      </w:rPr>
    </w:lvl>
  </w:abstractNum>
  <w:abstractNum w:abstractNumId="29" w15:restartNumberingAfterBreak="0">
    <w:nsid w:val="4D027D5C"/>
    <w:multiLevelType w:val="multilevel"/>
    <w:tmpl w:val="9C46D02A"/>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b w:val="0"/>
        <w:i w:val="0"/>
      </w:rPr>
    </w:lvl>
    <w:lvl w:ilvl="2">
      <w:start w:val="1"/>
      <w:numFmt w:val="lowerRoman"/>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30" w15:restartNumberingAfterBreak="0">
    <w:nsid w:val="4DCF3A8E"/>
    <w:multiLevelType w:val="singleLevel"/>
    <w:tmpl w:val="00087A28"/>
    <w:name w:val="Roman numeral list"/>
    <w:lvl w:ilvl="0">
      <w:start w:val="1"/>
      <w:numFmt w:val="lowerRoman"/>
      <w:lvlRestart w:val="0"/>
      <w:pStyle w:val="Romannumeral"/>
      <w:lvlText w:val="(%1)"/>
      <w:lvlJc w:val="left"/>
      <w:pPr>
        <w:tabs>
          <w:tab w:val="num" w:pos="1134"/>
        </w:tabs>
        <w:ind w:left="1134" w:hanging="567"/>
      </w:pPr>
      <w:rPr>
        <w:b w:val="0"/>
        <w:i w:val="0"/>
        <w:color w:val="000000"/>
      </w:rPr>
    </w:lvl>
  </w:abstractNum>
  <w:abstractNum w:abstractNumId="31" w15:restartNumberingAfterBreak="0">
    <w:nsid w:val="58101827"/>
    <w:multiLevelType w:val="multilevel"/>
    <w:tmpl w:val="0546B780"/>
    <w:name w:val="BoxBulletedList"/>
    <w:lvl w:ilvl="0">
      <w:start w:val="1"/>
      <w:numFmt w:val="bullet"/>
      <w:pStyle w:val="BoxBullet"/>
      <w:lvlText w:val="•"/>
      <w:lvlJc w:val="left"/>
      <w:pPr>
        <w:ind w:left="284" w:hanging="284"/>
      </w:pPr>
      <w:rPr>
        <w:rFonts w:ascii="Times New Roman" w:hAnsi="Times New Roman" w:cs="Times New Roman" w:hint="default"/>
        <w:specVanish w:val="0"/>
      </w:rPr>
    </w:lvl>
    <w:lvl w:ilvl="1">
      <w:start w:val="1"/>
      <w:numFmt w:val="bullet"/>
      <w:pStyle w:val="BoxDash"/>
      <w:lvlText w:val="–"/>
      <w:lvlJc w:val="left"/>
      <w:pPr>
        <w:tabs>
          <w:tab w:val="num" w:pos="567"/>
        </w:tabs>
        <w:ind w:left="568" w:hanging="284"/>
      </w:pPr>
      <w:rPr>
        <w:rFonts w:hint="default"/>
        <w:b w:val="0"/>
        <w:i w:val="0"/>
      </w:rPr>
    </w:lvl>
    <w:lvl w:ilvl="2">
      <w:start w:val="1"/>
      <w:numFmt w:val="bullet"/>
      <w:pStyle w:val="BoxDoubleDot"/>
      <w:lvlText w:val=":"/>
      <w:lvlJc w:val="left"/>
      <w:pPr>
        <w:tabs>
          <w:tab w:val="num" w:pos="850"/>
        </w:tabs>
        <w:ind w:left="852" w:hanging="28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32" w15:restartNumberingAfterBreak="0">
    <w:nsid w:val="63BF61B5"/>
    <w:multiLevelType w:val="hybridMultilevel"/>
    <w:tmpl w:val="72B0463C"/>
    <w:lvl w:ilvl="0" w:tplc="DE10A6E8">
      <w:start w:val="1"/>
      <w:numFmt w:val="bullet"/>
      <w:lvlText w:val=""/>
      <w:lvlJc w:val="left"/>
      <w:pPr>
        <w:ind w:left="1080" w:hanging="360"/>
      </w:pPr>
      <w:rPr>
        <w:rFonts w:ascii="Symbol" w:hAnsi="Symbol"/>
      </w:rPr>
    </w:lvl>
    <w:lvl w:ilvl="1" w:tplc="7E28612C">
      <w:start w:val="1"/>
      <w:numFmt w:val="bullet"/>
      <w:lvlText w:val=""/>
      <w:lvlJc w:val="left"/>
      <w:pPr>
        <w:ind w:left="1080" w:hanging="360"/>
      </w:pPr>
      <w:rPr>
        <w:rFonts w:ascii="Symbol" w:hAnsi="Symbol"/>
      </w:rPr>
    </w:lvl>
    <w:lvl w:ilvl="2" w:tplc="6D4EE636">
      <w:start w:val="1"/>
      <w:numFmt w:val="bullet"/>
      <w:lvlText w:val=""/>
      <w:lvlJc w:val="left"/>
      <w:pPr>
        <w:ind w:left="1080" w:hanging="360"/>
      </w:pPr>
      <w:rPr>
        <w:rFonts w:ascii="Symbol" w:hAnsi="Symbol"/>
      </w:rPr>
    </w:lvl>
    <w:lvl w:ilvl="3" w:tplc="68B21230">
      <w:start w:val="1"/>
      <w:numFmt w:val="bullet"/>
      <w:lvlText w:val=""/>
      <w:lvlJc w:val="left"/>
      <w:pPr>
        <w:ind w:left="1080" w:hanging="360"/>
      </w:pPr>
      <w:rPr>
        <w:rFonts w:ascii="Symbol" w:hAnsi="Symbol"/>
      </w:rPr>
    </w:lvl>
    <w:lvl w:ilvl="4" w:tplc="00F88998">
      <w:start w:val="1"/>
      <w:numFmt w:val="bullet"/>
      <w:lvlText w:val=""/>
      <w:lvlJc w:val="left"/>
      <w:pPr>
        <w:ind w:left="1080" w:hanging="360"/>
      </w:pPr>
      <w:rPr>
        <w:rFonts w:ascii="Symbol" w:hAnsi="Symbol"/>
      </w:rPr>
    </w:lvl>
    <w:lvl w:ilvl="5" w:tplc="32C4FB74">
      <w:start w:val="1"/>
      <w:numFmt w:val="bullet"/>
      <w:lvlText w:val=""/>
      <w:lvlJc w:val="left"/>
      <w:pPr>
        <w:ind w:left="1080" w:hanging="360"/>
      </w:pPr>
      <w:rPr>
        <w:rFonts w:ascii="Symbol" w:hAnsi="Symbol"/>
      </w:rPr>
    </w:lvl>
    <w:lvl w:ilvl="6" w:tplc="34DC652E">
      <w:start w:val="1"/>
      <w:numFmt w:val="bullet"/>
      <w:lvlText w:val=""/>
      <w:lvlJc w:val="left"/>
      <w:pPr>
        <w:ind w:left="1080" w:hanging="360"/>
      </w:pPr>
      <w:rPr>
        <w:rFonts w:ascii="Symbol" w:hAnsi="Symbol"/>
      </w:rPr>
    </w:lvl>
    <w:lvl w:ilvl="7" w:tplc="095A3022">
      <w:start w:val="1"/>
      <w:numFmt w:val="bullet"/>
      <w:lvlText w:val=""/>
      <w:lvlJc w:val="left"/>
      <w:pPr>
        <w:ind w:left="1080" w:hanging="360"/>
      </w:pPr>
      <w:rPr>
        <w:rFonts w:ascii="Symbol" w:hAnsi="Symbol"/>
      </w:rPr>
    </w:lvl>
    <w:lvl w:ilvl="8" w:tplc="D5E0A9A2">
      <w:start w:val="1"/>
      <w:numFmt w:val="bullet"/>
      <w:lvlText w:val=""/>
      <w:lvlJc w:val="left"/>
      <w:pPr>
        <w:ind w:left="1080" w:hanging="360"/>
      </w:pPr>
      <w:rPr>
        <w:rFonts w:ascii="Symbol" w:hAnsi="Symbol"/>
      </w:rPr>
    </w:lvl>
  </w:abstractNum>
  <w:abstractNum w:abstractNumId="33" w15:restartNumberingAfterBreak="0">
    <w:nsid w:val="6B58DCFF"/>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350E14"/>
    <w:multiLevelType w:val="multilevel"/>
    <w:tmpl w:val="4984D106"/>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b w:val="0"/>
        <w:i w:val="0"/>
      </w:rPr>
    </w:lvl>
    <w:lvl w:ilvl="2">
      <w:start w:val="1"/>
      <w:numFmt w:val="lowerRoman"/>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35" w15:restartNumberingAfterBreak="0">
    <w:nsid w:val="72CF4975"/>
    <w:multiLevelType w:val="multilevel"/>
    <w:tmpl w:val="C30E89C8"/>
    <w:name w:val="StandardBulletedList"/>
    <w:lvl w:ilvl="0">
      <w:start w:val="1"/>
      <w:numFmt w:val="bullet"/>
      <w:lvlText w:val="•"/>
      <w:lvlJc w:val="left"/>
      <w:pPr>
        <w:tabs>
          <w:tab w:val="num" w:pos="520"/>
        </w:tabs>
        <w:ind w:left="520" w:hanging="520"/>
      </w:pPr>
      <w:rPr>
        <w:rFonts w:ascii="Times New Roman" w:hAnsi="Times New Roman" w:cs="Times New Roman" w:hint="default"/>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445420C"/>
    <w:multiLevelType w:val="multilevel"/>
    <w:tmpl w:val="9C46D02A"/>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b w:val="0"/>
        <w:i w:val="0"/>
      </w:rPr>
    </w:lvl>
    <w:lvl w:ilvl="2">
      <w:start w:val="1"/>
      <w:numFmt w:val="lowerRoman"/>
      <w:lvlText w:val="%3)"/>
      <w:lvlJc w:val="left"/>
      <w:pPr>
        <w:ind w:left="992" w:hanging="424"/>
      </w:pPr>
      <w:rPr>
        <w:rFonts w:hint="default"/>
        <w:b w:val="0"/>
        <w:i w:val="0"/>
      </w:rPr>
    </w:lvl>
    <w:lvl w:ilvl="3">
      <w:start w:val="1"/>
      <w:numFmt w:val="decimal"/>
      <w:lvlText w:val="(%4)"/>
      <w:lvlJc w:val="left"/>
      <w:pPr>
        <w:tabs>
          <w:tab w:val="num" w:pos="1440"/>
        </w:tabs>
        <w:ind w:left="1136" w:hanging="284"/>
      </w:pPr>
      <w:rPr>
        <w:rFonts w:hint="default"/>
        <w:b w:val="0"/>
        <w:i w:val="0"/>
      </w:rPr>
    </w:lvl>
    <w:lvl w:ilvl="4">
      <w:start w:val="1"/>
      <w:numFmt w:val="lowerLetter"/>
      <w:lvlText w:val="(%5)"/>
      <w:lvlJc w:val="left"/>
      <w:pPr>
        <w:tabs>
          <w:tab w:val="num" w:pos="1800"/>
        </w:tabs>
        <w:ind w:left="1420" w:hanging="284"/>
      </w:pPr>
      <w:rPr>
        <w:rFonts w:hint="default"/>
        <w:b w:val="0"/>
        <w:i w:val="0"/>
      </w:rPr>
    </w:lvl>
    <w:lvl w:ilvl="5">
      <w:start w:val="1"/>
      <w:numFmt w:val="lowerRoman"/>
      <w:lvlText w:val="(%6)"/>
      <w:lvlJc w:val="left"/>
      <w:pPr>
        <w:tabs>
          <w:tab w:val="num" w:pos="2160"/>
        </w:tabs>
        <w:ind w:left="1704" w:hanging="284"/>
      </w:pPr>
      <w:rPr>
        <w:rFonts w:hint="default"/>
        <w:b w:val="0"/>
        <w:i w:val="0"/>
      </w:rPr>
    </w:lvl>
    <w:lvl w:ilvl="6">
      <w:start w:val="1"/>
      <w:numFmt w:val="decimal"/>
      <w:lvlText w:val="%7."/>
      <w:lvlJc w:val="left"/>
      <w:pPr>
        <w:tabs>
          <w:tab w:val="num" w:pos="2520"/>
        </w:tabs>
        <w:ind w:left="1988" w:hanging="284"/>
      </w:pPr>
      <w:rPr>
        <w:rFonts w:hint="default"/>
        <w:b w:val="0"/>
        <w:i w:val="0"/>
      </w:rPr>
    </w:lvl>
    <w:lvl w:ilvl="7">
      <w:start w:val="1"/>
      <w:numFmt w:val="lowerLetter"/>
      <w:lvlText w:val="%8."/>
      <w:lvlJc w:val="left"/>
      <w:pPr>
        <w:tabs>
          <w:tab w:val="num" w:pos="2880"/>
        </w:tabs>
        <w:ind w:left="2272" w:hanging="284"/>
      </w:pPr>
      <w:rPr>
        <w:rFonts w:hint="default"/>
        <w:b w:val="0"/>
        <w:i w:val="0"/>
      </w:rPr>
    </w:lvl>
    <w:lvl w:ilvl="8">
      <w:start w:val="1"/>
      <w:numFmt w:val="lowerRoman"/>
      <w:lvlText w:val="%9."/>
      <w:lvlJc w:val="left"/>
      <w:pPr>
        <w:tabs>
          <w:tab w:val="num" w:pos="3240"/>
        </w:tabs>
        <w:ind w:left="2556" w:hanging="284"/>
      </w:pPr>
      <w:rPr>
        <w:rFonts w:hint="default"/>
        <w:b w:val="0"/>
        <w:i w:val="0"/>
      </w:rPr>
    </w:lvl>
  </w:abstractNum>
  <w:abstractNum w:abstractNumId="37" w15:restartNumberingAfterBreak="0">
    <w:nsid w:val="7E901C12"/>
    <w:multiLevelType w:val="multilevel"/>
    <w:tmpl w:val="1B70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9"/>
  </w:num>
  <w:num w:numId="3">
    <w:abstractNumId w:val="28"/>
  </w:num>
  <w:num w:numId="4">
    <w:abstractNumId w:val="31"/>
  </w:num>
  <w:num w:numId="5">
    <w:abstractNumId w:val="30"/>
  </w:num>
  <w:num w:numId="6">
    <w:abstractNumId w:val="24"/>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37"/>
  </w:num>
  <w:num w:numId="18">
    <w:abstractNumId w:val="33"/>
  </w:num>
  <w:num w:numId="19">
    <w:abstractNumId w:val="0"/>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7"/>
  </w:num>
  <w:num w:numId="31">
    <w:abstractNumId w:val="22"/>
  </w:num>
  <w:num w:numId="32">
    <w:abstractNumId w:val="22"/>
  </w:num>
  <w:num w:numId="33">
    <w:abstractNumId w:val="34"/>
  </w:num>
  <w:num w:numId="34">
    <w:abstractNumId w:val="22"/>
  </w:num>
  <w:num w:numId="35">
    <w:abstractNumId w:val="10"/>
  </w:num>
  <w:num w:numId="36">
    <w:abstractNumId w:val="15"/>
  </w:num>
  <w:num w:numId="37">
    <w:abstractNumId w:val="29"/>
  </w:num>
  <w:num w:numId="38">
    <w:abstractNumId w:val="25"/>
  </w:num>
  <w:num w:numId="39">
    <w:abstractNumId w:val="36"/>
  </w:num>
  <w:num w:numId="40">
    <w:abstractNumId w:val="23"/>
  </w:num>
  <w:num w:numId="41">
    <w:abstractNumId w:val="20"/>
  </w:num>
  <w:num w:numId="42">
    <w:abstractNumId w:val="20"/>
  </w:num>
  <w:num w:numId="43">
    <w:abstractNumId w:val="20"/>
  </w:num>
  <w:num w:numId="44">
    <w:abstractNumId w:val="20"/>
  </w:num>
  <w:num w:numId="45">
    <w:abstractNumId w:val="20"/>
  </w:num>
  <w:num w:numId="46">
    <w:abstractNumId w:val="31"/>
  </w:num>
  <w:num w:numId="47">
    <w:abstractNumId w:val="32"/>
  </w:num>
  <w:num w:numId="48">
    <w:abstractNumId w:val="26"/>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25"/>
  </w:num>
  <w:num w:numId="52">
    <w:abstractNumId w:val="25"/>
  </w:num>
  <w:num w:numId="53">
    <w:abstractNumId w:val="25"/>
  </w:num>
  <w:num w:numId="54">
    <w:abstractNumId w:val="25"/>
  </w:num>
  <w:num w:numId="55">
    <w:abstractNumId w:val="25"/>
  </w:num>
  <w:num w:numId="56">
    <w:abstractNumId w:val="25"/>
  </w:num>
  <w:num w:numId="57">
    <w:abstractNumId w:val="25"/>
  </w:num>
  <w:num w:numId="58">
    <w:abstractNumId w:val="25"/>
  </w:num>
  <w:num w:numId="59">
    <w:abstractNumId w:val="25"/>
  </w:num>
  <w:num w:numId="60">
    <w:abstractNumId w:val="25"/>
  </w:num>
  <w:num w:numId="61">
    <w:abstractNumId w:val="25"/>
  </w:num>
  <w:num w:numId="62">
    <w:abstractNumId w:val="25"/>
  </w:num>
  <w:num w:numId="63">
    <w:abstractNumId w:val="25"/>
  </w:num>
  <w:num w:numId="64">
    <w:abstractNumId w:val="25"/>
  </w:num>
  <w:num w:numId="65">
    <w:abstractNumId w:val="20"/>
  </w:num>
  <w:num w:numId="66">
    <w:abstractNumId w:val="20"/>
  </w:num>
  <w:num w:numId="67">
    <w:abstractNumId w:val="20"/>
  </w:num>
  <w:num w:numId="68">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8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False"/>
    <w:docVar w:name="SecurityClassificationInHeader" w:val="False"/>
    <w:docVar w:name="SecurityDLMInHeader" w:val="False"/>
  </w:docVars>
  <w:rsids>
    <w:rsidRoot w:val="002917B0"/>
    <w:rsid w:val="0000016C"/>
    <w:rsid w:val="00000205"/>
    <w:rsid w:val="00000659"/>
    <w:rsid w:val="000008D7"/>
    <w:rsid w:val="000008F4"/>
    <w:rsid w:val="00000951"/>
    <w:rsid w:val="00000A1E"/>
    <w:rsid w:val="00000AFE"/>
    <w:rsid w:val="00000D06"/>
    <w:rsid w:val="00000E36"/>
    <w:rsid w:val="00000EE5"/>
    <w:rsid w:val="00000F10"/>
    <w:rsid w:val="000012B9"/>
    <w:rsid w:val="00001486"/>
    <w:rsid w:val="000014EF"/>
    <w:rsid w:val="00001773"/>
    <w:rsid w:val="00001C01"/>
    <w:rsid w:val="00001F30"/>
    <w:rsid w:val="0000219A"/>
    <w:rsid w:val="000024F1"/>
    <w:rsid w:val="00002687"/>
    <w:rsid w:val="000027BA"/>
    <w:rsid w:val="000027F1"/>
    <w:rsid w:val="00002828"/>
    <w:rsid w:val="000028E5"/>
    <w:rsid w:val="000029C4"/>
    <w:rsid w:val="00002AD1"/>
    <w:rsid w:val="00002C67"/>
    <w:rsid w:val="00002DD6"/>
    <w:rsid w:val="00002E00"/>
    <w:rsid w:val="00003286"/>
    <w:rsid w:val="000034E2"/>
    <w:rsid w:val="00003571"/>
    <w:rsid w:val="0000375D"/>
    <w:rsid w:val="00003770"/>
    <w:rsid w:val="000037C6"/>
    <w:rsid w:val="00003AEA"/>
    <w:rsid w:val="00003E06"/>
    <w:rsid w:val="00003E16"/>
    <w:rsid w:val="00003F1E"/>
    <w:rsid w:val="00003F41"/>
    <w:rsid w:val="00003FFE"/>
    <w:rsid w:val="000041B1"/>
    <w:rsid w:val="00004293"/>
    <w:rsid w:val="000042EF"/>
    <w:rsid w:val="00004373"/>
    <w:rsid w:val="000044CA"/>
    <w:rsid w:val="000044D0"/>
    <w:rsid w:val="000044E5"/>
    <w:rsid w:val="000045D4"/>
    <w:rsid w:val="0000469E"/>
    <w:rsid w:val="000046CA"/>
    <w:rsid w:val="000046E8"/>
    <w:rsid w:val="000047F3"/>
    <w:rsid w:val="0000488C"/>
    <w:rsid w:val="00004917"/>
    <w:rsid w:val="00004A19"/>
    <w:rsid w:val="00004C52"/>
    <w:rsid w:val="00004D2C"/>
    <w:rsid w:val="000050A9"/>
    <w:rsid w:val="000051A7"/>
    <w:rsid w:val="000054AE"/>
    <w:rsid w:val="00005583"/>
    <w:rsid w:val="00005660"/>
    <w:rsid w:val="00005691"/>
    <w:rsid w:val="000057B7"/>
    <w:rsid w:val="00005892"/>
    <w:rsid w:val="0000597F"/>
    <w:rsid w:val="00005A3B"/>
    <w:rsid w:val="00005B67"/>
    <w:rsid w:val="00005B81"/>
    <w:rsid w:val="00005C84"/>
    <w:rsid w:val="00005CBA"/>
    <w:rsid w:val="00005DDE"/>
    <w:rsid w:val="00005E64"/>
    <w:rsid w:val="00005EB2"/>
    <w:rsid w:val="00005F6A"/>
    <w:rsid w:val="000060FF"/>
    <w:rsid w:val="0000636E"/>
    <w:rsid w:val="0000678C"/>
    <w:rsid w:val="0000683B"/>
    <w:rsid w:val="000068B8"/>
    <w:rsid w:val="0000690B"/>
    <w:rsid w:val="00006D5A"/>
    <w:rsid w:val="00006D6A"/>
    <w:rsid w:val="00006D88"/>
    <w:rsid w:val="0000700F"/>
    <w:rsid w:val="000070A4"/>
    <w:rsid w:val="000070EE"/>
    <w:rsid w:val="0000725A"/>
    <w:rsid w:val="0000730A"/>
    <w:rsid w:val="000073DB"/>
    <w:rsid w:val="00007857"/>
    <w:rsid w:val="00007A52"/>
    <w:rsid w:val="00007B65"/>
    <w:rsid w:val="0000F5E8"/>
    <w:rsid w:val="000100FD"/>
    <w:rsid w:val="000102BC"/>
    <w:rsid w:val="000105A9"/>
    <w:rsid w:val="000106FB"/>
    <w:rsid w:val="00011114"/>
    <w:rsid w:val="000111AE"/>
    <w:rsid w:val="00011396"/>
    <w:rsid w:val="0001174C"/>
    <w:rsid w:val="0001193C"/>
    <w:rsid w:val="00011C3D"/>
    <w:rsid w:val="00011CCC"/>
    <w:rsid w:val="000120D8"/>
    <w:rsid w:val="00012120"/>
    <w:rsid w:val="0001212B"/>
    <w:rsid w:val="0001214E"/>
    <w:rsid w:val="0001219A"/>
    <w:rsid w:val="000122B8"/>
    <w:rsid w:val="000122F9"/>
    <w:rsid w:val="00012390"/>
    <w:rsid w:val="000125A4"/>
    <w:rsid w:val="0001284B"/>
    <w:rsid w:val="000128BA"/>
    <w:rsid w:val="00012F45"/>
    <w:rsid w:val="00012F55"/>
    <w:rsid w:val="00013163"/>
    <w:rsid w:val="00013178"/>
    <w:rsid w:val="00013305"/>
    <w:rsid w:val="00013577"/>
    <w:rsid w:val="000135E0"/>
    <w:rsid w:val="0001363E"/>
    <w:rsid w:val="00013653"/>
    <w:rsid w:val="000138CD"/>
    <w:rsid w:val="00013A0C"/>
    <w:rsid w:val="00013A4E"/>
    <w:rsid w:val="00013A84"/>
    <w:rsid w:val="00013C94"/>
    <w:rsid w:val="00013CB9"/>
    <w:rsid w:val="00013E57"/>
    <w:rsid w:val="00013F3C"/>
    <w:rsid w:val="00013F4B"/>
    <w:rsid w:val="0001414B"/>
    <w:rsid w:val="0001426A"/>
    <w:rsid w:val="000143DE"/>
    <w:rsid w:val="000144C5"/>
    <w:rsid w:val="00014548"/>
    <w:rsid w:val="0001454F"/>
    <w:rsid w:val="00014815"/>
    <w:rsid w:val="00014DFE"/>
    <w:rsid w:val="00014EF2"/>
    <w:rsid w:val="000150C2"/>
    <w:rsid w:val="00015234"/>
    <w:rsid w:val="000153DC"/>
    <w:rsid w:val="00015513"/>
    <w:rsid w:val="00015721"/>
    <w:rsid w:val="000159CC"/>
    <w:rsid w:val="00015B38"/>
    <w:rsid w:val="00015BF0"/>
    <w:rsid w:val="00015C3F"/>
    <w:rsid w:val="00015D8E"/>
    <w:rsid w:val="00015DCA"/>
    <w:rsid w:val="00015ED2"/>
    <w:rsid w:val="00016034"/>
    <w:rsid w:val="00016038"/>
    <w:rsid w:val="00016234"/>
    <w:rsid w:val="000162AF"/>
    <w:rsid w:val="000163ED"/>
    <w:rsid w:val="0001644B"/>
    <w:rsid w:val="0001663D"/>
    <w:rsid w:val="00016761"/>
    <w:rsid w:val="000167AA"/>
    <w:rsid w:val="000168B7"/>
    <w:rsid w:val="00016A69"/>
    <w:rsid w:val="00016BDF"/>
    <w:rsid w:val="00016C76"/>
    <w:rsid w:val="00016F22"/>
    <w:rsid w:val="00016F8B"/>
    <w:rsid w:val="00017463"/>
    <w:rsid w:val="0001747F"/>
    <w:rsid w:val="00017586"/>
    <w:rsid w:val="0001773C"/>
    <w:rsid w:val="000177BB"/>
    <w:rsid w:val="00017887"/>
    <w:rsid w:val="00017AA4"/>
    <w:rsid w:val="00017BC6"/>
    <w:rsid w:val="00017BD6"/>
    <w:rsid w:val="00017D6B"/>
    <w:rsid w:val="00017EB8"/>
    <w:rsid w:val="00017EF5"/>
    <w:rsid w:val="00020099"/>
    <w:rsid w:val="000202C4"/>
    <w:rsid w:val="00020695"/>
    <w:rsid w:val="000206D6"/>
    <w:rsid w:val="00020726"/>
    <w:rsid w:val="00020DFF"/>
    <w:rsid w:val="00020E97"/>
    <w:rsid w:val="0002103B"/>
    <w:rsid w:val="00021461"/>
    <w:rsid w:val="000216D3"/>
    <w:rsid w:val="000216F9"/>
    <w:rsid w:val="000217F9"/>
    <w:rsid w:val="00021BDC"/>
    <w:rsid w:val="00021D5E"/>
    <w:rsid w:val="00021E34"/>
    <w:rsid w:val="00021F7A"/>
    <w:rsid w:val="000220A4"/>
    <w:rsid w:val="00022305"/>
    <w:rsid w:val="000224C0"/>
    <w:rsid w:val="0002253F"/>
    <w:rsid w:val="000225F1"/>
    <w:rsid w:val="00022718"/>
    <w:rsid w:val="00022835"/>
    <w:rsid w:val="0002284F"/>
    <w:rsid w:val="00022917"/>
    <w:rsid w:val="00022C2A"/>
    <w:rsid w:val="00023030"/>
    <w:rsid w:val="000230A8"/>
    <w:rsid w:val="00023213"/>
    <w:rsid w:val="00023399"/>
    <w:rsid w:val="000234E5"/>
    <w:rsid w:val="00023699"/>
    <w:rsid w:val="00023AF3"/>
    <w:rsid w:val="00023B27"/>
    <w:rsid w:val="00023B3A"/>
    <w:rsid w:val="00023D07"/>
    <w:rsid w:val="00023EFA"/>
    <w:rsid w:val="000242C7"/>
    <w:rsid w:val="00024371"/>
    <w:rsid w:val="00024540"/>
    <w:rsid w:val="00024831"/>
    <w:rsid w:val="00024BD5"/>
    <w:rsid w:val="00024EA4"/>
    <w:rsid w:val="00024F2C"/>
    <w:rsid w:val="00025095"/>
    <w:rsid w:val="000252CC"/>
    <w:rsid w:val="000254EE"/>
    <w:rsid w:val="000256A3"/>
    <w:rsid w:val="00025783"/>
    <w:rsid w:val="00025809"/>
    <w:rsid w:val="00025939"/>
    <w:rsid w:val="00025CC7"/>
    <w:rsid w:val="00025F3E"/>
    <w:rsid w:val="000262E1"/>
    <w:rsid w:val="0002658D"/>
    <w:rsid w:val="0002672D"/>
    <w:rsid w:val="00026898"/>
    <w:rsid w:val="0002698E"/>
    <w:rsid w:val="00026B12"/>
    <w:rsid w:val="00026B32"/>
    <w:rsid w:val="00026B50"/>
    <w:rsid w:val="00026BA2"/>
    <w:rsid w:val="00026C19"/>
    <w:rsid w:val="00026D06"/>
    <w:rsid w:val="00026D78"/>
    <w:rsid w:val="00026DBD"/>
    <w:rsid w:val="00026DEB"/>
    <w:rsid w:val="0002732C"/>
    <w:rsid w:val="00027347"/>
    <w:rsid w:val="0002764D"/>
    <w:rsid w:val="000276CD"/>
    <w:rsid w:val="000277B4"/>
    <w:rsid w:val="00027827"/>
    <w:rsid w:val="00027A86"/>
    <w:rsid w:val="00027AEE"/>
    <w:rsid w:val="00027C33"/>
    <w:rsid w:val="00027DA7"/>
    <w:rsid w:val="00027E24"/>
    <w:rsid w:val="00027F9E"/>
    <w:rsid w:val="000303A6"/>
    <w:rsid w:val="000304C5"/>
    <w:rsid w:val="00030599"/>
    <w:rsid w:val="00030685"/>
    <w:rsid w:val="00030686"/>
    <w:rsid w:val="0003089F"/>
    <w:rsid w:val="00030E26"/>
    <w:rsid w:val="00031018"/>
    <w:rsid w:val="00031069"/>
    <w:rsid w:val="00031240"/>
    <w:rsid w:val="00031342"/>
    <w:rsid w:val="00031357"/>
    <w:rsid w:val="000313A9"/>
    <w:rsid w:val="00031616"/>
    <w:rsid w:val="00031912"/>
    <w:rsid w:val="00031B1C"/>
    <w:rsid w:val="00031C81"/>
    <w:rsid w:val="00031CBC"/>
    <w:rsid w:val="00031D45"/>
    <w:rsid w:val="00031DEE"/>
    <w:rsid w:val="00031E96"/>
    <w:rsid w:val="000320AF"/>
    <w:rsid w:val="000321C8"/>
    <w:rsid w:val="00032208"/>
    <w:rsid w:val="0003225B"/>
    <w:rsid w:val="00032454"/>
    <w:rsid w:val="000324D7"/>
    <w:rsid w:val="0003251B"/>
    <w:rsid w:val="000326B3"/>
    <w:rsid w:val="00032793"/>
    <w:rsid w:val="0003285B"/>
    <w:rsid w:val="000328CA"/>
    <w:rsid w:val="00032A0B"/>
    <w:rsid w:val="00032A48"/>
    <w:rsid w:val="00032B0A"/>
    <w:rsid w:val="00032B72"/>
    <w:rsid w:val="00032DA9"/>
    <w:rsid w:val="00032E7A"/>
    <w:rsid w:val="00032F70"/>
    <w:rsid w:val="0003307C"/>
    <w:rsid w:val="0003311D"/>
    <w:rsid w:val="000331FB"/>
    <w:rsid w:val="00033318"/>
    <w:rsid w:val="00033472"/>
    <w:rsid w:val="00033727"/>
    <w:rsid w:val="000337BF"/>
    <w:rsid w:val="000338BA"/>
    <w:rsid w:val="00033AAB"/>
    <w:rsid w:val="00033B10"/>
    <w:rsid w:val="00033E26"/>
    <w:rsid w:val="00034001"/>
    <w:rsid w:val="00034362"/>
    <w:rsid w:val="000343A7"/>
    <w:rsid w:val="0003458E"/>
    <w:rsid w:val="000346BE"/>
    <w:rsid w:val="00034891"/>
    <w:rsid w:val="00034919"/>
    <w:rsid w:val="00034C2F"/>
    <w:rsid w:val="00034C72"/>
    <w:rsid w:val="00034D1C"/>
    <w:rsid w:val="00034E54"/>
    <w:rsid w:val="0003506C"/>
    <w:rsid w:val="00035182"/>
    <w:rsid w:val="00035209"/>
    <w:rsid w:val="000354A1"/>
    <w:rsid w:val="000355A0"/>
    <w:rsid w:val="0003566D"/>
    <w:rsid w:val="00035989"/>
    <w:rsid w:val="000359B7"/>
    <w:rsid w:val="000359E8"/>
    <w:rsid w:val="00035A30"/>
    <w:rsid w:val="00035A3A"/>
    <w:rsid w:val="00035AAD"/>
    <w:rsid w:val="00035B84"/>
    <w:rsid w:val="00035B95"/>
    <w:rsid w:val="00035D46"/>
    <w:rsid w:val="00035EDE"/>
    <w:rsid w:val="00035F5F"/>
    <w:rsid w:val="00035F87"/>
    <w:rsid w:val="00036092"/>
    <w:rsid w:val="0003611E"/>
    <w:rsid w:val="0003639A"/>
    <w:rsid w:val="0003673F"/>
    <w:rsid w:val="00036878"/>
    <w:rsid w:val="000369F4"/>
    <w:rsid w:val="00036AFB"/>
    <w:rsid w:val="00036D09"/>
    <w:rsid w:val="00036FD5"/>
    <w:rsid w:val="0003759C"/>
    <w:rsid w:val="000375BA"/>
    <w:rsid w:val="000376E1"/>
    <w:rsid w:val="00037A4A"/>
    <w:rsid w:val="00037B09"/>
    <w:rsid w:val="00037FE7"/>
    <w:rsid w:val="00040042"/>
    <w:rsid w:val="000401F4"/>
    <w:rsid w:val="00040204"/>
    <w:rsid w:val="00040208"/>
    <w:rsid w:val="00040308"/>
    <w:rsid w:val="000404AC"/>
    <w:rsid w:val="00040582"/>
    <w:rsid w:val="00040665"/>
    <w:rsid w:val="00040746"/>
    <w:rsid w:val="000408B5"/>
    <w:rsid w:val="00040A6A"/>
    <w:rsid w:val="00040B90"/>
    <w:rsid w:val="00040F36"/>
    <w:rsid w:val="0004162A"/>
    <w:rsid w:val="00041B49"/>
    <w:rsid w:val="00041D49"/>
    <w:rsid w:val="00041EA3"/>
    <w:rsid w:val="00041EE8"/>
    <w:rsid w:val="00041FE2"/>
    <w:rsid w:val="0004214B"/>
    <w:rsid w:val="00042187"/>
    <w:rsid w:val="000421C1"/>
    <w:rsid w:val="00042365"/>
    <w:rsid w:val="00042402"/>
    <w:rsid w:val="0004263D"/>
    <w:rsid w:val="000428E8"/>
    <w:rsid w:val="00042A59"/>
    <w:rsid w:val="00042C23"/>
    <w:rsid w:val="00042DC5"/>
    <w:rsid w:val="0004301E"/>
    <w:rsid w:val="0004310A"/>
    <w:rsid w:val="00043163"/>
    <w:rsid w:val="0004321C"/>
    <w:rsid w:val="00043437"/>
    <w:rsid w:val="000435E5"/>
    <w:rsid w:val="00043781"/>
    <w:rsid w:val="000437AD"/>
    <w:rsid w:val="00043B7A"/>
    <w:rsid w:val="00043C86"/>
    <w:rsid w:val="0004414F"/>
    <w:rsid w:val="00044234"/>
    <w:rsid w:val="0004423C"/>
    <w:rsid w:val="000442C7"/>
    <w:rsid w:val="000446C8"/>
    <w:rsid w:val="0004496B"/>
    <w:rsid w:val="00044A6A"/>
    <w:rsid w:val="00044CC6"/>
    <w:rsid w:val="0004540B"/>
    <w:rsid w:val="0004541E"/>
    <w:rsid w:val="0004543B"/>
    <w:rsid w:val="00045576"/>
    <w:rsid w:val="00045A9C"/>
    <w:rsid w:val="00045C5A"/>
    <w:rsid w:val="000460DF"/>
    <w:rsid w:val="0004642C"/>
    <w:rsid w:val="000468C0"/>
    <w:rsid w:val="00046939"/>
    <w:rsid w:val="00046D64"/>
    <w:rsid w:val="000470BA"/>
    <w:rsid w:val="000472A1"/>
    <w:rsid w:val="000472E7"/>
    <w:rsid w:val="000472FC"/>
    <w:rsid w:val="00047407"/>
    <w:rsid w:val="000474B2"/>
    <w:rsid w:val="000479FB"/>
    <w:rsid w:val="00047A1F"/>
    <w:rsid w:val="00047C38"/>
    <w:rsid w:val="00047CDE"/>
    <w:rsid w:val="00047FA5"/>
    <w:rsid w:val="000500AF"/>
    <w:rsid w:val="000500BA"/>
    <w:rsid w:val="00050147"/>
    <w:rsid w:val="0005019C"/>
    <w:rsid w:val="00050318"/>
    <w:rsid w:val="000503FB"/>
    <w:rsid w:val="00050480"/>
    <w:rsid w:val="000507F1"/>
    <w:rsid w:val="00050832"/>
    <w:rsid w:val="00050922"/>
    <w:rsid w:val="00050ABC"/>
    <w:rsid w:val="00050AEE"/>
    <w:rsid w:val="0005137D"/>
    <w:rsid w:val="00051490"/>
    <w:rsid w:val="0005158C"/>
    <w:rsid w:val="0005166E"/>
    <w:rsid w:val="000516F6"/>
    <w:rsid w:val="000518DE"/>
    <w:rsid w:val="00051A70"/>
    <w:rsid w:val="00051B76"/>
    <w:rsid w:val="00051D0A"/>
    <w:rsid w:val="00051D4F"/>
    <w:rsid w:val="00051DD5"/>
    <w:rsid w:val="00051EC9"/>
    <w:rsid w:val="00051FF5"/>
    <w:rsid w:val="00052252"/>
    <w:rsid w:val="00052406"/>
    <w:rsid w:val="00052462"/>
    <w:rsid w:val="000525B5"/>
    <w:rsid w:val="000525CF"/>
    <w:rsid w:val="000526ED"/>
    <w:rsid w:val="0005276B"/>
    <w:rsid w:val="00052C06"/>
    <w:rsid w:val="00052C6E"/>
    <w:rsid w:val="00052CDA"/>
    <w:rsid w:val="00052DEB"/>
    <w:rsid w:val="00052F41"/>
    <w:rsid w:val="00052FC3"/>
    <w:rsid w:val="000531AA"/>
    <w:rsid w:val="00053244"/>
    <w:rsid w:val="0005325D"/>
    <w:rsid w:val="000532E5"/>
    <w:rsid w:val="00053351"/>
    <w:rsid w:val="00053449"/>
    <w:rsid w:val="0005354E"/>
    <w:rsid w:val="00053945"/>
    <w:rsid w:val="000539FA"/>
    <w:rsid w:val="00053AC7"/>
    <w:rsid w:val="00053B6F"/>
    <w:rsid w:val="00053BBB"/>
    <w:rsid w:val="000544FB"/>
    <w:rsid w:val="00054563"/>
    <w:rsid w:val="00054682"/>
    <w:rsid w:val="0005468A"/>
    <w:rsid w:val="000546D1"/>
    <w:rsid w:val="0005471D"/>
    <w:rsid w:val="00054947"/>
    <w:rsid w:val="00054A40"/>
    <w:rsid w:val="00054B2D"/>
    <w:rsid w:val="00054D57"/>
    <w:rsid w:val="0005505B"/>
    <w:rsid w:val="00055081"/>
    <w:rsid w:val="000550B1"/>
    <w:rsid w:val="00055114"/>
    <w:rsid w:val="0005566F"/>
    <w:rsid w:val="00055696"/>
    <w:rsid w:val="000557BB"/>
    <w:rsid w:val="000557D8"/>
    <w:rsid w:val="0005582E"/>
    <w:rsid w:val="00055A95"/>
    <w:rsid w:val="00055AC1"/>
    <w:rsid w:val="00055BB0"/>
    <w:rsid w:val="00055C04"/>
    <w:rsid w:val="0005621A"/>
    <w:rsid w:val="000562A6"/>
    <w:rsid w:val="000563E1"/>
    <w:rsid w:val="000564B0"/>
    <w:rsid w:val="0005681E"/>
    <w:rsid w:val="00056821"/>
    <w:rsid w:val="00056A49"/>
    <w:rsid w:val="00056B9E"/>
    <w:rsid w:val="00056C1D"/>
    <w:rsid w:val="00057173"/>
    <w:rsid w:val="00057196"/>
    <w:rsid w:val="000572B8"/>
    <w:rsid w:val="00057587"/>
    <w:rsid w:val="0005779B"/>
    <w:rsid w:val="000578B2"/>
    <w:rsid w:val="0005792D"/>
    <w:rsid w:val="00057BD7"/>
    <w:rsid w:val="00057CB8"/>
    <w:rsid w:val="00057D13"/>
    <w:rsid w:val="00057D28"/>
    <w:rsid w:val="00057D4D"/>
    <w:rsid w:val="00057E55"/>
    <w:rsid w:val="00057E86"/>
    <w:rsid w:val="000602E7"/>
    <w:rsid w:val="0006030C"/>
    <w:rsid w:val="00060B69"/>
    <w:rsid w:val="00060CFF"/>
    <w:rsid w:val="00061020"/>
    <w:rsid w:val="000610D5"/>
    <w:rsid w:val="00061431"/>
    <w:rsid w:val="00061553"/>
    <w:rsid w:val="0006158B"/>
    <w:rsid w:val="00061A14"/>
    <w:rsid w:val="00061A61"/>
    <w:rsid w:val="00061B59"/>
    <w:rsid w:val="00061BB5"/>
    <w:rsid w:val="00061D78"/>
    <w:rsid w:val="000621D9"/>
    <w:rsid w:val="000621EF"/>
    <w:rsid w:val="0006225C"/>
    <w:rsid w:val="00062282"/>
    <w:rsid w:val="000625CC"/>
    <w:rsid w:val="0006266A"/>
    <w:rsid w:val="00062851"/>
    <w:rsid w:val="00062B7A"/>
    <w:rsid w:val="00062BB5"/>
    <w:rsid w:val="00062BC6"/>
    <w:rsid w:val="00062C47"/>
    <w:rsid w:val="00062CFF"/>
    <w:rsid w:val="00062D14"/>
    <w:rsid w:val="00062EAE"/>
    <w:rsid w:val="00062EE8"/>
    <w:rsid w:val="00063024"/>
    <w:rsid w:val="000630B2"/>
    <w:rsid w:val="00063181"/>
    <w:rsid w:val="0006322D"/>
    <w:rsid w:val="0006333E"/>
    <w:rsid w:val="000633EA"/>
    <w:rsid w:val="00063612"/>
    <w:rsid w:val="0006369F"/>
    <w:rsid w:val="00063849"/>
    <w:rsid w:val="00063992"/>
    <w:rsid w:val="00063A94"/>
    <w:rsid w:val="00063B5C"/>
    <w:rsid w:val="00063DD6"/>
    <w:rsid w:val="00063F1C"/>
    <w:rsid w:val="00063FCA"/>
    <w:rsid w:val="000643D7"/>
    <w:rsid w:val="0006457E"/>
    <w:rsid w:val="0006462F"/>
    <w:rsid w:val="0006496F"/>
    <w:rsid w:val="00064A33"/>
    <w:rsid w:val="00064AB4"/>
    <w:rsid w:val="00064D49"/>
    <w:rsid w:val="00064E16"/>
    <w:rsid w:val="00064E71"/>
    <w:rsid w:val="00064EFB"/>
    <w:rsid w:val="00064F46"/>
    <w:rsid w:val="00064FFA"/>
    <w:rsid w:val="000650A2"/>
    <w:rsid w:val="00065299"/>
    <w:rsid w:val="0006530A"/>
    <w:rsid w:val="00065423"/>
    <w:rsid w:val="0006547E"/>
    <w:rsid w:val="000654AC"/>
    <w:rsid w:val="000654C5"/>
    <w:rsid w:val="00065553"/>
    <w:rsid w:val="0006593D"/>
    <w:rsid w:val="00065DEA"/>
    <w:rsid w:val="000661BF"/>
    <w:rsid w:val="0006646B"/>
    <w:rsid w:val="000664AF"/>
    <w:rsid w:val="00066706"/>
    <w:rsid w:val="00066716"/>
    <w:rsid w:val="000667E7"/>
    <w:rsid w:val="0006680C"/>
    <w:rsid w:val="000669A5"/>
    <w:rsid w:val="000669C7"/>
    <w:rsid w:val="000669D1"/>
    <w:rsid w:val="00066A19"/>
    <w:rsid w:val="00066CD2"/>
    <w:rsid w:val="00066D9B"/>
    <w:rsid w:val="00066E8C"/>
    <w:rsid w:val="00066F4C"/>
    <w:rsid w:val="00066F62"/>
    <w:rsid w:val="00067004"/>
    <w:rsid w:val="00067058"/>
    <w:rsid w:val="000670AF"/>
    <w:rsid w:val="00067581"/>
    <w:rsid w:val="00067826"/>
    <w:rsid w:val="000678A0"/>
    <w:rsid w:val="00067926"/>
    <w:rsid w:val="00067931"/>
    <w:rsid w:val="0006798D"/>
    <w:rsid w:val="00067B3F"/>
    <w:rsid w:val="00067B8D"/>
    <w:rsid w:val="00067C84"/>
    <w:rsid w:val="00067F1D"/>
    <w:rsid w:val="00067F5B"/>
    <w:rsid w:val="00067FD1"/>
    <w:rsid w:val="000704E2"/>
    <w:rsid w:val="0007054A"/>
    <w:rsid w:val="00070797"/>
    <w:rsid w:val="00070932"/>
    <w:rsid w:val="00070A26"/>
    <w:rsid w:val="00070AED"/>
    <w:rsid w:val="00070BE1"/>
    <w:rsid w:val="00070CEE"/>
    <w:rsid w:val="00070D52"/>
    <w:rsid w:val="00070E4D"/>
    <w:rsid w:val="00070EA9"/>
    <w:rsid w:val="0007128A"/>
    <w:rsid w:val="00071304"/>
    <w:rsid w:val="0007133E"/>
    <w:rsid w:val="0007134D"/>
    <w:rsid w:val="000713CD"/>
    <w:rsid w:val="00071437"/>
    <w:rsid w:val="00071598"/>
    <w:rsid w:val="00071A27"/>
    <w:rsid w:val="00071D8E"/>
    <w:rsid w:val="00072159"/>
    <w:rsid w:val="00072198"/>
    <w:rsid w:val="000721DB"/>
    <w:rsid w:val="00072359"/>
    <w:rsid w:val="00072377"/>
    <w:rsid w:val="00072389"/>
    <w:rsid w:val="000725D8"/>
    <w:rsid w:val="00072686"/>
    <w:rsid w:val="00072735"/>
    <w:rsid w:val="00072893"/>
    <w:rsid w:val="00072D7B"/>
    <w:rsid w:val="00073236"/>
    <w:rsid w:val="0007341F"/>
    <w:rsid w:val="00073471"/>
    <w:rsid w:val="00073536"/>
    <w:rsid w:val="000735F3"/>
    <w:rsid w:val="0007368A"/>
    <w:rsid w:val="0007368D"/>
    <w:rsid w:val="000739AF"/>
    <w:rsid w:val="00073A70"/>
    <w:rsid w:val="00073B93"/>
    <w:rsid w:val="00073CA2"/>
    <w:rsid w:val="00073DC7"/>
    <w:rsid w:val="00073E0D"/>
    <w:rsid w:val="00074218"/>
    <w:rsid w:val="000742BE"/>
    <w:rsid w:val="0007461F"/>
    <w:rsid w:val="00074664"/>
    <w:rsid w:val="000748A3"/>
    <w:rsid w:val="0007498B"/>
    <w:rsid w:val="0007498F"/>
    <w:rsid w:val="0007499A"/>
    <w:rsid w:val="00074AD0"/>
    <w:rsid w:val="00074AF7"/>
    <w:rsid w:val="00074C23"/>
    <w:rsid w:val="00074CF9"/>
    <w:rsid w:val="00074D96"/>
    <w:rsid w:val="00074F00"/>
    <w:rsid w:val="00074FD9"/>
    <w:rsid w:val="00075000"/>
    <w:rsid w:val="0007508F"/>
    <w:rsid w:val="00075160"/>
    <w:rsid w:val="000751DF"/>
    <w:rsid w:val="00075301"/>
    <w:rsid w:val="00075602"/>
    <w:rsid w:val="00075C72"/>
    <w:rsid w:val="00075EB5"/>
    <w:rsid w:val="00075F3D"/>
    <w:rsid w:val="00075F44"/>
    <w:rsid w:val="000763C0"/>
    <w:rsid w:val="00076484"/>
    <w:rsid w:val="00076548"/>
    <w:rsid w:val="00076690"/>
    <w:rsid w:val="00076694"/>
    <w:rsid w:val="00076A27"/>
    <w:rsid w:val="00076AF9"/>
    <w:rsid w:val="00076B07"/>
    <w:rsid w:val="00076B53"/>
    <w:rsid w:val="00076DE0"/>
    <w:rsid w:val="00076E1F"/>
    <w:rsid w:val="00076E61"/>
    <w:rsid w:val="000770AB"/>
    <w:rsid w:val="00077103"/>
    <w:rsid w:val="00077135"/>
    <w:rsid w:val="0007740E"/>
    <w:rsid w:val="00077442"/>
    <w:rsid w:val="0007752C"/>
    <w:rsid w:val="000775BC"/>
    <w:rsid w:val="000776A2"/>
    <w:rsid w:val="000779B4"/>
    <w:rsid w:val="000779ED"/>
    <w:rsid w:val="00077E89"/>
    <w:rsid w:val="00077FF2"/>
    <w:rsid w:val="000802B5"/>
    <w:rsid w:val="0008031A"/>
    <w:rsid w:val="00080409"/>
    <w:rsid w:val="00080693"/>
    <w:rsid w:val="0008070A"/>
    <w:rsid w:val="00080A4C"/>
    <w:rsid w:val="00080B28"/>
    <w:rsid w:val="00080EAD"/>
    <w:rsid w:val="00080F29"/>
    <w:rsid w:val="00080F54"/>
    <w:rsid w:val="0008116C"/>
    <w:rsid w:val="000811C3"/>
    <w:rsid w:val="000811DC"/>
    <w:rsid w:val="000812A2"/>
    <w:rsid w:val="000813ED"/>
    <w:rsid w:val="00081502"/>
    <w:rsid w:val="00081556"/>
    <w:rsid w:val="0008157C"/>
    <w:rsid w:val="00081774"/>
    <w:rsid w:val="0008178C"/>
    <w:rsid w:val="00081A79"/>
    <w:rsid w:val="00081AA3"/>
    <w:rsid w:val="00081ABD"/>
    <w:rsid w:val="00081AD2"/>
    <w:rsid w:val="00081AD6"/>
    <w:rsid w:val="00081AE2"/>
    <w:rsid w:val="00081C24"/>
    <w:rsid w:val="00081CE8"/>
    <w:rsid w:val="00081CFA"/>
    <w:rsid w:val="00081D7B"/>
    <w:rsid w:val="00081E71"/>
    <w:rsid w:val="00081FE9"/>
    <w:rsid w:val="00082167"/>
    <w:rsid w:val="00082198"/>
    <w:rsid w:val="0008226C"/>
    <w:rsid w:val="0008232D"/>
    <w:rsid w:val="0008243C"/>
    <w:rsid w:val="00082574"/>
    <w:rsid w:val="00082643"/>
    <w:rsid w:val="000826D3"/>
    <w:rsid w:val="000828AA"/>
    <w:rsid w:val="000828EA"/>
    <w:rsid w:val="000829CA"/>
    <w:rsid w:val="00082C1F"/>
    <w:rsid w:val="00082EE2"/>
    <w:rsid w:val="00082EFF"/>
    <w:rsid w:val="000830C4"/>
    <w:rsid w:val="0008348F"/>
    <w:rsid w:val="000839AF"/>
    <w:rsid w:val="00083B73"/>
    <w:rsid w:val="00083D62"/>
    <w:rsid w:val="00083E89"/>
    <w:rsid w:val="00084103"/>
    <w:rsid w:val="00084111"/>
    <w:rsid w:val="00084116"/>
    <w:rsid w:val="00084321"/>
    <w:rsid w:val="0008436B"/>
    <w:rsid w:val="000844EB"/>
    <w:rsid w:val="00084693"/>
    <w:rsid w:val="000846F7"/>
    <w:rsid w:val="00084F6D"/>
    <w:rsid w:val="00085003"/>
    <w:rsid w:val="00085083"/>
    <w:rsid w:val="000850D3"/>
    <w:rsid w:val="0008517C"/>
    <w:rsid w:val="000851B6"/>
    <w:rsid w:val="00085405"/>
    <w:rsid w:val="0008572C"/>
    <w:rsid w:val="00085932"/>
    <w:rsid w:val="000859A0"/>
    <w:rsid w:val="00085BE2"/>
    <w:rsid w:val="00085EA6"/>
    <w:rsid w:val="00085F7B"/>
    <w:rsid w:val="00085F9E"/>
    <w:rsid w:val="000860A5"/>
    <w:rsid w:val="00086132"/>
    <w:rsid w:val="0008615D"/>
    <w:rsid w:val="000861F1"/>
    <w:rsid w:val="00086250"/>
    <w:rsid w:val="00086263"/>
    <w:rsid w:val="000864E5"/>
    <w:rsid w:val="000865FA"/>
    <w:rsid w:val="000866D4"/>
    <w:rsid w:val="00086727"/>
    <w:rsid w:val="00086776"/>
    <w:rsid w:val="00086AE9"/>
    <w:rsid w:val="00087013"/>
    <w:rsid w:val="000870A1"/>
    <w:rsid w:val="000870C5"/>
    <w:rsid w:val="0008729F"/>
    <w:rsid w:val="0008743C"/>
    <w:rsid w:val="0008746B"/>
    <w:rsid w:val="0008761B"/>
    <w:rsid w:val="00087A11"/>
    <w:rsid w:val="00087CF3"/>
    <w:rsid w:val="00087D0A"/>
    <w:rsid w:val="00087FF6"/>
    <w:rsid w:val="00087FF7"/>
    <w:rsid w:val="000900B2"/>
    <w:rsid w:val="000900CE"/>
    <w:rsid w:val="00090194"/>
    <w:rsid w:val="00090278"/>
    <w:rsid w:val="00090BDB"/>
    <w:rsid w:val="00090D36"/>
    <w:rsid w:val="00090F8E"/>
    <w:rsid w:val="00090FBA"/>
    <w:rsid w:val="000910CC"/>
    <w:rsid w:val="000911F4"/>
    <w:rsid w:val="000915E4"/>
    <w:rsid w:val="0009167F"/>
    <w:rsid w:val="000916E0"/>
    <w:rsid w:val="0009184C"/>
    <w:rsid w:val="00091AB1"/>
    <w:rsid w:val="00091DCD"/>
    <w:rsid w:val="0009286B"/>
    <w:rsid w:val="00092B19"/>
    <w:rsid w:val="00092F47"/>
    <w:rsid w:val="00092F6F"/>
    <w:rsid w:val="00092FA1"/>
    <w:rsid w:val="00093143"/>
    <w:rsid w:val="00093206"/>
    <w:rsid w:val="0009333D"/>
    <w:rsid w:val="000933CA"/>
    <w:rsid w:val="00093550"/>
    <w:rsid w:val="00093657"/>
    <w:rsid w:val="0009386A"/>
    <w:rsid w:val="00093A6A"/>
    <w:rsid w:val="00093ACC"/>
    <w:rsid w:val="00093AF4"/>
    <w:rsid w:val="00093B2D"/>
    <w:rsid w:val="00093B5E"/>
    <w:rsid w:val="00093B87"/>
    <w:rsid w:val="00093D46"/>
    <w:rsid w:val="00093D93"/>
    <w:rsid w:val="00093F50"/>
    <w:rsid w:val="00094311"/>
    <w:rsid w:val="00094432"/>
    <w:rsid w:val="000945AD"/>
    <w:rsid w:val="00094BCF"/>
    <w:rsid w:val="00094BEA"/>
    <w:rsid w:val="00094C6B"/>
    <w:rsid w:val="00094C75"/>
    <w:rsid w:val="00094D37"/>
    <w:rsid w:val="00094D5D"/>
    <w:rsid w:val="0009505D"/>
    <w:rsid w:val="000950A2"/>
    <w:rsid w:val="000951BE"/>
    <w:rsid w:val="0009526D"/>
    <w:rsid w:val="00095322"/>
    <w:rsid w:val="000953FB"/>
    <w:rsid w:val="0009566D"/>
    <w:rsid w:val="000956CB"/>
    <w:rsid w:val="00095702"/>
    <w:rsid w:val="0009599A"/>
    <w:rsid w:val="00095B9B"/>
    <w:rsid w:val="00095D0A"/>
    <w:rsid w:val="000961B1"/>
    <w:rsid w:val="000962BA"/>
    <w:rsid w:val="00096308"/>
    <w:rsid w:val="00096374"/>
    <w:rsid w:val="00096482"/>
    <w:rsid w:val="00096494"/>
    <w:rsid w:val="0009656D"/>
    <w:rsid w:val="00096AEE"/>
    <w:rsid w:val="00096C55"/>
    <w:rsid w:val="00096D15"/>
    <w:rsid w:val="00096DD7"/>
    <w:rsid w:val="00096DDA"/>
    <w:rsid w:val="00096E74"/>
    <w:rsid w:val="00096FE8"/>
    <w:rsid w:val="00097071"/>
    <w:rsid w:val="0009744A"/>
    <w:rsid w:val="00097738"/>
    <w:rsid w:val="0009784F"/>
    <w:rsid w:val="0009797A"/>
    <w:rsid w:val="000979C6"/>
    <w:rsid w:val="000979E5"/>
    <w:rsid w:val="00097BCB"/>
    <w:rsid w:val="00097DBB"/>
    <w:rsid w:val="00097E14"/>
    <w:rsid w:val="00097F2F"/>
    <w:rsid w:val="000A0564"/>
    <w:rsid w:val="000A0697"/>
    <w:rsid w:val="000A0874"/>
    <w:rsid w:val="000A0BA1"/>
    <w:rsid w:val="000A0C74"/>
    <w:rsid w:val="000A0CEE"/>
    <w:rsid w:val="000A0D61"/>
    <w:rsid w:val="000A11FC"/>
    <w:rsid w:val="000A131D"/>
    <w:rsid w:val="000A157B"/>
    <w:rsid w:val="000A1597"/>
    <w:rsid w:val="000A16E9"/>
    <w:rsid w:val="000A1748"/>
    <w:rsid w:val="000A179D"/>
    <w:rsid w:val="000A1847"/>
    <w:rsid w:val="000A19A8"/>
    <w:rsid w:val="000A1B8C"/>
    <w:rsid w:val="000A1BA1"/>
    <w:rsid w:val="000A1C95"/>
    <w:rsid w:val="000A20E3"/>
    <w:rsid w:val="000A2212"/>
    <w:rsid w:val="000A23A1"/>
    <w:rsid w:val="000A2501"/>
    <w:rsid w:val="000A26E1"/>
    <w:rsid w:val="000A276B"/>
    <w:rsid w:val="000A2858"/>
    <w:rsid w:val="000A298B"/>
    <w:rsid w:val="000A2AC9"/>
    <w:rsid w:val="000A2C1D"/>
    <w:rsid w:val="000A2CAA"/>
    <w:rsid w:val="000A305E"/>
    <w:rsid w:val="000A3088"/>
    <w:rsid w:val="000A30EF"/>
    <w:rsid w:val="000A330B"/>
    <w:rsid w:val="000A3369"/>
    <w:rsid w:val="000A3378"/>
    <w:rsid w:val="000A34B5"/>
    <w:rsid w:val="000A35FC"/>
    <w:rsid w:val="000A389E"/>
    <w:rsid w:val="000A3961"/>
    <w:rsid w:val="000A39D7"/>
    <w:rsid w:val="000A39DC"/>
    <w:rsid w:val="000A3CEC"/>
    <w:rsid w:val="000A3D0E"/>
    <w:rsid w:val="000A3E87"/>
    <w:rsid w:val="000A46CF"/>
    <w:rsid w:val="000A484A"/>
    <w:rsid w:val="000A49BF"/>
    <w:rsid w:val="000A4A60"/>
    <w:rsid w:val="000A50F6"/>
    <w:rsid w:val="000A524D"/>
    <w:rsid w:val="000A54CA"/>
    <w:rsid w:val="000A5553"/>
    <w:rsid w:val="000A5686"/>
    <w:rsid w:val="000A5AB9"/>
    <w:rsid w:val="000A5C76"/>
    <w:rsid w:val="000A5D1A"/>
    <w:rsid w:val="000A6093"/>
    <w:rsid w:val="000A614B"/>
    <w:rsid w:val="000A6179"/>
    <w:rsid w:val="000A619F"/>
    <w:rsid w:val="000A61C2"/>
    <w:rsid w:val="000A6206"/>
    <w:rsid w:val="000A62BE"/>
    <w:rsid w:val="000A6424"/>
    <w:rsid w:val="000A64A2"/>
    <w:rsid w:val="000A673A"/>
    <w:rsid w:val="000A6A33"/>
    <w:rsid w:val="000A6BB1"/>
    <w:rsid w:val="000A6F29"/>
    <w:rsid w:val="000A721C"/>
    <w:rsid w:val="000A725D"/>
    <w:rsid w:val="000A7476"/>
    <w:rsid w:val="000A74FB"/>
    <w:rsid w:val="000A755A"/>
    <w:rsid w:val="000A77A4"/>
    <w:rsid w:val="000A7A4E"/>
    <w:rsid w:val="000A7CCC"/>
    <w:rsid w:val="000A7E5B"/>
    <w:rsid w:val="000A7E86"/>
    <w:rsid w:val="000A7EBE"/>
    <w:rsid w:val="000A7FF1"/>
    <w:rsid w:val="000B000A"/>
    <w:rsid w:val="000B00C7"/>
    <w:rsid w:val="000B0118"/>
    <w:rsid w:val="000B02D3"/>
    <w:rsid w:val="000B05FE"/>
    <w:rsid w:val="000B0AC3"/>
    <w:rsid w:val="000B0CF7"/>
    <w:rsid w:val="000B0ED4"/>
    <w:rsid w:val="000B0F2A"/>
    <w:rsid w:val="000B11DD"/>
    <w:rsid w:val="000B1285"/>
    <w:rsid w:val="000B12AE"/>
    <w:rsid w:val="000B12F2"/>
    <w:rsid w:val="000B134D"/>
    <w:rsid w:val="000B14CD"/>
    <w:rsid w:val="000B15B0"/>
    <w:rsid w:val="000B168D"/>
    <w:rsid w:val="000B16D6"/>
    <w:rsid w:val="000B1750"/>
    <w:rsid w:val="000B189F"/>
    <w:rsid w:val="000B1E40"/>
    <w:rsid w:val="000B1E61"/>
    <w:rsid w:val="000B1EF3"/>
    <w:rsid w:val="000B20C1"/>
    <w:rsid w:val="000B211A"/>
    <w:rsid w:val="000B2260"/>
    <w:rsid w:val="000B22B6"/>
    <w:rsid w:val="000B27B1"/>
    <w:rsid w:val="000B2996"/>
    <w:rsid w:val="000B2E98"/>
    <w:rsid w:val="000B2EF9"/>
    <w:rsid w:val="000B2F49"/>
    <w:rsid w:val="000B306E"/>
    <w:rsid w:val="000B317F"/>
    <w:rsid w:val="000B3580"/>
    <w:rsid w:val="000B359C"/>
    <w:rsid w:val="000B3A08"/>
    <w:rsid w:val="000B3B5E"/>
    <w:rsid w:val="000B3CD8"/>
    <w:rsid w:val="000B3CE4"/>
    <w:rsid w:val="000B3DF3"/>
    <w:rsid w:val="000B4141"/>
    <w:rsid w:val="000B41D8"/>
    <w:rsid w:val="000B45A4"/>
    <w:rsid w:val="000B4756"/>
    <w:rsid w:val="000B4A3B"/>
    <w:rsid w:val="000B4BC8"/>
    <w:rsid w:val="000B4CEE"/>
    <w:rsid w:val="000B4E80"/>
    <w:rsid w:val="000B50AF"/>
    <w:rsid w:val="000B52C8"/>
    <w:rsid w:val="000B5331"/>
    <w:rsid w:val="000B5422"/>
    <w:rsid w:val="000B5449"/>
    <w:rsid w:val="000B56B4"/>
    <w:rsid w:val="000B5778"/>
    <w:rsid w:val="000B57E4"/>
    <w:rsid w:val="000B5BA9"/>
    <w:rsid w:val="000B5C3D"/>
    <w:rsid w:val="000B5C7E"/>
    <w:rsid w:val="000B5D62"/>
    <w:rsid w:val="000B5D9E"/>
    <w:rsid w:val="000B5FCB"/>
    <w:rsid w:val="000B6168"/>
    <w:rsid w:val="000B619C"/>
    <w:rsid w:val="000B61B1"/>
    <w:rsid w:val="000B6464"/>
    <w:rsid w:val="000B64E2"/>
    <w:rsid w:val="000B65EB"/>
    <w:rsid w:val="000B67F1"/>
    <w:rsid w:val="000B687C"/>
    <w:rsid w:val="000B6C3F"/>
    <w:rsid w:val="000B6C72"/>
    <w:rsid w:val="000B6ED8"/>
    <w:rsid w:val="000B6F09"/>
    <w:rsid w:val="000B70D1"/>
    <w:rsid w:val="000B7139"/>
    <w:rsid w:val="000B74BC"/>
    <w:rsid w:val="000B76C2"/>
    <w:rsid w:val="000B77B6"/>
    <w:rsid w:val="000B7B26"/>
    <w:rsid w:val="000B7B2D"/>
    <w:rsid w:val="000B7BC8"/>
    <w:rsid w:val="000B7C59"/>
    <w:rsid w:val="000B7F55"/>
    <w:rsid w:val="000C0031"/>
    <w:rsid w:val="000C0121"/>
    <w:rsid w:val="000C07CD"/>
    <w:rsid w:val="000C0829"/>
    <w:rsid w:val="000C086C"/>
    <w:rsid w:val="000C087F"/>
    <w:rsid w:val="000C08A6"/>
    <w:rsid w:val="000C0B4E"/>
    <w:rsid w:val="000C0B92"/>
    <w:rsid w:val="000C0C78"/>
    <w:rsid w:val="000C0DBB"/>
    <w:rsid w:val="000C0E32"/>
    <w:rsid w:val="000C118E"/>
    <w:rsid w:val="000C120A"/>
    <w:rsid w:val="000C12AA"/>
    <w:rsid w:val="000C131E"/>
    <w:rsid w:val="000C1388"/>
    <w:rsid w:val="000C13F2"/>
    <w:rsid w:val="000C1749"/>
    <w:rsid w:val="000C1775"/>
    <w:rsid w:val="000C181C"/>
    <w:rsid w:val="000C18E8"/>
    <w:rsid w:val="000C19B0"/>
    <w:rsid w:val="000C1BC0"/>
    <w:rsid w:val="000C1D91"/>
    <w:rsid w:val="000C1DAF"/>
    <w:rsid w:val="000C1DDF"/>
    <w:rsid w:val="000C1E0C"/>
    <w:rsid w:val="000C1FA4"/>
    <w:rsid w:val="000C22AA"/>
    <w:rsid w:val="000C2318"/>
    <w:rsid w:val="000C238E"/>
    <w:rsid w:val="000C27AA"/>
    <w:rsid w:val="000C27B2"/>
    <w:rsid w:val="000C2AB2"/>
    <w:rsid w:val="000C2B03"/>
    <w:rsid w:val="000C2C18"/>
    <w:rsid w:val="000C2C27"/>
    <w:rsid w:val="000C2E9F"/>
    <w:rsid w:val="000C347E"/>
    <w:rsid w:val="000C3633"/>
    <w:rsid w:val="000C3686"/>
    <w:rsid w:val="000C36F6"/>
    <w:rsid w:val="000C3703"/>
    <w:rsid w:val="000C3A0A"/>
    <w:rsid w:val="000C3ADA"/>
    <w:rsid w:val="000C3D63"/>
    <w:rsid w:val="000C3F57"/>
    <w:rsid w:val="000C3F68"/>
    <w:rsid w:val="000C42CE"/>
    <w:rsid w:val="000C4654"/>
    <w:rsid w:val="000C4894"/>
    <w:rsid w:val="000C4ED3"/>
    <w:rsid w:val="000C50D0"/>
    <w:rsid w:val="000C520C"/>
    <w:rsid w:val="000C539A"/>
    <w:rsid w:val="000C5586"/>
    <w:rsid w:val="000C56D1"/>
    <w:rsid w:val="000C57F3"/>
    <w:rsid w:val="000C58EC"/>
    <w:rsid w:val="000C5951"/>
    <w:rsid w:val="000C5B47"/>
    <w:rsid w:val="000C5B67"/>
    <w:rsid w:val="000C5E12"/>
    <w:rsid w:val="000C5EBE"/>
    <w:rsid w:val="000C6154"/>
    <w:rsid w:val="000C6217"/>
    <w:rsid w:val="000C6678"/>
    <w:rsid w:val="000C6915"/>
    <w:rsid w:val="000C6932"/>
    <w:rsid w:val="000C6BD2"/>
    <w:rsid w:val="000C6D25"/>
    <w:rsid w:val="000C6ED8"/>
    <w:rsid w:val="000C6F4C"/>
    <w:rsid w:val="000C7008"/>
    <w:rsid w:val="000C72C5"/>
    <w:rsid w:val="000C75FF"/>
    <w:rsid w:val="000C7708"/>
    <w:rsid w:val="000C7815"/>
    <w:rsid w:val="000C792F"/>
    <w:rsid w:val="000C7C71"/>
    <w:rsid w:val="000C7F31"/>
    <w:rsid w:val="000D0100"/>
    <w:rsid w:val="000D0279"/>
    <w:rsid w:val="000D04EE"/>
    <w:rsid w:val="000D054E"/>
    <w:rsid w:val="000D074C"/>
    <w:rsid w:val="000D084C"/>
    <w:rsid w:val="000D0C2C"/>
    <w:rsid w:val="000D0C6E"/>
    <w:rsid w:val="000D0CFC"/>
    <w:rsid w:val="000D0DF1"/>
    <w:rsid w:val="000D0EB7"/>
    <w:rsid w:val="000D1060"/>
    <w:rsid w:val="000D1225"/>
    <w:rsid w:val="000D146C"/>
    <w:rsid w:val="000D1876"/>
    <w:rsid w:val="000D19FE"/>
    <w:rsid w:val="000D1A56"/>
    <w:rsid w:val="000D1A84"/>
    <w:rsid w:val="000D1AA7"/>
    <w:rsid w:val="000D1ADA"/>
    <w:rsid w:val="000D1EBC"/>
    <w:rsid w:val="000D1F10"/>
    <w:rsid w:val="000D2278"/>
    <w:rsid w:val="000D2371"/>
    <w:rsid w:val="000D24FF"/>
    <w:rsid w:val="000D2687"/>
    <w:rsid w:val="000D28FD"/>
    <w:rsid w:val="000D29F7"/>
    <w:rsid w:val="000D2BBD"/>
    <w:rsid w:val="000D2DDD"/>
    <w:rsid w:val="000D2F05"/>
    <w:rsid w:val="000D3197"/>
    <w:rsid w:val="000D32E1"/>
    <w:rsid w:val="000D3352"/>
    <w:rsid w:val="000D3454"/>
    <w:rsid w:val="000D351F"/>
    <w:rsid w:val="000D367F"/>
    <w:rsid w:val="000D37AB"/>
    <w:rsid w:val="000D38BD"/>
    <w:rsid w:val="000D390A"/>
    <w:rsid w:val="000D3AEF"/>
    <w:rsid w:val="000D3D44"/>
    <w:rsid w:val="000D3DCC"/>
    <w:rsid w:val="000D3E38"/>
    <w:rsid w:val="000D3E3D"/>
    <w:rsid w:val="000D3F17"/>
    <w:rsid w:val="000D3F87"/>
    <w:rsid w:val="000D4065"/>
    <w:rsid w:val="000D40FB"/>
    <w:rsid w:val="000D47BB"/>
    <w:rsid w:val="000D494A"/>
    <w:rsid w:val="000D4978"/>
    <w:rsid w:val="000D499F"/>
    <w:rsid w:val="000D4D81"/>
    <w:rsid w:val="000D4E4C"/>
    <w:rsid w:val="000D4F76"/>
    <w:rsid w:val="000D4FDF"/>
    <w:rsid w:val="000D5217"/>
    <w:rsid w:val="000D5274"/>
    <w:rsid w:val="000D53AF"/>
    <w:rsid w:val="000D5426"/>
    <w:rsid w:val="000D564E"/>
    <w:rsid w:val="000D56C6"/>
    <w:rsid w:val="000D5721"/>
    <w:rsid w:val="000D5843"/>
    <w:rsid w:val="000D5AC5"/>
    <w:rsid w:val="000D5B94"/>
    <w:rsid w:val="000D5CD7"/>
    <w:rsid w:val="000D5D01"/>
    <w:rsid w:val="000D5E04"/>
    <w:rsid w:val="000D5E55"/>
    <w:rsid w:val="000D5F23"/>
    <w:rsid w:val="000D5FF5"/>
    <w:rsid w:val="000D61E1"/>
    <w:rsid w:val="000D61E6"/>
    <w:rsid w:val="000D6501"/>
    <w:rsid w:val="000D6504"/>
    <w:rsid w:val="000D6575"/>
    <w:rsid w:val="000D6588"/>
    <w:rsid w:val="000D66AB"/>
    <w:rsid w:val="000D66FC"/>
    <w:rsid w:val="000D6710"/>
    <w:rsid w:val="000D671F"/>
    <w:rsid w:val="000D6729"/>
    <w:rsid w:val="000D68B4"/>
    <w:rsid w:val="000D6A69"/>
    <w:rsid w:val="000D6AF4"/>
    <w:rsid w:val="000D6B3C"/>
    <w:rsid w:val="000D6CD7"/>
    <w:rsid w:val="000D6E21"/>
    <w:rsid w:val="000D6E27"/>
    <w:rsid w:val="000D71D5"/>
    <w:rsid w:val="000D73AC"/>
    <w:rsid w:val="000D7736"/>
    <w:rsid w:val="000D77A1"/>
    <w:rsid w:val="000D7846"/>
    <w:rsid w:val="000D7AA7"/>
    <w:rsid w:val="000D7AF8"/>
    <w:rsid w:val="000D7C0E"/>
    <w:rsid w:val="000D7C35"/>
    <w:rsid w:val="000D7DA5"/>
    <w:rsid w:val="000E01AE"/>
    <w:rsid w:val="000E0261"/>
    <w:rsid w:val="000E0607"/>
    <w:rsid w:val="000E0621"/>
    <w:rsid w:val="000E0A35"/>
    <w:rsid w:val="000E0AF2"/>
    <w:rsid w:val="000E0B6A"/>
    <w:rsid w:val="000E0B9F"/>
    <w:rsid w:val="000E0BB9"/>
    <w:rsid w:val="000E0EAD"/>
    <w:rsid w:val="000E0F53"/>
    <w:rsid w:val="000E110D"/>
    <w:rsid w:val="000E116B"/>
    <w:rsid w:val="000E116F"/>
    <w:rsid w:val="000E1203"/>
    <w:rsid w:val="000E12F0"/>
    <w:rsid w:val="000E1338"/>
    <w:rsid w:val="000E1377"/>
    <w:rsid w:val="000E13D0"/>
    <w:rsid w:val="000E1430"/>
    <w:rsid w:val="000E1612"/>
    <w:rsid w:val="000E167B"/>
    <w:rsid w:val="000E16DA"/>
    <w:rsid w:val="000E18A8"/>
    <w:rsid w:val="000E1AD3"/>
    <w:rsid w:val="000E1B94"/>
    <w:rsid w:val="000E1CEC"/>
    <w:rsid w:val="000E1D44"/>
    <w:rsid w:val="000E20C8"/>
    <w:rsid w:val="000E2283"/>
    <w:rsid w:val="000E233B"/>
    <w:rsid w:val="000E24C5"/>
    <w:rsid w:val="000E24F6"/>
    <w:rsid w:val="000E27DA"/>
    <w:rsid w:val="000E2A11"/>
    <w:rsid w:val="000E2AA6"/>
    <w:rsid w:val="000E2F8E"/>
    <w:rsid w:val="000E31EA"/>
    <w:rsid w:val="000E3289"/>
    <w:rsid w:val="000E32E4"/>
    <w:rsid w:val="000E3521"/>
    <w:rsid w:val="000E3726"/>
    <w:rsid w:val="000E3947"/>
    <w:rsid w:val="000E3A1D"/>
    <w:rsid w:val="000E3B92"/>
    <w:rsid w:val="000E3D4E"/>
    <w:rsid w:val="000E4048"/>
    <w:rsid w:val="000E40AA"/>
    <w:rsid w:val="000E41B4"/>
    <w:rsid w:val="000E42C6"/>
    <w:rsid w:val="000E4679"/>
    <w:rsid w:val="000E46EB"/>
    <w:rsid w:val="000E4800"/>
    <w:rsid w:val="000E4AB1"/>
    <w:rsid w:val="000E4B02"/>
    <w:rsid w:val="000E529F"/>
    <w:rsid w:val="000E5369"/>
    <w:rsid w:val="000E5442"/>
    <w:rsid w:val="000E565B"/>
    <w:rsid w:val="000E568F"/>
    <w:rsid w:val="000E5727"/>
    <w:rsid w:val="000E592F"/>
    <w:rsid w:val="000E624F"/>
    <w:rsid w:val="000E6306"/>
    <w:rsid w:val="000E642B"/>
    <w:rsid w:val="000E655D"/>
    <w:rsid w:val="000E66DA"/>
    <w:rsid w:val="000E66DE"/>
    <w:rsid w:val="000E6992"/>
    <w:rsid w:val="000E6C51"/>
    <w:rsid w:val="000E6D3B"/>
    <w:rsid w:val="000E6D65"/>
    <w:rsid w:val="000E6F38"/>
    <w:rsid w:val="000E71F2"/>
    <w:rsid w:val="000E7294"/>
    <w:rsid w:val="000E72DD"/>
    <w:rsid w:val="000E7304"/>
    <w:rsid w:val="000E7333"/>
    <w:rsid w:val="000E762B"/>
    <w:rsid w:val="000E775B"/>
    <w:rsid w:val="000E7788"/>
    <w:rsid w:val="000E7A59"/>
    <w:rsid w:val="000E7B1C"/>
    <w:rsid w:val="000E7CA0"/>
    <w:rsid w:val="000E7CC3"/>
    <w:rsid w:val="000E7D01"/>
    <w:rsid w:val="000E7E42"/>
    <w:rsid w:val="000F012B"/>
    <w:rsid w:val="000F01EE"/>
    <w:rsid w:val="000F02E9"/>
    <w:rsid w:val="000F04DA"/>
    <w:rsid w:val="000F059D"/>
    <w:rsid w:val="000F077C"/>
    <w:rsid w:val="000F083A"/>
    <w:rsid w:val="000F08F4"/>
    <w:rsid w:val="000F0909"/>
    <w:rsid w:val="000F0A71"/>
    <w:rsid w:val="000F11BC"/>
    <w:rsid w:val="000F1227"/>
    <w:rsid w:val="000F127C"/>
    <w:rsid w:val="000F1507"/>
    <w:rsid w:val="000F1622"/>
    <w:rsid w:val="000F163E"/>
    <w:rsid w:val="000F1D18"/>
    <w:rsid w:val="000F1EED"/>
    <w:rsid w:val="000F200F"/>
    <w:rsid w:val="000F211C"/>
    <w:rsid w:val="000F25D2"/>
    <w:rsid w:val="000F2871"/>
    <w:rsid w:val="000F297E"/>
    <w:rsid w:val="000F29BB"/>
    <w:rsid w:val="000F3036"/>
    <w:rsid w:val="000F31CA"/>
    <w:rsid w:val="000F32BF"/>
    <w:rsid w:val="000F3307"/>
    <w:rsid w:val="000F34ED"/>
    <w:rsid w:val="000F367A"/>
    <w:rsid w:val="000F385D"/>
    <w:rsid w:val="000F3ABA"/>
    <w:rsid w:val="000F3B70"/>
    <w:rsid w:val="000F3C21"/>
    <w:rsid w:val="000F3C2D"/>
    <w:rsid w:val="000F3C33"/>
    <w:rsid w:val="000F401A"/>
    <w:rsid w:val="000F4176"/>
    <w:rsid w:val="000F418C"/>
    <w:rsid w:val="000F4241"/>
    <w:rsid w:val="000F46A5"/>
    <w:rsid w:val="000F4794"/>
    <w:rsid w:val="000F49F6"/>
    <w:rsid w:val="000F4BA4"/>
    <w:rsid w:val="000F4E4E"/>
    <w:rsid w:val="000F5176"/>
    <w:rsid w:val="000F538A"/>
    <w:rsid w:val="000F54C8"/>
    <w:rsid w:val="000F558C"/>
    <w:rsid w:val="000F55A9"/>
    <w:rsid w:val="000F57A8"/>
    <w:rsid w:val="000F59DD"/>
    <w:rsid w:val="000F5B11"/>
    <w:rsid w:val="000F5DE7"/>
    <w:rsid w:val="000F5E09"/>
    <w:rsid w:val="000F5E25"/>
    <w:rsid w:val="000F5EB1"/>
    <w:rsid w:val="000F5EE7"/>
    <w:rsid w:val="000F5F1C"/>
    <w:rsid w:val="000F607C"/>
    <w:rsid w:val="000F60C8"/>
    <w:rsid w:val="000F6283"/>
    <w:rsid w:val="000F62E3"/>
    <w:rsid w:val="000F6372"/>
    <w:rsid w:val="000F67B7"/>
    <w:rsid w:val="000F67BD"/>
    <w:rsid w:val="000F6967"/>
    <w:rsid w:val="000F69A4"/>
    <w:rsid w:val="000F69B9"/>
    <w:rsid w:val="000F6BAC"/>
    <w:rsid w:val="000F6E74"/>
    <w:rsid w:val="000F7190"/>
    <w:rsid w:val="000F720D"/>
    <w:rsid w:val="000F7251"/>
    <w:rsid w:val="000F729E"/>
    <w:rsid w:val="000F72A2"/>
    <w:rsid w:val="000F72F1"/>
    <w:rsid w:val="000F7A28"/>
    <w:rsid w:val="000F7F20"/>
    <w:rsid w:val="00100237"/>
    <w:rsid w:val="001002D8"/>
    <w:rsid w:val="0010069C"/>
    <w:rsid w:val="00100706"/>
    <w:rsid w:val="001009BE"/>
    <w:rsid w:val="00100AE1"/>
    <w:rsid w:val="00100BAC"/>
    <w:rsid w:val="00100E1B"/>
    <w:rsid w:val="00100EB7"/>
    <w:rsid w:val="00100EC3"/>
    <w:rsid w:val="00101273"/>
    <w:rsid w:val="001012A9"/>
    <w:rsid w:val="00101662"/>
    <w:rsid w:val="00101C37"/>
    <w:rsid w:val="00101FE7"/>
    <w:rsid w:val="00102044"/>
    <w:rsid w:val="0010205F"/>
    <w:rsid w:val="00102160"/>
    <w:rsid w:val="00102460"/>
    <w:rsid w:val="0010258A"/>
    <w:rsid w:val="0010259D"/>
    <w:rsid w:val="00102669"/>
    <w:rsid w:val="0010267B"/>
    <w:rsid w:val="00102851"/>
    <w:rsid w:val="001028D8"/>
    <w:rsid w:val="001029B8"/>
    <w:rsid w:val="001029D6"/>
    <w:rsid w:val="00102A35"/>
    <w:rsid w:val="00102B81"/>
    <w:rsid w:val="0010318E"/>
    <w:rsid w:val="0010319C"/>
    <w:rsid w:val="001032F2"/>
    <w:rsid w:val="0010332E"/>
    <w:rsid w:val="00103A0F"/>
    <w:rsid w:val="00103A6C"/>
    <w:rsid w:val="00103E01"/>
    <w:rsid w:val="00103E47"/>
    <w:rsid w:val="00104037"/>
    <w:rsid w:val="001041AE"/>
    <w:rsid w:val="00104511"/>
    <w:rsid w:val="001047BA"/>
    <w:rsid w:val="00104D55"/>
    <w:rsid w:val="00104E8C"/>
    <w:rsid w:val="00104F9F"/>
    <w:rsid w:val="0010505E"/>
    <w:rsid w:val="001053EA"/>
    <w:rsid w:val="001054A2"/>
    <w:rsid w:val="00105549"/>
    <w:rsid w:val="001055BD"/>
    <w:rsid w:val="00105680"/>
    <w:rsid w:val="0010581A"/>
    <w:rsid w:val="0010589A"/>
    <w:rsid w:val="001059B4"/>
    <w:rsid w:val="00105AD6"/>
    <w:rsid w:val="00105D16"/>
    <w:rsid w:val="00105E0B"/>
    <w:rsid w:val="00105FCD"/>
    <w:rsid w:val="00106008"/>
    <w:rsid w:val="0010601D"/>
    <w:rsid w:val="001061B3"/>
    <w:rsid w:val="0010648A"/>
    <w:rsid w:val="001064CF"/>
    <w:rsid w:val="001064DD"/>
    <w:rsid w:val="00106715"/>
    <w:rsid w:val="001067A5"/>
    <w:rsid w:val="00106A3B"/>
    <w:rsid w:val="00106CD4"/>
    <w:rsid w:val="00106D34"/>
    <w:rsid w:val="00106D96"/>
    <w:rsid w:val="00106E61"/>
    <w:rsid w:val="00106E7C"/>
    <w:rsid w:val="00107010"/>
    <w:rsid w:val="001070DA"/>
    <w:rsid w:val="0010727B"/>
    <w:rsid w:val="0010727F"/>
    <w:rsid w:val="001075C8"/>
    <w:rsid w:val="00107663"/>
    <w:rsid w:val="001076C8"/>
    <w:rsid w:val="00107808"/>
    <w:rsid w:val="0010793F"/>
    <w:rsid w:val="001079A3"/>
    <w:rsid w:val="00107AF3"/>
    <w:rsid w:val="00107B90"/>
    <w:rsid w:val="00107C2C"/>
    <w:rsid w:val="00107D20"/>
    <w:rsid w:val="00107E5D"/>
    <w:rsid w:val="00107E77"/>
    <w:rsid w:val="00110099"/>
    <w:rsid w:val="00110103"/>
    <w:rsid w:val="00110247"/>
    <w:rsid w:val="001102CA"/>
    <w:rsid w:val="0011057E"/>
    <w:rsid w:val="00110640"/>
    <w:rsid w:val="00110703"/>
    <w:rsid w:val="0011084A"/>
    <w:rsid w:val="0011094F"/>
    <w:rsid w:val="00110A6A"/>
    <w:rsid w:val="00110B1F"/>
    <w:rsid w:val="00110D6A"/>
    <w:rsid w:val="00110DC9"/>
    <w:rsid w:val="00110E92"/>
    <w:rsid w:val="00110F42"/>
    <w:rsid w:val="00111027"/>
    <w:rsid w:val="0011114F"/>
    <w:rsid w:val="00111493"/>
    <w:rsid w:val="00111502"/>
    <w:rsid w:val="00111646"/>
    <w:rsid w:val="00111662"/>
    <w:rsid w:val="00111694"/>
    <w:rsid w:val="00111811"/>
    <w:rsid w:val="001118E9"/>
    <w:rsid w:val="00111ADE"/>
    <w:rsid w:val="00111FD2"/>
    <w:rsid w:val="00112018"/>
    <w:rsid w:val="0011226E"/>
    <w:rsid w:val="00112468"/>
    <w:rsid w:val="00112472"/>
    <w:rsid w:val="00112517"/>
    <w:rsid w:val="001126C5"/>
    <w:rsid w:val="0011275F"/>
    <w:rsid w:val="001127DF"/>
    <w:rsid w:val="0011281F"/>
    <w:rsid w:val="001129E3"/>
    <w:rsid w:val="00112BF0"/>
    <w:rsid w:val="00112F6D"/>
    <w:rsid w:val="00113012"/>
    <w:rsid w:val="001130D0"/>
    <w:rsid w:val="00113198"/>
    <w:rsid w:val="0011333B"/>
    <w:rsid w:val="00113500"/>
    <w:rsid w:val="001137E3"/>
    <w:rsid w:val="001137F6"/>
    <w:rsid w:val="0011380C"/>
    <w:rsid w:val="001138B2"/>
    <w:rsid w:val="00113B98"/>
    <w:rsid w:val="00113BEC"/>
    <w:rsid w:val="00113BFB"/>
    <w:rsid w:val="00113DDA"/>
    <w:rsid w:val="001141D9"/>
    <w:rsid w:val="00114268"/>
    <w:rsid w:val="00114483"/>
    <w:rsid w:val="001145BD"/>
    <w:rsid w:val="001145E3"/>
    <w:rsid w:val="001145F8"/>
    <w:rsid w:val="00114769"/>
    <w:rsid w:val="001148E6"/>
    <w:rsid w:val="00114A57"/>
    <w:rsid w:val="00114B37"/>
    <w:rsid w:val="00114D81"/>
    <w:rsid w:val="00114DE8"/>
    <w:rsid w:val="00114E6E"/>
    <w:rsid w:val="00114E7D"/>
    <w:rsid w:val="0011504A"/>
    <w:rsid w:val="0011507D"/>
    <w:rsid w:val="00115173"/>
    <w:rsid w:val="001155FF"/>
    <w:rsid w:val="001159E4"/>
    <w:rsid w:val="00115A3D"/>
    <w:rsid w:val="00115A82"/>
    <w:rsid w:val="00115B76"/>
    <w:rsid w:val="00115BB1"/>
    <w:rsid w:val="00115D07"/>
    <w:rsid w:val="00115D60"/>
    <w:rsid w:val="001162CE"/>
    <w:rsid w:val="0011650F"/>
    <w:rsid w:val="00116687"/>
    <w:rsid w:val="00116960"/>
    <w:rsid w:val="00116A46"/>
    <w:rsid w:val="00116AAD"/>
    <w:rsid w:val="00116AE6"/>
    <w:rsid w:val="00116C43"/>
    <w:rsid w:val="00116C7E"/>
    <w:rsid w:val="00116D8A"/>
    <w:rsid w:val="00116EEE"/>
    <w:rsid w:val="00116F2B"/>
    <w:rsid w:val="00117067"/>
    <w:rsid w:val="001170AF"/>
    <w:rsid w:val="001172A5"/>
    <w:rsid w:val="0011734E"/>
    <w:rsid w:val="001179B3"/>
    <w:rsid w:val="001179E0"/>
    <w:rsid w:val="00117CCF"/>
    <w:rsid w:val="00117D5A"/>
    <w:rsid w:val="00120030"/>
    <w:rsid w:val="001200A0"/>
    <w:rsid w:val="00120202"/>
    <w:rsid w:val="0012029A"/>
    <w:rsid w:val="00120304"/>
    <w:rsid w:val="00120477"/>
    <w:rsid w:val="001204C6"/>
    <w:rsid w:val="001205B5"/>
    <w:rsid w:val="00120716"/>
    <w:rsid w:val="00120834"/>
    <w:rsid w:val="001209D3"/>
    <w:rsid w:val="00120B0F"/>
    <w:rsid w:val="00120B66"/>
    <w:rsid w:val="00120BE5"/>
    <w:rsid w:val="00120CA8"/>
    <w:rsid w:val="00120CB6"/>
    <w:rsid w:val="00120CDE"/>
    <w:rsid w:val="00120D88"/>
    <w:rsid w:val="00120FB4"/>
    <w:rsid w:val="00120FCF"/>
    <w:rsid w:val="00121019"/>
    <w:rsid w:val="0012157C"/>
    <w:rsid w:val="00121631"/>
    <w:rsid w:val="00121697"/>
    <w:rsid w:val="001216B2"/>
    <w:rsid w:val="00121707"/>
    <w:rsid w:val="001217E4"/>
    <w:rsid w:val="00121828"/>
    <w:rsid w:val="001218E5"/>
    <w:rsid w:val="001218EA"/>
    <w:rsid w:val="00121989"/>
    <w:rsid w:val="00121B03"/>
    <w:rsid w:val="00121B55"/>
    <w:rsid w:val="00121BFB"/>
    <w:rsid w:val="00121E7F"/>
    <w:rsid w:val="00122027"/>
    <w:rsid w:val="00122266"/>
    <w:rsid w:val="001223D7"/>
    <w:rsid w:val="001223E5"/>
    <w:rsid w:val="0012240E"/>
    <w:rsid w:val="00122410"/>
    <w:rsid w:val="00122444"/>
    <w:rsid w:val="0012258A"/>
    <w:rsid w:val="00122625"/>
    <w:rsid w:val="001226E5"/>
    <w:rsid w:val="00122846"/>
    <w:rsid w:val="00122928"/>
    <w:rsid w:val="00122AE2"/>
    <w:rsid w:val="00122CF2"/>
    <w:rsid w:val="00122E70"/>
    <w:rsid w:val="00122E95"/>
    <w:rsid w:val="0012352F"/>
    <w:rsid w:val="001237A7"/>
    <w:rsid w:val="0012386C"/>
    <w:rsid w:val="00123883"/>
    <w:rsid w:val="00123E65"/>
    <w:rsid w:val="00123F4F"/>
    <w:rsid w:val="00123F75"/>
    <w:rsid w:val="00124056"/>
    <w:rsid w:val="0012408E"/>
    <w:rsid w:val="001240CA"/>
    <w:rsid w:val="0012410B"/>
    <w:rsid w:val="001241A0"/>
    <w:rsid w:val="001242C8"/>
    <w:rsid w:val="001246DA"/>
    <w:rsid w:val="001247C6"/>
    <w:rsid w:val="0012486A"/>
    <w:rsid w:val="00124878"/>
    <w:rsid w:val="00124DC8"/>
    <w:rsid w:val="00125075"/>
    <w:rsid w:val="001256B2"/>
    <w:rsid w:val="00125A94"/>
    <w:rsid w:val="00125CE1"/>
    <w:rsid w:val="00125F91"/>
    <w:rsid w:val="0012609A"/>
    <w:rsid w:val="001261F6"/>
    <w:rsid w:val="0012621A"/>
    <w:rsid w:val="001263D3"/>
    <w:rsid w:val="00126483"/>
    <w:rsid w:val="0012698C"/>
    <w:rsid w:val="001269AA"/>
    <w:rsid w:val="00126A25"/>
    <w:rsid w:val="00126B00"/>
    <w:rsid w:val="00126B2E"/>
    <w:rsid w:val="00126EC6"/>
    <w:rsid w:val="00126F77"/>
    <w:rsid w:val="001270D8"/>
    <w:rsid w:val="001270E5"/>
    <w:rsid w:val="001270F2"/>
    <w:rsid w:val="001273CC"/>
    <w:rsid w:val="001276F5"/>
    <w:rsid w:val="001277A1"/>
    <w:rsid w:val="001279D5"/>
    <w:rsid w:val="00127A63"/>
    <w:rsid w:val="00127D65"/>
    <w:rsid w:val="00130467"/>
    <w:rsid w:val="001305CD"/>
    <w:rsid w:val="001305E3"/>
    <w:rsid w:val="001306BB"/>
    <w:rsid w:val="001306C3"/>
    <w:rsid w:val="001308E5"/>
    <w:rsid w:val="00130CDB"/>
    <w:rsid w:val="00130D8D"/>
    <w:rsid w:val="00131399"/>
    <w:rsid w:val="001313F6"/>
    <w:rsid w:val="0013158D"/>
    <w:rsid w:val="00131618"/>
    <w:rsid w:val="0013174D"/>
    <w:rsid w:val="00131869"/>
    <w:rsid w:val="00131873"/>
    <w:rsid w:val="00131971"/>
    <w:rsid w:val="00131B32"/>
    <w:rsid w:val="00131D91"/>
    <w:rsid w:val="00132273"/>
    <w:rsid w:val="001323FE"/>
    <w:rsid w:val="001324AD"/>
    <w:rsid w:val="0013263A"/>
    <w:rsid w:val="00132689"/>
    <w:rsid w:val="0013276C"/>
    <w:rsid w:val="0013286A"/>
    <w:rsid w:val="00132CC4"/>
    <w:rsid w:val="00132D8F"/>
    <w:rsid w:val="0013305E"/>
    <w:rsid w:val="001330D5"/>
    <w:rsid w:val="00133205"/>
    <w:rsid w:val="0013321B"/>
    <w:rsid w:val="00133322"/>
    <w:rsid w:val="00133349"/>
    <w:rsid w:val="00133406"/>
    <w:rsid w:val="001335BD"/>
    <w:rsid w:val="001337A6"/>
    <w:rsid w:val="0013380A"/>
    <w:rsid w:val="00133892"/>
    <w:rsid w:val="0013389D"/>
    <w:rsid w:val="001338B7"/>
    <w:rsid w:val="00133994"/>
    <w:rsid w:val="00133C34"/>
    <w:rsid w:val="00133C7E"/>
    <w:rsid w:val="00133D10"/>
    <w:rsid w:val="00133D2D"/>
    <w:rsid w:val="00133EF0"/>
    <w:rsid w:val="00133FB0"/>
    <w:rsid w:val="00134030"/>
    <w:rsid w:val="00134090"/>
    <w:rsid w:val="00134284"/>
    <w:rsid w:val="001342C6"/>
    <w:rsid w:val="001342F7"/>
    <w:rsid w:val="00134398"/>
    <w:rsid w:val="001343E4"/>
    <w:rsid w:val="001345C5"/>
    <w:rsid w:val="0013465D"/>
    <w:rsid w:val="001346CD"/>
    <w:rsid w:val="001347B4"/>
    <w:rsid w:val="001347C8"/>
    <w:rsid w:val="00134D60"/>
    <w:rsid w:val="00134ED6"/>
    <w:rsid w:val="00134F45"/>
    <w:rsid w:val="00134F4C"/>
    <w:rsid w:val="00134F57"/>
    <w:rsid w:val="001350A0"/>
    <w:rsid w:val="00135112"/>
    <w:rsid w:val="0013519D"/>
    <w:rsid w:val="001351CD"/>
    <w:rsid w:val="001354B8"/>
    <w:rsid w:val="001355D3"/>
    <w:rsid w:val="0013561B"/>
    <w:rsid w:val="0013568A"/>
    <w:rsid w:val="001356F5"/>
    <w:rsid w:val="0013583F"/>
    <w:rsid w:val="00135AD5"/>
    <w:rsid w:val="00135B3B"/>
    <w:rsid w:val="00135DA8"/>
    <w:rsid w:val="00135DF5"/>
    <w:rsid w:val="00136169"/>
    <w:rsid w:val="0013632F"/>
    <w:rsid w:val="00136402"/>
    <w:rsid w:val="001364B1"/>
    <w:rsid w:val="00136548"/>
    <w:rsid w:val="00136573"/>
    <w:rsid w:val="00136594"/>
    <w:rsid w:val="001367A0"/>
    <w:rsid w:val="00136BA7"/>
    <w:rsid w:val="00136BE2"/>
    <w:rsid w:val="00136C00"/>
    <w:rsid w:val="00136C2D"/>
    <w:rsid w:val="00137363"/>
    <w:rsid w:val="001373F2"/>
    <w:rsid w:val="00137424"/>
    <w:rsid w:val="001374A2"/>
    <w:rsid w:val="0013752F"/>
    <w:rsid w:val="001377E8"/>
    <w:rsid w:val="00137851"/>
    <w:rsid w:val="00137894"/>
    <w:rsid w:val="00137A55"/>
    <w:rsid w:val="00137A78"/>
    <w:rsid w:val="00137CBC"/>
    <w:rsid w:val="00137D21"/>
    <w:rsid w:val="00140188"/>
    <w:rsid w:val="001405D4"/>
    <w:rsid w:val="001406D4"/>
    <w:rsid w:val="00140A32"/>
    <w:rsid w:val="00140A66"/>
    <w:rsid w:val="00140A80"/>
    <w:rsid w:val="00140CA5"/>
    <w:rsid w:val="00140E22"/>
    <w:rsid w:val="00140E83"/>
    <w:rsid w:val="00140EC4"/>
    <w:rsid w:val="00140FD3"/>
    <w:rsid w:val="00141186"/>
    <w:rsid w:val="0014123B"/>
    <w:rsid w:val="001413E6"/>
    <w:rsid w:val="0014144B"/>
    <w:rsid w:val="00141483"/>
    <w:rsid w:val="001414E6"/>
    <w:rsid w:val="00141563"/>
    <w:rsid w:val="00141696"/>
    <w:rsid w:val="0014177A"/>
    <w:rsid w:val="001417BF"/>
    <w:rsid w:val="0014189F"/>
    <w:rsid w:val="001418AA"/>
    <w:rsid w:val="001418EA"/>
    <w:rsid w:val="0014198B"/>
    <w:rsid w:val="00141A93"/>
    <w:rsid w:val="00141ADC"/>
    <w:rsid w:val="00141D4D"/>
    <w:rsid w:val="00141D66"/>
    <w:rsid w:val="00141E77"/>
    <w:rsid w:val="001421B9"/>
    <w:rsid w:val="001421FC"/>
    <w:rsid w:val="0014223B"/>
    <w:rsid w:val="001424E8"/>
    <w:rsid w:val="00142871"/>
    <w:rsid w:val="001429B0"/>
    <w:rsid w:val="00142AC1"/>
    <w:rsid w:val="00142B64"/>
    <w:rsid w:val="00142BE9"/>
    <w:rsid w:val="00143067"/>
    <w:rsid w:val="001430D5"/>
    <w:rsid w:val="00143317"/>
    <w:rsid w:val="0014340A"/>
    <w:rsid w:val="001435AD"/>
    <w:rsid w:val="00143785"/>
    <w:rsid w:val="0014399B"/>
    <w:rsid w:val="00143A9A"/>
    <w:rsid w:val="00143ACB"/>
    <w:rsid w:val="00143B85"/>
    <w:rsid w:val="00143B87"/>
    <w:rsid w:val="00143C35"/>
    <w:rsid w:val="00143DF5"/>
    <w:rsid w:val="00143F12"/>
    <w:rsid w:val="00143F5F"/>
    <w:rsid w:val="0014404C"/>
    <w:rsid w:val="001441A2"/>
    <w:rsid w:val="001445D0"/>
    <w:rsid w:val="0014463A"/>
    <w:rsid w:val="00144650"/>
    <w:rsid w:val="00144714"/>
    <w:rsid w:val="001447ED"/>
    <w:rsid w:val="00144839"/>
    <w:rsid w:val="00144A60"/>
    <w:rsid w:val="00144C02"/>
    <w:rsid w:val="00144D70"/>
    <w:rsid w:val="00144DA1"/>
    <w:rsid w:val="00144DAA"/>
    <w:rsid w:val="00144F54"/>
    <w:rsid w:val="001450A2"/>
    <w:rsid w:val="0014528B"/>
    <w:rsid w:val="00145348"/>
    <w:rsid w:val="00145509"/>
    <w:rsid w:val="001456C4"/>
    <w:rsid w:val="00145B1D"/>
    <w:rsid w:val="00145DAB"/>
    <w:rsid w:val="00145DF0"/>
    <w:rsid w:val="00146170"/>
    <w:rsid w:val="00146228"/>
    <w:rsid w:val="00146235"/>
    <w:rsid w:val="00146794"/>
    <w:rsid w:val="001468AA"/>
    <w:rsid w:val="00146A3A"/>
    <w:rsid w:val="00146B6B"/>
    <w:rsid w:val="00146B81"/>
    <w:rsid w:val="001470D6"/>
    <w:rsid w:val="001471C8"/>
    <w:rsid w:val="00147272"/>
    <w:rsid w:val="0014742F"/>
    <w:rsid w:val="001474A9"/>
    <w:rsid w:val="001475CA"/>
    <w:rsid w:val="001477A8"/>
    <w:rsid w:val="00147809"/>
    <w:rsid w:val="001478A5"/>
    <w:rsid w:val="001478BD"/>
    <w:rsid w:val="001478EF"/>
    <w:rsid w:val="001479E6"/>
    <w:rsid w:val="001479FF"/>
    <w:rsid w:val="00147AF4"/>
    <w:rsid w:val="00147BFE"/>
    <w:rsid w:val="00147D43"/>
    <w:rsid w:val="0014D9CF"/>
    <w:rsid w:val="0015007E"/>
    <w:rsid w:val="00150272"/>
    <w:rsid w:val="001503AD"/>
    <w:rsid w:val="001504F9"/>
    <w:rsid w:val="0015060A"/>
    <w:rsid w:val="0015061D"/>
    <w:rsid w:val="00150723"/>
    <w:rsid w:val="00150844"/>
    <w:rsid w:val="0015098F"/>
    <w:rsid w:val="00150B6D"/>
    <w:rsid w:val="00150C55"/>
    <w:rsid w:val="00150C72"/>
    <w:rsid w:val="00150E60"/>
    <w:rsid w:val="00150EAA"/>
    <w:rsid w:val="00150F95"/>
    <w:rsid w:val="00150FA4"/>
    <w:rsid w:val="00151022"/>
    <w:rsid w:val="001510E6"/>
    <w:rsid w:val="00151181"/>
    <w:rsid w:val="0015123D"/>
    <w:rsid w:val="00151399"/>
    <w:rsid w:val="00151480"/>
    <w:rsid w:val="001516D6"/>
    <w:rsid w:val="00151765"/>
    <w:rsid w:val="0015182F"/>
    <w:rsid w:val="00151A1C"/>
    <w:rsid w:val="00151B1D"/>
    <w:rsid w:val="00151C85"/>
    <w:rsid w:val="00151D45"/>
    <w:rsid w:val="00151E34"/>
    <w:rsid w:val="00151E45"/>
    <w:rsid w:val="00152113"/>
    <w:rsid w:val="00152123"/>
    <w:rsid w:val="001523CF"/>
    <w:rsid w:val="00152451"/>
    <w:rsid w:val="00152589"/>
    <w:rsid w:val="00152757"/>
    <w:rsid w:val="001527AF"/>
    <w:rsid w:val="001529E9"/>
    <w:rsid w:val="00152B5F"/>
    <w:rsid w:val="00152D92"/>
    <w:rsid w:val="00152F78"/>
    <w:rsid w:val="00152F8F"/>
    <w:rsid w:val="00152FD0"/>
    <w:rsid w:val="00153458"/>
    <w:rsid w:val="00153544"/>
    <w:rsid w:val="00153884"/>
    <w:rsid w:val="001539AB"/>
    <w:rsid w:val="00153AB4"/>
    <w:rsid w:val="00153AEC"/>
    <w:rsid w:val="00153BC4"/>
    <w:rsid w:val="00153BED"/>
    <w:rsid w:val="00153CD7"/>
    <w:rsid w:val="00153D53"/>
    <w:rsid w:val="00153E9F"/>
    <w:rsid w:val="00153EE0"/>
    <w:rsid w:val="00154277"/>
    <w:rsid w:val="00154563"/>
    <w:rsid w:val="0015482D"/>
    <w:rsid w:val="001548E5"/>
    <w:rsid w:val="00154A5A"/>
    <w:rsid w:val="00154AFC"/>
    <w:rsid w:val="00154B87"/>
    <w:rsid w:val="00154DE1"/>
    <w:rsid w:val="001552A5"/>
    <w:rsid w:val="001552E7"/>
    <w:rsid w:val="00155410"/>
    <w:rsid w:val="00155457"/>
    <w:rsid w:val="00155592"/>
    <w:rsid w:val="0015572D"/>
    <w:rsid w:val="0015573C"/>
    <w:rsid w:val="001559C7"/>
    <w:rsid w:val="00155C1B"/>
    <w:rsid w:val="00155E1E"/>
    <w:rsid w:val="00155E74"/>
    <w:rsid w:val="00155F76"/>
    <w:rsid w:val="0015600B"/>
    <w:rsid w:val="00156013"/>
    <w:rsid w:val="001561A6"/>
    <w:rsid w:val="001562E2"/>
    <w:rsid w:val="00156537"/>
    <w:rsid w:val="0015680E"/>
    <w:rsid w:val="00156944"/>
    <w:rsid w:val="00156B0B"/>
    <w:rsid w:val="00156CA0"/>
    <w:rsid w:val="00156CE5"/>
    <w:rsid w:val="00156E34"/>
    <w:rsid w:val="00156F65"/>
    <w:rsid w:val="00156F7C"/>
    <w:rsid w:val="00156FC7"/>
    <w:rsid w:val="001571A9"/>
    <w:rsid w:val="00157365"/>
    <w:rsid w:val="0015741D"/>
    <w:rsid w:val="00157431"/>
    <w:rsid w:val="00157493"/>
    <w:rsid w:val="001575E7"/>
    <w:rsid w:val="0015778B"/>
    <w:rsid w:val="00157799"/>
    <w:rsid w:val="0015784D"/>
    <w:rsid w:val="00157B17"/>
    <w:rsid w:val="00157B87"/>
    <w:rsid w:val="00157B99"/>
    <w:rsid w:val="00157BC4"/>
    <w:rsid w:val="00157C18"/>
    <w:rsid w:val="00157CAA"/>
    <w:rsid w:val="001600CD"/>
    <w:rsid w:val="00160210"/>
    <w:rsid w:val="001602B6"/>
    <w:rsid w:val="001604FE"/>
    <w:rsid w:val="0016057A"/>
    <w:rsid w:val="001606C0"/>
    <w:rsid w:val="001609BE"/>
    <w:rsid w:val="00160C55"/>
    <w:rsid w:val="001610BA"/>
    <w:rsid w:val="001615EB"/>
    <w:rsid w:val="001616CE"/>
    <w:rsid w:val="001616DB"/>
    <w:rsid w:val="0016182D"/>
    <w:rsid w:val="00161D74"/>
    <w:rsid w:val="00161F51"/>
    <w:rsid w:val="00162101"/>
    <w:rsid w:val="00162165"/>
    <w:rsid w:val="00162296"/>
    <w:rsid w:val="001622E9"/>
    <w:rsid w:val="001623B8"/>
    <w:rsid w:val="001623C0"/>
    <w:rsid w:val="0016240B"/>
    <w:rsid w:val="0016245F"/>
    <w:rsid w:val="00162551"/>
    <w:rsid w:val="00162559"/>
    <w:rsid w:val="0016265E"/>
    <w:rsid w:val="00162752"/>
    <w:rsid w:val="001628E5"/>
    <w:rsid w:val="0016293A"/>
    <w:rsid w:val="00162D48"/>
    <w:rsid w:val="00162E45"/>
    <w:rsid w:val="00163099"/>
    <w:rsid w:val="0016309C"/>
    <w:rsid w:val="001630C0"/>
    <w:rsid w:val="0016322D"/>
    <w:rsid w:val="00163264"/>
    <w:rsid w:val="00163276"/>
    <w:rsid w:val="001638CB"/>
    <w:rsid w:val="001638E3"/>
    <w:rsid w:val="00163913"/>
    <w:rsid w:val="00163AB2"/>
    <w:rsid w:val="00163BA2"/>
    <w:rsid w:val="00163D6E"/>
    <w:rsid w:val="00163E49"/>
    <w:rsid w:val="00163F99"/>
    <w:rsid w:val="001640B2"/>
    <w:rsid w:val="00164696"/>
    <w:rsid w:val="0016484E"/>
    <w:rsid w:val="00164896"/>
    <w:rsid w:val="00164A23"/>
    <w:rsid w:val="00164C19"/>
    <w:rsid w:val="00164C40"/>
    <w:rsid w:val="00164CD4"/>
    <w:rsid w:val="00164F2F"/>
    <w:rsid w:val="00164F9B"/>
    <w:rsid w:val="00165052"/>
    <w:rsid w:val="00165260"/>
    <w:rsid w:val="0016554C"/>
    <w:rsid w:val="00165575"/>
    <w:rsid w:val="00165720"/>
    <w:rsid w:val="001657FF"/>
    <w:rsid w:val="00165C1B"/>
    <w:rsid w:val="00165CB7"/>
    <w:rsid w:val="00165D4B"/>
    <w:rsid w:val="00165F89"/>
    <w:rsid w:val="00165FAF"/>
    <w:rsid w:val="00165FFA"/>
    <w:rsid w:val="00166066"/>
    <w:rsid w:val="001664A9"/>
    <w:rsid w:val="001666D7"/>
    <w:rsid w:val="001668D0"/>
    <w:rsid w:val="00166967"/>
    <w:rsid w:val="00166CE0"/>
    <w:rsid w:val="00166CE1"/>
    <w:rsid w:val="00166D65"/>
    <w:rsid w:val="00166D72"/>
    <w:rsid w:val="00166E69"/>
    <w:rsid w:val="00166EF7"/>
    <w:rsid w:val="00166F17"/>
    <w:rsid w:val="0016734B"/>
    <w:rsid w:val="001674EF"/>
    <w:rsid w:val="001675EF"/>
    <w:rsid w:val="00167711"/>
    <w:rsid w:val="001677FC"/>
    <w:rsid w:val="0016790C"/>
    <w:rsid w:val="00167AAC"/>
    <w:rsid w:val="00167E5B"/>
    <w:rsid w:val="00167EF8"/>
    <w:rsid w:val="001700FB"/>
    <w:rsid w:val="00170192"/>
    <w:rsid w:val="001701EE"/>
    <w:rsid w:val="00170244"/>
    <w:rsid w:val="00170273"/>
    <w:rsid w:val="001702E0"/>
    <w:rsid w:val="00170306"/>
    <w:rsid w:val="00170493"/>
    <w:rsid w:val="00170883"/>
    <w:rsid w:val="00170905"/>
    <w:rsid w:val="00170ADC"/>
    <w:rsid w:val="00170B6E"/>
    <w:rsid w:val="00170CC6"/>
    <w:rsid w:val="00170CF5"/>
    <w:rsid w:val="0017104D"/>
    <w:rsid w:val="00171101"/>
    <w:rsid w:val="00171200"/>
    <w:rsid w:val="001712AD"/>
    <w:rsid w:val="00171389"/>
    <w:rsid w:val="0017161A"/>
    <w:rsid w:val="00171747"/>
    <w:rsid w:val="00171AE3"/>
    <w:rsid w:val="00171BB2"/>
    <w:rsid w:val="00171C37"/>
    <w:rsid w:val="00171C59"/>
    <w:rsid w:val="00171CF3"/>
    <w:rsid w:val="00171D49"/>
    <w:rsid w:val="00171DBA"/>
    <w:rsid w:val="00171EDB"/>
    <w:rsid w:val="00171FDB"/>
    <w:rsid w:val="00172007"/>
    <w:rsid w:val="00172161"/>
    <w:rsid w:val="00172217"/>
    <w:rsid w:val="00172268"/>
    <w:rsid w:val="00172688"/>
    <w:rsid w:val="0017277D"/>
    <w:rsid w:val="0017293E"/>
    <w:rsid w:val="00172A30"/>
    <w:rsid w:val="00172B81"/>
    <w:rsid w:val="00172C7E"/>
    <w:rsid w:val="00172DFF"/>
    <w:rsid w:val="00172E9B"/>
    <w:rsid w:val="0017316B"/>
    <w:rsid w:val="0017317F"/>
    <w:rsid w:val="00173199"/>
    <w:rsid w:val="00173457"/>
    <w:rsid w:val="00173636"/>
    <w:rsid w:val="00173712"/>
    <w:rsid w:val="0017378F"/>
    <w:rsid w:val="001739BD"/>
    <w:rsid w:val="00173C6B"/>
    <w:rsid w:val="00173CED"/>
    <w:rsid w:val="00173D20"/>
    <w:rsid w:val="00173F03"/>
    <w:rsid w:val="00173F40"/>
    <w:rsid w:val="00173F42"/>
    <w:rsid w:val="00174101"/>
    <w:rsid w:val="00174138"/>
    <w:rsid w:val="00174156"/>
    <w:rsid w:val="0017443F"/>
    <w:rsid w:val="00174659"/>
    <w:rsid w:val="00174711"/>
    <w:rsid w:val="001747D8"/>
    <w:rsid w:val="00174934"/>
    <w:rsid w:val="001749E8"/>
    <w:rsid w:val="00174C5A"/>
    <w:rsid w:val="00174E54"/>
    <w:rsid w:val="00174E94"/>
    <w:rsid w:val="001756C1"/>
    <w:rsid w:val="00175710"/>
    <w:rsid w:val="00175731"/>
    <w:rsid w:val="00175735"/>
    <w:rsid w:val="001758C8"/>
    <w:rsid w:val="0017592B"/>
    <w:rsid w:val="00175BA8"/>
    <w:rsid w:val="00175D2B"/>
    <w:rsid w:val="00175D47"/>
    <w:rsid w:val="00175D9D"/>
    <w:rsid w:val="0017601D"/>
    <w:rsid w:val="001760E0"/>
    <w:rsid w:val="00176505"/>
    <w:rsid w:val="0017667B"/>
    <w:rsid w:val="00176698"/>
    <w:rsid w:val="0017686C"/>
    <w:rsid w:val="001768CD"/>
    <w:rsid w:val="00176DED"/>
    <w:rsid w:val="00176FB6"/>
    <w:rsid w:val="00177589"/>
    <w:rsid w:val="00177783"/>
    <w:rsid w:val="00177800"/>
    <w:rsid w:val="001778A3"/>
    <w:rsid w:val="00177906"/>
    <w:rsid w:val="001779D9"/>
    <w:rsid w:val="00177A16"/>
    <w:rsid w:val="00177A18"/>
    <w:rsid w:val="00177CEB"/>
    <w:rsid w:val="00180067"/>
    <w:rsid w:val="001801C8"/>
    <w:rsid w:val="00180233"/>
    <w:rsid w:val="00180699"/>
    <w:rsid w:val="0018086B"/>
    <w:rsid w:val="00180998"/>
    <w:rsid w:val="00180B1C"/>
    <w:rsid w:val="00180CE8"/>
    <w:rsid w:val="00180D95"/>
    <w:rsid w:val="00180DFF"/>
    <w:rsid w:val="00180E27"/>
    <w:rsid w:val="00180E3D"/>
    <w:rsid w:val="00180E48"/>
    <w:rsid w:val="00180E88"/>
    <w:rsid w:val="00181140"/>
    <w:rsid w:val="00181439"/>
    <w:rsid w:val="0018163C"/>
    <w:rsid w:val="001816B2"/>
    <w:rsid w:val="001817B7"/>
    <w:rsid w:val="00181B68"/>
    <w:rsid w:val="00181D59"/>
    <w:rsid w:val="00181F12"/>
    <w:rsid w:val="00181F51"/>
    <w:rsid w:val="001820C5"/>
    <w:rsid w:val="0018213E"/>
    <w:rsid w:val="001821C7"/>
    <w:rsid w:val="00182263"/>
    <w:rsid w:val="001822D4"/>
    <w:rsid w:val="00182486"/>
    <w:rsid w:val="00182A8E"/>
    <w:rsid w:val="00182C3F"/>
    <w:rsid w:val="00182C9D"/>
    <w:rsid w:val="00182CB7"/>
    <w:rsid w:val="00182CD5"/>
    <w:rsid w:val="001830A6"/>
    <w:rsid w:val="00183105"/>
    <w:rsid w:val="00183385"/>
    <w:rsid w:val="001835C6"/>
    <w:rsid w:val="001835E7"/>
    <w:rsid w:val="001836FE"/>
    <w:rsid w:val="001838A6"/>
    <w:rsid w:val="00183AC5"/>
    <w:rsid w:val="00183AD7"/>
    <w:rsid w:val="00183B07"/>
    <w:rsid w:val="00183C9A"/>
    <w:rsid w:val="00183CC7"/>
    <w:rsid w:val="00183FEA"/>
    <w:rsid w:val="001844D8"/>
    <w:rsid w:val="001846BA"/>
    <w:rsid w:val="001846D7"/>
    <w:rsid w:val="00184719"/>
    <w:rsid w:val="001848F6"/>
    <w:rsid w:val="00184A7A"/>
    <w:rsid w:val="00184B84"/>
    <w:rsid w:val="00184BF3"/>
    <w:rsid w:val="00185198"/>
    <w:rsid w:val="00185727"/>
    <w:rsid w:val="00185A23"/>
    <w:rsid w:val="00185C91"/>
    <w:rsid w:val="00185CDC"/>
    <w:rsid w:val="00185F6F"/>
    <w:rsid w:val="00185FA4"/>
    <w:rsid w:val="00186116"/>
    <w:rsid w:val="001861C3"/>
    <w:rsid w:val="00186248"/>
    <w:rsid w:val="00186289"/>
    <w:rsid w:val="001862CF"/>
    <w:rsid w:val="00186500"/>
    <w:rsid w:val="00186B62"/>
    <w:rsid w:val="00186B7F"/>
    <w:rsid w:val="00186B89"/>
    <w:rsid w:val="00186D4C"/>
    <w:rsid w:val="00186F01"/>
    <w:rsid w:val="00186F98"/>
    <w:rsid w:val="00186FCD"/>
    <w:rsid w:val="00187106"/>
    <w:rsid w:val="00187332"/>
    <w:rsid w:val="001874CD"/>
    <w:rsid w:val="0018753B"/>
    <w:rsid w:val="00187702"/>
    <w:rsid w:val="0018798D"/>
    <w:rsid w:val="00187A38"/>
    <w:rsid w:val="00187AE6"/>
    <w:rsid w:val="00187BD6"/>
    <w:rsid w:val="00187C73"/>
    <w:rsid w:val="00187CDE"/>
    <w:rsid w:val="00187EBD"/>
    <w:rsid w:val="0019048E"/>
    <w:rsid w:val="0019052B"/>
    <w:rsid w:val="00190678"/>
    <w:rsid w:val="001907F3"/>
    <w:rsid w:val="00190DA6"/>
    <w:rsid w:val="00190E6C"/>
    <w:rsid w:val="00190E9F"/>
    <w:rsid w:val="00190F86"/>
    <w:rsid w:val="0019126D"/>
    <w:rsid w:val="00191327"/>
    <w:rsid w:val="0019141B"/>
    <w:rsid w:val="001916C3"/>
    <w:rsid w:val="001917F9"/>
    <w:rsid w:val="00191855"/>
    <w:rsid w:val="0019198B"/>
    <w:rsid w:val="001919E1"/>
    <w:rsid w:val="00191AE8"/>
    <w:rsid w:val="00191DEF"/>
    <w:rsid w:val="00191ED8"/>
    <w:rsid w:val="00191F52"/>
    <w:rsid w:val="00192051"/>
    <w:rsid w:val="00192339"/>
    <w:rsid w:val="001923B7"/>
    <w:rsid w:val="001923FD"/>
    <w:rsid w:val="001924BC"/>
    <w:rsid w:val="0019261E"/>
    <w:rsid w:val="00192634"/>
    <w:rsid w:val="001926B0"/>
    <w:rsid w:val="00192BC7"/>
    <w:rsid w:val="0019339D"/>
    <w:rsid w:val="0019351E"/>
    <w:rsid w:val="0019362A"/>
    <w:rsid w:val="001936EB"/>
    <w:rsid w:val="001938AA"/>
    <w:rsid w:val="00193923"/>
    <w:rsid w:val="00193978"/>
    <w:rsid w:val="00193982"/>
    <w:rsid w:val="00193B6A"/>
    <w:rsid w:val="00193CA0"/>
    <w:rsid w:val="00193EB3"/>
    <w:rsid w:val="00193F29"/>
    <w:rsid w:val="00194042"/>
    <w:rsid w:val="00194A5A"/>
    <w:rsid w:val="00194B2D"/>
    <w:rsid w:val="00194B40"/>
    <w:rsid w:val="00194C11"/>
    <w:rsid w:val="00194C41"/>
    <w:rsid w:val="00194C9A"/>
    <w:rsid w:val="00194D41"/>
    <w:rsid w:val="00194D81"/>
    <w:rsid w:val="00194E37"/>
    <w:rsid w:val="0019526A"/>
    <w:rsid w:val="00195409"/>
    <w:rsid w:val="001954F0"/>
    <w:rsid w:val="0019564A"/>
    <w:rsid w:val="001956E5"/>
    <w:rsid w:val="001957B2"/>
    <w:rsid w:val="00195D0E"/>
    <w:rsid w:val="00195E02"/>
    <w:rsid w:val="00195E69"/>
    <w:rsid w:val="00196098"/>
    <w:rsid w:val="001960CB"/>
    <w:rsid w:val="00196223"/>
    <w:rsid w:val="0019626E"/>
    <w:rsid w:val="00196323"/>
    <w:rsid w:val="00196594"/>
    <w:rsid w:val="001965A9"/>
    <w:rsid w:val="0019661C"/>
    <w:rsid w:val="00196620"/>
    <w:rsid w:val="0019664B"/>
    <w:rsid w:val="00196689"/>
    <w:rsid w:val="001966C3"/>
    <w:rsid w:val="001967FC"/>
    <w:rsid w:val="00196C59"/>
    <w:rsid w:val="00196C95"/>
    <w:rsid w:val="00196DA4"/>
    <w:rsid w:val="00196FE7"/>
    <w:rsid w:val="00197264"/>
    <w:rsid w:val="00197397"/>
    <w:rsid w:val="0019741A"/>
    <w:rsid w:val="00197630"/>
    <w:rsid w:val="00197651"/>
    <w:rsid w:val="001976E9"/>
    <w:rsid w:val="0019789A"/>
    <w:rsid w:val="00197B04"/>
    <w:rsid w:val="00197C5C"/>
    <w:rsid w:val="00197E03"/>
    <w:rsid w:val="001A005E"/>
    <w:rsid w:val="001A00BA"/>
    <w:rsid w:val="001A01FF"/>
    <w:rsid w:val="001A0223"/>
    <w:rsid w:val="001A0510"/>
    <w:rsid w:val="001A0730"/>
    <w:rsid w:val="001A082B"/>
    <w:rsid w:val="001A0893"/>
    <w:rsid w:val="001A089D"/>
    <w:rsid w:val="001A0AF6"/>
    <w:rsid w:val="001A0B2A"/>
    <w:rsid w:val="001A0B71"/>
    <w:rsid w:val="001A0D27"/>
    <w:rsid w:val="001A0F1F"/>
    <w:rsid w:val="001A14AD"/>
    <w:rsid w:val="001A151E"/>
    <w:rsid w:val="001A16C7"/>
    <w:rsid w:val="001A18C0"/>
    <w:rsid w:val="001A1A15"/>
    <w:rsid w:val="001A1A17"/>
    <w:rsid w:val="001A1A70"/>
    <w:rsid w:val="001A1BCE"/>
    <w:rsid w:val="001A1F7A"/>
    <w:rsid w:val="001A213E"/>
    <w:rsid w:val="001A2518"/>
    <w:rsid w:val="001A253C"/>
    <w:rsid w:val="001A26B9"/>
    <w:rsid w:val="001A2704"/>
    <w:rsid w:val="001A2777"/>
    <w:rsid w:val="001A2869"/>
    <w:rsid w:val="001A2998"/>
    <w:rsid w:val="001A2AAA"/>
    <w:rsid w:val="001A2B3A"/>
    <w:rsid w:val="001A2D3E"/>
    <w:rsid w:val="001A2FFB"/>
    <w:rsid w:val="001A3193"/>
    <w:rsid w:val="001A32C4"/>
    <w:rsid w:val="001A341D"/>
    <w:rsid w:val="001A34F5"/>
    <w:rsid w:val="001A3822"/>
    <w:rsid w:val="001A389C"/>
    <w:rsid w:val="001A3914"/>
    <w:rsid w:val="001A39CA"/>
    <w:rsid w:val="001A3A75"/>
    <w:rsid w:val="001A3BA9"/>
    <w:rsid w:val="001A3C3D"/>
    <w:rsid w:val="001A3E6E"/>
    <w:rsid w:val="001A3EBD"/>
    <w:rsid w:val="001A3FC6"/>
    <w:rsid w:val="001A409D"/>
    <w:rsid w:val="001A43DF"/>
    <w:rsid w:val="001A455E"/>
    <w:rsid w:val="001A4846"/>
    <w:rsid w:val="001A4992"/>
    <w:rsid w:val="001A49CB"/>
    <w:rsid w:val="001A4B01"/>
    <w:rsid w:val="001A4D63"/>
    <w:rsid w:val="001A4DEE"/>
    <w:rsid w:val="001A5287"/>
    <w:rsid w:val="001A557B"/>
    <w:rsid w:val="001A57E3"/>
    <w:rsid w:val="001A5B8C"/>
    <w:rsid w:val="001A5BD8"/>
    <w:rsid w:val="001A5C86"/>
    <w:rsid w:val="001A5E1A"/>
    <w:rsid w:val="001A608B"/>
    <w:rsid w:val="001A624C"/>
    <w:rsid w:val="001A655C"/>
    <w:rsid w:val="001A69AA"/>
    <w:rsid w:val="001A6A5C"/>
    <w:rsid w:val="001A6CBD"/>
    <w:rsid w:val="001A6E8A"/>
    <w:rsid w:val="001A6F26"/>
    <w:rsid w:val="001A6F39"/>
    <w:rsid w:val="001A6FE7"/>
    <w:rsid w:val="001A72D7"/>
    <w:rsid w:val="001A74DB"/>
    <w:rsid w:val="001A7574"/>
    <w:rsid w:val="001A76FA"/>
    <w:rsid w:val="001A784F"/>
    <w:rsid w:val="001A7896"/>
    <w:rsid w:val="001A7A38"/>
    <w:rsid w:val="001A7BAC"/>
    <w:rsid w:val="001A7C97"/>
    <w:rsid w:val="001A7CCD"/>
    <w:rsid w:val="001A7CD4"/>
    <w:rsid w:val="001A7DC4"/>
    <w:rsid w:val="001A7E4B"/>
    <w:rsid w:val="001A7EBF"/>
    <w:rsid w:val="001A7F2D"/>
    <w:rsid w:val="001A7FCB"/>
    <w:rsid w:val="001B01AF"/>
    <w:rsid w:val="001B01E4"/>
    <w:rsid w:val="001B02BE"/>
    <w:rsid w:val="001B04D0"/>
    <w:rsid w:val="001B064E"/>
    <w:rsid w:val="001B06D7"/>
    <w:rsid w:val="001B07F6"/>
    <w:rsid w:val="001B0A60"/>
    <w:rsid w:val="001B0AA9"/>
    <w:rsid w:val="001B0D66"/>
    <w:rsid w:val="001B0EDB"/>
    <w:rsid w:val="001B0FF7"/>
    <w:rsid w:val="001B1005"/>
    <w:rsid w:val="001B1015"/>
    <w:rsid w:val="001B1059"/>
    <w:rsid w:val="001B10D5"/>
    <w:rsid w:val="001B115C"/>
    <w:rsid w:val="001B1522"/>
    <w:rsid w:val="001B1635"/>
    <w:rsid w:val="001B18A5"/>
    <w:rsid w:val="001B191F"/>
    <w:rsid w:val="001B1C22"/>
    <w:rsid w:val="001B1D90"/>
    <w:rsid w:val="001B1DA5"/>
    <w:rsid w:val="001B1E0B"/>
    <w:rsid w:val="001B267D"/>
    <w:rsid w:val="001B2751"/>
    <w:rsid w:val="001B287C"/>
    <w:rsid w:val="001B2897"/>
    <w:rsid w:val="001B28BD"/>
    <w:rsid w:val="001B28C6"/>
    <w:rsid w:val="001B2A77"/>
    <w:rsid w:val="001B2A80"/>
    <w:rsid w:val="001B2AD5"/>
    <w:rsid w:val="001B2C40"/>
    <w:rsid w:val="001B2D88"/>
    <w:rsid w:val="001B2EDF"/>
    <w:rsid w:val="001B2F2A"/>
    <w:rsid w:val="001B3190"/>
    <w:rsid w:val="001B32D7"/>
    <w:rsid w:val="001B3382"/>
    <w:rsid w:val="001B3385"/>
    <w:rsid w:val="001B3503"/>
    <w:rsid w:val="001B36B7"/>
    <w:rsid w:val="001B36E0"/>
    <w:rsid w:val="001B3745"/>
    <w:rsid w:val="001B38B8"/>
    <w:rsid w:val="001B3E4D"/>
    <w:rsid w:val="001B3EB3"/>
    <w:rsid w:val="001B400F"/>
    <w:rsid w:val="001B4096"/>
    <w:rsid w:val="001B4233"/>
    <w:rsid w:val="001B42AC"/>
    <w:rsid w:val="001B433E"/>
    <w:rsid w:val="001B43A1"/>
    <w:rsid w:val="001B43FA"/>
    <w:rsid w:val="001B459E"/>
    <w:rsid w:val="001B49AD"/>
    <w:rsid w:val="001B49BB"/>
    <w:rsid w:val="001B4A87"/>
    <w:rsid w:val="001B4B59"/>
    <w:rsid w:val="001B4D38"/>
    <w:rsid w:val="001B4D88"/>
    <w:rsid w:val="001B4DBC"/>
    <w:rsid w:val="001B4DE6"/>
    <w:rsid w:val="001B4FDA"/>
    <w:rsid w:val="001B4FF6"/>
    <w:rsid w:val="001B51D8"/>
    <w:rsid w:val="001B525C"/>
    <w:rsid w:val="001B5286"/>
    <w:rsid w:val="001B5300"/>
    <w:rsid w:val="001B5449"/>
    <w:rsid w:val="001B556C"/>
    <w:rsid w:val="001B56F2"/>
    <w:rsid w:val="001B575F"/>
    <w:rsid w:val="001B5988"/>
    <w:rsid w:val="001B5A5E"/>
    <w:rsid w:val="001B5CAD"/>
    <w:rsid w:val="001B5DB2"/>
    <w:rsid w:val="001B6175"/>
    <w:rsid w:val="001B6626"/>
    <w:rsid w:val="001B682B"/>
    <w:rsid w:val="001B68C7"/>
    <w:rsid w:val="001B6C4C"/>
    <w:rsid w:val="001B6CF8"/>
    <w:rsid w:val="001B6DE9"/>
    <w:rsid w:val="001B7045"/>
    <w:rsid w:val="001B7046"/>
    <w:rsid w:val="001B7054"/>
    <w:rsid w:val="001B736C"/>
    <w:rsid w:val="001B7490"/>
    <w:rsid w:val="001B75FF"/>
    <w:rsid w:val="001B7742"/>
    <w:rsid w:val="001B783C"/>
    <w:rsid w:val="001B78F8"/>
    <w:rsid w:val="001B7978"/>
    <w:rsid w:val="001B7A57"/>
    <w:rsid w:val="001B7D99"/>
    <w:rsid w:val="001C000B"/>
    <w:rsid w:val="001C0086"/>
    <w:rsid w:val="001C0362"/>
    <w:rsid w:val="001C03F9"/>
    <w:rsid w:val="001C0568"/>
    <w:rsid w:val="001C0835"/>
    <w:rsid w:val="001C0DF7"/>
    <w:rsid w:val="001C10B7"/>
    <w:rsid w:val="001C113F"/>
    <w:rsid w:val="001C11AB"/>
    <w:rsid w:val="001C13F6"/>
    <w:rsid w:val="001C145D"/>
    <w:rsid w:val="001C147C"/>
    <w:rsid w:val="001C14A5"/>
    <w:rsid w:val="001C171E"/>
    <w:rsid w:val="001C17C4"/>
    <w:rsid w:val="001C19C1"/>
    <w:rsid w:val="001C1BDB"/>
    <w:rsid w:val="001C1D6B"/>
    <w:rsid w:val="001C20A9"/>
    <w:rsid w:val="001C216D"/>
    <w:rsid w:val="001C21CB"/>
    <w:rsid w:val="001C21E2"/>
    <w:rsid w:val="001C2204"/>
    <w:rsid w:val="001C229E"/>
    <w:rsid w:val="001C24A5"/>
    <w:rsid w:val="001C2678"/>
    <w:rsid w:val="001C26F0"/>
    <w:rsid w:val="001C27AF"/>
    <w:rsid w:val="001C2B81"/>
    <w:rsid w:val="001C2D11"/>
    <w:rsid w:val="001C2F03"/>
    <w:rsid w:val="001C32DD"/>
    <w:rsid w:val="001C3302"/>
    <w:rsid w:val="001C33AF"/>
    <w:rsid w:val="001C3570"/>
    <w:rsid w:val="001C35A9"/>
    <w:rsid w:val="001C3696"/>
    <w:rsid w:val="001C37BE"/>
    <w:rsid w:val="001C3981"/>
    <w:rsid w:val="001C3A7F"/>
    <w:rsid w:val="001C3B3C"/>
    <w:rsid w:val="001C3C97"/>
    <w:rsid w:val="001C3CE0"/>
    <w:rsid w:val="001C3E8C"/>
    <w:rsid w:val="001C3F16"/>
    <w:rsid w:val="001C400F"/>
    <w:rsid w:val="001C40AF"/>
    <w:rsid w:val="001C4126"/>
    <w:rsid w:val="001C4721"/>
    <w:rsid w:val="001C47CE"/>
    <w:rsid w:val="001C4844"/>
    <w:rsid w:val="001C4993"/>
    <w:rsid w:val="001C4BAA"/>
    <w:rsid w:val="001C4C44"/>
    <w:rsid w:val="001C4EAF"/>
    <w:rsid w:val="001C5192"/>
    <w:rsid w:val="001C51CF"/>
    <w:rsid w:val="001C528A"/>
    <w:rsid w:val="001C542E"/>
    <w:rsid w:val="001C5452"/>
    <w:rsid w:val="001C5482"/>
    <w:rsid w:val="001C54EB"/>
    <w:rsid w:val="001C5521"/>
    <w:rsid w:val="001C5907"/>
    <w:rsid w:val="001C5AA8"/>
    <w:rsid w:val="001C5B6E"/>
    <w:rsid w:val="001C5CF4"/>
    <w:rsid w:val="001C6137"/>
    <w:rsid w:val="001C61D2"/>
    <w:rsid w:val="001C6255"/>
    <w:rsid w:val="001C65CC"/>
    <w:rsid w:val="001C669C"/>
    <w:rsid w:val="001C6789"/>
    <w:rsid w:val="001C68DD"/>
    <w:rsid w:val="001C6A15"/>
    <w:rsid w:val="001C6A17"/>
    <w:rsid w:val="001C6A42"/>
    <w:rsid w:val="001C6A83"/>
    <w:rsid w:val="001C6BAB"/>
    <w:rsid w:val="001C6F5C"/>
    <w:rsid w:val="001C714E"/>
    <w:rsid w:val="001C7368"/>
    <w:rsid w:val="001C74D3"/>
    <w:rsid w:val="001C7635"/>
    <w:rsid w:val="001C797D"/>
    <w:rsid w:val="001C7A66"/>
    <w:rsid w:val="001C7B97"/>
    <w:rsid w:val="001C7C34"/>
    <w:rsid w:val="001C7CF3"/>
    <w:rsid w:val="001C7D26"/>
    <w:rsid w:val="001C7D46"/>
    <w:rsid w:val="001C7EF8"/>
    <w:rsid w:val="001C7F4F"/>
    <w:rsid w:val="001C7F93"/>
    <w:rsid w:val="001C7FB5"/>
    <w:rsid w:val="001D0209"/>
    <w:rsid w:val="001D092A"/>
    <w:rsid w:val="001D0CA8"/>
    <w:rsid w:val="001D0FB7"/>
    <w:rsid w:val="001D108B"/>
    <w:rsid w:val="001D1165"/>
    <w:rsid w:val="001D1361"/>
    <w:rsid w:val="001D144D"/>
    <w:rsid w:val="001D1671"/>
    <w:rsid w:val="001D169F"/>
    <w:rsid w:val="001D16A3"/>
    <w:rsid w:val="001D16D3"/>
    <w:rsid w:val="001D1766"/>
    <w:rsid w:val="001D17B5"/>
    <w:rsid w:val="001D199B"/>
    <w:rsid w:val="001D19CD"/>
    <w:rsid w:val="001D1AA8"/>
    <w:rsid w:val="001D1F9E"/>
    <w:rsid w:val="001D2188"/>
    <w:rsid w:val="001D24D2"/>
    <w:rsid w:val="001D25F0"/>
    <w:rsid w:val="001D26DA"/>
    <w:rsid w:val="001D279F"/>
    <w:rsid w:val="001D2D35"/>
    <w:rsid w:val="001D2DE2"/>
    <w:rsid w:val="001D2F79"/>
    <w:rsid w:val="001D30A2"/>
    <w:rsid w:val="001D30C8"/>
    <w:rsid w:val="001D3132"/>
    <w:rsid w:val="001D320F"/>
    <w:rsid w:val="001D3367"/>
    <w:rsid w:val="001D358E"/>
    <w:rsid w:val="001D3599"/>
    <w:rsid w:val="001D3683"/>
    <w:rsid w:val="001D3827"/>
    <w:rsid w:val="001D3A6D"/>
    <w:rsid w:val="001D3C2D"/>
    <w:rsid w:val="001D3D15"/>
    <w:rsid w:val="001D3D78"/>
    <w:rsid w:val="001D400D"/>
    <w:rsid w:val="001D40EF"/>
    <w:rsid w:val="001D4347"/>
    <w:rsid w:val="001D4403"/>
    <w:rsid w:val="001D4651"/>
    <w:rsid w:val="001D46F1"/>
    <w:rsid w:val="001D4807"/>
    <w:rsid w:val="001D4951"/>
    <w:rsid w:val="001D4A15"/>
    <w:rsid w:val="001D4AF1"/>
    <w:rsid w:val="001D4BED"/>
    <w:rsid w:val="001D4FB5"/>
    <w:rsid w:val="001D55EF"/>
    <w:rsid w:val="001D5744"/>
    <w:rsid w:val="001D583D"/>
    <w:rsid w:val="001D5CCD"/>
    <w:rsid w:val="001D5D65"/>
    <w:rsid w:val="001D5DDA"/>
    <w:rsid w:val="001D5E71"/>
    <w:rsid w:val="001D5EF3"/>
    <w:rsid w:val="001D60EB"/>
    <w:rsid w:val="001D6163"/>
    <w:rsid w:val="001D61AD"/>
    <w:rsid w:val="001D61BB"/>
    <w:rsid w:val="001D62DB"/>
    <w:rsid w:val="001D6479"/>
    <w:rsid w:val="001D69BB"/>
    <w:rsid w:val="001D69C3"/>
    <w:rsid w:val="001D6A55"/>
    <w:rsid w:val="001D6A8A"/>
    <w:rsid w:val="001D6AFC"/>
    <w:rsid w:val="001D6BAD"/>
    <w:rsid w:val="001D6DC6"/>
    <w:rsid w:val="001D6F23"/>
    <w:rsid w:val="001D7028"/>
    <w:rsid w:val="001D7081"/>
    <w:rsid w:val="001D708A"/>
    <w:rsid w:val="001D70BB"/>
    <w:rsid w:val="001D70F5"/>
    <w:rsid w:val="001D7184"/>
    <w:rsid w:val="001D7198"/>
    <w:rsid w:val="001D72A6"/>
    <w:rsid w:val="001D7449"/>
    <w:rsid w:val="001D75C4"/>
    <w:rsid w:val="001D7614"/>
    <w:rsid w:val="001D7739"/>
    <w:rsid w:val="001D7787"/>
    <w:rsid w:val="001D79CA"/>
    <w:rsid w:val="001D7B9C"/>
    <w:rsid w:val="001D7D9C"/>
    <w:rsid w:val="001D7FCC"/>
    <w:rsid w:val="001E0076"/>
    <w:rsid w:val="001E01F9"/>
    <w:rsid w:val="001E02C3"/>
    <w:rsid w:val="001E035B"/>
    <w:rsid w:val="001E05B2"/>
    <w:rsid w:val="001E0620"/>
    <w:rsid w:val="001E07DA"/>
    <w:rsid w:val="001E07E6"/>
    <w:rsid w:val="001E081C"/>
    <w:rsid w:val="001E082D"/>
    <w:rsid w:val="001E0877"/>
    <w:rsid w:val="001E0A03"/>
    <w:rsid w:val="001E0A09"/>
    <w:rsid w:val="001E0BB7"/>
    <w:rsid w:val="001E0C64"/>
    <w:rsid w:val="001E0CC4"/>
    <w:rsid w:val="001E0CD6"/>
    <w:rsid w:val="001E0DBD"/>
    <w:rsid w:val="001E0DF8"/>
    <w:rsid w:val="001E10E3"/>
    <w:rsid w:val="001E1207"/>
    <w:rsid w:val="001E1248"/>
    <w:rsid w:val="001E125D"/>
    <w:rsid w:val="001E1295"/>
    <w:rsid w:val="001E15E4"/>
    <w:rsid w:val="001E18AF"/>
    <w:rsid w:val="001E1927"/>
    <w:rsid w:val="001E19B9"/>
    <w:rsid w:val="001E1A22"/>
    <w:rsid w:val="001E1BE0"/>
    <w:rsid w:val="001E1E7A"/>
    <w:rsid w:val="001E1EA9"/>
    <w:rsid w:val="001E1F04"/>
    <w:rsid w:val="001E20CC"/>
    <w:rsid w:val="001E2164"/>
    <w:rsid w:val="001E22F0"/>
    <w:rsid w:val="001E23CC"/>
    <w:rsid w:val="001E2484"/>
    <w:rsid w:val="001E27BE"/>
    <w:rsid w:val="001E27FA"/>
    <w:rsid w:val="001E280C"/>
    <w:rsid w:val="001E2853"/>
    <w:rsid w:val="001E28A4"/>
    <w:rsid w:val="001E28BA"/>
    <w:rsid w:val="001E2AB6"/>
    <w:rsid w:val="001E2BD6"/>
    <w:rsid w:val="001E2C57"/>
    <w:rsid w:val="001E2CBA"/>
    <w:rsid w:val="001E34FF"/>
    <w:rsid w:val="001E3898"/>
    <w:rsid w:val="001E38E8"/>
    <w:rsid w:val="001E3904"/>
    <w:rsid w:val="001E3B1E"/>
    <w:rsid w:val="001E3B91"/>
    <w:rsid w:val="001E3DCE"/>
    <w:rsid w:val="001E3E0B"/>
    <w:rsid w:val="001E3EDB"/>
    <w:rsid w:val="001E3F86"/>
    <w:rsid w:val="001E405B"/>
    <w:rsid w:val="001E418D"/>
    <w:rsid w:val="001E41F8"/>
    <w:rsid w:val="001E427E"/>
    <w:rsid w:val="001E445E"/>
    <w:rsid w:val="001E4477"/>
    <w:rsid w:val="001E44D4"/>
    <w:rsid w:val="001E450C"/>
    <w:rsid w:val="001E4C1D"/>
    <w:rsid w:val="001E4C3C"/>
    <w:rsid w:val="001E4CF5"/>
    <w:rsid w:val="001E5000"/>
    <w:rsid w:val="001E549D"/>
    <w:rsid w:val="001E5616"/>
    <w:rsid w:val="001E5688"/>
    <w:rsid w:val="001E57A8"/>
    <w:rsid w:val="001E5A51"/>
    <w:rsid w:val="001E5F7E"/>
    <w:rsid w:val="001E6129"/>
    <w:rsid w:val="001E62B4"/>
    <w:rsid w:val="001E644C"/>
    <w:rsid w:val="001E675C"/>
    <w:rsid w:val="001E67C4"/>
    <w:rsid w:val="001E6A38"/>
    <w:rsid w:val="001E6B24"/>
    <w:rsid w:val="001E6C7A"/>
    <w:rsid w:val="001E6CFA"/>
    <w:rsid w:val="001E6FA7"/>
    <w:rsid w:val="001E70DB"/>
    <w:rsid w:val="001E729D"/>
    <w:rsid w:val="001E755C"/>
    <w:rsid w:val="001E7675"/>
    <w:rsid w:val="001E7841"/>
    <w:rsid w:val="001E7A16"/>
    <w:rsid w:val="001E7B6F"/>
    <w:rsid w:val="001E7CCD"/>
    <w:rsid w:val="001E7FDA"/>
    <w:rsid w:val="001F0088"/>
    <w:rsid w:val="001F01AC"/>
    <w:rsid w:val="001F02BE"/>
    <w:rsid w:val="001F04C8"/>
    <w:rsid w:val="001F0525"/>
    <w:rsid w:val="001F0650"/>
    <w:rsid w:val="001F071C"/>
    <w:rsid w:val="001F076E"/>
    <w:rsid w:val="001F08F8"/>
    <w:rsid w:val="001F0924"/>
    <w:rsid w:val="001F0B59"/>
    <w:rsid w:val="001F0BE0"/>
    <w:rsid w:val="001F0C83"/>
    <w:rsid w:val="001F0D04"/>
    <w:rsid w:val="001F0D11"/>
    <w:rsid w:val="001F0E61"/>
    <w:rsid w:val="001F1037"/>
    <w:rsid w:val="001F117B"/>
    <w:rsid w:val="001F187E"/>
    <w:rsid w:val="001F1E83"/>
    <w:rsid w:val="001F1EC3"/>
    <w:rsid w:val="001F1F55"/>
    <w:rsid w:val="001F1FCE"/>
    <w:rsid w:val="001F202C"/>
    <w:rsid w:val="001F20CA"/>
    <w:rsid w:val="001F2174"/>
    <w:rsid w:val="001F2639"/>
    <w:rsid w:val="001F282C"/>
    <w:rsid w:val="001F28C7"/>
    <w:rsid w:val="001F29EC"/>
    <w:rsid w:val="001F2A15"/>
    <w:rsid w:val="001F2A8F"/>
    <w:rsid w:val="001F2A99"/>
    <w:rsid w:val="001F2C70"/>
    <w:rsid w:val="001F2DAC"/>
    <w:rsid w:val="001F2F1F"/>
    <w:rsid w:val="001F3078"/>
    <w:rsid w:val="001F336E"/>
    <w:rsid w:val="001F3382"/>
    <w:rsid w:val="001F33CE"/>
    <w:rsid w:val="001F3546"/>
    <w:rsid w:val="001F35BF"/>
    <w:rsid w:val="001F35E7"/>
    <w:rsid w:val="001F3666"/>
    <w:rsid w:val="001F3705"/>
    <w:rsid w:val="001F3729"/>
    <w:rsid w:val="001F3924"/>
    <w:rsid w:val="001F3928"/>
    <w:rsid w:val="001F39B1"/>
    <w:rsid w:val="001F3C1F"/>
    <w:rsid w:val="001F3F9E"/>
    <w:rsid w:val="001F4162"/>
    <w:rsid w:val="001F416A"/>
    <w:rsid w:val="001F41CE"/>
    <w:rsid w:val="001F4244"/>
    <w:rsid w:val="001F4348"/>
    <w:rsid w:val="001F4392"/>
    <w:rsid w:val="001F4790"/>
    <w:rsid w:val="001F4956"/>
    <w:rsid w:val="001F495C"/>
    <w:rsid w:val="001F4A95"/>
    <w:rsid w:val="001F4AC1"/>
    <w:rsid w:val="001F4D03"/>
    <w:rsid w:val="001F4D13"/>
    <w:rsid w:val="001F4E3A"/>
    <w:rsid w:val="001F4EDB"/>
    <w:rsid w:val="001F4F87"/>
    <w:rsid w:val="001F5003"/>
    <w:rsid w:val="001F5155"/>
    <w:rsid w:val="001F51DC"/>
    <w:rsid w:val="001F54D3"/>
    <w:rsid w:val="001F5615"/>
    <w:rsid w:val="001F56BE"/>
    <w:rsid w:val="001F576C"/>
    <w:rsid w:val="001F58B4"/>
    <w:rsid w:val="001F5BF2"/>
    <w:rsid w:val="001F5C1F"/>
    <w:rsid w:val="001F5C7C"/>
    <w:rsid w:val="001F5D84"/>
    <w:rsid w:val="001F5E75"/>
    <w:rsid w:val="001F5EB0"/>
    <w:rsid w:val="001F6504"/>
    <w:rsid w:val="001F68E2"/>
    <w:rsid w:val="001F6B2F"/>
    <w:rsid w:val="001F6BC5"/>
    <w:rsid w:val="001F713C"/>
    <w:rsid w:val="001F718F"/>
    <w:rsid w:val="001F72A5"/>
    <w:rsid w:val="001F74BD"/>
    <w:rsid w:val="001F7644"/>
    <w:rsid w:val="001F7C55"/>
    <w:rsid w:val="001F7C9A"/>
    <w:rsid w:val="001F7DA1"/>
    <w:rsid w:val="001F7F33"/>
    <w:rsid w:val="001F7FF6"/>
    <w:rsid w:val="002000FF"/>
    <w:rsid w:val="002005F5"/>
    <w:rsid w:val="0020085E"/>
    <w:rsid w:val="002008DC"/>
    <w:rsid w:val="00200982"/>
    <w:rsid w:val="002009A5"/>
    <w:rsid w:val="00200BDD"/>
    <w:rsid w:val="00200D2E"/>
    <w:rsid w:val="00200DEA"/>
    <w:rsid w:val="00200ED2"/>
    <w:rsid w:val="002010D0"/>
    <w:rsid w:val="0020134C"/>
    <w:rsid w:val="0020152A"/>
    <w:rsid w:val="00201593"/>
    <w:rsid w:val="0020167B"/>
    <w:rsid w:val="0020192D"/>
    <w:rsid w:val="002019F1"/>
    <w:rsid w:val="00201AD0"/>
    <w:rsid w:val="00201AF1"/>
    <w:rsid w:val="00201BDE"/>
    <w:rsid w:val="00201D13"/>
    <w:rsid w:val="00202245"/>
    <w:rsid w:val="00202505"/>
    <w:rsid w:val="00202738"/>
    <w:rsid w:val="002027BB"/>
    <w:rsid w:val="00202802"/>
    <w:rsid w:val="00202976"/>
    <w:rsid w:val="002029A7"/>
    <w:rsid w:val="002029CE"/>
    <w:rsid w:val="00202AEF"/>
    <w:rsid w:val="00202D16"/>
    <w:rsid w:val="00202E98"/>
    <w:rsid w:val="00202E9F"/>
    <w:rsid w:val="00202ED4"/>
    <w:rsid w:val="00202F1C"/>
    <w:rsid w:val="002030DE"/>
    <w:rsid w:val="002032E0"/>
    <w:rsid w:val="0020335E"/>
    <w:rsid w:val="002033F2"/>
    <w:rsid w:val="00203550"/>
    <w:rsid w:val="0020356D"/>
    <w:rsid w:val="002035CD"/>
    <w:rsid w:val="002035F9"/>
    <w:rsid w:val="0020360C"/>
    <w:rsid w:val="00203812"/>
    <w:rsid w:val="00203845"/>
    <w:rsid w:val="002039DF"/>
    <w:rsid w:val="00203A3E"/>
    <w:rsid w:val="00203A74"/>
    <w:rsid w:val="00203CE8"/>
    <w:rsid w:val="00203CEE"/>
    <w:rsid w:val="00203D6C"/>
    <w:rsid w:val="00203E68"/>
    <w:rsid w:val="00203F44"/>
    <w:rsid w:val="002040CB"/>
    <w:rsid w:val="002040EE"/>
    <w:rsid w:val="00204381"/>
    <w:rsid w:val="0020463B"/>
    <w:rsid w:val="002046C7"/>
    <w:rsid w:val="002046D3"/>
    <w:rsid w:val="00204823"/>
    <w:rsid w:val="002048DA"/>
    <w:rsid w:val="00204908"/>
    <w:rsid w:val="00204AD3"/>
    <w:rsid w:val="00204DFF"/>
    <w:rsid w:val="00204E24"/>
    <w:rsid w:val="00204E85"/>
    <w:rsid w:val="00204EA7"/>
    <w:rsid w:val="00204EEA"/>
    <w:rsid w:val="00205227"/>
    <w:rsid w:val="0020523B"/>
    <w:rsid w:val="002053A8"/>
    <w:rsid w:val="002053F2"/>
    <w:rsid w:val="002055A0"/>
    <w:rsid w:val="00205623"/>
    <w:rsid w:val="0020598E"/>
    <w:rsid w:val="00205A2E"/>
    <w:rsid w:val="00205B3B"/>
    <w:rsid w:val="00205CA0"/>
    <w:rsid w:val="00205CAD"/>
    <w:rsid w:val="00205D15"/>
    <w:rsid w:val="00205DB2"/>
    <w:rsid w:val="00206002"/>
    <w:rsid w:val="002060BD"/>
    <w:rsid w:val="0020635B"/>
    <w:rsid w:val="0020656D"/>
    <w:rsid w:val="00206771"/>
    <w:rsid w:val="0020689B"/>
    <w:rsid w:val="002068FB"/>
    <w:rsid w:val="00206B0C"/>
    <w:rsid w:val="00206B8B"/>
    <w:rsid w:val="00206CF0"/>
    <w:rsid w:val="00206DF6"/>
    <w:rsid w:val="00207033"/>
    <w:rsid w:val="00207120"/>
    <w:rsid w:val="0020722C"/>
    <w:rsid w:val="00207234"/>
    <w:rsid w:val="002072AE"/>
    <w:rsid w:val="002075B9"/>
    <w:rsid w:val="002075D9"/>
    <w:rsid w:val="00207AC9"/>
    <w:rsid w:val="00207C8E"/>
    <w:rsid w:val="00207D05"/>
    <w:rsid w:val="00207F84"/>
    <w:rsid w:val="00210096"/>
    <w:rsid w:val="0021015C"/>
    <w:rsid w:val="0021016C"/>
    <w:rsid w:val="002101CA"/>
    <w:rsid w:val="00210336"/>
    <w:rsid w:val="002103DE"/>
    <w:rsid w:val="002103FE"/>
    <w:rsid w:val="002104B3"/>
    <w:rsid w:val="00210605"/>
    <w:rsid w:val="00210709"/>
    <w:rsid w:val="002108A2"/>
    <w:rsid w:val="00210A40"/>
    <w:rsid w:val="00210B04"/>
    <w:rsid w:val="00210B80"/>
    <w:rsid w:val="00210D7C"/>
    <w:rsid w:val="00210F0C"/>
    <w:rsid w:val="00210F71"/>
    <w:rsid w:val="00211003"/>
    <w:rsid w:val="00211122"/>
    <w:rsid w:val="00211192"/>
    <w:rsid w:val="00211215"/>
    <w:rsid w:val="0021122B"/>
    <w:rsid w:val="0021132B"/>
    <w:rsid w:val="002113B8"/>
    <w:rsid w:val="002113CA"/>
    <w:rsid w:val="0021174D"/>
    <w:rsid w:val="00211CB6"/>
    <w:rsid w:val="00211DA9"/>
    <w:rsid w:val="00211EAE"/>
    <w:rsid w:val="00211F8F"/>
    <w:rsid w:val="0021223B"/>
    <w:rsid w:val="0021231A"/>
    <w:rsid w:val="0021257A"/>
    <w:rsid w:val="002126D3"/>
    <w:rsid w:val="002127FE"/>
    <w:rsid w:val="002128C2"/>
    <w:rsid w:val="00212999"/>
    <w:rsid w:val="00212BEA"/>
    <w:rsid w:val="00212C49"/>
    <w:rsid w:val="00212D66"/>
    <w:rsid w:val="00213259"/>
    <w:rsid w:val="002132E9"/>
    <w:rsid w:val="0021331F"/>
    <w:rsid w:val="002135EC"/>
    <w:rsid w:val="0021360B"/>
    <w:rsid w:val="0021370A"/>
    <w:rsid w:val="00213787"/>
    <w:rsid w:val="002137FB"/>
    <w:rsid w:val="002138DA"/>
    <w:rsid w:val="00213902"/>
    <w:rsid w:val="00213A17"/>
    <w:rsid w:val="00213B89"/>
    <w:rsid w:val="00213D05"/>
    <w:rsid w:val="00213F33"/>
    <w:rsid w:val="00213F93"/>
    <w:rsid w:val="00213FDB"/>
    <w:rsid w:val="002140B5"/>
    <w:rsid w:val="0021419A"/>
    <w:rsid w:val="002149D3"/>
    <w:rsid w:val="00214BE1"/>
    <w:rsid w:val="00214CF0"/>
    <w:rsid w:val="00214D50"/>
    <w:rsid w:val="00214D7D"/>
    <w:rsid w:val="00214D9E"/>
    <w:rsid w:val="00214E68"/>
    <w:rsid w:val="00214E69"/>
    <w:rsid w:val="00214E9D"/>
    <w:rsid w:val="0021500D"/>
    <w:rsid w:val="0021513F"/>
    <w:rsid w:val="002151F6"/>
    <w:rsid w:val="002154BE"/>
    <w:rsid w:val="002154FC"/>
    <w:rsid w:val="002156A1"/>
    <w:rsid w:val="002157F0"/>
    <w:rsid w:val="0021580A"/>
    <w:rsid w:val="00215837"/>
    <w:rsid w:val="00215EB3"/>
    <w:rsid w:val="002160B4"/>
    <w:rsid w:val="0021617F"/>
    <w:rsid w:val="0021638F"/>
    <w:rsid w:val="00216714"/>
    <w:rsid w:val="00216750"/>
    <w:rsid w:val="00216AE2"/>
    <w:rsid w:val="00216B11"/>
    <w:rsid w:val="00216C67"/>
    <w:rsid w:val="00216C7F"/>
    <w:rsid w:val="00216DF6"/>
    <w:rsid w:val="00216F7B"/>
    <w:rsid w:val="002171CD"/>
    <w:rsid w:val="002171F3"/>
    <w:rsid w:val="002172CD"/>
    <w:rsid w:val="002177AE"/>
    <w:rsid w:val="0021795E"/>
    <w:rsid w:val="00217978"/>
    <w:rsid w:val="002179B9"/>
    <w:rsid w:val="002179DE"/>
    <w:rsid w:val="00217A56"/>
    <w:rsid w:val="00217DA0"/>
    <w:rsid w:val="00220054"/>
    <w:rsid w:val="002200A5"/>
    <w:rsid w:val="0022033F"/>
    <w:rsid w:val="0022038D"/>
    <w:rsid w:val="00220A3A"/>
    <w:rsid w:val="00220C4C"/>
    <w:rsid w:val="00220D33"/>
    <w:rsid w:val="00220D47"/>
    <w:rsid w:val="00220E34"/>
    <w:rsid w:val="00220EE1"/>
    <w:rsid w:val="00220F26"/>
    <w:rsid w:val="002210CF"/>
    <w:rsid w:val="002211FC"/>
    <w:rsid w:val="00221252"/>
    <w:rsid w:val="002215EA"/>
    <w:rsid w:val="002216CD"/>
    <w:rsid w:val="002217EF"/>
    <w:rsid w:val="00221822"/>
    <w:rsid w:val="002219C0"/>
    <w:rsid w:val="00221D82"/>
    <w:rsid w:val="00221EA6"/>
    <w:rsid w:val="002220B9"/>
    <w:rsid w:val="00222109"/>
    <w:rsid w:val="00222141"/>
    <w:rsid w:val="002222E7"/>
    <w:rsid w:val="002225F0"/>
    <w:rsid w:val="00222691"/>
    <w:rsid w:val="002226DC"/>
    <w:rsid w:val="00222875"/>
    <w:rsid w:val="00222912"/>
    <w:rsid w:val="002229E8"/>
    <w:rsid w:val="00222CF3"/>
    <w:rsid w:val="00222D13"/>
    <w:rsid w:val="00222D28"/>
    <w:rsid w:val="00222DD3"/>
    <w:rsid w:val="00222E04"/>
    <w:rsid w:val="00222E5A"/>
    <w:rsid w:val="00222F65"/>
    <w:rsid w:val="002234F8"/>
    <w:rsid w:val="00223569"/>
    <w:rsid w:val="002238DE"/>
    <w:rsid w:val="00223932"/>
    <w:rsid w:val="0022397E"/>
    <w:rsid w:val="00223A17"/>
    <w:rsid w:val="00223B95"/>
    <w:rsid w:val="00223EBF"/>
    <w:rsid w:val="0022425F"/>
    <w:rsid w:val="002242F0"/>
    <w:rsid w:val="0022477E"/>
    <w:rsid w:val="002249A9"/>
    <w:rsid w:val="00224A29"/>
    <w:rsid w:val="00224BCA"/>
    <w:rsid w:val="00224C9F"/>
    <w:rsid w:val="00224EAE"/>
    <w:rsid w:val="00224F47"/>
    <w:rsid w:val="0022507C"/>
    <w:rsid w:val="00225145"/>
    <w:rsid w:val="002253E8"/>
    <w:rsid w:val="00225724"/>
    <w:rsid w:val="00225977"/>
    <w:rsid w:val="00225987"/>
    <w:rsid w:val="00225B40"/>
    <w:rsid w:val="00225BF1"/>
    <w:rsid w:val="00225DCC"/>
    <w:rsid w:val="00225DE6"/>
    <w:rsid w:val="0022622B"/>
    <w:rsid w:val="002264B6"/>
    <w:rsid w:val="0022687B"/>
    <w:rsid w:val="0022691B"/>
    <w:rsid w:val="00226A9D"/>
    <w:rsid w:val="00226B0A"/>
    <w:rsid w:val="00226BE3"/>
    <w:rsid w:val="00226DC2"/>
    <w:rsid w:val="00226E4E"/>
    <w:rsid w:val="00226EAA"/>
    <w:rsid w:val="00226EAE"/>
    <w:rsid w:val="002272DA"/>
    <w:rsid w:val="00227310"/>
    <w:rsid w:val="002278FE"/>
    <w:rsid w:val="00227B31"/>
    <w:rsid w:val="00227B53"/>
    <w:rsid w:val="00227BAD"/>
    <w:rsid w:val="00227CBF"/>
    <w:rsid w:val="00227D39"/>
    <w:rsid w:val="00227F68"/>
    <w:rsid w:val="00230074"/>
    <w:rsid w:val="00230140"/>
    <w:rsid w:val="0023032C"/>
    <w:rsid w:val="0023039B"/>
    <w:rsid w:val="002303CE"/>
    <w:rsid w:val="00230533"/>
    <w:rsid w:val="002305BE"/>
    <w:rsid w:val="00230744"/>
    <w:rsid w:val="002307AE"/>
    <w:rsid w:val="002307DB"/>
    <w:rsid w:val="00230812"/>
    <w:rsid w:val="00230826"/>
    <w:rsid w:val="00230A68"/>
    <w:rsid w:val="00230BD0"/>
    <w:rsid w:val="00230BFF"/>
    <w:rsid w:val="00230DB6"/>
    <w:rsid w:val="00230DC9"/>
    <w:rsid w:val="00230E4C"/>
    <w:rsid w:val="00230FAE"/>
    <w:rsid w:val="0023101C"/>
    <w:rsid w:val="0023105F"/>
    <w:rsid w:val="002310CB"/>
    <w:rsid w:val="002310FE"/>
    <w:rsid w:val="00231781"/>
    <w:rsid w:val="002318E2"/>
    <w:rsid w:val="002318FB"/>
    <w:rsid w:val="0023193C"/>
    <w:rsid w:val="002319D7"/>
    <w:rsid w:val="002319EE"/>
    <w:rsid w:val="00231B1C"/>
    <w:rsid w:val="00231CE6"/>
    <w:rsid w:val="00231D85"/>
    <w:rsid w:val="00232648"/>
    <w:rsid w:val="0023278E"/>
    <w:rsid w:val="00232A4D"/>
    <w:rsid w:val="00232AE0"/>
    <w:rsid w:val="00232B09"/>
    <w:rsid w:val="00232D91"/>
    <w:rsid w:val="00232DF7"/>
    <w:rsid w:val="00232E93"/>
    <w:rsid w:val="00232ECF"/>
    <w:rsid w:val="002332DD"/>
    <w:rsid w:val="00233446"/>
    <w:rsid w:val="002338DC"/>
    <w:rsid w:val="0023390A"/>
    <w:rsid w:val="002339CF"/>
    <w:rsid w:val="00233BAF"/>
    <w:rsid w:val="00233BCA"/>
    <w:rsid w:val="00233BEA"/>
    <w:rsid w:val="00233CB9"/>
    <w:rsid w:val="00233D3B"/>
    <w:rsid w:val="00233D72"/>
    <w:rsid w:val="00233EAD"/>
    <w:rsid w:val="00233FC8"/>
    <w:rsid w:val="00234031"/>
    <w:rsid w:val="0023408E"/>
    <w:rsid w:val="002340E2"/>
    <w:rsid w:val="002340F6"/>
    <w:rsid w:val="002345F4"/>
    <w:rsid w:val="00234700"/>
    <w:rsid w:val="002349CA"/>
    <w:rsid w:val="00234B4E"/>
    <w:rsid w:val="00234CA4"/>
    <w:rsid w:val="00234CD3"/>
    <w:rsid w:val="00234D84"/>
    <w:rsid w:val="00234DC7"/>
    <w:rsid w:val="00234E30"/>
    <w:rsid w:val="00235203"/>
    <w:rsid w:val="0023532E"/>
    <w:rsid w:val="00235331"/>
    <w:rsid w:val="0023545A"/>
    <w:rsid w:val="002359F0"/>
    <w:rsid w:val="00235C43"/>
    <w:rsid w:val="00235F6F"/>
    <w:rsid w:val="00235FB4"/>
    <w:rsid w:val="00236050"/>
    <w:rsid w:val="00236136"/>
    <w:rsid w:val="00236254"/>
    <w:rsid w:val="00236524"/>
    <w:rsid w:val="0023666E"/>
    <w:rsid w:val="0023678F"/>
    <w:rsid w:val="002367C8"/>
    <w:rsid w:val="00236C43"/>
    <w:rsid w:val="00236EF9"/>
    <w:rsid w:val="002370E4"/>
    <w:rsid w:val="002375F5"/>
    <w:rsid w:val="002377BF"/>
    <w:rsid w:val="002377CA"/>
    <w:rsid w:val="00237A4E"/>
    <w:rsid w:val="00237BE6"/>
    <w:rsid w:val="00237E76"/>
    <w:rsid w:val="00237E7F"/>
    <w:rsid w:val="00237E9E"/>
    <w:rsid w:val="00237F4F"/>
    <w:rsid w:val="00240076"/>
    <w:rsid w:val="00240293"/>
    <w:rsid w:val="00240381"/>
    <w:rsid w:val="0024041E"/>
    <w:rsid w:val="00240488"/>
    <w:rsid w:val="00240625"/>
    <w:rsid w:val="0024063A"/>
    <w:rsid w:val="002406FB"/>
    <w:rsid w:val="0024087C"/>
    <w:rsid w:val="00240CFD"/>
    <w:rsid w:val="00240D8E"/>
    <w:rsid w:val="00240E3A"/>
    <w:rsid w:val="00240EB8"/>
    <w:rsid w:val="002410B0"/>
    <w:rsid w:val="002412F5"/>
    <w:rsid w:val="0024130F"/>
    <w:rsid w:val="0024141A"/>
    <w:rsid w:val="0024143F"/>
    <w:rsid w:val="002415BF"/>
    <w:rsid w:val="00241670"/>
    <w:rsid w:val="0024188F"/>
    <w:rsid w:val="002419AA"/>
    <w:rsid w:val="002419AC"/>
    <w:rsid w:val="00241B29"/>
    <w:rsid w:val="00241D3F"/>
    <w:rsid w:val="00241FD0"/>
    <w:rsid w:val="002421E6"/>
    <w:rsid w:val="00242215"/>
    <w:rsid w:val="00242661"/>
    <w:rsid w:val="00242E17"/>
    <w:rsid w:val="00242EBE"/>
    <w:rsid w:val="0024343B"/>
    <w:rsid w:val="00243501"/>
    <w:rsid w:val="00243505"/>
    <w:rsid w:val="00243572"/>
    <w:rsid w:val="00243A1E"/>
    <w:rsid w:val="00243B06"/>
    <w:rsid w:val="00243EC2"/>
    <w:rsid w:val="00243F9B"/>
    <w:rsid w:val="002445F2"/>
    <w:rsid w:val="00244890"/>
    <w:rsid w:val="00244A57"/>
    <w:rsid w:val="00244AFC"/>
    <w:rsid w:val="00244C67"/>
    <w:rsid w:val="00244CEB"/>
    <w:rsid w:val="00244D36"/>
    <w:rsid w:val="00244E89"/>
    <w:rsid w:val="00244F7C"/>
    <w:rsid w:val="0024524C"/>
    <w:rsid w:val="0024535F"/>
    <w:rsid w:val="002453E1"/>
    <w:rsid w:val="00245517"/>
    <w:rsid w:val="0024570E"/>
    <w:rsid w:val="002458CE"/>
    <w:rsid w:val="00245AA6"/>
    <w:rsid w:val="00245ADE"/>
    <w:rsid w:val="00245DB5"/>
    <w:rsid w:val="00245EC0"/>
    <w:rsid w:val="00246064"/>
    <w:rsid w:val="002461C1"/>
    <w:rsid w:val="002461DD"/>
    <w:rsid w:val="002465C9"/>
    <w:rsid w:val="002466B9"/>
    <w:rsid w:val="002466F4"/>
    <w:rsid w:val="0024673E"/>
    <w:rsid w:val="002467C6"/>
    <w:rsid w:val="0024681D"/>
    <w:rsid w:val="00246948"/>
    <w:rsid w:val="00246A2D"/>
    <w:rsid w:val="00246C86"/>
    <w:rsid w:val="00246E02"/>
    <w:rsid w:val="00246EB1"/>
    <w:rsid w:val="00246FF7"/>
    <w:rsid w:val="00247055"/>
    <w:rsid w:val="002470AB"/>
    <w:rsid w:val="00247137"/>
    <w:rsid w:val="002475F2"/>
    <w:rsid w:val="00247766"/>
    <w:rsid w:val="002479D2"/>
    <w:rsid w:val="00247A0B"/>
    <w:rsid w:val="00247B79"/>
    <w:rsid w:val="00247C84"/>
    <w:rsid w:val="00247EA4"/>
    <w:rsid w:val="00247EA7"/>
    <w:rsid w:val="00250110"/>
    <w:rsid w:val="0025045F"/>
    <w:rsid w:val="002504DE"/>
    <w:rsid w:val="0025064F"/>
    <w:rsid w:val="002508A3"/>
    <w:rsid w:val="00250A31"/>
    <w:rsid w:val="00250BF5"/>
    <w:rsid w:val="00250CF2"/>
    <w:rsid w:val="00250D13"/>
    <w:rsid w:val="00250DE4"/>
    <w:rsid w:val="00250E16"/>
    <w:rsid w:val="00250FA8"/>
    <w:rsid w:val="002514A4"/>
    <w:rsid w:val="002515C6"/>
    <w:rsid w:val="0025163E"/>
    <w:rsid w:val="002516C9"/>
    <w:rsid w:val="002516DB"/>
    <w:rsid w:val="00251786"/>
    <w:rsid w:val="002517CB"/>
    <w:rsid w:val="0025187B"/>
    <w:rsid w:val="00251E65"/>
    <w:rsid w:val="00251F44"/>
    <w:rsid w:val="00251F68"/>
    <w:rsid w:val="00251FF3"/>
    <w:rsid w:val="002522B7"/>
    <w:rsid w:val="00252563"/>
    <w:rsid w:val="00252586"/>
    <w:rsid w:val="0025281F"/>
    <w:rsid w:val="002528AF"/>
    <w:rsid w:val="00252B59"/>
    <w:rsid w:val="00252CA8"/>
    <w:rsid w:val="00252F8E"/>
    <w:rsid w:val="00253226"/>
    <w:rsid w:val="0025337C"/>
    <w:rsid w:val="002533F7"/>
    <w:rsid w:val="00253481"/>
    <w:rsid w:val="0025348C"/>
    <w:rsid w:val="0025357F"/>
    <w:rsid w:val="002535AE"/>
    <w:rsid w:val="00253646"/>
    <w:rsid w:val="002536DE"/>
    <w:rsid w:val="0025377B"/>
    <w:rsid w:val="00253A77"/>
    <w:rsid w:val="00253A8C"/>
    <w:rsid w:val="00253B28"/>
    <w:rsid w:val="00253B82"/>
    <w:rsid w:val="00253C11"/>
    <w:rsid w:val="00253C50"/>
    <w:rsid w:val="00253D1F"/>
    <w:rsid w:val="00253D69"/>
    <w:rsid w:val="00253F61"/>
    <w:rsid w:val="00253FE4"/>
    <w:rsid w:val="00254072"/>
    <w:rsid w:val="00254137"/>
    <w:rsid w:val="00254221"/>
    <w:rsid w:val="002543A7"/>
    <w:rsid w:val="002544B0"/>
    <w:rsid w:val="0025459F"/>
    <w:rsid w:val="002546C4"/>
    <w:rsid w:val="0025473D"/>
    <w:rsid w:val="0025477A"/>
    <w:rsid w:val="002549E2"/>
    <w:rsid w:val="00254A23"/>
    <w:rsid w:val="00254A49"/>
    <w:rsid w:val="00254A4B"/>
    <w:rsid w:val="00254AF2"/>
    <w:rsid w:val="00254B54"/>
    <w:rsid w:val="00254BD0"/>
    <w:rsid w:val="00254CCA"/>
    <w:rsid w:val="00254CFB"/>
    <w:rsid w:val="00254D2E"/>
    <w:rsid w:val="00254FAB"/>
    <w:rsid w:val="0025504A"/>
    <w:rsid w:val="002550A1"/>
    <w:rsid w:val="00255659"/>
    <w:rsid w:val="00255AFC"/>
    <w:rsid w:val="00255C31"/>
    <w:rsid w:val="00255DB6"/>
    <w:rsid w:val="00255DD0"/>
    <w:rsid w:val="00255E5D"/>
    <w:rsid w:val="00255F0A"/>
    <w:rsid w:val="00255F82"/>
    <w:rsid w:val="00256011"/>
    <w:rsid w:val="00256045"/>
    <w:rsid w:val="00256795"/>
    <w:rsid w:val="00256A38"/>
    <w:rsid w:val="00256AD8"/>
    <w:rsid w:val="00256B25"/>
    <w:rsid w:val="00256CAF"/>
    <w:rsid w:val="00256CFF"/>
    <w:rsid w:val="00256DA2"/>
    <w:rsid w:val="00256EA9"/>
    <w:rsid w:val="00257300"/>
    <w:rsid w:val="00257411"/>
    <w:rsid w:val="00257458"/>
    <w:rsid w:val="002574B8"/>
    <w:rsid w:val="002577C6"/>
    <w:rsid w:val="002578AF"/>
    <w:rsid w:val="00257965"/>
    <w:rsid w:val="00257B22"/>
    <w:rsid w:val="00257C41"/>
    <w:rsid w:val="00257D8D"/>
    <w:rsid w:val="00257FED"/>
    <w:rsid w:val="00260242"/>
    <w:rsid w:val="00260771"/>
    <w:rsid w:val="002608DB"/>
    <w:rsid w:val="002608F4"/>
    <w:rsid w:val="00260998"/>
    <w:rsid w:val="002609E9"/>
    <w:rsid w:val="00260A80"/>
    <w:rsid w:val="00260AAB"/>
    <w:rsid w:val="00260AED"/>
    <w:rsid w:val="00260CE4"/>
    <w:rsid w:val="00260EA8"/>
    <w:rsid w:val="00261294"/>
    <w:rsid w:val="00261401"/>
    <w:rsid w:val="002616C5"/>
    <w:rsid w:val="002616F4"/>
    <w:rsid w:val="00261D62"/>
    <w:rsid w:val="00261D83"/>
    <w:rsid w:val="00261F59"/>
    <w:rsid w:val="00262043"/>
    <w:rsid w:val="0026204F"/>
    <w:rsid w:val="002624CC"/>
    <w:rsid w:val="0026250D"/>
    <w:rsid w:val="002625B1"/>
    <w:rsid w:val="00262648"/>
    <w:rsid w:val="00262B39"/>
    <w:rsid w:val="00262BCC"/>
    <w:rsid w:val="00262D27"/>
    <w:rsid w:val="00262DA3"/>
    <w:rsid w:val="00262E75"/>
    <w:rsid w:val="00262EE6"/>
    <w:rsid w:val="00262FB1"/>
    <w:rsid w:val="0026306A"/>
    <w:rsid w:val="0026312A"/>
    <w:rsid w:val="002631BA"/>
    <w:rsid w:val="00263265"/>
    <w:rsid w:val="0026339E"/>
    <w:rsid w:val="002633F1"/>
    <w:rsid w:val="0026350F"/>
    <w:rsid w:val="002635CC"/>
    <w:rsid w:val="002638AF"/>
    <w:rsid w:val="00263EB8"/>
    <w:rsid w:val="002640A6"/>
    <w:rsid w:val="002641BD"/>
    <w:rsid w:val="002642E8"/>
    <w:rsid w:val="002642FE"/>
    <w:rsid w:val="0026440C"/>
    <w:rsid w:val="00264528"/>
    <w:rsid w:val="0026459F"/>
    <w:rsid w:val="00264767"/>
    <w:rsid w:val="0026478C"/>
    <w:rsid w:val="002648F7"/>
    <w:rsid w:val="0026492D"/>
    <w:rsid w:val="00264A8C"/>
    <w:rsid w:val="00264C0C"/>
    <w:rsid w:val="00264C34"/>
    <w:rsid w:val="00264D54"/>
    <w:rsid w:val="00264D8D"/>
    <w:rsid w:val="002650E9"/>
    <w:rsid w:val="00265169"/>
    <w:rsid w:val="002652AD"/>
    <w:rsid w:val="00265671"/>
    <w:rsid w:val="002656AA"/>
    <w:rsid w:val="002657C0"/>
    <w:rsid w:val="0026585C"/>
    <w:rsid w:val="00265CD5"/>
    <w:rsid w:val="00265DAA"/>
    <w:rsid w:val="00265DB2"/>
    <w:rsid w:val="00265F5D"/>
    <w:rsid w:val="00266032"/>
    <w:rsid w:val="00266127"/>
    <w:rsid w:val="002661DC"/>
    <w:rsid w:val="00266240"/>
    <w:rsid w:val="0026645C"/>
    <w:rsid w:val="0026655C"/>
    <w:rsid w:val="00266585"/>
    <w:rsid w:val="00266840"/>
    <w:rsid w:val="00266887"/>
    <w:rsid w:val="002668E0"/>
    <w:rsid w:val="00266923"/>
    <w:rsid w:val="00266AD1"/>
    <w:rsid w:val="00266BCA"/>
    <w:rsid w:val="00266C60"/>
    <w:rsid w:val="00266CAC"/>
    <w:rsid w:val="00266CD3"/>
    <w:rsid w:val="00266EAF"/>
    <w:rsid w:val="00267435"/>
    <w:rsid w:val="002674A3"/>
    <w:rsid w:val="002678AF"/>
    <w:rsid w:val="00267A42"/>
    <w:rsid w:val="00267ACC"/>
    <w:rsid w:val="00267CE5"/>
    <w:rsid w:val="00267F35"/>
    <w:rsid w:val="0027011C"/>
    <w:rsid w:val="00270181"/>
    <w:rsid w:val="002701B1"/>
    <w:rsid w:val="00270353"/>
    <w:rsid w:val="002703C5"/>
    <w:rsid w:val="002704A2"/>
    <w:rsid w:val="00270BDD"/>
    <w:rsid w:val="00270C1C"/>
    <w:rsid w:val="00270D09"/>
    <w:rsid w:val="00270E9D"/>
    <w:rsid w:val="00270EF7"/>
    <w:rsid w:val="00270FC4"/>
    <w:rsid w:val="002710DF"/>
    <w:rsid w:val="00271344"/>
    <w:rsid w:val="00271480"/>
    <w:rsid w:val="00271488"/>
    <w:rsid w:val="002714C0"/>
    <w:rsid w:val="00271755"/>
    <w:rsid w:val="002718DF"/>
    <w:rsid w:val="0027196B"/>
    <w:rsid w:val="00271AC8"/>
    <w:rsid w:val="00271BA5"/>
    <w:rsid w:val="00271C71"/>
    <w:rsid w:val="00271CD7"/>
    <w:rsid w:val="00271D36"/>
    <w:rsid w:val="00271E9F"/>
    <w:rsid w:val="00272038"/>
    <w:rsid w:val="00272074"/>
    <w:rsid w:val="002720C7"/>
    <w:rsid w:val="00272131"/>
    <w:rsid w:val="0027217E"/>
    <w:rsid w:val="00272D5F"/>
    <w:rsid w:val="00272F91"/>
    <w:rsid w:val="00273070"/>
    <w:rsid w:val="00273289"/>
    <w:rsid w:val="0027332F"/>
    <w:rsid w:val="00273513"/>
    <w:rsid w:val="0027353A"/>
    <w:rsid w:val="0027361D"/>
    <w:rsid w:val="0027369A"/>
    <w:rsid w:val="002737FD"/>
    <w:rsid w:val="00273A8C"/>
    <w:rsid w:val="00273CBD"/>
    <w:rsid w:val="00273D41"/>
    <w:rsid w:val="00273D4A"/>
    <w:rsid w:val="00273EEF"/>
    <w:rsid w:val="002741D0"/>
    <w:rsid w:val="002743F9"/>
    <w:rsid w:val="002747CB"/>
    <w:rsid w:val="00274AA7"/>
    <w:rsid w:val="00274E9D"/>
    <w:rsid w:val="0027521D"/>
    <w:rsid w:val="00275320"/>
    <w:rsid w:val="002753E2"/>
    <w:rsid w:val="0027599A"/>
    <w:rsid w:val="00275A6F"/>
    <w:rsid w:val="00275BEC"/>
    <w:rsid w:val="00275D8E"/>
    <w:rsid w:val="00275EAF"/>
    <w:rsid w:val="00275F0F"/>
    <w:rsid w:val="00275FC9"/>
    <w:rsid w:val="00276214"/>
    <w:rsid w:val="002762CE"/>
    <w:rsid w:val="002763AF"/>
    <w:rsid w:val="002763C9"/>
    <w:rsid w:val="002763F1"/>
    <w:rsid w:val="00276541"/>
    <w:rsid w:val="0027655F"/>
    <w:rsid w:val="0027685E"/>
    <w:rsid w:val="00276CA2"/>
    <w:rsid w:val="00276D0D"/>
    <w:rsid w:val="00276D40"/>
    <w:rsid w:val="00276E57"/>
    <w:rsid w:val="00276F0C"/>
    <w:rsid w:val="00276FE7"/>
    <w:rsid w:val="00277113"/>
    <w:rsid w:val="0027714C"/>
    <w:rsid w:val="0027716B"/>
    <w:rsid w:val="0027727E"/>
    <w:rsid w:val="0027732A"/>
    <w:rsid w:val="002777B4"/>
    <w:rsid w:val="00277936"/>
    <w:rsid w:val="00277B10"/>
    <w:rsid w:val="00277BB5"/>
    <w:rsid w:val="00277CBB"/>
    <w:rsid w:val="00277CD2"/>
    <w:rsid w:val="00277EA7"/>
    <w:rsid w:val="0028012C"/>
    <w:rsid w:val="00280161"/>
    <w:rsid w:val="0028056F"/>
    <w:rsid w:val="00280B08"/>
    <w:rsid w:val="00280BAE"/>
    <w:rsid w:val="00280BC6"/>
    <w:rsid w:val="00280BD3"/>
    <w:rsid w:val="00280D3F"/>
    <w:rsid w:val="00280E88"/>
    <w:rsid w:val="00280F49"/>
    <w:rsid w:val="00281144"/>
    <w:rsid w:val="002811B9"/>
    <w:rsid w:val="002812B8"/>
    <w:rsid w:val="002812CE"/>
    <w:rsid w:val="002813C4"/>
    <w:rsid w:val="0028177A"/>
    <w:rsid w:val="00281C95"/>
    <w:rsid w:val="00281E64"/>
    <w:rsid w:val="00281FDF"/>
    <w:rsid w:val="002821D2"/>
    <w:rsid w:val="00282237"/>
    <w:rsid w:val="002823ED"/>
    <w:rsid w:val="0028244C"/>
    <w:rsid w:val="002824FF"/>
    <w:rsid w:val="0028252E"/>
    <w:rsid w:val="002825D7"/>
    <w:rsid w:val="002826F1"/>
    <w:rsid w:val="00282856"/>
    <w:rsid w:val="00282864"/>
    <w:rsid w:val="00282874"/>
    <w:rsid w:val="00282A65"/>
    <w:rsid w:val="00282A8B"/>
    <w:rsid w:val="00282ACD"/>
    <w:rsid w:val="00282B1A"/>
    <w:rsid w:val="00282CFE"/>
    <w:rsid w:val="00282D5E"/>
    <w:rsid w:val="00282DB0"/>
    <w:rsid w:val="00282DBA"/>
    <w:rsid w:val="00283072"/>
    <w:rsid w:val="0028308E"/>
    <w:rsid w:val="0028313D"/>
    <w:rsid w:val="002831C5"/>
    <w:rsid w:val="002832A5"/>
    <w:rsid w:val="00283604"/>
    <w:rsid w:val="00283714"/>
    <w:rsid w:val="0028371C"/>
    <w:rsid w:val="002837DB"/>
    <w:rsid w:val="0028383D"/>
    <w:rsid w:val="002839F8"/>
    <w:rsid w:val="00283BB6"/>
    <w:rsid w:val="00283BDC"/>
    <w:rsid w:val="00283DDB"/>
    <w:rsid w:val="002840A7"/>
    <w:rsid w:val="002842AE"/>
    <w:rsid w:val="00284466"/>
    <w:rsid w:val="00284596"/>
    <w:rsid w:val="00284697"/>
    <w:rsid w:val="00284BFA"/>
    <w:rsid w:val="00284CBD"/>
    <w:rsid w:val="00284F92"/>
    <w:rsid w:val="00285021"/>
    <w:rsid w:val="0028506D"/>
    <w:rsid w:val="00285323"/>
    <w:rsid w:val="0028535C"/>
    <w:rsid w:val="00285417"/>
    <w:rsid w:val="002854B6"/>
    <w:rsid w:val="0028564D"/>
    <w:rsid w:val="00285705"/>
    <w:rsid w:val="002858E8"/>
    <w:rsid w:val="00285903"/>
    <w:rsid w:val="00285A0B"/>
    <w:rsid w:val="00285B6A"/>
    <w:rsid w:val="00285D41"/>
    <w:rsid w:val="00285D8E"/>
    <w:rsid w:val="00285DE4"/>
    <w:rsid w:val="00285F1E"/>
    <w:rsid w:val="002860EB"/>
    <w:rsid w:val="00286B92"/>
    <w:rsid w:val="00286E89"/>
    <w:rsid w:val="00286F36"/>
    <w:rsid w:val="002870CA"/>
    <w:rsid w:val="00287180"/>
    <w:rsid w:val="00287359"/>
    <w:rsid w:val="00287389"/>
    <w:rsid w:val="002876EA"/>
    <w:rsid w:val="00287811"/>
    <w:rsid w:val="002878CA"/>
    <w:rsid w:val="00287C1F"/>
    <w:rsid w:val="00287DAF"/>
    <w:rsid w:val="00287DDA"/>
    <w:rsid w:val="00287E71"/>
    <w:rsid w:val="00287EAF"/>
    <w:rsid w:val="00287F8E"/>
    <w:rsid w:val="0029003E"/>
    <w:rsid w:val="002900CA"/>
    <w:rsid w:val="0029015A"/>
    <w:rsid w:val="002903A4"/>
    <w:rsid w:val="002903E6"/>
    <w:rsid w:val="00290715"/>
    <w:rsid w:val="002907AA"/>
    <w:rsid w:val="0029093C"/>
    <w:rsid w:val="0029098B"/>
    <w:rsid w:val="00290B8D"/>
    <w:rsid w:val="00290E87"/>
    <w:rsid w:val="00291306"/>
    <w:rsid w:val="00291458"/>
    <w:rsid w:val="0029147B"/>
    <w:rsid w:val="0029150E"/>
    <w:rsid w:val="002916DE"/>
    <w:rsid w:val="002917B0"/>
    <w:rsid w:val="0029189D"/>
    <w:rsid w:val="002918BB"/>
    <w:rsid w:val="00291978"/>
    <w:rsid w:val="00291AFE"/>
    <w:rsid w:val="00291E98"/>
    <w:rsid w:val="00291ECE"/>
    <w:rsid w:val="00291FC8"/>
    <w:rsid w:val="0029214B"/>
    <w:rsid w:val="002921BF"/>
    <w:rsid w:val="00292254"/>
    <w:rsid w:val="0029227D"/>
    <w:rsid w:val="002922F1"/>
    <w:rsid w:val="002922F6"/>
    <w:rsid w:val="002923E3"/>
    <w:rsid w:val="002924CF"/>
    <w:rsid w:val="00292514"/>
    <w:rsid w:val="00292596"/>
    <w:rsid w:val="00292B05"/>
    <w:rsid w:val="00292B4F"/>
    <w:rsid w:val="00292B72"/>
    <w:rsid w:val="00292C5D"/>
    <w:rsid w:val="00293087"/>
    <w:rsid w:val="002931D7"/>
    <w:rsid w:val="00293206"/>
    <w:rsid w:val="00293207"/>
    <w:rsid w:val="00293280"/>
    <w:rsid w:val="002932FC"/>
    <w:rsid w:val="002934E6"/>
    <w:rsid w:val="002936A7"/>
    <w:rsid w:val="002936D2"/>
    <w:rsid w:val="00293B2C"/>
    <w:rsid w:val="00293BA1"/>
    <w:rsid w:val="00293E8F"/>
    <w:rsid w:val="0029401E"/>
    <w:rsid w:val="00294150"/>
    <w:rsid w:val="00294312"/>
    <w:rsid w:val="002943BC"/>
    <w:rsid w:val="002945B1"/>
    <w:rsid w:val="00294832"/>
    <w:rsid w:val="00294904"/>
    <w:rsid w:val="00294B5C"/>
    <w:rsid w:val="00294BFF"/>
    <w:rsid w:val="00294DEA"/>
    <w:rsid w:val="002952B2"/>
    <w:rsid w:val="00295315"/>
    <w:rsid w:val="00295329"/>
    <w:rsid w:val="00295666"/>
    <w:rsid w:val="00295760"/>
    <w:rsid w:val="0029585A"/>
    <w:rsid w:val="0029585B"/>
    <w:rsid w:val="00295A10"/>
    <w:rsid w:val="00295AFF"/>
    <w:rsid w:val="00295DB6"/>
    <w:rsid w:val="00296256"/>
    <w:rsid w:val="00296278"/>
    <w:rsid w:val="0029633B"/>
    <w:rsid w:val="00296346"/>
    <w:rsid w:val="00296373"/>
    <w:rsid w:val="002964E5"/>
    <w:rsid w:val="0029695F"/>
    <w:rsid w:val="0029696F"/>
    <w:rsid w:val="002969D3"/>
    <w:rsid w:val="00296E00"/>
    <w:rsid w:val="00296E64"/>
    <w:rsid w:val="00296E7C"/>
    <w:rsid w:val="002970F9"/>
    <w:rsid w:val="00297146"/>
    <w:rsid w:val="0029728C"/>
    <w:rsid w:val="00297429"/>
    <w:rsid w:val="0029746B"/>
    <w:rsid w:val="002974A1"/>
    <w:rsid w:val="00297725"/>
    <w:rsid w:val="00297D9E"/>
    <w:rsid w:val="00297E32"/>
    <w:rsid w:val="00297E78"/>
    <w:rsid w:val="002A012C"/>
    <w:rsid w:val="002A015B"/>
    <w:rsid w:val="002A05BF"/>
    <w:rsid w:val="002A0851"/>
    <w:rsid w:val="002A09F6"/>
    <w:rsid w:val="002A0A40"/>
    <w:rsid w:val="002A0AC5"/>
    <w:rsid w:val="002A0E83"/>
    <w:rsid w:val="002A0F64"/>
    <w:rsid w:val="002A0FA8"/>
    <w:rsid w:val="002A1033"/>
    <w:rsid w:val="002A110E"/>
    <w:rsid w:val="002A1146"/>
    <w:rsid w:val="002A131F"/>
    <w:rsid w:val="002A1341"/>
    <w:rsid w:val="002A13EB"/>
    <w:rsid w:val="002A1558"/>
    <w:rsid w:val="002A15DE"/>
    <w:rsid w:val="002A16F0"/>
    <w:rsid w:val="002A1964"/>
    <w:rsid w:val="002A1980"/>
    <w:rsid w:val="002A1B61"/>
    <w:rsid w:val="002A1D02"/>
    <w:rsid w:val="002A1D1E"/>
    <w:rsid w:val="002A1F4D"/>
    <w:rsid w:val="002A243E"/>
    <w:rsid w:val="002A2712"/>
    <w:rsid w:val="002A28F7"/>
    <w:rsid w:val="002A29D5"/>
    <w:rsid w:val="002A2BAB"/>
    <w:rsid w:val="002A2D85"/>
    <w:rsid w:val="002A2E62"/>
    <w:rsid w:val="002A339D"/>
    <w:rsid w:val="002A34A5"/>
    <w:rsid w:val="002A36D8"/>
    <w:rsid w:val="002A3AC4"/>
    <w:rsid w:val="002A3AFA"/>
    <w:rsid w:val="002A3BBA"/>
    <w:rsid w:val="002A3BC6"/>
    <w:rsid w:val="002A3D77"/>
    <w:rsid w:val="002A3DF2"/>
    <w:rsid w:val="002A3E62"/>
    <w:rsid w:val="002A3F4B"/>
    <w:rsid w:val="002A4032"/>
    <w:rsid w:val="002A43C9"/>
    <w:rsid w:val="002A4423"/>
    <w:rsid w:val="002A47A8"/>
    <w:rsid w:val="002A493F"/>
    <w:rsid w:val="002A4CE4"/>
    <w:rsid w:val="002A4CEE"/>
    <w:rsid w:val="002A4FB5"/>
    <w:rsid w:val="002A535C"/>
    <w:rsid w:val="002A5528"/>
    <w:rsid w:val="002A56C2"/>
    <w:rsid w:val="002A5832"/>
    <w:rsid w:val="002A5AD6"/>
    <w:rsid w:val="002A5D30"/>
    <w:rsid w:val="002A5EA7"/>
    <w:rsid w:val="002A605F"/>
    <w:rsid w:val="002A6093"/>
    <w:rsid w:val="002A66D4"/>
    <w:rsid w:val="002A66DC"/>
    <w:rsid w:val="002A691D"/>
    <w:rsid w:val="002A6C0D"/>
    <w:rsid w:val="002A6C5C"/>
    <w:rsid w:val="002A6C60"/>
    <w:rsid w:val="002A6E37"/>
    <w:rsid w:val="002A7407"/>
    <w:rsid w:val="002A745E"/>
    <w:rsid w:val="002A7558"/>
    <w:rsid w:val="002A7930"/>
    <w:rsid w:val="002A7AA0"/>
    <w:rsid w:val="002A7BA2"/>
    <w:rsid w:val="002A7BB8"/>
    <w:rsid w:val="002A7C8C"/>
    <w:rsid w:val="002A7D07"/>
    <w:rsid w:val="002A7E86"/>
    <w:rsid w:val="002A7F3F"/>
    <w:rsid w:val="002B0117"/>
    <w:rsid w:val="002B0288"/>
    <w:rsid w:val="002B0309"/>
    <w:rsid w:val="002B0378"/>
    <w:rsid w:val="002B03E6"/>
    <w:rsid w:val="002B0640"/>
    <w:rsid w:val="002B06D4"/>
    <w:rsid w:val="002B072A"/>
    <w:rsid w:val="002B0926"/>
    <w:rsid w:val="002B0CCC"/>
    <w:rsid w:val="002B0E17"/>
    <w:rsid w:val="002B1128"/>
    <w:rsid w:val="002B1161"/>
    <w:rsid w:val="002B118F"/>
    <w:rsid w:val="002B12BC"/>
    <w:rsid w:val="002B1462"/>
    <w:rsid w:val="002B17B9"/>
    <w:rsid w:val="002B1C72"/>
    <w:rsid w:val="002B1C86"/>
    <w:rsid w:val="002B1D6F"/>
    <w:rsid w:val="002B1F98"/>
    <w:rsid w:val="002B2144"/>
    <w:rsid w:val="002B22FD"/>
    <w:rsid w:val="002B230C"/>
    <w:rsid w:val="002B24AC"/>
    <w:rsid w:val="002B28F2"/>
    <w:rsid w:val="002B2CE1"/>
    <w:rsid w:val="002B2D3F"/>
    <w:rsid w:val="002B2D66"/>
    <w:rsid w:val="002B2E68"/>
    <w:rsid w:val="002B2F24"/>
    <w:rsid w:val="002B3028"/>
    <w:rsid w:val="002B32D6"/>
    <w:rsid w:val="002B33CA"/>
    <w:rsid w:val="002B345F"/>
    <w:rsid w:val="002B3484"/>
    <w:rsid w:val="002B34F4"/>
    <w:rsid w:val="002B3680"/>
    <w:rsid w:val="002B3769"/>
    <w:rsid w:val="002B379A"/>
    <w:rsid w:val="002B37B7"/>
    <w:rsid w:val="002B389D"/>
    <w:rsid w:val="002B39AD"/>
    <w:rsid w:val="002B3A72"/>
    <w:rsid w:val="002B40EB"/>
    <w:rsid w:val="002B41DF"/>
    <w:rsid w:val="002B42AA"/>
    <w:rsid w:val="002B4646"/>
    <w:rsid w:val="002B473C"/>
    <w:rsid w:val="002B475E"/>
    <w:rsid w:val="002B486A"/>
    <w:rsid w:val="002B4891"/>
    <w:rsid w:val="002B489B"/>
    <w:rsid w:val="002B48B8"/>
    <w:rsid w:val="002B4986"/>
    <w:rsid w:val="002B4A62"/>
    <w:rsid w:val="002B4CE3"/>
    <w:rsid w:val="002B4CE8"/>
    <w:rsid w:val="002B4DBE"/>
    <w:rsid w:val="002B4F9A"/>
    <w:rsid w:val="002B50DF"/>
    <w:rsid w:val="002B527F"/>
    <w:rsid w:val="002B5488"/>
    <w:rsid w:val="002B5714"/>
    <w:rsid w:val="002B58B7"/>
    <w:rsid w:val="002B59BE"/>
    <w:rsid w:val="002B5A68"/>
    <w:rsid w:val="002B5ACB"/>
    <w:rsid w:val="002B5B9D"/>
    <w:rsid w:val="002B5C59"/>
    <w:rsid w:val="002B5CD1"/>
    <w:rsid w:val="002B5D67"/>
    <w:rsid w:val="002B5FBC"/>
    <w:rsid w:val="002B6223"/>
    <w:rsid w:val="002B62F3"/>
    <w:rsid w:val="002B66F6"/>
    <w:rsid w:val="002B675D"/>
    <w:rsid w:val="002B695A"/>
    <w:rsid w:val="002B6D04"/>
    <w:rsid w:val="002B6DCF"/>
    <w:rsid w:val="002B6E65"/>
    <w:rsid w:val="002B7079"/>
    <w:rsid w:val="002B72C0"/>
    <w:rsid w:val="002B72C4"/>
    <w:rsid w:val="002B7378"/>
    <w:rsid w:val="002B73A5"/>
    <w:rsid w:val="002B748E"/>
    <w:rsid w:val="002B7A57"/>
    <w:rsid w:val="002B7C7B"/>
    <w:rsid w:val="002B7CAF"/>
    <w:rsid w:val="002C04BE"/>
    <w:rsid w:val="002C04FD"/>
    <w:rsid w:val="002C068E"/>
    <w:rsid w:val="002C06B2"/>
    <w:rsid w:val="002C06D5"/>
    <w:rsid w:val="002C07B5"/>
    <w:rsid w:val="002C090C"/>
    <w:rsid w:val="002C0A17"/>
    <w:rsid w:val="002C0AF6"/>
    <w:rsid w:val="002C0B05"/>
    <w:rsid w:val="002C0E42"/>
    <w:rsid w:val="002C0E6E"/>
    <w:rsid w:val="002C0F77"/>
    <w:rsid w:val="002C111F"/>
    <w:rsid w:val="002C113A"/>
    <w:rsid w:val="002C1283"/>
    <w:rsid w:val="002C131D"/>
    <w:rsid w:val="002C173B"/>
    <w:rsid w:val="002C17EA"/>
    <w:rsid w:val="002C184D"/>
    <w:rsid w:val="002C1851"/>
    <w:rsid w:val="002C19AB"/>
    <w:rsid w:val="002C1C69"/>
    <w:rsid w:val="002C1C7A"/>
    <w:rsid w:val="002C1D09"/>
    <w:rsid w:val="002C2119"/>
    <w:rsid w:val="002C2171"/>
    <w:rsid w:val="002C21AB"/>
    <w:rsid w:val="002C225C"/>
    <w:rsid w:val="002C242B"/>
    <w:rsid w:val="002C2576"/>
    <w:rsid w:val="002C27D0"/>
    <w:rsid w:val="002C2A63"/>
    <w:rsid w:val="002C2CEC"/>
    <w:rsid w:val="002C2F15"/>
    <w:rsid w:val="002C2F3E"/>
    <w:rsid w:val="002C3163"/>
    <w:rsid w:val="002C3454"/>
    <w:rsid w:val="002C347D"/>
    <w:rsid w:val="002C3484"/>
    <w:rsid w:val="002C34CA"/>
    <w:rsid w:val="002C3548"/>
    <w:rsid w:val="002C36D1"/>
    <w:rsid w:val="002C3B21"/>
    <w:rsid w:val="002C3C34"/>
    <w:rsid w:val="002C3DA3"/>
    <w:rsid w:val="002C4141"/>
    <w:rsid w:val="002C433D"/>
    <w:rsid w:val="002C4435"/>
    <w:rsid w:val="002C4555"/>
    <w:rsid w:val="002C4588"/>
    <w:rsid w:val="002C496E"/>
    <w:rsid w:val="002C4BC7"/>
    <w:rsid w:val="002C4CD4"/>
    <w:rsid w:val="002C5161"/>
    <w:rsid w:val="002C5187"/>
    <w:rsid w:val="002C51A3"/>
    <w:rsid w:val="002C57D0"/>
    <w:rsid w:val="002C599B"/>
    <w:rsid w:val="002C5BF7"/>
    <w:rsid w:val="002C5D6D"/>
    <w:rsid w:val="002C603C"/>
    <w:rsid w:val="002C608A"/>
    <w:rsid w:val="002C636E"/>
    <w:rsid w:val="002C63B1"/>
    <w:rsid w:val="002C63B7"/>
    <w:rsid w:val="002C6461"/>
    <w:rsid w:val="002C64E1"/>
    <w:rsid w:val="002C65D3"/>
    <w:rsid w:val="002C676C"/>
    <w:rsid w:val="002C67CB"/>
    <w:rsid w:val="002C69D2"/>
    <w:rsid w:val="002C6C1D"/>
    <w:rsid w:val="002C6CDA"/>
    <w:rsid w:val="002C6D17"/>
    <w:rsid w:val="002C6D1D"/>
    <w:rsid w:val="002C708B"/>
    <w:rsid w:val="002C7211"/>
    <w:rsid w:val="002C744B"/>
    <w:rsid w:val="002C7573"/>
    <w:rsid w:val="002C765E"/>
    <w:rsid w:val="002C78B1"/>
    <w:rsid w:val="002C78F7"/>
    <w:rsid w:val="002C79D0"/>
    <w:rsid w:val="002C7A27"/>
    <w:rsid w:val="002C7B83"/>
    <w:rsid w:val="002D01B3"/>
    <w:rsid w:val="002D03AE"/>
    <w:rsid w:val="002D0500"/>
    <w:rsid w:val="002D0657"/>
    <w:rsid w:val="002D0B0F"/>
    <w:rsid w:val="002D0B88"/>
    <w:rsid w:val="002D0CD6"/>
    <w:rsid w:val="002D0D6B"/>
    <w:rsid w:val="002D0E6F"/>
    <w:rsid w:val="002D0F7B"/>
    <w:rsid w:val="002D106A"/>
    <w:rsid w:val="002D107C"/>
    <w:rsid w:val="002D10A3"/>
    <w:rsid w:val="002D10CD"/>
    <w:rsid w:val="002D1121"/>
    <w:rsid w:val="002D116F"/>
    <w:rsid w:val="002D11B2"/>
    <w:rsid w:val="002D1200"/>
    <w:rsid w:val="002D14F7"/>
    <w:rsid w:val="002D1813"/>
    <w:rsid w:val="002D1889"/>
    <w:rsid w:val="002D18A3"/>
    <w:rsid w:val="002D18AE"/>
    <w:rsid w:val="002D193F"/>
    <w:rsid w:val="002D1CA7"/>
    <w:rsid w:val="002D1CAD"/>
    <w:rsid w:val="002D21B0"/>
    <w:rsid w:val="002D23B8"/>
    <w:rsid w:val="002D285E"/>
    <w:rsid w:val="002D2C52"/>
    <w:rsid w:val="002D2D1D"/>
    <w:rsid w:val="002D2FB3"/>
    <w:rsid w:val="002D300F"/>
    <w:rsid w:val="002D302D"/>
    <w:rsid w:val="002D3062"/>
    <w:rsid w:val="002D32F2"/>
    <w:rsid w:val="002D333B"/>
    <w:rsid w:val="002D3645"/>
    <w:rsid w:val="002D36B2"/>
    <w:rsid w:val="002D378F"/>
    <w:rsid w:val="002D37D9"/>
    <w:rsid w:val="002D3940"/>
    <w:rsid w:val="002D39D0"/>
    <w:rsid w:val="002D3C05"/>
    <w:rsid w:val="002D3C3E"/>
    <w:rsid w:val="002D3D26"/>
    <w:rsid w:val="002D3E21"/>
    <w:rsid w:val="002D406D"/>
    <w:rsid w:val="002D4073"/>
    <w:rsid w:val="002D418B"/>
    <w:rsid w:val="002D42EA"/>
    <w:rsid w:val="002D4505"/>
    <w:rsid w:val="002D469F"/>
    <w:rsid w:val="002D498C"/>
    <w:rsid w:val="002D4A84"/>
    <w:rsid w:val="002D4B39"/>
    <w:rsid w:val="002D4C3F"/>
    <w:rsid w:val="002D4D01"/>
    <w:rsid w:val="002D4D7B"/>
    <w:rsid w:val="002D4EC0"/>
    <w:rsid w:val="002D4FC2"/>
    <w:rsid w:val="002D4FD7"/>
    <w:rsid w:val="002D5100"/>
    <w:rsid w:val="002D52CE"/>
    <w:rsid w:val="002D544D"/>
    <w:rsid w:val="002D55E2"/>
    <w:rsid w:val="002D560E"/>
    <w:rsid w:val="002D57BE"/>
    <w:rsid w:val="002D588D"/>
    <w:rsid w:val="002D5A2F"/>
    <w:rsid w:val="002D5B2C"/>
    <w:rsid w:val="002D5CC7"/>
    <w:rsid w:val="002D5CEA"/>
    <w:rsid w:val="002D5E24"/>
    <w:rsid w:val="002D61AF"/>
    <w:rsid w:val="002D63A9"/>
    <w:rsid w:val="002D6446"/>
    <w:rsid w:val="002D6598"/>
    <w:rsid w:val="002D665F"/>
    <w:rsid w:val="002D66F1"/>
    <w:rsid w:val="002D67F5"/>
    <w:rsid w:val="002D6833"/>
    <w:rsid w:val="002D69BE"/>
    <w:rsid w:val="002D6A3C"/>
    <w:rsid w:val="002D6D0F"/>
    <w:rsid w:val="002D6D6D"/>
    <w:rsid w:val="002D6EA1"/>
    <w:rsid w:val="002D710B"/>
    <w:rsid w:val="002D7132"/>
    <w:rsid w:val="002D714C"/>
    <w:rsid w:val="002D7731"/>
    <w:rsid w:val="002D7A4D"/>
    <w:rsid w:val="002D7B36"/>
    <w:rsid w:val="002D7BB9"/>
    <w:rsid w:val="002D7C5E"/>
    <w:rsid w:val="002D7D6D"/>
    <w:rsid w:val="002D7F15"/>
    <w:rsid w:val="002D7F22"/>
    <w:rsid w:val="002E0045"/>
    <w:rsid w:val="002E0214"/>
    <w:rsid w:val="002E02F0"/>
    <w:rsid w:val="002E033C"/>
    <w:rsid w:val="002E047D"/>
    <w:rsid w:val="002E05BD"/>
    <w:rsid w:val="002E0B59"/>
    <w:rsid w:val="002E0B87"/>
    <w:rsid w:val="002E0C12"/>
    <w:rsid w:val="002E0D19"/>
    <w:rsid w:val="002E0DFA"/>
    <w:rsid w:val="002E12FA"/>
    <w:rsid w:val="002E1622"/>
    <w:rsid w:val="002E1709"/>
    <w:rsid w:val="002E17D0"/>
    <w:rsid w:val="002E1987"/>
    <w:rsid w:val="002E19A0"/>
    <w:rsid w:val="002E19D3"/>
    <w:rsid w:val="002E1ACE"/>
    <w:rsid w:val="002E1BF0"/>
    <w:rsid w:val="002E1F61"/>
    <w:rsid w:val="002E1FC1"/>
    <w:rsid w:val="002E2052"/>
    <w:rsid w:val="002E214E"/>
    <w:rsid w:val="002E21D6"/>
    <w:rsid w:val="002E23F4"/>
    <w:rsid w:val="002E244D"/>
    <w:rsid w:val="002E2656"/>
    <w:rsid w:val="002E27E7"/>
    <w:rsid w:val="002E2810"/>
    <w:rsid w:val="002E2893"/>
    <w:rsid w:val="002E28D2"/>
    <w:rsid w:val="002E296D"/>
    <w:rsid w:val="002E2AE0"/>
    <w:rsid w:val="002E2D59"/>
    <w:rsid w:val="002E3014"/>
    <w:rsid w:val="002E3016"/>
    <w:rsid w:val="002E3094"/>
    <w:rsid w:val="002E31FD"/>
    <w:rsid w:val="002E321E"/>
    <w:rsid w:val="002E32F4"/>
    <w:rsid w:val="002E3505"/>
    <w:rsid w:val="002E3515"/>
    <w:rsid w:val="002E3719"/>
    <w:rsid w:val="002E3802"/>
    <w:rsid w:val="002E3854"/>
    <w:rsid w:val="002E3A4B"/>
    <w:rsid w:val="002E3AA7"/>
    <w:rsid w:val="002E3B1A"/>
    <w:rsid w:val="002E3BAF"/>
    <w:rsid w:val="002E3CD2"/>
    <w:rsid w:val="002E3D1D"/>
    <w:rsid w:val="002E3DAE"/>
    <w:rsid w:val="002E3E36"/>
    <w:rsid w:val="002E3E90"/>
    <w:rsid w:val="002E4021"/>
    <w:rsid w:val="002E411E"/>
    <w:rsid w:val="002E474A"/>
    <w:rsid w:val="002E492B"/>
    <w:rsid w:val="002E4B67"/>
    <w:rsid w:val="002E4C12"/>
    <w:rsid w:val="002E4D02"/>
    <w:rsid w:val="002E4DED"/>
    <w:rsid w:val="002E4EC5"/>
    <w:rsid w:val="002E4F9E"/>
    <w:rsid w:val="002E5009"/>
    <w:rsid w:val="002E50C9"/>
    <w:rsid w:val="002E527C"/>
    <w:rsid w:val="002E5453"/>
    <w:rsid w:val="002E5636"/>
    <w:rsid w:val="002E56B0"/>
    <w:rsid w:val="002E56FD"/>
    <w:rsid w:val="002E5795"/>
    <w:rsid w:val="002E589F"/>
    <w:rsid w:val="002E58FA"/>
    <w:rsid w:val="002E5A1D"/>
    <w:rsid w:val="002E5B07"/>
    <w:rsid w:val="002E5B55"/>
    <w:rsid w:val="002E5BDF"/>
    <w:rsid w:val="002E5D19"/>
    <w:rsid w:val="002E5F82"/>
    <w:rsid w:val="002E60B6"/>
    <w:rsid w:val="002E60DD"/>
    <w:rsid w:val="002E61E8"/>
    <w:rsid w:val="002E6291"/>
    <w:rsid w:val="002E62F2"/>
    <w:rsid w:val="002E6497"/>
    <w:rsid w:val="002E652A"/>
    <w:rsid w:val="002E65E9"/>
    <w:rsid w:val="002E6708"/>
    <w:rsid w:val="002E6887"/>
    <w:rsid w:val="002E6912"/>
    <w:rsid w:val="002E6A75"/>
    <w:rsid w:val="002E6BFD"/>
    <w:rsid w:val="002E6CD1"/>
    <w:rsid w:val="002E6D10"/>
    <w:rsid w:val="002E6DA9"/>
    <w:rsid w:val="002E6DE1"/>
    <w:rsid w:val="002E6E77"/>
    <w:rsid w:val="002E6F05"/>
    <w:rsid w:val="002E6F43"/>
    <w:rsid w:val="002E708F"/>
    <w:rsid w:val="002E7359"/>
    <w:rsid w:val="002E73C0"/>
    <w:rsid w:val="002E746D"/>
    <w:rsid w:val="002E74CB"/>
    <w:rsid w:val="002E752E"/>
    <w:rsid w:val="002E757D"/>
    <w:rsid w:val="002E7592"/>
    <w:rsid w:val="002E777B"/>
    <w:rsid w:val="002E77EF"/>
    <w:rsid w:val="002E789B"/>
    <w:rsid w:val="002E7983"/>
    <w:rsid w:val="002E7B6F"/>
    <w:rsid w:val="002E7CC6"/>
    <w:rsid w:val="002E7D80"/>
    <w:rsid w:val="002F000F"/>
    <w:rsid w:val="002F01B7"/>
    <w:rsid w:val="002F03B7"/>
    <w:rsid w:val="002F045E"/>
    <w:rsid w:val="002F0482"/>
    <w:rsid w:val="002F05F0"/>
    <w:rsid w:val="002F0730"/>
    <w:rsid w:val="002F0AEF"/>
    <w:rsid w:val="002F0F06"/>
    <w:rsid w:val="002F13FC"/>
    <w:rsid w:val="002F1419"/>
    <w:rsid w:val="002F1460"/>
    <w:rsid w:val="002F16C4"/>
    <w:rsid w:val="002F1732"/>
    <w:rsid w:val="002F18D1"/>
    <w:rsid w:val="002F1AFD"/>
    <w:rsid w:val="002F1BCB"/>
    <w:rsid w:val="002F1E8F"/>
    <w:rsid w:val="002F1F64"/>
    <w:rsid w:val="002F1FB8"/>
    <w:rsid w:val="002F1FBD"/>
    <w:rsid w:val="002F2132"/>
    <w:rsid w:val="002F223F"/>
    <w:rsid w:val="002F2262"/>
    <w:rsid w:val="002F2322"/>
    <w:rsid w:val="002F2388"/>
    <w:rsid w:val="002F24D0"/>
    <w:rsid w:val="002F259E"/>
    <w:rsid w:val="002F27D1"/>
    <w:rsid w:val="002F2898"/>
    <w:rsid w:val="002F2973"/>
    <w:rsid w:val="002F2A16"/>
    <w:rsid w:val="002F2B0C"/>
    <w:rsid w:val="002F2BC9"/>
    <w:rsid w:val="002F2CF2"/>
    <w:rsid w:val="002F2FCD"/>
    <w:rsid w:val="002F30B2"/>
    <w:rsid w:val="002F30D5"/>
    <w:rsid w:val="002F31C5"/>
    <w:rsid w:val="002F353B"/>
    <w:rsid w:val="002F3664"/>
    <w:rsid w:val="002F36CB"/>
    <w:rsid w:val="002F37A3"/>
    <w:rsid w:val="002F3AD2"/>
    <w:rsid w:val="002F3B92"/>
    <w:rsid w:val="002F3C1A"/>
    <w:rsid w:val="002F3C39"/>
    <w:rsid w:val="002F3C85"/>
    <w:rsid w:val="002F3E58"/>
    <w:rsid w:val="002F3FC4"/>
    <w:rsid w:val="002F4169"/>
    <w:rsid w:val="002F41CA"/>
    <w:rsid w:val="002F41E5"/>
    <w:rsid w:val="002F42DB"/>
    <w:rsid w:val="002F4648"/>
    <w:rsid w:val="002F4697"/>
    <w:rsid w:val="002F4811"/>
    <w:rsid w:val="002F4AEB"/>
    <w:rsid w:val="002F4BD3"/>
    <w:rsid w:val="002F4CF8"/>
    <w:rsid w:val="002F4DC2"/>
    <w:rsid w:val="002F4E0C"/>
    <w:rsid w:val="002F50C2"/>
    <w:rsid w:val="002F5117"/>
    <w:rsid w:val="002F5144"/>
    <w:rsid w:val="002F5221"/>
    <w:rsid w:val="002F5309"/>
    <w:rsid w:val="002F537F"/>
    <w:rsid w:val="002F540A"/>
    <w:rsid w:val="002F5416"/>
    <w:rsid w:val="002F547E"/>
    <w:rsid w:val="002F547F"/>
    <w:rsid w:val="002F5491"/>
    <w:rsid w:val="002F54A5"/>
    <w:rsid w:val="002F557D"/>
    <w:rsid w:val="002F576D"/>
    <w:rsid w:val="002F5A4C"/>
    <w:rsid w:val="002F5A60"/>
    <w:rsid w:val="002F5AB2"/>
    <w:rsid w:val="002F5C58"/>
    <w:rsid w:val="002F5D8A"/>
    <w:rsid w:val="002F5E68"/>
    <w:rsid w:val="002F5F00"/>
    <w:rsid w:val="002F5F58"/>
    <w:rsid w:val="002F5FE5"/>
    <w:rsid w:val="002F613D"/>
    <w:rsid w:val="002F62EF"/>
    <w:rsid w:val="002F63FB"/>
    <w:rsid w:val="002F6463"/>
    <w:rsid w:val="002F667D"/>
    <w:rsid w:val="002F66C8"/>
    <w:rsid w:val="002F6771"/>
    <w:rsid w:val="002F6855"/>
    <w:rsid w:val="002F6952"/>
    <w:rsid w:val="002F6C86"/>
    <w:rsid w:val="002F6D8B"/>
    <w:rsid w:val="002F6E3E"/>
    <w:rsid w:val="002F71D1"/>
    <w:rsid w:val="002F72D0"/>
    <w:rsid w:val="002F761B"/>
    <w:rsid w:val="002F7791"/>
    <w:rsid w:val="002F78CD"/>
    <w:rsid w:val="002F7A05"/>
    <w:rsid w:val="002F7B42"/>
    <w:rsid w:val="002F7BB5"/>
    <w:rsid w:val="002F7DAB"/>
    <w:rsid w:val="002F7F42"/>
    <w:rsid w:val="00300329"/>
    <w:rsid w:val="00300340"/>
    <w:rsid w:val="00300650"/>
    <w:rsid w:val="00300722"/>
    <w:rsid w:val="00300ABD"/>
    <w:rsid w:val="00300BB6"/>
    <w:rsid w:val="00300CF2"/>
    <w:rsid w:val="003012BE"/>
    <w:rsid w:val="003014F0"/>
    <w:rsid w:val="003015E4"/>
    <w:rsid w:val="003018FC"/>
    <w:rsid w:val="00301B95"/>
    <w:rsid w:val="00301C8E"/>
    <w:rsid w:val="00301D8B"/>
    <w:rsid w:val="0030214D"/>
    <w:rsid w:val="003021C6"/>
    <w:rsid w:val="003022E1"/>
    <w:rsid w:val="00302391"/>
    <w:rsid w:val="003023EC"/>
    <w:rsid w:val="003024E2"/>
    <w:rsid w:val="00302527"/>
    <w:rsid w:val="0030258D"/>
    <w:rsid w:val="00302623"/>
    <w:rsid w:val="00302A10"/>
    <w:rsid w:val="00302A4F"/>
    <w:rsid w:val="00302A80"/>
    <w:rsid w:val="00302ABD"/>
    <w:rsid w:val="00302AF5"/>
    <w:rsid w:val="00302C03"/>
    <w:rsid w:val="00302C9A"/>
    <w:rsid w:val="00303088"/>
    <w:rsid w:val="003032F8"/>
    <w:rsid w:val="00303665"/>
    <w:rsid w:val="003036A0"/>
    <w:rsid w:val="0030394B"/>
    <w:rsid w:val="00303A0E"/>
    <w:rsid w:val="00303A7F"/>
    <w:rsid w:val="00303EA1"/>
    <w:rsid w:val="00303FE0"/>
    <w:rsid w:val="00304006"/>
    <w:rsid w:val="003041B7"/>
    <w:rsid w:val="003042B7"/>
    <w:rsid w:val="003042D4"/>
    <w:rsid w:val="00304542"/>
    <w:rsid w:val="00304673"/>
    <w:rsid w:val="003046F8"/>
    <w:rsid w:val="00304731"/>
    <w:rsid w:val="00304999"/>
    <w:rsid w:val="00304A5D"/>
    <w:rsid w:val="00304BA4"/>
    <w:rsid w:val="00304C20"/>
    <w:rsid w:val="003051C6"/>
    <w:rsid w:val="003053CF"/>
    <w:rsid w:val="0030544B"/>
    <w:rsid w:val="0030549E"/>
    <w:rsid w:val="00305671"/>
    <w:rsid w:val="003056D7"/>
    <w:rsid w:val="00305757"/>
    <w:rsid w:val="00305899"/>
    <w:rsid w:val="00305BC3"/>
    <w:rsid w:val="00305CAF"/>
    <w:rsid w:val="00305E20"/>
    <w:rsid w:val="00305FE3"/>
    <w:rsid w:val="00306062"/>
    <w:rsid w:val="003061B1"/>
    <w:rsid w:val="003063A4"/>
    <w:rsid w:val="003064A7"/>
    <w:rsid w:val="00306632"/>
    <w:rsid w:val="00306726"/>
    <w:rsid w:val="00306732"/>
    <w:rsid w:val="00306882"/>
    <w:rsid w:val="00306ADB"/>
    <w:rsid w:val="00306C49"/>
    <w:rsid w:val="00306E80"/>
    <w:rsid w:val="00306EEE"/>
    <w:rsid w:val="0030717E"/>
    <w:rsid w:val="00307206"/>
    <w:rsid w:val="003072E6"/>
    <w:rsid w:val="003073BA"/>
    <w:rsid w:val="00307598"/>
    <w:rsid w:val="00307689"/>
    <w:rsid w:val="003077D7"/>
    <w:rsid w:val="00307985"/>
    <w:rsid w:val="00307C69"/>
    <w:rsid w:val="00307E89"/>
    <w:rsid w:val="003100CE"/>
    <w:rsid w:val="00310304"/>
    <w:rsid w:val="003103A7"/>
    <w:rsid w:val="00310621"/>
    <w:rsid w:val="0031099E"/>
    <w:rsid w:val="00310B10"/>
    <w:rsid w:val="00310CA9"/>
    <w:rsid w:val="00310E28"/>
    <w:rsid w:val="00311478"/>
    <w:rsid w:val="003114D9"/>
    <w:rsid w:val="003114FA"/>
    <w:rsid w:val="003115BE"/>
    <w:rsid w:val="003116A8"/>
    <w:rsid w:val="003116B6"/>
    <w:rsid w:val="00311723"/>
    <w:rsid w:val="003117C2"/>
    <w:rsid w:val="003118A4"/>
    <w:rsid w:val="003119CD"/>
    <w:rsid w:val="00311BD4"/>
    <w:rsid w:val="00311EFB"/>
    <w:rsid w:val="0031200B"/>
    <w:rsid w:val="003123EB"/>
    <w:rsid w:val="003125C8"/>
    <w:rsid w:val="00312A3B"/>
    <w:rsid w:val="00312A7F"/>
    <w:rsid w:val="00312BB2"/>
    <w:rsid w:val="00312CAA"/>
    <w:rsid w:val="00312CF9"/>
    <w:rsid w:val="0031306F"/>
    <w:rsid w:val="003134B4"/>
    <w:rsid w:val="00313BC5"/>
    <w:rsid w:val="00313D3B"/>
    <w:rsid w:val="00313E3D"/>
    <w:rsid w:val="00314053"/>
    <w:rsid w:val="00314212"/>
    <w:rsid w:val="003142E2"/>
    <w:rsid w:val="00314618"/>
    <w:rsid w:val="0031468B"/>
    <w:rsid w:val="003148D1"/>
    <w:rsid w:val="00314C32"/>
    <w:rsid w:val="00314CAC"/>
    <w:rsid w:val="00314E28"/>
    <w:rsid w:val="00314E8E"/>
    <w:rsid w:val="00315035"/>
    <w:rsid w:val="0031533D"/>
    <w:rsid w:val="003154F9"/>
    <w:rsid w:val="00315750"/>
    <w:rsid w:val="0031594E"/>
    <w:rsid w:val="003159E3"/>
    <w:rsid w:val="00315A6B"/>
    <w:rsid w:val="00315A82"/>
    <w:rsid w:val="00315E7E"/>
    <w:rsid w:val="00315E90"/>
    <w:rsid w:val="003160FE"/>
    <w:rsid w:val="00316221"/>
    <w:rsid w:val="00316310"/>
    <w:rsid w:val="00316317"/>
    <w:rsid w:val="00316357"/>
    <w:rsid w:val="00316445"/>
    <w:rsid w:val="003164CA"/>
    <w:rsid w:val="00316564"/>
    <w:rsid w:val="003168F7"/>
    <w:rsid w:val="00316A91"/>
    <w:rsid w:val="00316B86"/>
    <w:rsid w:val="00316BA2"/>
    <w:rsid w:val="00316CCD"/>
    <w:rsid w:val="00316E77"/>
    <w:rsid w:val="00316E80"/>
    <w:rsid w:val="003171A4"/>
    <w:rsid w:val="0031725E"/>
    <w:rsid w:val="00317450"/>
    <w:rsid w:val="0031776A"/>
    <w:rsid w:val="0031776B"/>
    <w:rsid w:val="003177F2"/>
    <w:rsid w:val="003178CB"/>
    <w:rsid w:val="00317A2D"/>
    <w:rsid w:val="00317ADD"/>
    <w:rsid w:val="00317B59"/>
    <w:rsid w:val="00317BBA"/>
    <w:rsid w:val="00317C26"/>
    <w:rsid w:val="00317E4E"/>
    <w:rsid w:val="00320057"/>
    <w:rsid w:val="00320275"/>
    <w:rsid w:val="0032060D"/>
    <w:rsid w:val="003206E2"/>
    <w:rsid w:val="00320772"/>
    <w:rsid w:val="00320A48"/>
    <w:rsid w:val="00320BF1"/>
    <w:rsid w:val="00320EDE"/>
    <w:rsid w:val="003213DB"/>
    <w:rsid w:val="00321656"/>
    <w:rsid w:val="00321681"/>
    <w:rsid w:val="00321B91"/>
    <w:rsid w:val="00321B9E"/>
    <w:rsid w:val="00321C08"/>
    <w:rsid w:val="003220EF"/>
    <w:rsid w:val="00322116"/>
    <w:rsid w:val="00322142"/>
    <w:rsid w:val="00322270"/>
    <w:rsid w:val="00322460"/>
    <w:rsid w:val="0032259E"/>
    <w:rsid w:val="00322793"/>
    <w:rsid w:val="003228C4"/>
    <w:rsid w:val="00322917"/>
    <w:rsid w:val="00322BF5"/>
    <w:rsid w:val="00322C21"/>
    <w:rsid w:val="00322D79"/>
    <w:rsid w:val="00322E0B"/>
    <w:rsid w:val="00322F21"/>
    <w:rsid w:val="00323284"/>
    <w:rsid w:val="003233E5"/>
    <w:rsid w:val="0032355A"/>
    <w:rsid w:val="00323589"/>
    <w:rsid w:val="003235AC"/>
    <w:rsid w:val="00323694"/>
    <w:rsid w:val="0032373F"/>
    <w:rsid w:val="00323900"/>
    <w:rsid w:val="00323CE5"/>
    <w:rsid w:val="00323DD6"/>
    <w:rsid w:val="00323ED5"/>
    <w:rsid w:val="00323F34"/>
    <w:rsid w:val="00323F71"/>
    <w:rsid w:val="003240D2"/>
    <w:rsid w:val="0032435E"/>
    <w:rsid w:val="0032438E"/>
    <w:rsid w:val="003244A0"/>
    <w:rsid w:val="00324506"/>
    <w:rsid w:val="003245E6"/>
    <w:rsid w:val="00324611"/>
    <w:rsid w:val="0032473D"/>
    <w:rsid w:val="00324AF5"/>
    <w:rsid w:val="00324B67"/>
    <w:rsid w:val="00324DDF"/>
    <w:rsid w:val="0032541A"/>
    <w:rsid w:val="0032545A"/>
    <w:rsid w:val="0032546E"/>
    <w:rsid w:val="003256D5"/>
    <w:rsid w:val="003258B1"/>
    <w:rsid w:val="0032597D"/>
    <w:rsid w:val="00325FCB"/>
    <w:rsid w:val="0032629E"/>
    <w:rsid w:val="00326524"/>
    <w:rsid w:val="003268FC"/>
    <w:rsid w:val="00326A9F"/>
    <w:rsid w:val="00326AE5"/>
    <w:rsid w:val="00326BE7"/>
    <w:rsid w:val="0032707A"/>
    <w:rsid w:val="003272F2"/>
    <w:rsid w:val="003272FB"/>
    <w:rsid w:val="0032732A"/>
    <w:rsid w:val="0032742F"/>
    <w:rsid w:val="0032762C"/>
    <w:rsid w:val="00327871"/>
    <w:rsid w:val="003278DF"/>
    <w:rsid w:val="003279C2"/>
    <w:rsid w:val="003279F8"/>
    <w:rsid w:val="00327A36"/>
    <w:rsid w:val="00327AF7"/>
    <w:rsid w:val="00327C6C"/>
    <w:rsid w:val="00327D16"/>
    <w:rsid w:val="00327D25"/>
    <w:rsid w:val="00327F44"/>
    <w:rsid w:val="0033028B"/>
    <w:rsid w:val="00330372"/>
    <w:rsid w:val="003303E3"/>
    <w:rsid w:val="0033043F"/>
    <w:rsid w:val="0033061E"/>
    <w:rsid w:val="00330781"/>
    <w:rsid w:val="00330944"/>
    <w:rsid w:val="00330A6A"/>
    <w:rsid w:val="00330BEF"/>
    <w:rsid w:val="00330BF2"/>
    <w:rsid w:val="00330C9E"/>
    <w:rsid w:val="00330CD7"/>
    <w:rsid w:val="0033112D"/>
    <w:rsid w:val="003311EF"/>
    <w:rsid w:val="00331227"/>
    <w:rsid w:val="0033126A"/>
    <w:rsid w:val="00331515"/>
    <w:rsid w:val="00331653"/>
    <w:rsid w:val="003316D7"/>
    <w:rsid w:val="00331720"/>
    <w:rsid w:val="003317B2"/>
    <w:rsid w:val="00331814"/>
    <w:rsid w:val="00331C7E"/>
    <w:rsid w:val="00331D19"/>
    <w:rsid w:val="00331E6D"/>
    <w:rsid w:val="00332031"/>
    <w:rsid w:val="00332186"/>
    <w:rsid w:val="00332302"/>
    <w:rsid w:val="00332437"/>
    <w:rsid w:val="00332497"/>
    <w:rsid w:val="0033251F"/>
    <w:rsid w:val="0033259F"/>
    <w:rsid w:val="0033282E"/>
    <w:rsid w:val="00332A68"/>
    <w:rsid w:val="00332BDD"/>
    <w:rsid w:val="00332BE3"/>
    <w:rsid w:val="00332C99"/>
    <w:rsid w:val="00332E75"/>
    <w:rsid w:val="0033309F"/>
    <w:rsid w:val="003330AC"/>
    <w:rsid w:val="00333118"/>
    <w:rsid w:val="003333FE"/>
    <w:rsid w:val="0033351F"/>
    <w:rsid w:val="003336B5"/>
    <w:rsid w:val="003336CC"/>
    <w:rsid w:val="003336E7"/>
    <w:rsid w:val="00333844"/>
    <w:rsid w:val="003338E4"/>
    <w:rsid w:val="00333AAE"/>
    <w:rsid w:val="00333AB0"/>
    <w:rsid w:val="00333B12"/>
    <w:rsid w:val="00333B18"/>
    <w:rsid w:val="00333CE0"/>
    <w:rsid w:val="00333F14"/>
    <w:rsid w:val="00334067"/>
    <w:rsid w:val="003340CE"/>
    <w:rsid w:val="003340FE"/>
    <w:rsid w:val="00334252"/>
    <w:rsid w:val="00334476"/>
    <w:rsid w:val="0033449B"/>
    <w:rsid w:val="0033454D"/>
    <w:rsid w:val="003345AF"/>
    <w:rsid w:val="003347C5"/>
    <w:rsid w:val="00334DEA"/>
    <w:rsid w:val="00334FDC"/>
    <w:rsid w:val="0033500A"/>
    <w:rsid w:val="00335060"/>
    <w:rsid w:val="0033508D"/>
    <w:rsid w:val="00335191"/>
    <w:rsid w:val="00335307"/>
    <w:rsid w:val="00335554"/>
    <w:rsid w:val="00335560"/>
    <w:rsid w:val="00335574"/>
    <w:rsid w:val="003355F8"/>
    <w:rsid w:val="0033566D"/>
    <w:rsid w:val="003357CF"/>
    <w:rsid w:val="0033587A"/>
    <w:rsid w:val="00335926"/>
    <w:rsid w:val="00335A1B"/>
    <w:rsid w:val="00335B37"/>
    <w:rsid w:val="00335C89"/>
    <w:rsid w:val="00335EF6"/>
    <w:rsid w:val="00335F7B"/>
    <w:rsid w:val="00336547"/>
    <w:rsid w:val="0033691C"/>
    <w:rsid w:val="00336AF8"/>
    <w:rsid w:val="00336C3F"/>
    <w:rsid w:val="00336C6B"/>
    <w:rsid w:val="00336DF9"/>
    <w:rsid w:val="00336F3E"/>
    <w:rsid w:val="003371A6"/>
    <w:rsid w:val="00337278"/>
    <w:rsid w:val="003375DA"/>
    <w:rsid w:val="00337618"/>
    <w:rsid w:val="00337765"/>
    <w:rsid w:val="003377D7"/>
    <w:rsid w:val="00337A43"/>
    <w:rsid w:val="00337A5C"/>
    <w:rsid w:val="00340045"/>
    <w:rsid w:val="003400AA"/>
    <w:rsid w:val="003401A9"/>
    <w:rsid w:val="00340203"/>
    <w:rsid w:val="0034025F"/>
    <w:rsid w:val="003403F4"/>
    <w:rsid w:val="003404B0"/>
    <w:rsid w:val="003404D5"/>
    <w:rsid w:val="003406C8"/>
    <w:rsid w:val="0034084E"/>
    <w:rsid w:val="00340A1F"/>
    <w:rsid w:val="0034109E"/>
    <w:rsid w:val="003412B3"/>
    <w:rsid w:val="00341695"/>
    <w:rsid w:val="003417D2"/>
    <w:rsid w:val="003417D9"/>
    <w:rsid w:val="00341800"/>
    <w:rsid w:val="00341B98"/>
    <w:rsid w:val="00341E73"/>
    <w:rsid w:val="00341FCB"/>
    <w:rsid w:val="00342121"/>
    <w:rsid w:val="0034216E"/>
    <w:rsid w:val="00342204"/>
    <w:rsid w:val="003427CD"/>
    <w:rsid w:val="00342B83"/>
    <w:rsid w:val="00342EA8"/>
    <w:rsid w:val="003431A6"/>
    <w:rsid w:val="003431AA"/>
    <w:rsid w:val="00343217"/>
    <w:rsid w:val="00343586"/>
    <w:rsid w:val="003439B4"/>
    <w:rsid w:val="00343C78"/>
    <w:rsid w:val="00343D8A"/>
    <w:rsid w:val="00343DEF"/>
    <w:rsid w:val="00344110"/>
    <w:rsid w:val="003442C5"/>
    <w:rsid w:val="003442D9"/>
    <w:rsid w:val="00344486"/>
    <w:rsid w:val="00344D04"/>
    <w:rsid w:val="00344D3A"/>
    <w:rsid w:val="00344D5B"/>
    <w:rsid w:val="00344DCA"/>
    <w:rsid w:val="00344DE2"/>
    <w:rsid w:val="00344E0E"/>
    <w:rsid w:val="0034507E"/>
    <w:rsid w:val="003450C0"/>
    <w:rsid w:val="003450F2"/>
    <w:rsid w:val="00345105"/>
    <w:rsid w:val="0034521D"/>
    <w:rsid w:val="0034532E"/>
    <w:rsid w:val="003453DB"/>
    <w:rsid w:val="00345589"/>
    <w:rsid w:val="0034565C"/>
    <w:rsid w:val="00345AB2"/>
    <w:rsid w:val="00345CE9"/>
    <w:rsid w:val="00345D4E"/>
    <w:rsid w:val="00345D74"/>
    <w:rsid w:val="00345EB7"/>
    <w:rsid w:val="00345FF0"/>
    <w:rsid w:val="00346055"/>
    <w:rsid w:val="00346266"/>
    <w:rsid w:val="0034699A"/>
    <w:rsid w:val="00346ACD"/>
    <w:rsid w:val="00346BE4"/>
    <w:rsid w:val="00346D56"/>
    <w:rsid w:val="00346DAD"/>
    <w:rsid w:val="00346DC2"/>
    <w:rsid w:val="00346E12"/>
    <w:rsid w:val="00346EAE"/>
    <w:rsid w:val="00346EE8"/>
    <w:rsid w:val="00347054"/>
    <w:rsid w:val="003473E7"/>
    <w:rsid w:val="00347411"/>
    <w:rsid w:val="003475EA"/>
    <w:rsid w:val="0034761B"/>
    <w:rsid w:val="003477BB"/>
    <w:rsid w:val="00347808"/>
    <w:rsid w:val="003479BF"/>
    <w:rsid w:val="00347C96"/>
    <w:rsid w:val="00347FD8"/>
    <w:rsid w:val="00350183"/>
    <w:rsid w:val="00350229"/>
    <w:rsid w:val="00350410"/>
    <w:rsid w:val="0035041B"/>
    <w:rsid w:val="00350692"/>
    <w:rsid w:val="0035083A"/>
    <w:rsid w:val="00350B70"/>
    <w:rsid w:val="00350CC2"/>
    <w:rsid w:val="00351022"/>
    <w:rsid w:val="0035111F"/>
    <w:rsid w:val="00351269"/>
    <w:rsid w:val="00351433"/>
    <w:rsid w:val="0035168E"/>
    <w:rsid w:val="003518D0"/>
    <w:rsid w:val="00351AE0"/>
    <w:rsid w:val="00351D24"/>
    <w:rsid w:val="00351D3A"/>
    <w:rsid w:val="00351F2D"/>
    <w:rsid w:val="003520AA"/>
    <w:rsid w:val="0035215F"/>
    <w:rsid w:val="00352168"/>
    <w:rsid w:val="003521C2"/>
    <w:rsid w:val="00352571"/>
    <w:rsid w:val="003526EC"/>
    <w:rsid w:val="0035282D"/>
    <w:rsid w:val="0035287F"/>
    <w:rsid w:val="00352A35"/>
    <w:rsid w:val="00352B02"/>
    <w:rsid w:val="00352DF4"/>
    <w:rsid w:val="00352E28"/>
    <w:rsid w:val="003531FD"/>
    <w:rsid w:val="00353472"/>
    <w:rsid w:val="0035354B"/>
    <w:rsid w:val="003535EE"/>
    <w:rsid w:val="00353737"/>
    <w:rsid w:val="003537B3"/>
    <w:rsid w:val="003537EE"/>
    <w:rsid w:val="00353D31"/>
    <w:rsid w:val="00353DAF"/>
    <w:rsid w:val="0035400B"/>
    <w:rsid w:val="00354138"/>
    <w:rsid w:val="003541C1"/>
    <w:rsid w:val="00354540"/>
    <w:rsid w:val="003546E1"/>
    <w:rsid w:val="003548E1"/>
    <w:rsid w:val="00354DFE"/>
    <w:rsid w:val="00354FA7"/>
    <w:rsid w:val="00354FCA"/>
    <w:rsid w:val="0035502E"/>
    <w:rsid w:val="003552A4"/>
    <w:rsid w:val="00355429"/>
    <w:rsid w:val="00355446"/>
    <w:rsid w:val="0035559F"/>
    <w:rsid w:val="003555FB"/>
    <w:rsid w:val="003556EC"/>
    <w:rsid w:val="00355718"/>
    <w:rsid w:val="00355721"/>
    <w:rsid w:val="003557FA"/>
    <w:rsid w:val="0035593C"/>
    <w:rsid w:val="003559C1"/>
    <w:rsid w:val="00355C76"/>
    <w:rsid w:val="003560D2"/>
    <w:rsid w:val="00356128"/>
    <w:rsid w:val="0035614A"/>
    <w:rsid w:val="003565BC"/>
    <w:rsid w:val="003566F1"/>
    <w:rsid w:val="00356754"/>
    <w:rsid w:val="00356B29"/>
    <w:rsid w:val="00356C70"/>
    <w:rsid w:val="00356D2A"/>
    <w:rsid w:val="00357109"/>
    <w:rsid w:val="0035715D"/>
    <w:rsid w:val="00357173"/>
    <w:rsid w:val="0035721B"/>
    <w:rsid w:val="00357431"/>
    <w:rsid w:val="0035743C"/>
    <w:rsid w:val="0035747D"/>
    <w:rsid w:val="00357896"/>
    <w:rsid w:val="003578FB"/>
    <w:rsid w:val="003579AB"/>
    <w:rsid w:val="00357A15"/>
    <w:rsid w:val="00357A64"/>
    <w:rsid w:val="00357B0A"/>
    <w:rsid w:val="00357CBD"/>
    <w:rsid w:val="00360162"/>
    <w:rsid w:val="0036037A"/>
    <w:rsid w:val="00360590"/>
    <w:rsid w:val="003606A3"/>
    <w:rsid w:val="00360717"/>
    <w:rsid w:val="00360921"/>
    <w:rsid w:val="00360928"/>
    <w:rsid w:val="00360B58"/>
    <w:rsid w:val="00360C2A"/>
    <w:rsid w:val="00360CDB"/>
    <w:rsid w:val="00360DC4"/>
    <w:rsid w:val="00360E04"/>
    <w:rsid w:val="00360F79"/>
    <w:rsid w:val="00361362"/>
    <w:rsid w:val="003613FF"/>
    <w:rsid w:val="00361488"/>
    <w:rsid w:val="00361586"/>
    <w:rsid w:val="0036172A"/>
    <w:rsid w:val="00361775"/>
    <w:rsid w:val="003617C2"/>
    <w:rsid w:val="003618D5"/>
    <w:rsid w:val="00361AB9"/>
    <w:rsid w:val="00361BBD"/>
    <w:rsid w:val="00361CAD"/>
    <w:rsid w:val="00361CED"/>
    <w:rsid w:val="00361D85"/>
    <w:rsid w:val="00362041"/>
    <w:rsid w:val="003621D0"/>
    <w:rsid w:val="00362219"/>
    <w:rsid w:val="003622E6"/>
    <w:rsid w:val="003623A8"/>
    <w:rsid w:val="003626FF"/>
    <w:rsid w:val="00362738"/>
    <w:rsid w:val="0036273C"/>
    <w:rsid w:val="00362834"/>
    <w:rsid w:val="0036293C"/>
    <w:rsid w:val="00362A44"/>
    <w:rsid w:val="00362B06"/>
    <w:rsid w:val="00362B32"/>
    <w:rsid w:val="00362D00"/>
    <w:rsid w:val="00362E8E"/>
    <w:rsid w:val="00362F0E"/>
    <w:rsid w:val="003630DA"/>
    <w:rsid w:val="003632BE"/>
    <w:rsid w:val="00363549"/>
    <w:rsid w:val="003635AF"/>
    <w:rsid w:val="003637EF"/>
    <w:rsid w:val="00363936"/>
    <w:rsid w:val="0036399C"/>
    <w:rsid w:val="003639CA"/>
    <w:rsid w:val="003639E2"/>
    <w:rsid w:val="00363C3D"/>
    <w:rsid w:val="00363C43"/>
    <w:rsid w:val="00363E1D"/>
    <w:rsid w:val="00364031"/>
    <w:rsid w:val="00364068"/>
    <w:rsid w:val="003641C1"/>
    <w:rsid w:val="00364236"/>
    <w:rsid w:val="00364305"/>
    <w:rsid w:val="0036435C"/>
    <w:rsid w:val="003643CF"/>
    <w:rsid w:val="00364433"/>
    <w:rsid w:val="0036459E"/>
    <w:rsid w:val="00364608"/>
    <w:rsid w:val="0036499B"/>
    <w:rsid w:val="00364D1B"/>
    <w:rsid w:val="003652A5"/>
    <w:rsid w:val="00365316"/>
    <w:rsid w:val="00365553"/>
    <w:rsid w:val="003658FF"/>
    <w:rsid w:val="00365AD2"/>
    <w:rsid w:val="00365F6D"/>
    <w:rsid w:val="00366060"/>
    <w:rsid w:val="00366095"/>
    <w:rsid w:val="00366132"/>
    <w:rsid w:val="0036614B"/>
    <w:rsid w:val="003665F5"/>
    <w:rsid w:val="00366872"/>
    <w:rsid w:val="00366D48"/>
    <w:rsid w:val="00366D4D"/>
    <w:rsid w:val="00366DA1"/>
    <w:rsid w:val="00366E1C"/>
    <w:rsid w:val="00366F1B"/>
    <w:rsid w:val="00366FCB"/>
    <w:rsid w:val="00367103"/>
    <w:rsid w:val="0036727F"/>
    <w:rsid w:val="0036736C"/>
    <w:rsid w:val="003673CE"/>
    <w:rsid w:val="003676A0"/>
    <w:rsid w:val="00367800"/>
    <w:rsid w:val="0036780B"/>
    <w:rsid w:val="00367C50"/>
    <w:rsid w:val="00367CCD"/>
    <w:rsid w:val="00367E78"/>
    <w:rsid w:val="003700CE"/>
    <w:rsid w:val="003700EB"/>
    <w:rsid w:val="003701A2"/>
    <w:rsid w:val="003701C1"/>
    <w:rsid w:val="00370342"/>
    <w:rsid w:val="003704C0"/>
    <w:rsid w:val="00370644"/>
    <w:rsid w:val="00370BAE"/>
    <w:rsid w:val="00370BFA"/>
    <w:rsid w:val="00370E01"/>
    <w:rsid w:val="00370F55"/>
    <w:rsid w:val="00371029"/>
    <w:rsid w:val="00371253"/>
    <w:rsid w:val="0037127A"/>
    <w:rsid w:val="0037131A"/>
    <w:rsid w:val="0037133B"/>
    <w:rsid w:val="00371512"/>
    <w:rsid w:val="0037167A"/>
    <w:rsid w:val="0037192B"/>
    <w:rsid w:val="00371A38"/>
    <w:rsid w:val="00371B50"/>
    <w:rsid w:val="00371BD2"/>
    <w:rsid w:val="00371DB2"/>
    <w:rsid w:val="00371EFC"/>
    <w:rsid w:val="0037205A"/>
    <w:rsid w:val="003720BC"/>
    <w:rsid w:val="00372137"/>
    <w:rsid w:val="00372215"/>
    <w:rsid w:val="00372269"/>
    <w:rsid w:val="00372277"/>
    <w:rsid w:val="003723BB"/>
    <w:rsid w:val="003723D8"/>
    <w:rsid w:val="0037261E"/>
    <w:rsid w:val="00372633"/>
    <w:rsid w:val="00372662"/>
    <w:rsid w:val="00372706"/>
    <w:rsid w:val="0037277C"/>
    <w:rsid w:val="0037277D"/>
    <w:rsid w:val="0037280C"/>
    <w:rsid w:val="00372C56"/>
    <w:rsid w:val="00372C68"/>
    <w:rsid w:val="00372CAD"/>
    <w:rsid w:val="00372CE7"/>
    <w:rsid w:val="00372CF2"/>
    <w:rsid w:val="00372D2A"/>
    <w:rsid w:val="00372EB4"/>
    <w:rsid w:val="00372F3B"/>
    <w:rsid w:val="00373174"/>
    <w:rsid w:val="003732E3"/>
    <w:rsid w:val="0037351C"/>
    <w:rsid w:val="0037353D"/>
    <w:rsid w:val="003735EB"/>
    <w:rsid w:val="0037364F"/>
    <w:rsid w:val="0037365E"/>
    <w:rsid w:val="00373756"/>
    <w:rsid w:val="00373858"/>
    <w:rsid w:val="0037397A"/>
    <w:rsid w:val="003739A5"/>
    <w:rsid w:val="00373A08"/>
    <w:rsid w:val="00373D54"/>
    <w:rsid w:val="00373E2D"/>
    <w:rsid w:val="00373E6D"/>
    <w:rsid w:val="00373E8B"/>
    <w:rsid w:val="00373EB9"/>
    <w:rsid w:val="00373F65"/>
    <w:rsid w:val="0037401D"/>
    <w:rsid w:val="00374299"/>
    <w:rsid w:val="003742FC"/>
    <w:rsid w:val="0037435A"/>
    <w:rsid w:val="0037466F"/>
    <w:rsid w:val="003746D8"/>
    <w:rsid w:val="003747A7"/>
    <w:rsid w:val="003747E7"/>
    <w:rsid w:val="00374B3B"/>
    <w:rsid w:val="00374B8E"/>
    <w:rsid w:val="00374C24"/>
    <w:rsid w:val="00374D4E"/>
    <w:rsid w:val="00374DFA"/>
    <w:rsid w:val="00375007"/>
    <w:rsid w:val="00375036"/>
    <w:rsid w:val="0037506A"/>
    <w:rsid w:val="00375156"/>
    <w:rsid w:val="00375488"/>
    <w:rsid w:val="00375545"/>
    <w:rsid w:val="0037558F"/>
    <w:rsid w:val="00375623"/>
    <w:rsid w:val="003757A4"/>
    <w:rsid w:val="00375926"/>
    <w:rsid w:val="00375992"/>
    <w:rsid w:val="00375A43"/>
    <w:rsid w:val="00375ACC"/>
    <w:rsid w:val="0037625C"/>
    <w:rsid w:val="003763D5"/>
    <w:rsid w:val="003765D8"/>
    <w:rsid w:val="00376829"/>
    <w:rsid w:val="00376949"/>
    <w:rsid w:val="00376B70"/>
    <w:rsid w:val="00376C34"/>
    <w:rsid w:val="0037701A"/>
    <w:rsid w:val="003770FF"/>
    <w:rsid w:val="003771D5"/>
    <w:rsid w:val="0037768F"/>
    <w:rsid w:val="003776CC"/>
    <w:rsid w:val="00377760"/>
    <w:rsid w:val="00377858"/>
    <w:rsid w:val="00377890"/>
    <w:rsid w:val="00377A5B"/>
    <w:rsid w:val="00377B86"/>
    <w:rsid w:val="00377DDE"/>
    <w:rsid w:val="00377EBF"/>
    <w:rsid w:val="00377F9B"/>
    <w:rsid w:val="00380098"/>
    <w:rsid w:val="00380160"/>
    <w:rsid w:val="0038017A"/>
    <w:rsid w:val="003803D6"/>
    <w:rsid w:val="00380801"/>
    <w:rsid w:val="003808C7"/>
    <w:rsid w:val="00380923"/>
    <w:rsid w:val="00380C39"/>
    <w:rsid w:val="00381100"/>
    <w:rsid w:val="00381394"/>
    <w:rsid w:val="0038150E"/>
    <w:rsid w:val="003818A2"/>
    <w:rsid w:val="00381A2D"/>
    <w:rsid w:val="00381B65"/>
    <w:rsid w:val="00381D47"/>
    <w:rsid w:val="00381F12"/>
    <w:rsid w:val="00381F28"/>
    <w:rsid w:val="00382084"/>
    <w:rsid w:val="0038215D"/>
    <w:rsid w:val="003823B8"/>
    <w:rsid w:val="0038279F"/>
    <w:rsid w:val="003827E3"/>
    <w:rsid w:val="00382826"/>
    <w:rsid w:val="0038286B"/>
    <w:rsid w:val="0038297A"/>
    <w:rsid w:val="00382ADD"/>
    <w:rsid w:val="00382DE0"/>
    <w:rsid w:val="00382EF4"/>
    <w:rsid w:val="00382F06"/>
    <w:rsid w:val="00383132"/>
    <w:rsid w:val="003831F9"/>
    <w:rsid w:val="00383465"/>
    <w:rsid w:val="003834BF"/>
    <w:rsid w:val="0038376B"/>
    <w:rsid w:val="00383A6D"/>
    <w:rsid w:val="00383B79"/>
    <w:rsid w:val="00383BE4"/>
    <w:rsid w:val="00383DE8"/>
    <w:rsid w:val="00384244"/>
    <w:rsid w:val="003842B9"/>
    <w:rsid w:val="0038443E"/>
    <w:rsid w:val="003847A3"/>
    <w:rsid w:val="0038480D"/>
    <w:rsid w:val="00384A64"/>
    <w:rsid w:val="00384CB4"/>
    <w:rsid w:val="00384DE6"/>
    <w:rsid w:val="00384FA0"/>
    <w:rsid w:val="0038539E"/>
    <w:rsid w:val="003853D3"/>
    <w:rsid w:val="0038543B"/>
    <w:rsid w:val="00385516"/>
    <w:rsid w:val="00385635"/>
    <w:rsid w:val="0038584E"/>
    <w:rsid w:val="0038596B"/>
    <w:rsid w:val="00385A50"/>
    <w:rsid w:val="00385C7A"/>
    <w:rsid w:val="00385CAD"/>
    <w:rsid w:val="00385DD8"/>
    <w:rsid w:val="00385F5D"/>
    <w:rsid w:val="0038603A"/>
    <w:rsid w:val="00386087"/>
    <w:rsid w:val="003861C7"/>
    <w:rsid w:val="003861D0"/>
    <w:rsid w:val="0038621B"/>
    <w:rsid w:val="0038644E"/>
    <w:rsid w:val="003864B5"/>
    <w:rsid w:val="00386683"/>
    <w:rsid w:val="0038668D"/>
    <w:rsid w:val="0038671D"/>
    <w:rsid w:val="00386993"/>
    <w:rsid w:val="003869D2"/>
    <w:rsid w:val="00386A8B"/>
    <w:rsid w:val="00386FAB"/>
    <w:rsid w:val="00387095"/>
    <w:rsid w:val="003871AF"/>
    <w:rsid w:val="00387306"/>
    <w:rsid w:val="00387329"/>
    <w:rsid w:val="00387504"/>
    <w:rsid w:val="00387912"/>
    <w:rsid w:val="00387963"/>
    <w:rsid w:val="00387A1D"/>
    <w:rsid w:val="00387EAF"/>
    <w:rsid w:val="00387FA7"/>
    <w:rsid w:val="00390105"/>
    <w:rsid w:val="003901E8"/>
    <w:rsid w:val="0039023B"/>
    <w:rsid w:val="00390276"/>
    <w:rsid w:val="003903A7"/>
    <w:rsid w:val="003903BF"/>
    <w:rsid w:val="0039045D"/>
    <w:rsid w:val="003904C1"/>
    <w:rsid w:val="003905CE"/>
    <w:rsid w:val="003905E8"/>
    <w:rsid w:val="00390674"/>
    <w:rsid w:val="003908EB"/>
    <w:rsid w:val="00390B6D"/>
    <w:rsid w:val="00390B73"/>
    <w:rsid w:val="00390E3C"/>
    <w:rsid w:val="00390E70"/>
    <w:rsid w:val="00390EB3"/>
    <w:rsid w:val="00390F4F"/>
    <w:rsid w:val="00390FD3"/>
    <w:rsid w:val="0039113E"/>
    <w:rsid w:val="00391192"/>
    <w:rsid w:val="0039135E"/>
    <w:rsid w:val="003913D0"/>
    <w:rsid w:val="00391473"/>
    <w:rsid w:val="00391568"/>
    <w:rsid w:val="003915A2"/>
    <w:rsid w:val="00391647"/>
    <w:rsid w:val="003916BF"/>
    <w:rsid w:val="003916C9"/>
    <w:rsid w:val="00391A96"/>
    <w:rsid w:val="00391AD1"/>
    <w:rsid w:val="00391B5C"/>
    <w:rsid w:val="00391C08"/>
    <w:rsid w:val="00391D28"/>
    <w:rsid w:val="00391D34"/>
    <w:rsid w:val="00392022"/>
    <w:rsid w:val="0039204F"/>
    <w:rsid w:val="003920A8"/>
    <w:rsid w:val="00392276"/>
    <w:rsid w:val="003924CC"/>
    <w:rsid w:val="00392612"/>
    <w:rsid w:val="00392860"/>
    <w:rsid w:val="00392897"/>
    <w:rsid w:val="003928F3"/>
    <w:rsid w:val="0039290C"/>
    <w:rsid w:val="00392BD0"/>
    <w:rsid w:val="00392C22"/>
    <w:rsid w:val="00392E24"/>
    <w:rsid w:val="00392EF9"/>
    <w:rsid w:val="00392F89"/>
    <w:rsid w:val="0039309F"/>
    <w:rsid w:val="00393168"/>
    <w:rsid w:val="00393431"/>
    <w:rsid w:val="0039348B"/>
    <w:rsid w:val="00393537"/>
    <w:rsid w:val="0039379F"/>
    <w:rsid w:val="00393916"/>
    <w:rsid w:val="0039392E"/>
    <w:rsid w:val="003939E4"/>
    <w:rsid w:val="00393B6F"/>
    <w:rsid w:val="00393CD7"/>
    <w:rsid w:val="00393DC0"/>
    <w:rsid w:val="00394460"/>
    <w:rsid w:val="0039448B"/>
    <w:rsid w:val="00394560"/>
    <w:rsid w:val="00394667"/>
    <w:rsid w:val="00394831"/>
    <w:rsid w:val="0039484F"/>
    <w:rsid w:val="00394BF0"/>
    <w:rsid w:val="00394D2A"/>
    <w:rsid w:val="00394E81"/>
    <w:rsid w:val="00394EB0"/>
    <w:rsid w:val="0039502A"/>
    <w:rsid w:val="00395391"/>
    <w:rsid w:val="00395396"/>
    <w:rsid w:val="003953AB"/>
    <w:rsid w:val="00395500"/>
    <w:rsid w:val="003955A4"/>
    <w:rsid w:val="0039566A"/>
    <w:rsid w:val="003956A9"/>
    <w:rsid w:val="003956EE"/>
    <w:rsid w:val="00395913"/>
    <w:rsid w:val="0039599C"/>
    <w:rsid w:val="003959D6"/>
    <w:rsid w:val="00395A1B"/>
    <w:rsid w:val="00395A20"/>
    <w:rsid w:val="00395BDD"/>
    <w:rsid w:val="00395C73"/>
    <w:rsid w:val="00395D3E"/>
    <w:rsid w:val="00395F7C"/>
    <w:rsid w:val="00395FA1"/>
    <w:rsid w:val="00395FE9"/>
    <w:rsid w:val="00396456"/>
    <w:rsid w:val="003964D5"/>
    <w:rsid w:val="0039672F"/>
    <w:rsid w:val="003968DD"/>
    <w:rsid w:val="0039691A"/>
    <w:rsid w:val="00396970"/>
    <w:rsid w:val="00396A5B"/>
    <w:rsid w:val="00396DB6"/>
    <w:rsid w:val="00396E50"/>
    <w:rsid w:val="00396E5C"/>
    <w:rsid w:val="00396EAF"/>
    <w:rsid w:val="00396FB5"/>
    <w:rsid w:val="0039711E"/>
    <w:rsid w:val="00397168"/>
    <w:rsid w:val="0039720A"/>
    <w:rsid w:val="0039738D"/>
    <w:rsid w:val="0039744F"/>
    <w:rsid w:val="00397609"/>
    <w:rsid w:val="00397653"/>
    <w:rsid w:val="0039784C"/>
    <w:rsid w:val="00397BFD"/>
    <w:rsid w:val="00397DE5"/>
    <w:rsid w:val="00397F8E"/>
    <w:rsid w:val="003A00CE"/>
    <w:rsid w:val="003A060F"/>
    <w:rsid w:val="003A0689"/>
    <w:rsid w:val="003A06D0"/>
    <w:rsid w:val="003A070B"/>
    <w:rsid w:val="003A0A96"/>
    <w:rsid w:val="003A0E25"/>
    <w:rsid w:val="003A11FD"/>
    <w:rsid w:val="003A1260"/>
    <w:rsid w:val="003A12AE"/>
    <w:rsid w:val="003A1597"/>
    <w:rsid w:val="003A15A3"/>
    <w:rsid w:val="003A18B4"/>
    <w:rsid w:val="003A194F"/>
    <w:rsid w:val="003A1A12"/>
    <w:rsid w:val="003A1AA1"/>
    <w:rsid w:val="003A1C1D"/>
    <w:rsid w:val="003A1DA5"/>
    <w:rsid w:val="003A1E0B"/>
    <w:rsid w:val="003A1EF3"/>
    <w:rsid w:val="003A201B"/>
    <w:rsid w:val="003A222B"/>
    <w:rsid w:val="003A2332"/>
    <w:rsid w:val="003A2567"/>
    <w:rsid w:val="003A2620"/>
    <w:rsid w:val="003A2649"/>
    <w:rsid w:val="003A2696"/>
    <w:rsid w:val="003A2A2C"/>
    <w:rsid w:val="003A2A3D"/>
    <w:rsid w:val="003A2BDE"/>
    <w:rsid w:val="003A2BE3"/>
    <w:rsid w:val="003A2BF1"/>
    <w:rsid w:val="003A2C05"/>
    <w:rsid w:val="003A2E88"/>
    <w:rsid w:val="003A2EC2"/>
    <w:rsid w:val="003A3121"/>
    <w:rsid w:val="003A3128"/>
    <w:rsid w:val="003A3382"/>
    <w:rsid w:val="003A3449"/>
    <w:rsid w:val="003A3677"/>
    <w:rsid w:val="003A36D0"/>
    <w:rsid w:val="003A37B1"/>
    <w:rsid w:val="003A37D0"/>
    <w:rsid w:val="003A38DD"/>
    <w:rsid w:val="003A3973"/>
    <w:rsid w:val="003A3CB2"/>
    <w:rsid w:val="003A3CCC"/>
    <w:rsid w:val="003A41BB"/>
    <w:rsid w:val="003A41E6"/>
    <w:rsid w:val="003A44A0"/>
    <w:rsid w:val="003A454A"/>
    <w:rsid w:val="003A471A"/>
    <w:rsid w:val="003A4919"/>
    <w:rsid w:val="003A4934"/>
    <w:rsid w:val="003A4A99"/>
    <w:rsid w:val="003A4C92"/>
    <w:rsid w:val="003A4CE1"/>
    <w:rsid w:val="003A51D4"/>
    <w:rsid w:val="003A5228"/>
    <w:rsid w:val="003A525F"/>
    <w:rsid w:val="003A529B"/>
    <w:rsid w:val="003A52A9"/>
    <w:rsid w:val="003A536A"/>
    <w:rsid w:val="003A537A"/>
    <w:rsid w:val="003A53D6"/>
    <w:rsid w:val="003A549F"/>
    <w:rsid w:val="003A5532"/>
    <w:rsid w:val="003A55FF"/>
    <w:rsid w:val="003A5712"/>
    <w:rsid w:val="003A57D8"/>
    <w:rsid w:val="003A5839"/>
    <w:rsid w:val="003A5935"/>
    <w:rsid w:val="003A5ABD"/>
    <w:rsid w:val="003A5ACB"/>
    <w:rsid w:val="003A5BD4"/>
    <w:rsid w:val="003A5C3E"/>
    <w:rsid w:val="003A5F14"/>
    <w:rsid w:val="003A5F56"/>
    <w:rsid w:val="003A610F"/>
    <w:rsid w:val="003A6151"/>
    <w:rsid w:val="003A61D5"/>
    <w:rsid w:val="003A6425"/>
    <w:rsid w:val="003A65E8"/>
    <w:rsid w:val="003A671A"/>
    <w:rsid w:val="003A6A83"/>
    <w:rsid w:val="003A6A8D"/>
    <w:rsid w:val="003A6CF2"/>
    <w:rsid w:val="003A6D4E"/>
    <w:rsid w:val="003A6E43"/>
    <w:rsid w:val="003A6F77"/>
    <w:rsid w:val="003A710D"/>
    <w:rsid w:val="003A72A8"/>
    <w:rsid w:val="003A7441"/>
    <w:rsid w:val="003A755A"/>
    <w:rsid w:val="003A761F"/>
    <w:rsid w:val="003A7641"/>
    <w:rsid w:val="003A7AEF"/>
    <w:rsid w:val="003A7C6D"/>
    <w:rsid w:val="003A7CE2"/>
    <w:rsid w:val="003A7E4A"/>
    <w:rsid w:val="003A7FF2"/>
    <w:rsid w:val="003B00E9"/>
    <w:rsid w:val="003B04BA"/>
    <w:rsid w:val="003B0951"/>
    <w:rsid w:val="003B0B89"/>
    <w:rsid w:val="003B0F01"/>
    <w:rsid w:val="003B1197"/>
    <w:rsid w:val="003B120F"/>
    <w:rsid w:val="003B1214"/>
    <w:rsid w:val="003B1375"/>
    <w:rsid w:val="003B1525"/>
    <w:rsid w:val="003B15F4"/>
    <w:rsid w:val="003B1747"/>
    <w:rsid w:val="003B18E2"/>
    <w:rsid w:val="003B18F5"/>
    <w:rsid w:val="003B1C6C"/>
    <w:rsid w:val="003B1D19"/>
    <w:rsid w:val="003B1D2A"/>
    <w:rsid w:val="003B1DD9"/>
    <w:rsid w:val="003B1E26"/>
    <w:rsid w:val="003B1E27"/>
    <w:rsid w:val="003B1F3B"/>
    <w:rsid w:val="003B1F9F"/>
    <w:rsid w:val="003B20C5"/>
    <w:rsid w:val="003B218A"/>
    <w:rsid w:val="003B222F"/>
    <w:rsid w:val="003B225F"/>
    <w:rsid w:val="003B237D"/>
    <w:rsid w:val="003B2447"/>
    <w:rsid w:val="003B2497"/>
    <w:rsid w:val="003B279B"/>
    <w:rsid w:val="003B27D7"/>
    <w:rsid w:val="003B2961"/>
    <w:rsid w:val="003B2995"/>
    <w:rsid w:val="003B2CB6"/>
    <w:rsid w:val="003B2E2B"/>
    <w:rsid w:val="003B30BE"/>
    <w:rsid w:val="003B3190"/>
    <w:rsid w:val="003B3266"/>
    <w:rsid w:val="003B335C"/>
    <w:rsid w:val="003B3530"/>
    <w:rsid w:val="003B3BCA"/>
    <w:rsid w:val="003B3C26"/>
    <w:rsid w:val="003B3C4C"/>
    <w:rsid w:val="003B3C75"/>
    <w:rsid w:val="003B3EDC"/>
    <w:rsid w:val="003B411E"/>
    <w:rsid w:val="003B43FE"/>
    <w:rsid w:val="003B4535"/>
    <w:rsid w:val="003B4628"/>
    <w:rsid w:val="003B48A5"/>
    <w:rsid w:val="003B48C4"/>
    <w:rsid w:val="003B4903"/>
    <w:rsid w:val="003B4B4A"/>
    <w:rsid w:val="003B4BBC"/>
    <w:rsid w:val="003B4C93"/>
    <w:rsid w:val="003B4E9A"/>
    <w:rsid w:val="003B4EE7"/>
    <w:rsid w:val="003B4EE8"/>
    <w:rsid w:val="003B5020"/>
    <w:rsid w:val="003B5138"/>
    <w:rsid w:val="003B523D"/>
    <w:rsid w:val="003B5298"/>
    <w:rsid w:val="003B52B3"/>
    <w:rsid w:val="003B5370"/>
    <w:rsid w:val="003B5529"/>
    <w:rsid w:val="003B559F"/>
    <w:rsid w:val="003B5716"/>
    <w:rsid w:val="003B5835"/>
    <w:rsid w:val="003B58D1"/>
    <w:rsid w:val="003B5B25"/>
    <w:rsid w:val="003B5B56"/>
    <w:rsid w:val="003B5BCA"/>
    <w:rsid w:val="003B5FBF"/>
    <w:rsid w:val="003B617D"/>
    <w:rsid w:val="003B6298"/>
    <w:rsid w:val="003B630F"/>
    <w:rsid w:val="003B64A1"/>
    <w:rsid w:val="003B64B0"/>
    <w:rsid w:val="003B6687"/>
    <w:rsid w:val="003B67FB"/>
    <w:rsid w:val="003B682B"/>
    <w:rsid w:val="003B6A3B"/>
    <w:rsid w:val="003B6C02"/>
    <w:rsid w:val="003B6D26"/>
    <w:rsid w:val="003B6F2C"/>
    <w:rsid w:val="003B7073"/>
    <w:rsid w:val="003B720E"/>
    <w:rsid w:val="003B73D1"/>
    <w:rsid w:val="003B74DA"/>
    <w:rsid w:val="003B75BA"/>
    <w:rsid w:val="003B77D0"/>
    <w:rsid w:val="003B7850"/>
    <w:rsid w:val="003B7921"/>
    <w:rsid w:val="003B7B93"/>
    <w:rsid w:val="003B7C9A"/>
    <w:rsid w:val="003B7D17"/>
    <w:rsid w:val="003C02F6"/>
    <w:rsid w:val="003C032E"/>
    <w:rsid w:val="003C034C"/>
    <w:rsid w:val="003C0534"/>
    <w:rsid w:val="003C0565"/>
    <w:rsid w:val="003C07D8"/>
    <w:rsid w:val="003C084E"/>
    <w:rsid w:val="003C0851"/>
    <w:rsid w:val="003C0A9E"/>
    <w:rsid w:val="003C0AC8"/>
    <w:rsid w:val="003C0B18"/>
    <w:rsid w:val="003C0B71"/>
    <w:rsid w:val="003C0B7B"/>
    <w:rsid w:val="003C0BD9"/>
    <w:rsid w:val="003C0D47"/>
    <w:rsid w:val="003C0F6B"/>
    <w:rsid w:val="003C1148"/>
    <w:rsid w:val="003C122E"/>
    <w:rsid w:val="003C1263"/>
    <w:rsid w:val="003C1381"/>
    <w:rsid w:val="003C1404"/>
    <w:rsid w:val="003C16C0"/>
    <w:rsid w:val="003C178C"/>
    <w:rsid w:val="003C1841"/>
    <w:rsid w:val="003C18A1"/>
    <w:rsid w:val="003C18B3"/>
    <w:rsid w:val="003C197C"/>
    <w:rsid w:val="003C1C98"/>
    <w:rsid w:val="003C1DF8"/>
    <w:rsid w:val="003C1F99"/>
    <w:rsid w:val="003C1FD9"/>
    <w:rsid w:val="003C2070"/>
    <w:rsid w:val="003C2177"/>
    <w:rsid w:val="003C226B"/>
    <w:rsid w:val="003C2284"/>
    <w:rsid w:val="003C239F"/>
    <w:rsid w:val="003C261E"/>
    <w:rsid w:val="003C2708"/>
    <w:rsid w:val="003C290A"/>
    <w:rsid w:val="003C29D1"/>
    <w:rsid w:val="003C2A29"/>
    <w:rsid w:val="003C2C10"/>
    <w:rsid w:val="003C2D49"/>
    <w:rsid w:val="003C2F2A"/>
    <w:rsid w:val="003C2F51"/>
    <w:rsid w:val="003C32D4"/>
    <w:rsid w:val="003C3401"/>
    <w:rsid w:val="003C3483"/>
    <w:rsid w:val="003C34A7"/>
    <w:rsid w:val="003C34DD"/>
    <w:rsid w:val="003C3638"/>
    <w:rsid w:val="003C3691"/>
    <w:rsid w:val="003C38C0"/>
    <w:rsid w:val="003C39CD"/>
    <w:rsid w:val="003C3A78"/>
    <w:rsid w:val="003C3A7E"/>
    <w:rsid w:val="003C3ACD"/>
    <w:rsid w:val="003C3B2A"/>
    <w:rsid w:val="003C3BE3"/>
    <w:rsid w:val="003C3CE8"/>
    <w:rsid w:val="003C3CF0"/>
    <w:rsid w:val="003C3DCA"/>
    <w:rsid w:val="003C3F0B"/>
    <w:rsid w:val="003C4121"/>
    <w:rsid w:val="003C422B"/>
    <w:rsid w:val="003C42DD"/>
    <w:rsid w:val="003C442D"/>
    <w:rsid w:val="003C4579"/>
    <w:rsid w:val="003C45F4"/>
    <w:rsid w:val="003C47FB"/>
    <w:rsid w:val="003C4819"/>
    <w:rsid w:val="003C4BBD"/>
    <w:rsid w:val="003C4D19"/>
    <w:rsid w:val="003C4FFF"/>
    <w:rsid w:val="003C5282"/>
    <w:rsid w:val="003C52E1"/>
    <w:rsid w:val="003C5443"/>
    <w:rsid w:val="003C551B"/>
    <w:rsid w:val="003C556D"/>
    <w:rsid w:val="003C558B"/>
    <w:rsid w:val="003C560E"/>
    <w:rsid w:val="003C5683"/>
    <w:rsid w:val="003C5825"/>
    <w:rsid w:val="003C5B1E"/>
    <w:rsid w:val="003C5F62"/>
    <w:rsid w:val="003C5FBD"/>
    <w:rsid w:val="003C608F"/>
    <w:rsid w:val="003C6225"/>
    <w:rsid w:val="003C63D9"/>
    <w:rsid w:val="003C6745"/>
    <w:rsid w:val="003C6837"/>
    <w:rsid w:val="003C691C"/>
    <w:rsid w:val="003C6946"/>
    <w:rsid w:val="003C69D2"/>
    <w:rsid w:val="003C6B24"/>
    <w:rsid w:val="003C6BBE"/>
    <w:rsid w:val="003C6BD8"/>
    <w:rsid w:val="003C6CA4"/>
    <w:rsid w:val="003C704F"/>
    <w:rsid w:val="003C70E9"/>
    <w:rsid w:val="003C713A"/>
    <w:rsid w:val="003C7167"/>
    <w:rsid w:val="003C71CC"/>
    <w:rsid w:val="003C724E"/>
    <w:rsid w:val="003C7368"/>
    <w:rsid w:val="003C7548"/>
    <w:rsid w:val="003C75E2"/>
    <w:rsid w:val="003C7629"/>
    <w:rsid w:val="003C767C"/>
    <w:rsid w:val="003C777C"/>
    <w:rsid w:val="003C78DE"/>
    <w:rsid w:val="003C795C"/>
    <w:rsid w:val="003C7A81"/>
    <w:rsid w:val="003C7B3D"/>
    <w:rsid w:val="003C7D94"/>
    <w:rsid w:val="003C7E63"/>
    <w:rsid w:val="003C7E7E"/>
    <w:rsid w:val="003C7F6D"/>
    <w:rsid w:val="003D02F1"/>
    <w:rsid w:val="003D03A3"/>
    <w:rsid w:val="003D03B7"/>
    <w:rsid w:val="003D0766"/>
    <w:rsid w:val="003D07BC"/>
    <w:rsid w:val="003D0832"/>
    <w:rsid w:val="003D093B"/>
    <w:rsid w:val="003D0B2C"/>
    <w:rsid w:val="003D0BA1"/>
    <w:rsid w:val="003D0EBE"/>
    <w:rsid w:val="003D100E"/>
    <w:rsid w:val="003D102B"/>
    <w:rsid w:val="003D1239"/>
    <w:rsid w:val="003D159F"/>
    <w:rsid w:val="003D1690"/>
    <w:rsid w:val="003D16E4"/>
    <w:rsid w:val="003D17F0"/>
    <w:rsid w:val="003D18BF"/>
    <w:rsid w:val="003D18D8"/>
    <w:rsid w:val="003D197D"/>
    <w:rsid w:val="003D19D1"/>
    <w:rsid w:val="003D1A5D"/>
    <w:rsid w:val="003D1DE7"/>
    <w:rsid w:val="003D1E0D"/>
    <w:rsid w:val="003D1FA1"/>
    <w:rsid w:val="003D2072"/>
    <w:rsid w:val="003D2349"/>
    <w:rsid w:val="003D23B8"/>
    <w:rsid w:val="003D24E9"/>
    <w:rsid w:val="003D2776"/>
    <w:rsid w:val="003D27C6"/>
    <w:rsid w:val="003D29FB"/>
    <w:rsid w:val="003D2CA8"/>
    <w:rsid w:val="003D2EFF"/>
    <w:rsid w:val="003D2F6F"/>
    <w:rsid w:val="003D2FB3"/>
    <w:rsid w:val="003D3269"/>
    <w:rsid w:val="003D33B2"/>
    <w:rsid w:val="003D3472"/>
    <w:rsid w:val="003D34E4"/>
    <w:rsid w:val="003D370F"/>
    <w:rsid w:val="003D3891"/>
    <w:rsid w:val="003D3999"/>
    <w:rsid w:val="003D3A71"/>
    <w:rsid w:val="003D3AD4"/>
    <w:rsid w:val="003D3D64"/>
    <w:rsid w:val="003D3D83"/>
    <w:rsid w:val="003D3EA0"/>
    <w:rsid w:val="003D3EC4"/>
    <w:rsid w:val="003D3ED3"/>
    <w:rsid w:val="003D4182"/>
    <w:rsid w:val="003D438F"/>
    <w:rsid w:val="003D44F3"/>
    <w:rsid w:val="003D450F"/>
    <w:rsid w:val="003D45DB"/>
    <w:rsid w:val="003D490B"/>
    <w:rsid w:val="003D49E8"/>
    <w:rsid w:val="003D4A89"/>
    <w:rsid w:val="003D4ABF"/>
    <w:rsid w:val="003D4AD7"/>
    <w:rsid w:val="003D4C23"/>
    <w:rsid w:val="003D4C30"/>
    <w:rsid w:val="003D4E2E"/>
    <w:rsid w:val="003D4E62"/>
    <w:rsid w:val="003D57AA"/>
    <w:rsid w:val="003D5988"/>
    <w:rsid w:val="003D5B9A"/>
    <w:rsid w:val="003D5BB1"/>
    <w:rsid w:val="003D5ECB"/>
    <w:rsid w:val="003D6046"/>
    <w:rsid w:val="003D6050"/>
    <w:rsid w:val="003D6134"/>
    <w:rsid w:val="003D6387"/>
    <w:rsid w:val="003D6450"/>
    <w:rsid w:val="003D656C"/>
    <w:rsid w:val="003D6647"/>
    <w:rsid w:val="003D66B6"/>
    <w:rsid w:val="003D6843"/>
    <w:rsid w:val="003D68D0"/>
    <w:rsid w:val="003D69A6"/>
    <w:rsid w:val="003D6B14"/>
    <w:rsid w:val="003D6C77"/>
    <w:rsid w:val="003D6FB3"/>
    <w:rsid w:val="003D724E"/>
    <w:rsid w:val="003D7317"/>
    <w:rsid w:val="003D74A7"/>
    <w:rsid w:val="003D7562"/>
    <w:rsid w:val="003D7709"/>
    <w:rsid w:val="003D7B65"/>
    <w:rsid w:val="003D7C76"/>
    <w:rsid w:val="003D7D9E"/>
    <w:rsid w:val="003D7E8C"/>
    <w:rsid w:val="003D7EFE"/>
    <w:rsid w:val="003E054C"/>
    <w:rsid w:val="003E055F"/>
    <w:rsid w:val="003E056C"/>
    <w:rsid w:val="003E05EA"/>
    <w:rsid w:val="003E0835"/>
    <w:rsid w:val="003E08F8"/>
    <w:rsid w:val="003E0A53"/>
    <w:rsid w:val="003E0A66"/>
    <w:rsid w:val="003E0AB0"/>
    <w:rsid w:val="003E0C81"/>
    <w:rsid w:val="003E0D09"/>
    <w:rsid w:val="003E0F87"/>
    <w:rsid w:val="003E12F0"/>
    <w:rsid w:val="003E13D1"/>
    <w:rsid w:val="003E15CA"/>
    <w:rsid w:val="003E15DB"/>
    <w:rsid w:val="003E163E"/>
    <w:rsid w:val="003E17C7"/>
    <w:rsid w:val="003E1910"/>
    <w:rsid w:val="003E1B78"/>
    <w:rsid w:val="003E1BD6"/>
    <w:rsid w:val="003E1C59"/>
    <w:rsid w:val="003E1C82"/>
    <w:rsid w:val="003E1F35"/>
    <w:rsid w:val="003E1F4E"/>
    <w:rsid w:val="003E225A"/>
    <w:rsid w:val="003E233D"/>
    <w:rsid w:val="003E247C"/>
    <w:rsid w:val="003E25A1"/>
    <w:rsid w:val="003E25AA"/>
    <w:rsid w:val="003E27A7"/>
    <w:rsid w:val="003E2887"/>
    <w:rsid w:val="003E28C1"/>
    <w:rsid w:val="003E290C"/>
    <w:rsid w:val="003E295D"/>
    <w:rsid w:val="003E2C36"/>
    <w:rsid w:val="003E303D"/>
    <w:rsid w:val="003E3215"/>
    <w:rsid w:val="003E3256"/>
    <w:rsid w:val="003E3414"/>
    <w:rsid w:val="003E3492"/>
    <w:rsid w:val="003E34B4"/>
    <w:rsid w:val="003E35E5"/>
    <w:rsid w:val="003E3B11"/>
    <w:rsid w:val="003E3B96"/>
    <w:rsid w:val="003E3C4A"/>
    <w:rsid w:val="003E3CD0"/>
    <w:rsid w:val="003E3D8A"/>
    <w:rsid w:val="003E3F76"/>
    <w:rsid w:val="003E402F"/>
    <w:rsid w:val="003E410C"/>
    <w:rsid w:val="003E420D"/>
    <w:rsid w:val="003E428D"/>
    <w:rsid w:val="003E4577"/>
    <w:rsid w:val="003E470B"/>
    <w:rsid w:val="003E4734"/>
    <w:rsid w:val="003E4AD6"/>
    <w:rsid w:val="003E4C7E"/>
    <w:rsid w:val="003E506C"/>
    <w:rsid w:val="003E51AE"/>
    <w:rsid w:val="003E526C"/>
    <w:rsid w:val="003E52C2"/>
    <w:rsid w:val="003E53AF"/>
    <w:rsid w:val="003E541E"/>
    <w:rsid w:val="003E5531"/>
    <w:rsid w:val="003E5657"/>
    <w:rsid w:val="003E58F6"/>
    <w:rsid w:val="003E5927"/>
    <w:rsid w:val="003E592E"/>
    <w:rsid w:val="003E5CE9"/>
    <w:rsid w:val="003E5EB1"/>
    <w:rsid w:val="003E6004"/>
    <w:rsid w:val="003E6380"/>
    <w:rsid w:val="003E6398"/>
    <w:rsid w:val="003E63CE"/>
    <w:rsid w:val="003E649A"/>
    <w:rsid w:val="003E694C"/>
    <w:rsid w:val="003E6992"/>
    <w:rsid w:val="003E69EF"/>
    <w:rsid w:val="003E6A84"/>
    <w:rsid w:val="003E6C84"/>
    <w:rsid w:val="003E6E3B"/>
    <w:rsid w:val="003E6F1E"/>
    <w:rsid w:val="003E70AD"/>
    <w:rsid w:val="003E73B9"/>
    <w:rsid w:val="003E76BB"/>
    <w:rsid w:val="003E79BA"/>
    <w:rsid w:val="003E7C7E"/>
    <w:rsid w:val="003E7F71"/>
    <w:rsid w:val="003F02E1"/>
    <w:rsid w:val="003F0364"/>
    <w:rsid w:val="003F0536"/>
    <w:rsid w:val="003F054C"/>
    <w:rsid w:val="003F0565"/>
    <w:rsid w:val="003F0708"/>
    <w:rsid w:val="003F08F1"/>
    <w:rsid w:val="003F0A21"/>
    <w:rsid w:val="003F0AC1"/>
    <w:rsid w:val="003F0AD0"/>
    <w:rsid w:val="003F0BE5"/>
    <w:rsid w:val="003F0C35"/>
    <w:rsid w:val="003F0C40"/>
    <w:rsid w:val="003F0E9B"/>
    <w:rsid w:val="003F12B6"/>
    <w:rsid w:val="003F1310"/>
    <w:rsid w:val="003F144F"/>
    <w:rsid w:val="003F145E"/>
    <w:rsid w:val="003F152F"/>
    <w:rsid w:val="003F15A4"/>
    <w:rsid w:val="003F162E"/>
    <w:rsid w:val="003F179F"/>
    <w:rsid w:val="003F19A2"/>
    <w:rsid w:val="003F1D57"/>
    <w:rsid w:val="003F1D7C"/>
    <w:rsid w:val="003F1D81"/>
    <w:rsid w:val="003F20D2"/>
    <w:rsid w:val="003F2246"/>
    <w:rsid w:val="003F2295"/>
    <w:rsid w:val="003F23C7"/>
    <w:rsid w:val="003F299E"/>
    <w:rsid w:val="003F2AB3"/>
    <w:rsid w:val="003F2B52"/>
    <w:rsid w:val="003F2CDB"/>
    <w:rsid w:val="003F2F56"/>
    <w:rsid w:val="003F30EB"/>
    <w:rsid w:val="003F31D6"/>
    <w:rsid w:val="003F3534"/>
    <w:rsid w:val="003F36AF"/>
    <w:rsid w:val="003F374E"/>
    <w:rsid w:val="003F38CE"/>
    <w:rsid w:val="003F38E2"/>
    <w:rsid w:val="003F3AB2"/>
    <w:rsid w:val="003F3B0A"/>
    <w:rsid w:val="003F3DF1"/>
    <w:rsid w:val="003F3F95"/>
    <w:rsid w:val="003F40A1"/>
    <w:rsid w:val="003F410A"/>
    <w:rsid w:val="003F4234"/>
    <w:rsid w:val="003F4389"/>
    <w:rsid w:val="003F43A6"/>
    <w:rsid w:val="003F44CE"/>
    <w:rsid w:val="003F4523"/>
    <w:rsid w:val="003F4595"/>
    <w:rsid w:val="003F46BB"/>
    <w:rsid w:val="003F4957"/>
    <w:rsid w:val="003F4CC4"/>
    <w:rsid w:val="003F4EDE"/>
    <w:rsid w:val="003F4F7D"/>
    <w:rsid w:val="003F5024"/>
    <w:rsid w:val="003F51F8"/>
    <w:rsid w:val="003F5221"/>
    <w:rsid w:val="003F53B9"/>
    <w:rsid w:val="003F58B0"/>
    <w:rsid w:val="003F5B26"/>
    <w:rsid w:val="003F5BE5"/>
    <w:rsid w:val="003F5C54"/>
    <w:rsid w:val="003F605D"/>
    <w:rsid w:val="003F637C"/>
    <w:rsid w:val="003F63C4"/>
    <w:rsid w:val="003F63DA"/>
    <w:rsid w:val="003F6466"/>
    <w:rsid w:val="003F676D"/>
    <w:rsid w:val="003F6794"/>
    <w:rsid w:val="003F6811"/>
    <w:rsid w:val="003F6818"/>
    <w:rsid w:val="003F6949"/>
    <w:rsid w:val="003F6A51"/>
    <w:rsid w:val="003F6A9F"/>
    <w:rsid w:val="003F6C31"/>
    <w:rsid w:val="003F6DAE"/>
    <w:rsid w:val="003F6E7C"/>
    <w:rsid w:val="003F6F45"/>
    <w:rsid w:val="003F73EE"/>
    <w:rsid w:val="003F76B1"/>
    <w:rsid w:val="003F79E5"/>
    <w:rsid w:val="003F7D71"/>
    <w:rsid w:val="003F7E8C"/>
    <w:rsid w:val="003F7F6D"/>
    <w:rsid w:val="00400160"/>
    <w:rsid w:val="0040037C"/>
    <w:rsid w:val="004005DC"/>
    <w:rsid w:val="00400603"/>
    <w:rsid w:val="0040070D"/>
    <w:rsid w:val="00400799"/>
    <w:rsid w:val="00400842"/>
    <w:rsid w:val="00400874"/>
    <w:rsid w:val="00400938"/>
    <w:rsid w:val="00400980"/>
    <w:rsid w:val="00400A19"/>
    <w:rsid w:val="00400D43"/>
    <w:rsid w:val="00400E88"/>
    <w:rsid w:val="00400EEA"/>
    <w:rsid w:val="00400FCB"/>
    <w:rsid w:val="00401079"/>
    <w:rsid w:val="004011FC"/>
    <w:rsid w:val="0040122E"/>
    <w:rsid w:val="0040125B"/>
    <w:rsid w:val="0040131B"/>
    <w:rsid w:val="004014EA"/>
    <w:rsid w:val="0040166C"/>
    <w:rsid w:val="00401795"/>
    <w:rsid w:val="004019EC"/>
    <w:rsid w:val="00401E55"/>
    <w:rsid w:val="00401EA3"/>
    <w:rsid w:val="0040209A"/>
    <w:rsid w:val="00402113"/>
    <w:rsid w:val="00402156"/>
    <w:rsid w:val="00402238"/>
    <w:rsid w:val="00402556"/>
    <w:rsid w:val="004025FE"/>
    <w:rsid w:val="0040265C"/>
    <w:rsid w:val="00402830"/>
    <w:rsid w:val="0040289E"/>
    <w:rsid w:val="004029CA"/>
    <w:rsid w:val="004029CB"/>
    <w:rsid w:val="00402A2C"/>
    <w:rsid w:val="00402A31"/>
    <w:rsid w:val="00402B91"/>
    <w:rsid w:val="00402CBA"/>
    <w:rsid w:val="00403212"/>
    <w:rsid w:val="004033EF"/>
    <w:rsid w:val="00403505"/>
    <w:rsid w:val="00403901"/>
    <w:rsid w:val="00403A95"/>
    <w:rsid w:val="00403C69"/>
    <w:rsid w:val="00403F23"/>
    <w:rsid w:val="00404107"/>
    <w:rsid w:val="00404168"/>
    <w:rsid w:val="00404304"/>
    <w:rsid w:val="00404359"/>
    <w:rsid w:val="004045EA"/>
    <w:rsid w:val="00404630"/>
    <w:rsid w:val="0040463D"/>
    <w:rsid w:val="004046BC"/>
    <w:rsid w:val="00404B3A"/>
    <w:rsid w:val="00404B47"/>
    <w:rsid w:val="00404B5D"/>
    <w:rsid w:val="00404EBE"/>
    <w:rsid w:val="00404F47"/>
    <w:rsid w:val="00404F91"/>
    <w:rsid w:val="004058C8"/>
    <w:rsid w:val="00405961"/>
    <w:rsid w:val="00405B2A"/>
    <w:rsid w:val="00405B4D"/>
    <w:rsid w:val="00405C57"/>
    <w:rsid w:val="00405F5E"/>
    <w:rsid w:val="0040639E"/>
    <w:rsid w:val="00406497"/>
    <w:rsid w:val="004064A1"/>
    <w:rsid w:val="004065AC"/>
    <w:rsid w:val="00406685"/>
    <w:rsid w:val="0040680E"/>
    <w:rsid w:val="00406816"/>
    <w:rsid w:val="00406B7B"/>
    <w:rsid w:val="00406C88"/>
    <w:rsid w:val="00406CA7"/>
    <w:rsid w:val="00406D8D"/>
    <w:rsid w:val="00406F6F"/>
    <w:rsid w:val="00406FAC"/>
    <w:rsid w:val="00407232"/>
    <w:rsid w:val="0040728E"/>
    <w:rsid w:val="0040749A"/>
    <w:rsid w:val="0040753B"/>
    <w:rsid w:val="00407548"/>
    <w:rsid w:val="004075AD"/>
    <w:rsid w:val="00407604"/>
    <w:rsid w:val="00407725"/>
    <w:rsid w:val="00407798"/>
    <w:rsid w:val="004077B9"/>
    <w:rsid w:val="0040799C"/>
    <w:rsid w:val="00407B25"/>
    <w:rsid w:val="00407BE1"/>
    <w:rsid w:val="004101EE"/>
    <w:rsid w:val="00410390"/>
    <w:rsid w:val="00410817"/>
    <w:rsid w:val="00410837"/>
    <w:rsid w:val="004108C6"/>
    <w:rsid w:val="004109EE"/>
    <w:rsid w:val="00410C5F"/>
    <w:rsid w:val="00410C8A"/>
    <w:rsid w:val="0041109C"/>
    <w:rsid w:val="004111AE"/>
    <w:rsid w:val="0041128A"/>
    <w:rsid w:val="004112CA"/>
    <w:rsid w:val="0041136C"/>
    <w:rsid w:val="0041144C"/>
    <w:rsid w:val="0041184C"/>
    <w:rsid w:val="00411876"/>
    <w:rsid w:val="00411A26"/>
    <w:rsid w:val="00411BCD"/>
    <w:rsid w:val="00411D20"/>
    <w:rsid w:val="00411F5E"/>
    <w:rsid w:val="0041209D"/>
    <w:rsid w:val="004120A1"/>
    <w:rsid w:val="00412269"/>
    <w:rsid w:val="00412295"/>
    <w:rsid w:val="0041249A"/>
    <w:rsid w:val="004124FB"/>
    <w:rsid w:val="0041250A"/>
    <w:rsid w:val="0041250C"/>
    <w:rsid w:val="00412753"/>
    <w:rsid w:val="004127EE"/>
    <w:rsid w:val="004128CB"/>
    <w:rsid w:val="0041296A"/>
    <w:rsid w:val="00412A54"/>
    <w:rsid w:val="00412AD3"/>
    <w:rsid w:val="00412B2C"/>
    <w:rsid w:val="00412C3D"/>
    <w:rsid w:val="00412C59"/>
    <w:rsid w:val="00412CE1"/>
    <w:rsid w:val="00412F81"/>
    <w:rsid w:val="004130F0"/>
    <w:rsid w:val="0041348F"/>
    <w:rsid w:val="0041362B"/>
    <w:rsid w:val="00413649"/>
    <w:rsid w:val="00413831"/>
    <w:rsid w:val="00413865"/>
    <w:rsid w:val="00413997"/>
    <w:rsid w:val="004139E9"/>
    <w:rsid w:val="00413B02"/>
    <w:rsid w:val="00413C47"/>
    <w:rsid w:val="00413C8D"/>
    <w:rsid w:val="00413D9B"/>
    <w:rsid w:val="00413E47"/>
    <w:rsid w:val="00413F3F"/>
    <w:rsid w:val="0041425B"/>
    <w:rsid w:val="00414553"/>
    <w:rsid w:val="00414634"/>
    <w:rsid w:val="00414700"/>
    <w:rsid w:val="004149DD"/>
    <w:rsid w:val="00414B08"/>
    <w:rsid w:val="00414D45"/>
    <w:rsid w:val="00414E8B"/>
    <w:rsid w:val="00414F99"/>
    <w:rsid w:val="0041551A"/>
    <w:rsid w:val="0041571B"/>
    <w:rsid w:val="00415807"/>
    <w:rsid w:val="004158D1"/>
    <w:rsid w:val="00415AEF"/>
    <w:rsid w:val="004160E4"/>
    <w:rsid w:val="0041623E"/>
    <w:rsid w:val="0041642E"/>
    <w:rsid w:val="00416471"/>
    <w:rsid w:val="00416490"/>
    <w:rsid w:val="004165F1"/>
    <w:rsid w:val="00416611"/>
    <w:rsid w:val="004167B7"/>
    <w:rsid w:val="00416930"/>
    <w:rsid w:val="00416A22"/>
    <w:rsid w:val="00416B42"/>
    <w:rsid w:val="00416BDA"/>
    <w:rsid w:val="00416CE6"/>
    <w:rsid w:val="00416D1F"/>
    <w:rsid w:val="00416DC8"/>
    <w:rsid w:val="00416E25"/>
    <w:rsid w:val="00417079"/>
    <w:rsid w:val="0041710A"/>
    <w:rsid w:val="0041715B"/>
    <w:rsid w:val="004174AD"/>
    <w:rsid w:val="0041766A"/>
    <w:rsid w:val="00417680"/>
    <w:rsid w:val="00417682"/>
    <w:rsid w:val="004176E6"/>
    <w:rsid w:val="0041782B"/>
    <w:rsid w:val="0041782C"/>
    <w:rsid w:val="004178F0"/>
    <w:rsid w:val="004179B6"/>
    <w:rsid w:val="00417B45"/>
    <w:rsid w:val="00417C25"/>
    <w:rsid w:val="00417D1A"/>
    <w:rsid w:val="0042011C"/>
    <w:rsid w:val="00420211"/>
    <w:rsid w:val="0042035C"/>
    <w:rsid w:val="00420522"/>
    <w:rsid w:val="00420599"/>
    <w:rsid w:val="004206B9"/>
    <w:rsid w:val="0042086A"/>
    <w:rsid w:val="00420908"/>
    <w:rsid w:val="004209ED"/>
    <w:rsid w:val="00420AE3"/>
    <w:rsid w:val="00420F8E"/>
    <w:rsid w:val="0042153D"/>
    <w:rsid w:val="0042175E"/>
    <w:rsid w:val="004217C5"/>
    <w:rsid w:val="00421FB7"/>
    <w:rsid w:val="0042222C"/>
    <w:rsid w:val="00422374"/>
    <w:rsid w:val="00422B78"/>
    <w:rsid w:val="00422DAD"/>
    <w:rsid w:val="00422EA2"/>
    <w:rsid w:val="004231D4"/>
    <w:rsid w:val="00423987"/>
    <w:rsid w:val="004239C6"/>
    <w:rsid w:val="00423AFA"/>
    <w:rsid w:val="00423BE5"/>
    <w:rsid w:val="00423C9C"/>
    <w:rsid w:val="00423E70"/>
    <w:rsid w:val="00423ED9"/>
    <w:rsid w:val="00424053"/>
    <w:rsid w:val="00424073"/>
    <w:rsid w:val="004244D1"/>
    <w:rsid w:val="0042485F"/>
    <w:rsid w:val="004248CF"/>
    <w:rsid w:val="00424D7F"/>
    <w:rsid w:val="00424ED2"/>
    <w:rsid w:val="004250B1"/>
    <w:rsid w:val="0042531E"/>
    <w:rsid w:val="00425358"/>
    <w:rsid w:val="004253E1"/>
    <w:rsid w:val="004255B8"/>
    <w:rsid w:val="00425904"/>
    <w:rsid w:val="0042591C"/>
    <w:rsid w:val="00425B53"/>
    <w:rsid w:val="00425C90"/>
    <w:rsid w:val="00425D68"/>
    <w:rsid w:val="00425DDD"/>
    <w:rsid w:val="00425E36"/>
    <w:rsid w:val="00426077"/>
    <w:rsid w:val="004260CF"/>
    <w:rsid w:val="0042615C"/>
    <w:rsid w:val="0042627D"/>
    <w:rsid w:val="00426422"/>
    <w:rsid w:val="0042661D"/>
    <w:rsid w:val="00426C6B"/>
    <w:rsid w:val="00426C93"/>
    <w:rsid w:val="00426D5A"/>
    <w:rsid w:val="00426D64"/>
    <w:rsid w:val="00426E85"/>
    <w:rsid w:val="00426F6E"/>
    <w:rsid w:val="00427013"/>
    <w:rsid w:val="004271BB"/>
    <w:rsid w:val="0042735D"/>
    <w:rsid w:val="004273A6"/>
    <w:rsid w:val="0042741D"/>
    <w:rsid w:val="004276CB"/>
    <w:rsid w:val="004279D4"/>
    <w:rsid w:val="00427AF5"/>
    <w:rsid w:val="00427BFC"/>
    <w:rsid w:val="00427DC6"/>
    <w:rsid w:val="00427E86"/>
    <w:rsid w:val="00427FDF"/>
    <w:rsid w:val="00427FE8"/>
    <w:rsid w:val="0043007B"/>
    <w:rsid w:val="004301A0"/>
    <w:rsid w:val="004301A5"/>
    <w:rsid w:val="004302AF"/>
    <w:rsid w:val="004303C4"/>
    <w:rsid w:val="00430539"/>
    <w:rsid w:val="00430964"/>
    <w:rsid w:val="00430A98"/>
    <w:rsid w:val="00430D5E"/>
    <w:rsid w:val="00430DB6"/>
    <w:rsid w:val="004312D9"/>
    <w:rsid w:val="0043131B"/>
    <w:rsid w:val="00431495"/>
    <w:rsid w:val="004314E6"/>
    <w:rsid w:val="00431832"/>
    <w:rsid w:val="00431938"/>
    <w:rsid w:val="004319B9"/>
    <w:rsid w:val="00431AB8"/>
    <w:rsid w:val="00431CB9"/>
    <w:rsid w:val="00431F87"/>
    <w:rsid w:val="004320A7"/>
    <w:rsid w:val="004320C6"/>
    <w:rsid w:val="00432182"/>
    <w:rsid w:val="00432283"/>
    <w:rsid w:val="0043236E"/>
    <w:rsid w:val="00432386"/>
    <w:rsid w:val="0043269F"/>
    <w:rsid w:val="00432916"/>
    <w:rsid w:val="00432A4A"/>
    <w:rsid w:val="00432B4E"/>
    <w:rsid w:val="00432E51"/>
    <w:rsid w:val="00432E71"/>
    <w:rsid w:val="00432FC7"/>
    <w:rsid w:val="00433043"/>
    <w:rsid w:val="004330A6"/>
    <w:rsid w:val="004331D0"/>
    <w:rsid w:val="00433204"/>
    <w:rsid w:val="00433304"/>
    <w:rsid w:val="00433360"/>
    <w:rsid w:val="0043359D"/>
    <w:rsid w:val="00433602"/>
    <w:rsid w:val="0043365A"/>
    <w:rsid w:val="004336AE"/>
    <w:rsid w:val="004337C7"/>
    <w:rsid w:val="004338A7"/>
    <w:rsid w:val="004338DC"/>
    <w:rsid w:val="004338E4"/>
    <w:rsid w:val="004338E9"/>
    <w:rsid w:val="00433B8A"/>
    <w:rsid w:val="00433C6F"/>
    <w:rsid w:val="00433D14"/>
    <w:rsid w:val="00433D5A"/>
    <w:rsid w:val="00433E01"/>
    <w:rsid w:val="00434086"/>
    <w:rsid w:val="004342BE"/>
    <w:rsid w:val="00434794"/>
    <w:rsid w:val="00434B55"/>
    <w:rsid w:val="00434CA9"/>
    <w:rsid w:val="00434F85"/>
    <w:rsid w:val="00435072"/>
    <w:rsid w:val="00435230"/>
    <w:rsid w:val="004352B1"/>
    <w:rsid w:val="004352BD"/>
    <w:rsid w:val="00435366"/>
    <w:rsid w:val="0043536B"/>
    <w:rsid w:val="00435521"/>
    <w:rsid w:val="004355DE"/>
    <w:rsid w:val="0043578A"/>
    <w:rsid w:val="0043581D"/>
    <w:rsid w:val="00435C2D"/>
    <w:rsid w:val="00435D9E"/>
    <w:rsid w:val="00435EEE"/>
    <w:rsid w:val="00436026"/>
    <w:rsid w:val="00436363"/>
    <w:rsid w:val="004365C4"/>
    <w:rsid w:val="0043666A"/>
    <w:rsid w:val="00436697"/>
    <w:rsid w:val="00436702"/>
    <w:rsid w:val="004367B4"/>
    <w:rsid w:val="004367CD"/>
    <w:rsid w:val="00436850"/>
    <w:rsid w:val="00436927"/>
    <w:rsid w:val="004369D9"/>
    <w:rsid w:val="00436A92"/>
    <w:rsid w:val="00436B27"/>
    <w:rsid w:val="00436BA2"/>
    <w:rsid w:val="00436C10"/>
    <w:rsid w:val="00436E3A"/>
    <w:rsid w:val="00436EF9"/>
    <w:rsid w:val="00436EFF"/>
    <w:rsid w:val="00436F1E"/>
    <w:rsid w:val="00437007"/>
    <w:rsid w:val="004370A5"/>
    <w:rsid w:val="004371BF"/>
    <w:rsid w:val="00437202"/>
    <w:rsid w:val="0043748B"/>
    <w:rsid w:val="004375B0"/>
    <w:rsid w:val="00437B01"/>
    <w:rsid w:val="00437D68"/>
    <w:rsid w:val="00437E4D"/>
    <w:rsid w:val="00440002"/>
    <w:rsid w:val="00440085"/>
    <w:rsid w:val="004400DC"/>
    <w:rsid w:val="0044013B"/>
    <w:rsid w:val="00440508"/>
    <w:rsid w:val="00440524"/>
    <w:rsid w:val="004406B1"/>
    <w:rsid w:val="004406D0"/>
    <w:rsid w:val="0044082D"/>
    <w:rsid w:val="00440B37"/>
    <w:rsid w:val="00440C6C"/>
    <w:rsid w:val="00440CDC"/>
    <w:rsid w:val="00440FAA"/>
    <w:rsid w:val="00441049"/>
    <w:rsid w:val="004411A2"/>
    <w:rsid w:val="00441488"/>
    <w:rsid w:val="004414B3"/>
    <w:rsid w:val="004414EC"/>
    <w:rsid w:val="004419B5"/>
    <w:rsid w:val="004419E1"/>
    <w:rsid w:val="00441CCE"/>
    <w:rsid w:val="00441FD8"/>
    <w:rsid w:val="00442039"/>
    <w:rsid w:val="0044263C"/>
    <w:rsid w:val="00442745"/>
    <w:rsid w:val="0044287F"/>
    <w:rsid w:val="00442921"/>
    <w:rsid w:val="00442BDF"/>
    <w:rsid w:val="00442C26"/>
    <w:rsid w:val="00442C6B"/>
    <w:rsid w:val="00442DAD"/>
    <w:rsid w:val="00442F10"/>
    <w:rsid w:val="00442F91"/>
    <w:rsid w:val="00443001"/>
    <w:rsid w:val="00443114"/>
    <w:rsid w:val="0044327D"/>
    <w:rsid w:val="00443337"/>
    <w:rsid w:val="00443407"/>
    <w:rsid w:val="00443642"/>
    <w:rsid w:val="004436EA"/>
    <w:rsid w:val="0044387F"/>
    <w:rsid w:val="00443983"/>
    <w:rsid w:val="004439AA"/>
    <w:rsid w:val="00443C4F"/>
    <w:rsid w:val="00443CE5"/>
    <w:rsid w:val="004440F1"/>
    <w:rsid w:val="00444172"/>
    <w:rsid w:val="004442DF"/>
    <w:rsid w:val="00444374"/>
    <w:rsid w:val="004443D6"/>
    <w:rsid w:val="004443EC"/>
    <w:rsid w:val="00444706"/>
    <w:rsid w:val="00444864"/>
    <w:rsid w:val="00444896"/>
    <w:rsid w:val="00444919"/>
    <w:rsid w:val="00444B07"/>
    <w:rsid w:val="00444BC4"/>
    <w:rsid w:val="00444F3F"/>
    <w:rsid w:val="004454B5"/>
    <w:rsid w:val="00445619"/>
    <w:rsid w:val="004456A7"/>
    <w:rsid w:val="004457BF"/>
    <w:rsid w:val="00445873"/>
    <w:rsid w:val="0044598A"/>
    <w:rsid w:val="00445BD6"/>
    <w:rsid w:val="00445D6E"/>
    <w:rsid w:val="00445DD9"/>
    <w:rsid w:val="00445E49"/>
    <w:rsid w:val="004461E8"/>
    <w:rsid w:val="0044629A"/>
    <w:rsid w:val="0044642D"/>
    <w:rsid w:val="00446504"/>
    <w:rsid w:val="00446522"/>
    <w:rsid w:val="00446530"/>
    <w:rsid w:val="00446589"/>
    <w:rsid w:val="00446590"/>
    <w:rsid w:val="004469C5"/>
    <w:rsid w:val="00446A1A"/>
    <w:rsid w:val="00446D1B"/>
    <w:rsid w:val="00446EFC"/>
    <w:rsid w:val="00446F0B"/>
    <w:rsid w:val="00447147"/>
    <w:rsid w:val="00447236"/>
    <w:rsid w:val="0044729C"/>
    <w:rsid w:val="004472FD"/>
    <w:rsid w:val="00447328"/>
    <w:rsid w:val="00447359"/>
    <w:rsid w:val="00447579"/>
    <w:rsid w:val="00447688"/>
    <w:rsid w:val="00447730"/>
    <w:rsid w:val="00447792"/>
    <w:rsid w:val="004479F4"/>
    <w:rsid w:val="00447B46"/>
    <w:rsid w:val="00447CEE"/>
    <w:rsid w:val="00447E4D"/>
    <w:rsid w:val="00447EDE"/>
    <w:rsid w:val="00447FB4"/>
    <w:rsid w:val="004502D6"/>
    <w:rsid w:val="004503F4"/>
    <w:rsid w:val="0045047B"/>
    <w:rsid w:val="0045048A"/>
    <w:rsid w:val="0045061B"/>
    <w:rsid w:val="00450627"/>
    <w:rsid w:val="0045088E"/>
    <w:rsid w:val="0045099E"/>
    <w:rsid w:val="004509E9"/>
    <w:rsid w:val="00450A7F"/>
    <w:rsid w:val="00450AD2"/>
    <w:rsid w:val="00450B12"/>
    <w:rsid w:val="00451015"/>
    <w:rsid w:val="004513C7"/>
    <w:rsid w:val="004516D2"/>
    <w:rsid w:val="00451915"/>
    <w:rsid w:val="00451E20"/>
    <w:rsid w:val="00452056"/>
    <w:rsid w:val="0045209C"/>
    <w:rsid w:val="004520AB"/>
    <w:rsid w:val="004524BF"/>
    <w:rsid w:val="004526CA"/>
    <w:rsid w:val="00452809"/>
    <w:rsid w:val="00452961"/>
    <w:rsid w:val="00452D53"/>
    <w:rsid w:val="00452F4C"/>
    <w:rsid w:val="00453162"/>
    <w:rsid w:val="0045321E"/>
    <w:rsid w:val="0045340B"/>
    <w:rsid w:val="00453477"/>
    <w:rsid w:val="0045373F"/>
    <w:rsid w:val="00453829"/>
    <w:rsid w:val="0045382B"/>
    <w:rsid w:val="00453D2C"/>
    <w:rsid w:val="00453E05"/>
    <w:rsid w:val="00453E3A"/>
    <w:rsid w:val="00454233"/>
    <w:rsid w:val="004545D6"/>
    <w:rsid w:val="0045465F"/>
    <w:rsid w:val="004547AA"/>
    <w:rsid w:val="00454973"/>
    <w:rsid w:val="00454A08"/>
    <w:rsid w:val="00454ADA"/>
    <w:rsid w:val="00454B24"/>
    <w:rsid w:val="00454D67"/>
    <w:rsid w:val="00454EF4"/>
    <w:rsid w:val="00454F54"/>
    <w:rsid w:val="004551D3"/>
    <w:rsid w:val="004551EC"/>
    <w:rsid w:val="00455254"/>
    <w:rsid w:val="00455437"/>
    <w:rsid w:val="004557E4"/>
    <w:rsid w:val="00455903"/>
    <w:rsid w:val="0045593A"/>
    <w:rsid w:val="00455956"/>
    <w:rsid w:val="0045595A"/>
    <w:rsid w:val="004559D0"/>
    <w:rsid w:val="00455A00"/>
    <w:rsid w:val="00455AC0"/>
    <w:rsid w:val="00455C79"/>
    <w:rsid w:val="00455E6E"/>
    <w:rsid w:val="00455EAC"/>
    <w:rsid w:val="00455F65"/>
    <w:rsid w:val="0045643C"/>
    <w:rsid w:val="00456522"/>
    <w:rsid w:val="0045656C"/>
    <w:rsid w:val="00456596"/>
    <w:rsid w:val="004568A7"/>
    <w:rsid w:val="00456904"/>
    <w:rsid w:val="00456AA2"/>
    <w:rsid w:val="00456B8D"/>
    <w:rsid w:val="00456C05"/>
    <w:rsid w:val="00456D48"/>
    <w:rsid w:val="00456DC8"/>
    <w:rsid w:val="00456F4F"/>
    <w:rsid w:val="004570A7"/>
    <w:rsid w:val="004570BE"/>
    <w:rsid w:val="00457136"/>
    <w:rsid w:val="004573AB"/>
    <w:rsid w:val="00457546"/>
    <w:rsid w:val="004576B5"/>
    <w:rsid w:val="00457853"/>
    <w:rsid w:val="0045788B"/>
    <w:rsid w:val="00457A0E"/>
    <w:rsid w:val="00457B10"/>
    <w:rsid w:val="00457CE9"/>
    <w:rsid w:val="00457D02"/>
    <w:rsid w:val="00457D07"/>
    <w:rsid w:val="00457FF0"/>
    <w:rsid w:val="00460143"/>
    <w:rsid w:val="00460189"/>
    <w:rsid w:val="00460233"/>
    <w:rsid w:val="00460256"/>
    <w:rsid w:val="004602F5"/>
    <w:rsid w:val="00460443"/>
    <w:rsid w:val="004605F1"/>
    <w:rsid w:val="0046060F"/>
    <w:rsid w:val="00460674"/>
    <w:rsid w:val="0046071D"/>
    <w:rsid w:val="00460819"/>
    <w:rsid w:val="0046083E"/>
    <w:rsid w:val="0046086D"/>
    <w:rsid w:val="0046089F"/>
    <w:rsid w:val="004609AA"/>
    <w:rsid w:val="00460BAE"/>
    <w:rsid w:val="00460C36"/>
    <w:rsid w:val="00460CE3"/>
    <w:rsid w:val="00460D5E"/>
    <w:rsid w:val="0046100F"/>
    <w:rsid w:val="00461060"/>
    <w:rsid w:val="00461252"/>
    <w:rsid w:val="004613FA"/>
    <w:rsid w:val="00461419"/>
    <w:rsid w:val="00461442"/>
    <w:rsid w:val="004614E2"/>
    <w:rsid w:val="0046190F"/>
    <w:rsid w:val="00461D82"/>
    <w:rsid w:val="00461EA9"/>
    <w:rsid w:val="00461EEE"/>
    <w:rsid w:val="00462001"/>
    <w:rsid w:val="0046224C"/>
    <w:rsid w:val="00462276"/>
    <w:rsid w:val="0046229D"/>
    <w:rsid w:val="004623E2"/>
    <w:rsid w:val="004623FB"/>
    <w:rsid w:val="004624AF"/>
    <w:rsid w:val="0046254B"/>
    <w:rsid w:val="0046255A"/>
    <w:rsid w:val="004628B2"/>
    <w:rsid w:val="00462A6C"/>
    <w:rsid w:val="00462B09"/>
    <w:rsid w:val="00463040"/>
    <w:rsid w:val="00463120"/>
    <w:rsid w:val="00463389"/>
    <w:rsid w:val="004633D0"/>
    <w:rsid w:val="0046347D"/>
    <w:rsid w:val="0046349B"/>
    <w:rsid w:val="00463507"/>
    <w:rsid w:val="00463567"/>
    <w:rsid w:val="004635A8"/>
    <w:rsid w:val="0046366F"/>
    <w:rsid w:val="00463748"/>
    <w:rsid w:val="00463D46"/>
    <w:rsid w:val="00463F0B"/>
    <w:rsid w:val="00463F3B"/>
    <w:rsid w:val="00464021"/>
    <w:rsid w:val="00464131"/>
    <w:rsid w:val="00464134"/>
    <w:rsid w:val="0046441A"/>
    <w:rsid w:val="004645A9"/>
    <w:rsid w:val="00464A04"/>
    <w:rsid w:val="00464B88"/>
    <w:rsid w:val="00464C27"/>
    <w:rsid w:val="00464E1B"/>
    <w:rsid w:val="00465236"/>
    <w:rsid w:val="004653EC"/>
    <w:rsid w:val="00465473"/>
    <w:rsid w:val="004655E2"/>
    <w:rsid w:val="00465853"/>
    <w:rsid w:val="004659DA"/>
    <w:rsid w:val="00465C81"/>
    <w:rsid w:val="00465E2C"/>
    <w:rsid w:val="00465E65"/>
    <w:rsid w:val="00466081"/>
    <w:rsid w:val="00466252"/>
    <w:rsid w:val="00466282"/>
    <w:rsid w:val="00466837"/>
    <w:rsid w:val="00466880"/>
    <w:rsid w:val="00466925"/>
    <w:rsid w:val="0046694A"/>
    <w:rsid w:val="00466A4F"/>
    <w:rsid w:val="00466EF8"/>
    <w:rsid w:val="00467290"/>
    <w:rsid w:val="004672AF"/>
    <w:rsid w:val="0046731F"/>
    <w:rsid w:val="004673C5"/>
    <w:rsid w:val="00467659"/>
    <w:rsid w:val="00467696"/>
    <w:rsid w:val="004676BA"/>
    <w:rsid w:val="0046773F"/>
    <w:rsid w:val="00467796"/>
    <w:rsid w:val="004679C7"/>
    <w:rsid w:val="00467DE5"/>
    <w:rsid w:val="00467ED6"/>
    <w:rsid w:val="00470033"/>
    <w:rsid w:val="0047013B"/>
    <w:rsid w:val="00470201"/>
    <w:rsid w:val="00470367"/>
    <w:rsid w:val="00470551"/>
    <w:rsid w:val="0047068D"/>
    <w:rsid w:val="00470847"/>
    <w:rsid w:val="0047089C"/>
    <w:rsid w:val="0047089F"/>
    <w:rsid w:val="00470B55"/>
    <w:rsid w:val="00470C03"/>
    <w:rsid w:val="00470F5C"/>
    <w:rsid w:val="00470F7D"/>
    <w:rsid w:val="00471066"/>
    <w:rsid w:val="00471171"/>
    <w:rsid w:val="00471570"/>
    <w:rsid w:val="004715A2"/>
    <w:rsid w:val="004716E8"/>
    <w:rsid w:val="00471A32"/>
    <w:rsid w:val="00471B67"/>
    <w:rsid w:val="00471BC2"/>
    <w:rsid w:val="00471DAD"/>
    <w:rsid w:val="00471FCC"/>
    <w:rsid w:val="00471FFF"/>
    <w:rsid w:val="0047205F"/>
    <w:rsid w:val="00472230"/>
    <w:rsid w:val="0047226B"/>
    <w:rsid w:val="0047274A"/>
    <w:rsid w:val="004727AE"/>
    <w:rsid w:val="0047284F"/>
    <w:rsid w:val="00472980"/>
    <w:rsid w:val="004729F5"/>
    <w:rsid w:val="00472C72"/>
    <w:rsid w:val="00472EB3"/>
    <w:rsid w:val="00472F72"/>
    <w:rsid w:val="004733EC"/>
    <w:rsid w:val="00473429"/>
    <w:rsid w:val="00473479"/>
    <w:rsid w:val="00473976"/>
    <w:rsid w:val="00473D77"/>
    <w:rsid w:val="00473E67"/>
    <w:rsid w:val="00474210"/>
    <w:rsid w:val="00474415"/>
    <w:rsid w:val="004744FB"/>
    <w:rsid w:val="004746CD"/>
    <w:rsid w:val="0047497E"/>
    <w:rsid w:val="004749CE"/>
    <w:rsid w:val="00474A27"/>
    <w:rsid w:val="00474B96"/>
    <w:rsid w:val="00474C67"/>
    <w:rsid w:val="00474D85"/>
    <w:rsid w:val="00475297"/>
    <w:rsid w:val="004754C5"/>
    <w:rsid w:val="004756BA"/>
    <w:rsid w:val="004756C0"/>
    <w:rsid w:val="0047588B"/>
    <w:rsid w:val="00475BB2"/>
    <w:rsid w:val="00475C82"/>
    <w:rsid w:val="00475FDA"/>
    <w:rsid w:val="00476203"/>
    <w:rsid w:val="004762DA"/>
    <w:rsid w:val="0047642C"/>
    <w:rsid w:val="0047690F"/>
    <w:rsid w:val="00476947"/>
    <w:rsid w:val="00476BC1"/>
    <w:rsid w:val="00476CB2"/>
    <w:rsid w:val="00476CB6"/>
    <w:rsid w:val="00476E19"/>
    <w:rsid w:val="00476FE4"/>
    <w:rsid w:val="004772A2"/>
    <w:rsid w:val="004773E3"/>
    <w:rsid w:val="0047746D"/>
    <w:rsid w:val="00477620"/>
    <w:rsid w:val="00477A60"/>
    <w:rsid w:val="00477B6B"/>
    <w:rsid w:val="00477EE4"/>
    <w:rsid w:val="00477F46"/>
    <w:rsid w:val="00477FB8"/>
    <w:rsid w:val="00480084"/>
    <w:rsid w:val="0048008B"/>
    <w:rsid w:val="00480344"/>
    <w:rsid w:val="004803A0"/>
    <w:rsid w:val="004804C3"/>
    <w:rsid w:val="004804E8"/>
    <w:rsid w:val="0048063C"/>
    <w:rsid w:val="00480658"/>
    <w:rsid w:val="00480666"/>
    <w:rsid w:val="004806D3"/>
    <w:rsid w:val="0048074D"/>
    <w:rsid w:val="00480895"/>
    <w:rsid w:val="00480925"/>
    <w:rsid w:val="004809C2"/>
    <w:rsid w:val="00480A32"/>
    <w:rsid w:val="00480BA2"/>
    <w:rsid w:val="00480D95"/>
    <w:rsid w:val="00480F0A"/>
    <w:rsid w:val="004810AD"/>
    <w:rsid w:val="00481103"/>
    <w:rsid w:val="00481726"/>
    <w:rsid w:val="00481797"/>
    <w:rsid w:val="004817DA"/>
    <w:rsid w:val="00481961"/>
    <w:rsid w:val="00481C0D"/>
    <w:rsid w:val="00481FA4"/>
    <w:rsid w:val="004821CE"/>
    <w:rsid w:val="004822EF"/>
    <w:rsid w:val="0048244B"/>
    <w:rsid w:val="00482477"/>
    <w:rsid w:val="0048248A"/>
    <w:rsid w:val="004824B4"/>
    <w:rsid w:val="004825A9"/>
    <w:rsid w:val="0048290B"/>
    <w:rsid w:val="00482B7D"/>
    <w:rsid w:val="00482C07"/>
    <w:rsid w:val="00482CA4"/>
    <w:rsid w:val="0048315C"/>
    <w:rsid w:val="004836CD"/>
    <w:rsid w:val="004836E0"/>
    <w:rsid w:val="004837D3"/>
    <w:rsid w:val="0048390D"/>
    <w:rsid w:val="00483E4F"/>
    <w:rsid w:val="00483E85"/>
    <w:rsid w:val="00484199"/>
    <w:rsid w:val="00484343"/>
    <w:rsid w:val="00484348"/>
    <w:rsid w:val="0048438B"/>
    <w:rsid w:val="004843D2"/>
    <w:rsid w:val="00484429"/>
    <w:rsid w:val="0048444B"/>
    <w:rsid w:val="00484945"/>
    <w:rsid w:val="00484A20"/>
    <w:rsid w:val="00484AB5"/>
    <w:rsid w:val="00484B17"/>
    <w:rsid w:val="00484B41"/>
    <w:rsid w:val="00484BC9"/>
    <w:rsid w:val="00484CB0"/>
    <w:rsid w:val="00484EF5"/>
    <w:rsid w:val="00485353"/>
    <w:rsid w:val="00485644"/>
    <w:rsid w:val="00485930"/>
    <w:rsid w:val="00485BD7"/>
    <w:rsid w:val="00485D4E"/>
    <w:rsid w:val="00485E94"/>
    <w:rsid w:val="004860D4"/>
    <w:rsid w:val="00486246"/>
    <w:rsid w:val="00486285"/>
    <w:rsid w:val="00486319"/>
    <w:rsid w:val="00486325"/>
    <w:rsid w:val="00486666"/>
    <w:rsid w:val="00486707"/>
    <w:rsid w:val="00486AFB"/>
    <w:rsid w:val="00486D92"/>
    <w:rsid w:val="00486F6F"/>
    <w:rsid w:val="004870D4"/>
    <w:rsid w:val="004872F8"/>
    <w:rsid w:val="0048786A"/>
    <w:rsid w:val="00487DA4"/>
    <w:rsid w:val="00487E35"/>
    <w:rsid w:val="00487ECE"/>
    <w:rsid w:val="00487F84"/>
    <w:rsid w:val="00487FCA"/>
    <w:rsid w:val="00490071"/>
    <w:rsid w:val="00490142"/>
    <w:rsid w:val="004903AB"/>
    <w:rsid w:val="00490578"/>
    <w:rsid w:val="004906F0"/>
    <w:rsid w:val="0049071A"/>
    <w:rsid w:val="004909C9"/>
    <w:rsid w:val="004909D2"/>
    <w:rsid w:val="00490BC9"/>
    <w:rsid w:val="00490C74"/>
    <w:rsid w:val="00490CFC"/>
    <w:rsid w:val="00490F67"/>
    <w:rsid w:val="00490FEC"/>
    <w:rsid w:val="004912F1"/>
    <w:rsid w:val="004913E6"/>
    <w:rsid w:val="00491432"/>
    <w:rsid w:val="004914F0"/>
    <w:rsid w:val="00491594"/>
    <w:rsid w:val="004915CF"/>
    <w:rsid w:val="0049160B"/>
    <w:rsid w:val="004916D0"/>
    <w:rsid w:val="004917AC"/>
    <w:rsid w:val="00491944"/>
    <w:rsid w:val="00491A56"/>
    <w:rsid w:val="00491A90"/>
    <w:rsid w:val="004921E4"/>
    <w:rsid w:val="0049258E"/>
    <w:rsid w:val="004926F8"/>
    <w:rsid w:val="0049283C"/>
    <w:rsid w:val="00492959"/>
    <w:rsid w:val="00492A93"/>
    <w:rsid w:val="00492C06"/>
    <w:rsid w:val="004930B1"/>
    <w:rsid w:val="00493299"/>
    <w:rsid w:val="00493451"/>
    <w:rsid w:val="00493503"/>
    <w:rsid w:val="004935DA"/>
    <w:rsid w:val="00493BBE"/>
    <w:rsid w:val="00493C31"/>
    <w:rsid w:val="00493F19"/>
    <w:rsid w:val="00494064"/>
    <w:rsid w:val="004941A3"/>
    <w:rsid w:val="0049437A"/>
    <w:rsid w:val="0049457F"/>
    <w:rsid w:val="0049465A"/>
    <w:rsid w:val="004946EE"/>
    <w:rsid w:val="00494787"/>
    <w:rsid w:val="004948B4"/>
    <w:rsid w:val="004948D8"/>
    <w:rsid w:val="0049496A"/>
    <w:rsid w:val="00494C07"/>
    <w:rsid w:val="00494C61"/>
    <w:rsid w:val="00495057"/>
    <w:rsid w:val="0049513A"/>
    <w:rsid w:val="00495200"/>
    <w:rsid w:val="00495337"/>
    <w:rsid w:val="00495445"/>
    <w:rsid w:val="00495470"/>
    <w:rsid w:val="004954E4"/>
    <w:rsid w:val="004955A8"/>
    <w:rsid w:val="00495611"/>
    <w:rsid w:val="0049566F"/>
    <w:rsid w:val="00495749"/>
    <w:rsid w:val="00495BA3"/>
    <w:rsid w:val="00495C0B"/>
    <w:rsid w:val="00495D9B"/>
    <w:rsid w:val="004961D4"/>
    <w:rsid w:val="004961D8"/>
    <w:rsid w:val="00496234"/>
    <w:rsid w:val="0049658F"/>
    <w:rsid w:val="00496674"/>
    <w:rsid w:val="0049682B"/>
    <w:rsid w:val="00496C64"/>
    <w:rsid w:val="00496CE7"/>
    <w:rsid w:val="00496F37"/>
    <w:rsid w:val="0049711F"/>
    <w:rsid w:val="0049719C"/>
    <w:rsid w:val="004972FE"/>
    <w:rsid w:val="00497322"/>
    <w:rsid w:val="00497410"/>
    <w:rsid w:val="004976DE"/>
    <w:rsid w:val="00497848"/>
    <w:rsid w:val="004978C3"/>
    <w:rsid w:val="0049793E"/>
    <w:rsid w:val="00497BEC"/>
    <w:rsid w:val="00497E78"/>
    <w:rsid w:val="00497E91"/>
    <w:rsid w:val="00497EF5"/>
    <w:rsid w:val="004A0064"/>
    <w:rsid w:val="004A02BC"/>
    <w:rsid w:val="004A048E"/>
    <w:rsid w:val="004A075B"/>
    <w:rsid w:val="004A083A"/>
    <w:rsid w:val="004A09B0"/>
    <w:rsid w:val="004A0A1D"/>
    <w:rsid w:val="004A0A8B"/>
    <w:rsid w:val="004A0D86"/>
    <w:rsid w:val="004A1153"/>
    <w:rsid w:val="004A144B"/>
    <w:rsid w:val="004A17BA"/>
    <w:rsid w:val="004A17EE"/>
    <w:rsid w:val="004A17F0"/>
    <w:rsid w:val="004A1940"/>
    <w:rsid w:val="004A1986"/>
    <w:rsid w:val="004A19BD"/>
    <w:rsid w:val="004A1B21"/>
    <w:rsid w:val="004A1E93"/>
    <w:rsid w:val="004A1FC3"/>
    <w:rsid w:val="004A2109"/>
    <w:rsid w:val="004A2168"/>
    <w:rsid w:val="004A242D"/>
    <w:rsid w:val="004A2475"/>
    <w:rsid w:val="004A269C"/>
    <w:rsid w:val="004A278B"/>
    <w:rsid w:val="004A2A0E"/>
    <w:rsid w:val="004A2DC6"/>
    <w:rsid w:val="004A2DD5"/>
    <w:rsid w:val="004A2DF6"/>
    <w:rsid w:val="004A2F59"/>
    <w:rsid w:val="004A309D"/>
    <w:rsid w:val="004A318B"/>
    <w:rsid w:val="004A31F1"/>
    <w:rsid w:val="004A32C8"/>
    <w:rsid w:val="004A33C8"/>
    <w:rsid w:val="004A3450"/>
    <w:rsid w:val="004A37DD"/>
    <w:rsid w:val="004A3AA6"/>
    <w:rsid w:val="004A3E59"/>
    <w:rsid w:val="004A3E79"/>
    <w:rsid w:val="004A3F50"/>
    <w:rsid w:val="004A4255"/>
    <w:rsid w:val="004A43F2"/>
    <w:rsid w:val="004A4522"/>
    <w:rsid w:val="004A45B9"/>
    <w:rsid w:val="004A46E1"/>
    <w:rsid w:val="004A4765"/>
    <w:rsid w:val="004A4805"/>
    <w:rsid w:val="004A4B37"/>
    <w:rsid w:val="004A4FDA"/>
    <w:rsid w:val="004A50B2"/>
    <w:rsid w:val="004A51B7"/>
    <w:rsid w:val="004A529F"/>
    <w:rsid w:val="004A5506"/>
    <w:rsid w:val="004A56BF"/>
    <w:rsid w:val="004A58C3"/>
    <w:rsid w:val="004A5AB8"/>
    <w:rsid w:val="004A5E5C"/>
    <w:rsid w:val="004A6012"/>
    <w:rsid w:val="004A6133"/>
    <w:rsid w:val="004A619C"/>
    <w:rsid w:val="004A658D"/>
    <w:rsid w:val="004A659A"/>
    <w:rsid w:val="004A66DC"/>
    <w:rsid w:val="004A6A36"/>
    <w:rsid w:val="004A6C19"/>
    <w:rsid w:val="004A6DEB"/>
    <w:rsid w:val="004A7153"/>
    <w:rsid w:val="004A71AF"/>
    <w:rsid w:val="004A71F0"/>
    <w:rsid w:val="004A72BA"/>
    <w:rsid w:val="004A72DD"/>
    <w:rsid w:val="004A7373"/>
    <w:rsid w:val="004A78DA"/>
    <w:rsid w:val="004A7986"/>
    <w:rsid w:val="004A7995"/>
    <w:rsid w:val="004A7999"/>
    <w:rsid w:val="004A7A9C"/>
    <w:rsid w:val="004A7AA0"/>
    <w:rsid w:val="004A7C45"/>
    <w:rsid w:val="004A7CF3"/>
    <w:rsid w:val="004B006D"/>
    <w:rsid w:val="004B022F"/>
    <w:rsid w:val="004B03F3"/>
    <w:rsid w:val="004B061E"/>
    <w:rsid w:val="004B0647"/>
    <w:rsid w:val="004B06E4"/>
    <w:rsid w:val="004B0728"/>
    <w:rsid w:val="004B084F"/>
    <w:rsid w:val="004B0A4D"/>
    <w:rsid w:val="004B0AD2"/>
    <w:rsid w:val="004B0BBC"/>
    <w:rsid w:val="004B0C2D"/>
    <w:rsid w:val="004B1048"/>
    <w:rsid w:val="004B1060"/>
    <w:rsid w:val="004B10C1"/>
    <w:rsid w:val="004B1209"/>
    <w:rsid w:val="004B121F"/>
    <w:rsid w:val="004B12FF"/>
    <w:rsid w:val="004B1347"/>
    <w:rsid w:val="004B13E5"/>
    <w:rsid w:val="004B1407"/>
    <w:rsid w:val="004B1484"/>
    <w:rsid w:val="004B1582"/>
    <w:rsid w:val="004B174B"/>
    <w:rsid w:val="004B17E1"/>
    <w:rsid w:val="004B1D13"/>
    <w:rsid w:val="004B1D56"/>
    <w:rsid w:val="004B1D88"/>
    <w:rsid w:val="004B1DE3"/>
    <w:rsid w:val="004B2064"/>
    <w:rsid w:val="004B2108"/>
    <w:rsid w:val="004B21BB"/>
    <w:rsid w:val="004B2603"/>
    <w:rsid w:val="004B2747"/>
    <w:rsid w:val="004B27F7"/>
    <w:rsid w:val="004B28C7"/>
    <w:rsid w:val="004B28CC"/>
    <w:rsid w:val="004B28D9"/>
    <w:rsid w:val="004B2A8B"/>
    <w:rsid w:val="004B2AF5"/>
    <w:rsid w:val="004B2BC9"/>
    <w:rsid w:val="004B2DA8"/>
    <w:rsid w:val="004B2E23"/>
    <w:rsid w:val="004B2E41"/>
    <w:rsid w:val="004B32D8"/>
    <w:rsid w:val="004B391A"/>
    <w:rsid w:val="004B3C07"/>
    <w:rsid w:val="004B3C92"/>
    <w:rsid w:val="004B3E71"/>
    <w:rsid w:val="004B3EB2"/>
    <w:rsid w:val="004B3FDD"/>
    <w:rsid w:val="004B4095"/>
    <w:rsid w:val="004B426D"/>
    <w:rsid w:val="004B433D"/>
    <w:rsid w:val="004B437B"/>
    <w:rsid w:val="004B4526"/>
    <w:rsid w:val="004B4586"/>
    <w:rsid w:val="004B45B4"/>
    <w:rsid w:val="004B4706"/>
    <w:rsid w:val="004B485A"/>
    <w:rsid w:val="004B4962"/>
    <w:rsid w:val="004B4A7A"/>
    <w:rsid w:val="004B4A84"/>
    <w:rsid w:val="004B4AE1"/>
    <w:rsid w:val="004B4B12"/>
    <w:rsid w:val="004B4BD9"/>
    <w:rsid w:val="004B4C34"/>
    <w:rsid w:val="004B5016"/>
    <w:rsid w:val="004B502C"/>
    <w:rsid w:val="004B5203"/>
    <w:rsid w:val="004B5447"/>
    <w:rsid w:val="004B5657"/>
    <w:rsid w:val="004B56CD"/>
    <w:rsid w:val="004B5728"/>
    <w:rsid w:val="004B5AE5"/>
    <w:rsid w:val="004B5C5C"/>
    <w:rsid w:val="004B5CA0"/>
    <w:rsid w:val="004B5D23"/>
    <w:rsid w:val="004B5E2C"/>
    <w:rsid w:val="004B5E47"/>
    <w:rsid w:val="004B623E"/>
    <w:rsid w:val="004B63E0"/>
    <w:rsid w:val="004B64B8"/>
    <w:rsid w:val="004B64C9"/>
    <w:rsid w:val="004B6636"/>
    <w:rsid w:val="004B665F"/>
    <w:rsid w:val="004B678A"/>
    <w:rsid w:val="004B69CD"/>
    <w:rsid w:val="004B6B97"/>
    <w:rsid w:val="004B6BBE"/>
    <w:rsid w:val="004B6E2B"/>
    <w:rsid w:val="004B6ECE"/>
    <w:rsid w:val="004B7185"/>
    <w:rsid w:val="004B75D8"/>
    <w:rsid w:val="004B77DE"/>
    <w:rsid w:val="004B7B8A"/>
    <w:rsid w:val="004B7CA1"/>
    <w:rsid w:val="004B7DBF"/>
    <w:rsid w:val="004C0029"/>
    <w:rsid w:val="004C023C"/>
    <w:rsid w:val="004C0411"/>
    <w:rsid w:val="004C041F"/>
    <w:rsid w:val="004C0586"/>
    <w:rsid w:val="004C097D"/>
    <w:rsid w:val="004C0B5B"/>
    <w:rsid w:val="004C0BB3"/>
    <w:rsid w:val="004C0BB8"/>
    <w:rsid w:val="004C0BBA"/>
    <w:rsid w:val="004C0CF2"/>
    <w:rsid w:val="004C0D03"/>
    <w:rsid w:val="004C0DC3"/>
    <w:rsid w:val="004C0DDF"/>
    <w:rsid w:val="004C10F8"/>
    <w:rsid w:val="004C14E0"/>
    <w:rsid w:val="004C1732"/>
    <w:rsid w:val="004C18D1"/>
    <w:rsid w:val="004C1FA8"/>
    <w:rsid w:val="004C20F3"/>
    <w:rsid w:val="004C221A"/>
    <w:rsid w:val="004C22FA"/>
    <w:rsid w:val="004C230D"/>
    <w:rsid w:val="004C2319"/>
    <w:rsid w:val="004C27B4"/>
    <w:rsid w:val="004C27CE"/>
    <w:rsid w:val="004C27F8"/>
    <w:rsid w:val="004C2847"/>
    <w:rsid w:val="004C28F9"/>
    <w:rsid w:val="004C2905"/>
    <w:rsid w:val="004C2947"/>
    <w:rsid w:val="004C298F"/>
    <w:rsid w:val="004C2A02"/>
    <w:rsid w:val="004C2B74"/>
    <w:rsid w:val="004C2BD4"/>
    <w:rsid w:val="004C2C77"/>
    <w:rsid w:val="004C2DE1"/>
    <w:rsid w:val="004C2E2B"/>
    <w:rsid w:val="004C310F"/>
    <w:rsid w:val="004C31C6"/>
    <w:rsid w:val="004C36E6"/>
    <w:rsid w:val="004C389A"/>
    <w:rsid w:val="004C3AFD"/>
    <w:rsid w:val="004C3C79"/>
    <w:rsid w:val="004C3DE8"/>
    <w:rsid w:val="004C3EDA"/>
    <w:rsid w:val="004C43B3"/>
    <w:rsid w:val="004C43D3"/>
    <w:rsid w:val="004C44F8"/>
    <w:rsid w:val="004C46FE"/>
    <w:rsid w:val="004C48D3"/>
    <w:rsid w:val="004C495C"/>
    <w:rsid w:val="004C4ADF"/>
    <w:rsid w:val="004C4B7D"/>
    <w:rsid w:val="004C4D00"/>
    <w:rsid w:val="004C4DC2"/>
    <w:rsid w:val="004C4FE1"/>
    <w:rsid w:val="004C507A"/>
    <w:rsid w:val="004C537E"/>
    <w:rsid w:val="004C5408"/>
    <w:rsid w:val="004C54F7"/>
    <w:rsid w:val="004C5544"/>
    <w:rsid w:val="004C5901"/>
    <w:rsid w:val="004C5ABA"/>
    <w:rsid w:val="004C5E5E"/>
    <w:rsid w:val="004C5EC1"/>
    <w:rsid w:val="004C5F4E"/>
    <w:rsid w:val="004C60B5"/>
    <w:rsid w:val="004C618D"/>
    <w:rsid w:val="004C61C4"/>
    <w:rsid w:val="004C61C8"/>
    <w:rsid w:val="004C61D4"/>
    <w:rsid w:val="004C62AD"/>
    <w:rsid w:val="004C6588"/>
    <w:rsid w:val="004C6663"/>
    <w:rsid w:val="004C680D"/>
    <w:rsid w:val="004C6C03"/>
    <w:rsid w:val="004C6DA3"/>
    <w:rsid w:val="004C6DAA"/>
    <w:rsid w:val="004C6DDA"/>
    <w:rsid w:val="004C6E5E"/>
    <w:rsid w:val="004C7033"/>
    <w:rsid w:val="004C70FF"/>
    <w:rsid w:val="004C74AA"/>
    <w:rsid w:val="004C75AD"/>
    <w:rsid w:val="004C7617"/>
    <w:rsid w:val="004C76F1"/>
    <w:rsid w:val="004C7A4F"/>
    <w:rsid w:val="004C7B91"/>
    <w:rsid w:val="004C7E00"/>
    <w:rsid w:val="004C7E84"/>
    <w:rsid w:val="004D0007"/>
    <w:rsid w:val="004D0034"/>
    <w:rsid w:val="004D0212"/>
    <w:rsid w:val="004D03FD"/>
    <w:rsid w:val="004D04D3"/>
    <w:rsid w:val="004D053E"/>
    <w:rsid w:val="004D06A7"/>
    <w:rsid w:val="004D0A8E"/>
    <w:rsid w:val="004D0C1B"/>
    <w:rsid w:val="004D0C30"/>
    <w:rsid w:val="004D0CA0"/>
    <w:rsid w:val="004D0E3F"/>
    <w:rsid w:val="004D0E98"/>
    <w:rsid w:val="004D11D0"/>
    <w:rsid w:val="004D1274"/>
    <w:rsid w:val="004D159B"/>
    <w:rsid w:val="004D187E"/>
    <w:rsid w:val="004D1922"/>
    <w:rsid w:val="004D1AC3"/>
    <w:rsid w:val="004D1B0A"/>
    <w:rsid w:val="004D1B15"/>
    <w:rsid w:val="004D1BC0"/>
    <w:rsid w:val="004D1BDA"/>
    <w:rsid w:val="004D1BEE"/>
    <w:rsid w:val="004D1C58"/>
    <w:rsid w:val="004D1CDF"/>
    <w:rsid w:val="004D1E4E"/>
    <w:rsid w:val="004D1E6F"/>
    <w:rsid w:val="004D1EE6"/>
    <w:rsid w:val="004D2026"/>
    <w:rsid w:val="004D212D"/>
    <w:rsid w:val="004D2298"/>
    <w:rsid w:val="004D2514"/>
    <w:rsid w:val="004D252C"/>
    <w:rsid w:val="004D25A8"/>
    <w:rsid w:val="004D2706"/>
    <w:rsid w:val="004D2922"/>
    <w:rsid w:val="004D2A25"/>
    <w:rsid w:val="004D2A2D"/>
    <w:rsid w:val="004D2B91"/>
    <w:rsid w:val="004D2BDF"/>
    <w:rsid w:val="004D2C15"/>
    <w:rsid w:val="004D2DAC"/>
    <w:rsid w:val="004D3144"/>
    <w:rsid w:val="004D3380"/>
    <w:rsid w:val="004D33C3"/>
    <w:rsid w:val="004D37AB"/>
    <w:rsid w:val="004D3880"/>
    <w:rsid w:val="004D391B"/>
    <w:rsid w:val="004D3A20"/>
    <w:rsid w:val="004D3D3F"/>
    <w:rsid w:val="004D3FC4"/>
    <w:rsid w:val="004D42C0"/>
    <w:rsid w:val="004D42D2"/>
    <w:rsid w:val="004D442E"/>
    <w:rsid w:val="004D46AE"/>
    <w:rsid w:val="004D4780"/>
    <w:rsid w:val="004D48D0"/>
    <w:rsid w:val="004D4D1D"/>
    <w:rsid w:val="004D4F89"/>
    <w:rsid w:val="004D50B3"/>
    <w:rsid w:val="004D51AA"/>
    <w:rsid w:val="004D5241"/>
    <w:rsid w:val="004D5257"/>
    <w:rsid w:val="004D56F1"/>
    <w:rsid w:val="004D5859"/>
    <w:rsid w:val="004D5A17"/>
    <w:rsid w:val="004D5B65"/>
    <w:rsid w:val="004D5B6F"/>
    <w:rsid w:val="004D5BEE"/>
    <w:rsid w:val="004D5C5A"/>
    <w:rsid w:val="004D5ED7"/>
    <w:rsid w:val="004D6046"/>
    <w:rsid w:val="004D6142"/>
    <w:rsid w:val="004D628D"/>
    <w:rsid w:val="004D62A0"/>
    <w:rsid w:val="004D64B5"/>
    <w:rsid w:val="004D669D"/>
    <w:rsid w:val="004D676B"/>
    <w:rsid w:val="004D6B1E"/>
    <w:rsid w:val="004D6CA1"/>
    <w:rsid w:val="004D71AF"/>
    <w:rsid w:val="004D7570"/>
    <w:rsid w:val="004D7686"/>
    <w:rsid w:val="004D76D5"/>
    <w:rsid w:val="004D78E1"/>
    <w:rsid w:val="004D790B"/>
    <w:rsid w:val="004D7976"/>
    <w:rsid w:val="004D7CBD"/>
    <w:rsid w:val="004D7DE4"/>
    <w:rsid w:val="004D7FB3"/>
    <w:rsid w:val="004E0209"/>
    <w:rsid w:val="004E022D"/>
    <w:rsid w:val="004E0434"/>
    <w:rsid w:val="004E0464"/>
    <w:rsid w:val="004E0924"/>
    <w:rsid w:val="004E0B08"/>
    <w:rsid w:val="004E0B5C"/>
    <w:rsid w:val="004E0C16"/>
    <w:rsid w:val="004E0FFA"/>
    <w:rsid w:val="004E1050"/>
    <w:rsid w:val="004E1068"/>
    <w:rsid w:val="004E10A6"/>
    <w:rsid w:val="004E10B5"/>
    <w:rsid w:val="004E10C4"/>
    <w:rsid w:val="004E10E9"/>
    <w:rsid w:val="004E11B6"/>
    <w:rsid w:val="004E1292"/>
    <w:rsid w:val="004E14D7"/>
    <w:rsid w:val="004E1533"/>
    <w:rsid w:val="004E1637"/>
    <w:rsid w:val="004E1748"/>
    <w:rsid w:val="004E1775"/>
    <w:rsid w:val="004E180D"/>
    <w:rsid w:val="004E1981"/>
    <w:rsid w:val="004E1A20"/>
    <w:rsid w:val="004E1B0A"/>
    <w:rsid w:val="004E1E0F"/>
    <w:rsid w:val="004E1E54"/>
    <w:rsid w:val="004E2331"/>
    <w:rsid w:val="004E2584"/>
    <w:rsid w:val="004E2792"/>
    <w:rsid w:val="004E283E"/>
    <w:rsid w:val="004E2ADF"/>
    <w:rsid w:val="004E2C6D"/>
    <w:rsid w:val="004E2D2C"/>
    <w:rsid w:val="004E2E93"/>
    <w:rsid w:val="004E3114"/>
    <w:rsid w:val="004E33EB"/>
    <w:rsid w:val="004E33F1"/>
    <w:rsid w:val="004E345B"/>
    <w:rsid w:val="004E353A"/>
    <w:rsid w:val="004E3559"/>
    <w:rsid w:val="004E36FD"/>
    <w:rsid w:val="004E370D"/>
    <w:rsid w:val="004E37A1"/>
    <w:rsid w:val="004E3AB3"/>
    <w:rsid w:val="004E3BB1"/>
    <w:rsid w:val="004E3C4E"/>
    <w:rsid w:val="004E3F22"/>
    <w:rsid w:val="004E3FCF"/>
    <w:rsid w:val="004E430A"/>
    <w:rsid w:val="004E44B6"/>
    <w:rsid w:val="004E44CF"/>
    <w:rsid w:val="004E45A6"/>
    <w:rsid w:val="004E46BD"/>
    <w:rsid w:val="004E4753"/>
    <w:rsid w:val="004E4976"/>
    <w:rsid w:val="004E4D69"/>
    <w:rsid w:val="004E5067"/>
    <w:rsid w:val="004E50A7"/>
    <w:rsid w:val="004E51AD"/>
    <w:rsid w:val="004E51AE"/>
    <w:rsid w:val="004E5215"/>
    <w:rsid w:val="004E53AA"/>
    <w:rsid w:val="004E5484"/>
    <w:rsid w:val="004E5AB9"/>
    <w:rsid w:val="004E5B71"/>
    <w:rsid w:val="004E5C8C"/>
    <w:rsid w:val="004E5D1D"/>
    <w:rsid w:val="004E5F02"/>
    <w:rsid w:val="004E60AC"/>
    <w:rsid w:val="004E63B1"/>
    <w:rsid w:val="004E65BD"/>
    <w:rsid w:val="004E67CE"/>
    <w:rsid w:val="004E68AE"/>
    <w:rsid w:val="004E6DAB"/>
    <w:rsid w:val="004E70EB"/>
    <w:rsid w:val="004E70EF"/>
    <w:rsid w:val="004E72A4"/>
    <w:rsid w:val="004E7325"/>
    <w:rsid w:val="004E75E3"/>
    <w:rsid w:val="004E78E9"/>
    <w:rsid w:val="004E7C34"/>
    <w:rsid w:val="004E7E0A"/>
    <w:rsid w:val="004E7F1F"/>
    <w:rsid w:val="004E7F31"/>
    <w:rsid w:val="004F00D7"/>
    <w:rsid w:val="004F0128"/>
    <w:rsid w:val="004F04E5"/>
    <w:rsid w:val="004F0821"/>
    <w:rsid w:val="004F083B"/>
    <w:rsid w:val="004F09FC"/>
    <w:rsid w:val="004F0A51"/>
    <w:rsid w:val="004F0A8D"/>
    <w:rsid w:val="004F0BCC"/>
    <w:rsid w:val="004F0D01"/>
    <w:rsid w:val="004F1228"/>
    <w:rsid w:val="004F1339"/>
    <w:rsid w:val="004F1382"/>
    <w:rsid w:val="004F13A4"/>
    <w:rsid w:val="004F146F"/>
    <w:rsid w:val="004F1725"/>
    <w:rsid w:val="004F18F1"/>
    <w:rsid w:val="004F1A0D"/>
    <w:rsid w:val="004F1B12"/>
    <w:rsid w:val="004F1C14"/>
    <w:rsid w:val="004F1C6A"/>
    <w:rsid w:val="004F1C8E"/>
    <w:rsid w:val="004F1C8F"/>
    <w:rsid w:val="004F1EBF"/>
    <w:rsid w:val="004F1ED6"/>
    <w:rsid w:val="004F20E5"/>
    <w:rsid w:val="004F213F"/>
    <w:rsid w:val="004F2305"/>
    <w:rsid w:val="004F2335"/>
    <w:rsid w:val="004F267E"/>
    <w:rsid w:val="004F287F"/>
    <w:rsid w:val="004F291C"/>
    <w:rsid w:val="004F29D8"/>
    <w:rsid w:val="004F2A49"/>
    <w:rsid w:val="004F2A87"/>
    <w:rsid w:val="004F2B16"/>
    <w:rsid w:val="004F2BC7"/>
    <w:rsid w:val="004F2E24"/>
    <w:rsid w:val="004F2E4D"/>
    <w:rsid w:val="004F2E8E"/>
    <w:rsid w:val="004F326A"/>
    <w:rsid w:val="004F33F6"/>
    <w:rsid w:val="004F3735"/>
    <w:rsid w:val="004F3976"/>
    <w:rsid w:val="004F3ABF"/>
    <w:rsid w:val="004F3B37"/>
    <w:rsid w:val="004F3CB6"/>
    <w:rsid w:val="004F3CF6"/>
    <w:rsid w:val="004F3DFB"/>
    <w:rsid w:val="004F3FA5"/>
    <w:rsid w:val="004F3FC2"/>
    <w:rsid w:val="004F4158"/>
    <w:rsid w:val="004F41B4"/>
    <w:rsid w:val="004F42E8"/>
    <w:rsid w:val="004F4427"/>
    <w:rsid w:val="004F4484"/>
    <w:rsid w:val="004F4516"/>
    <w:rsid w:val="004F4522"/>
    <w:rsid w:val="004F458C"/>
    <w:rsid w:val="004F46B2"/>
    <w:rsid w:val="004F4831"/>
    <w:rsid w:val="004F48C3"/>
    <w:rsid w:val="004F4DF3"/>
    <w:rsid w:val="004F4F40"/>
    <w:rsid w:val="004F51A2"/>
    <w:rsid w:val="004F533D"/>
    <w:rsid w:val="004F557F"/>
    <w:rsid w:val="004F584E"/>
    <w:rsid w:val="004F5A51"/>
    <w:rsid w:val="004F5BB6"/>
    <w:rsid w:val="004F5CEA"/>
    <w:rsid w:val="004F5E75"/>
    <w:rsid w:val="004F5FA9"/>
    <w:rsid w:val="004F60B7"/>
    <w:rsid w:val="004F617C"/>
    <w:rsid w:val="004F65F8"/>
    <w:rsid w:val="004F6941"/>
    <w:rsid w:val="004F6B7A"/>
    <w:rsid w:val="004F6EB6"/>
    <w:rsid w:val="004F6FE7"/>
    <w:rsid w:val="004F70F9"/>
    <w:rsid w:val="004F7178"/>
    <w:rsid w:val="004F773E"/>
    <w:rsid w:val="004F78FB"/>
    <w:rsid w:val="004F790C"/>
    <w:rsid w:val="004F791A"/>
    <w:rsid w:val="004F79C7"/>
    <w:rsid w:val="004F7DEF"/>
    <w:rsid w:val="00500025"/>
    <w:rsid w:val="0050004F"/>
    <w:rsid w:val="00500537"/>
    <w:rsid w:val="00500587"/>
    <w:rsid w:val="00500600"/>
    <w:rsid w:val="00500662"/>
    <w:rsid w:val="005006BE"/>
    <w:rsid w:val="005006DA"/>
    <w:rsid w:val="00500926"/>
    <w:rsid w:val="005009D4"/>
    <w:rsid w:val="00500D2B"/>
    <w:rsid w:val="00500E0F"/>
    <w:rsid w:val="00500E5C"/>
    <w:rsid w:val="00500EE9"/>
    <w:rsid w:val="00500FC2"/>
    <w:rsid w:val="00500FC4"/>
    <w:rsid w:val="00501043"/>
    <w:rsid w:val="005010EA"/>
    <w:rsid w:val="005012A2"/>
    <w:rsid w:val="005017FC"/>
    <w:rsid w:val="00501844"/>
    <w:rsid w:val="00501902"/>
    <w:rsid w:val="005019A7"/>
    <w:rsid w:val="00501A36"/>
    <w:rsid w:val="00501A55"/>
    <w:rsid w:val="00501AA0"/>
    <w:rsid w:val="00501B24"/>
    <w:rsid w:val="00501E64"/>
    <w:rsid w:val="00501FAB"/>
    <w:rsid w:val="005022FB"/>
    <w:rsid w:val="00502387"/>
    <w:rsid w:val="00502415"/>
    <w:rsid w:val="00502849"/>
    <w:rsid w:val="00502930"/>
    <w:rsid w:val="0050295B"/>
    <w:rsid w:val="005029E4"/>
    <w:rsid w:val="00502A33"/>
    <w:rsid w:val="00502BB5"/>
    <w:rsid w:val="00502DBB"/>
    <w:rsid w:val="00502E16"/>
    <w:rsid w:val="00502EDE"/>
    <w:rsid w:val="00503174"/>
    <w:rsid w:val="005031D3"/>
    <w:rsid w:val="0050325F"/>
    <w:rsid w:val="005034B0"/>
    <w:rsid w:val="005036EF"/>
    <w:rsid w:val="005036FC"/>
    <w:rsid w:val="00503776"/>
    <w:rsid w:val="0050379F"/>
    <w:rsid w:val="00503991"/>
    <w:rsid w:val="005039B2"/>
    <w:rsid w:val="00503CD0"/>
    <w:rsid w:val="0050403A"/>
    <w:rsid w:val="0050433E"/>
    <w:rsid w:val="00504461"/>
    <w:rsid w:val="00504463"/>
    <w:rsid w:val="005044D7"/>
    <w:rsid w:val="00504548"/>
    <w:rsid w:val="0050461A"/>
    <w:rsid w:val="0050494E"/>
    <w:rsid w:val="0050496C"/>
    <w:rsid w:val="005049FC"/>
    <w:rsid w:val="00504B59"/>
    <w:rsid w:val="00504D08"/>
    <w:rsid w:val="00504E66"/>
    <w:rsid w:val="0050545C"/>
    <w:rsid w:val="00505742"/>
    <w:rsid w:val="00505773"/>
    <w:rsid w:val="0050586D"/>
    <w:rsid w:val="00505893"/>
    <w:rsid w:val="005059DC"/>
    <w:rsid w:val="00505ABA"/>
    <w:rsid w:val="00505ACB"/>
    <w:rsid w:val="00505E51"/>
    <w:rsid w:val="0050626D"/>
    <w:rsid w:val="00506390"/>
    <w:rsid w:val="00506392"/>
    <w:rsid w:val="005063C4"/>
    <w:rsid w:val="0050645B"/>
    <w:rsid w:val="005066F3"/>
    <w:rsid w:val="005068CE"/>
    <w:rsid w:val="0050693C"/>
    <w:rsid w:val="00506B12"/>
    <w:rsid w:val="00506B9C"/>
    <w:rsid w:val="00506BB1"/>
    <w:rsid w:val="00506D4C"/>
    <w:rsid w:val="00506E30"/>
    <w:rsid w:val="0050737F"/>
    <w:rsid w:val="005073EF"/>
    <w:rsid w:val="0050768C"/>
    <w:rsid w:val="005078F8"/>
    <w:rsid w:val="0050791B"/>
    <w:rsid w:val="00507AB8"/>
    <w:rsid w:val="00507C2B"/>
    <w:rsid w:val="00507FFE"/>
    <w:rsid w:val="005101BC"/>
    <w:rsid w:val="00510279"/>
    <w:rsid w:val="00510287"/>
    <w:rsid w:val="00510514"/>
    <w:rsid w:val="00510558"/>
    <w:rsid w:val="005105E4"/>
    <w:rsid w:val="005107A7"/>
    <w:rsid w:val="00510919"/>
    <w:rsid w:val="00510B96"/>
    <w:rsid w:val="00510C8A"/>
    <w:rsid w:val="005114BB"/>
    <w:rsid w:val="005115D1"/>
    <w:rsid w:val="005116A6"/>
    <w:rsid w:val="0051177C"/>
    <w:rsid w:val="0051196B"/>
    <w:rsid w:val="005119B6"/>
    <w:rsid w:val="00511C85"/>
    <w:rsid w:val="00511D42"/>
    <w:rsid w:val="00511D56"/>
    <w:rsid w:val="00511D85"/>
    <w:rsid w:val="00511F44"/>
    <w:rsid w:val="00511FEE"/>
    <w:rsid w:val="00512216"/>
    <w:rsid w:val="00512358"/>
    <w:rsid w:val="0051238A"/>
    <w:rsid w:val="0051239B"/>
    <w:rsid w:val="005124BE"/>
    <w:rsid w:val="005124C6"/>
    <w:rsid w:val="00512578"/>
    <w:rsid w:val="0051263C"/>
    <w:rsid w:val="00512675"/>
    <w:rsid w:val="00512C49"/>
    <w:rsid w:val="00513017"/>
    <w:rsid w:val="00513190"/>
    <w:rsid w:val="0051332F"/>
    <w:rsid w:val="00513606"/>
    <w:rsid w:val="00513635"/>
    <w:rsid w:val="005137ED"/>
    <w:rsid w:val="005138A3"/>
    <w:rsid w:val="00513916"/>
    <w:rsid w:val="0051399E"/>
    <w:rsid w:val="00513ADE"/>
    <w:rsid w:val="00513AEB"/>
    <w:rsid w:val="005140C5"/>
    <w:rsid w:val="005140FD"/>
    <w:rsid w:val="00514429"/>
    <w:rsid w:val="005144D7"/>
    <w:rsid w:val="00514517"/>
    <w:rsid w:val="0051452E"/>
    <w:rsid w:val="005145DF"/>
    <w:rsid w:val="0051481D"/>
    <w:rsid w:val="005149A2"/>
    <w:rsid w:val="00514B13"/>
    <w:rsid w:val="00514C31"/>
    <w:rsid w:val="00514D9F"/>
    <w:rsid w:val="00514DB3"/>
    <w:rsid w:val="00514F7C"/>
    <w:rsid w:val="00515478"/>
    <w:rsid w:val="00515482"/>
    <w:rsid w:val="005155C0"/>
    <w:rsid w:val="005157A0"/>
    <w:rsid w:val="00515ACE"/>
    <w:rsid w:val="00515B0A"/>
    <w:rsid w:val="00515C8F"/>
    <w:rsid w:val="00515DE6"/>
    <w:rsid w:val="00515E84"/>
    <w:rsid w:val="00515EC0"/>
    <w:rsid w:val="0051602B"/>
    <w:rsid w:val="0051633F"/>
    <w:rsid w:val="00516341"/>
    <w:rsid w:val="0051648C"/>
    <w:rsid w:val="00516ACC"/>
    <w:rsid w:val="00516B27"/>
    <w:rsid w:val="00516CA8"/>
    <w:rsid w:val="00516CD2"/>
    <w:rsid w:val="00516DD1"/>
    <w:rsid w:val="00516F2A"/>
    <w:rsid w:val="005170B8"/>
    <w:rsid w:val="0051722E"/>
    <w:rsid w:val="005172B2"/>
    <w:rsid w:val="005173BC"/>
    <w:rsid w:val="00517453"/>
    <w:rsid w:val="00517491"/>
    <w:rsid w:val="00517562"/>
    <w:rsid w:val="00517883"/>
    <w:rsid w:val="005178C6"/>
    <w:rsid w:val="00517991"/>
    <w:rsid w:val="005179D7"/>
    <w:rsid w:val="00517B61"/>
    <w:rsid w:val="00517DDB"/>
    <w:rsid w:val="00520075"/>
    <w:rsid w:val="00520269"/>
    <w:rsid w:val="00520427"/>
    <w:rsid w:val="005204B0"/>
    <w:rsid w:val="0052050F"/>
    <w:rsid w:val="005205A4"/>
    <w:rsid w:val="00520617"/>
    <w:rsid w:val="005206CD"/>
    <w:rsid w:val="005208F5"/>
    <w:rsid w:val="00520A6E"/>
    <w:rsid w:val="00520ABD"/>
    <w:rsid w:val="00520DA6"/>
    <w:rsid w:val="00520DB9"/>
    <w:rsid w:val="00520DBB"/>
    <w:rsid w:val="00520FC4"/>
    <w:rsid w:val="0052103C"/>
    <w:rsid w:val="00521118"/>
    <w:rsid w:val="00521188"/>
    <w:rsid w:val="00521510"/>
    <w:rsid w:val="00521604"/>
    <w:rsid w:val="00521688"/>
    <w:rsid w:val="005216B2"/>
    <w:rsid w:val="0052170F"/>
    <w:rsid w:val="005218F8"/>
    <w:rsid w:val="005218FD"/>
    <w:rsid w:val="00521920"/>
    <w:rsid w:val="005219AA"/>
    <w:rsid w:val="00521A4C"/>
    <w:rsid w:val="00521DDE"/>
    <w:rsid w:val="00521EA0"/>
    <w:rsid w:val="00522559"/>
    <w:rsid w:val="00522595"/>
    <w:rsid w:val="005225C4"/>
    <w:rsid w:val="00522710"/>
    <w:rsid w:val="005229B2"/>
    <w:rsid w:val="00522AFD"/>
    <w:rsid w:val="00522E34"/>
    <w:rsid w:val="00522E4A"/>
    <w:rsid w:val="00523008"/>
    <w:rsid w:val="0052300E"/>
    <w:rsid w:val="00523391"/>
    <w:rsid w:val="005235EE"/>
    <w:rsid w:val="005237E7"/>
    <w:rsid w:val="00523863"/>
    <w:rsid w:val="00523A64"/>
    <w:rsid w:val="00523AC2"/>
    <w:rsid w:val="00523D95"/>
    <w:rsid w:val="0052403E"/>
    <w:rsid w:val="00524133"/>
    <w:rsid w:val="0052414A"/>
    <w:rsid w:val="005241B0"/>
    <w:rsid w:val="00524320"/>
    <w:rsid w:val="005245A2"/>
    <w:rsid w:val="005245D9"/>
    <w:rsid w:val="00524725"/>
    <w:rsid w:val="0052478C"/>
    <w:rsid w:val="005247D6"/>
    <w:rsid w:val="00524822"/>
    <w:rsid w:val="005248A1"/>
    <w:rsid w:val="00525100"/>
    <w:rsid w:val="0052519A"/>
    <w:rsid w:val="0052536C"/>
    <w:rsid w:val="00525AA9"/>
    <w:rsid w:val="00525AF5"/>
    <w:rsid w:val="00525B05"/>
    <w:rsid w:val="00525CA1"/>
    <w:rsid w:val="00525CA4"/>
    <w:rsid w:val="00525DEF"/>
    <w:rsid w:val="00525E3E"/>
    <w:rsid w:val="005260C7"/>
    <w:rsid w:val="0052611D"/>
    <w:rsid w:val="005263DC"/>
    <w:rsid w:val="00526477"/>
    <w:rsid w:val="005264DE"/>
    <w:rsid w:val="00526549"/>
    <w:rsid w:val="00526712"/>
    <w:rsid w:val="00526859"/>
    <w:rsid w:val="00526ABA"/>
    <w:rsid w:val="00526AD7"/>
    <w:rsid w:val="00526AF2"/>
    <w:rsid w:val="00526B99"/>
    <w:rsid w:val="00526CFE"/>
    <w:rsid w:val="00526E65"/>
    <w:rsid w:val="00526F1C"/>
    <w:rsid w:val="00527051"/>
    <w:rsid w:val="00527241"/>
    <w:rsid w:val="0052747A"/>
    <w:rsid w:val="005276F5"/>
    <w:rsid w:val="005277BF"/>
    <w:rsid w:val="00527A8A"/>
    <w:rsid w:val="00527BBE"/>
    <w:rsid w:val="00527CB6"/>
    <w:rsid w:val="00527D40"/>
    <w:rsid w:val="00527E70"/>
    <w:rsid w:val="00527E8B"/>
    <w:rsid w:val="0052F49D"/>
    <w:rsid w:val="005301A8"/>
    <w:rsid w:val="005301B7"/>
    <w:rsid w:val="005301CD"/>
    <w:rsid w:val="005302DF"/>
    <w:rsid w:val="00530334"/>
    <w:rsid w:val="005303FA"/>
    <w:rsid w:val="005304C5"/>
    <w:rsid w:val="00530591"/>
    <w:rsid w:val="00530760"/>
    <w:rsid w:val="0053078B"/>
    <w:rsid w:val="00530794"/>
    <w:rsid w:val="0053084D"/>
    <w:rsid w:val="00530BC5"/>
    <w:rsid w:val="00530C13"/>
    <w:rsid w:val="00530C72"/>
    <w:rsid w:val="00530F30"/>
    <w:rsid w:val="00530F31"/>
    <w:rsid w:val="005311A9"/>
    <w:rsid w:val="005311C7"/>
    <w:rsid w:val="005313BD"/>
    <w:rsid w:val="00531421"/>
    <w:rsid w:val="0053147A"/>
    <w:rsid w:val="005314F0"/>
    <w:rsid w:val="0053157F"/>
    <w:rsid w:val="00531777"/>
    <w:rsid w:val="005317B9"/>
    <w:rsid w:val="0053181F"/>
    <w:rsid w:val="0053184B"/>
    <w:rsid w:val="00531884"/>
    <w:rsid w:val="005318BB"/>
    <w:rsid w:val="00531D54"/>
    <w:rsid w:val="00531ED5"/>
    <w:rsid w:val="00531FA0"/>
    <w:rsid w:val="0053220B"/>
    <w:rsid w:val="0053266C"/>
    <w:rsid w:val="005328CC"/>
    <w:rsid w:val="005328D5"/>
    <w:rsid w:val="00532A93"/>
    <w:rsid w:val="00532BE4"/>
    <w:rsid w:val="00532D62"/>
    <w:rsid w:val="00532E07"/>
    <w:rsid w:val="00532E15"/>
    <w:rsid w:val="0053317D"/>
    <w:rsid w:val="005332B2"/>
    <w:rsid w:val="00533323"/>
    <w:rsid w:val="005333D8"/>
    <w:rsid w:val="00533451"/>
    <w:rsid w:val="005334C5"/>
    <w:rsid w:val="005335DE"/>
    <w:rsid w:val="00533905"/>
    <w:rsid w:val="00533BEE"/>
    <w:rsid w:val="00533E31"/>
    <w:rsid w:val="00534027"/>
    <w:rsid w:val="0053405E"/>
    <w:rsid w:val="005341FD"/>
    <w:rsid w:val="0053436B"/>
    <w:rsid w:val="005343AC"/>
    <w:rsid w:val="0053442B"/>
    <w:rsid w:val="0053449F"/>
    <w:rsid w:val="0053458B"/>
    <w:rsid w:val="0053472A"/>
    <w:rsid w:val="00534870"/>
    <w:rsid w:val="005348D6"/>
    <w:rsid w:val="005348D7"/>
    <w:rsid w:val="005349A2"/>
    <w:rsid w:val="00534C45"/>
    <w:rsid w:val="00534CEB"/>
    <w:rsid w:val="00534D7E"/>
    <w:rsid w:val="00534F2D"/>
    <w:rsid w:val="00535077"/>
    <w:rsid w:val="00535182"/>
    <w:rsid w:val="005354A4"/>
    <w:rsid w:val="00535571"/>
    <w:rsid w:val="005357F6"/>
    <w:rsid w:val="00535A22"/>
    <w:rsid w:val="00535AC7"/>
    <w:rsid w:val="00535ACD"/>
    <w:rsid w:val="00535DAF"/>
    <w:rsid w:val="00535DE7"/>
    <w:rsid w:val="00535DEB"/>
    <w:rsid w:val="005360B7"/>
    <w:rsid w:val="005362E5"/>
    <w:rsid w:val="005363CF"/>
    <w:rsid w:val="0053653A"/>
    <w:rsid w:val="0053659F"/>
    <w:rsid w:val="005365ED"/>
    <w:rsid w:val="00536664"/>
    <w:rsid w:val="00536827"/>
    <w:rsid w:val="00536952"/>
    <w:rsid w:val="00536A23"/>
    <w:rsid w:val="00536B11"/>
    <w:rsid w:val="00536BC5"/>
    <w:rsid w:val="00536CD8"/>
    <w:rsid w:val="00536E1E"/>
    <w:rsid w:val="005370D6"/>
    <w:rsid w:val="005374E4"/>
    <w:rsid w:val="00537856"/>
    <w:rsid w:val="005378D5"/>
    <w:rsid w:val="00537C19"/>
    <w:rsid w:val="00537F64"/>
    <w:rsid w:val="00537F90"/>
    <w:rsid w:val="00540286"/>
    <w:rsid w:val="00540334"/>
    <w:rsid w:val="005403D4"/>
    <w:rsid w:val="005406AF"/>
    <w:rsid w:val="0054077E"/>
    <w:rsid w:val="00540818"/>
    <w:rsid w:val="0054081F"/>
    <w:rsid w:val="005409C4"/>
    <w:rsid w:val="00540A36"/>
    <w:rsid w:val="00540A92"/>
    <w:rsid w:val="00540AD8"/>
    <w:rsid w:val="00540CD3"/>
    <w:rsid w:val="00540FC2"/>
    <w:rsid w:val="00541248"/>
    <w:rsid w:val="005414EA"/>
    <w:rsid w:val="00541634"/>
    <w:rsid w:val="0054164A"/>
    <w:rsid w:val="00541752"/>
    <w:rsid w:val="00541853"/>
    <w:rsid w:val="00541AB3"/>
    <w:rsid w:val="00541D26"/>
    <w:rsid w:val="00541E8C"/>
    <w:rsid w:val="00541F84"/>
    <w:rsid w:val="005420A6"/>
    <w:rsid w:val="00542225"/>
    <w:rsid w:val="00542288"/>
    <w:rsid w:val="00542360"/>
    <w:rsid w:val="005423EA"/>
    <w:rsid w:val="00542731"/>
    <w:rsid w:val="00542796"/>
    <w:rsid w:val="0054299B"/>
    <w:rsid w:val="00542A15"/>
    <w:rsid w:val="00542A37"/>
    <w:rsid w:val="00542AF6"/>
    <w:rsid w:val="00542B1D"/>
    <w:rsid w:val="00542CD2"/>
    <w:rsid w:val="00542E52"/>
    <w:rsid w:val="00543020"/>
    <w:rsid w:val="005432A5"/>
    <w:rsid w:val="0054350F"/>
    <w:rsid w:val="00543531"/>
    <w:rsid w:val="00543690"/>
    <w:rsid w:val="00543835"/>
    <w:rsid w:val="00543A1C"/>
    <w:rsid w:val="00543AE6"/>
    <w:rsid w:val="00543BE2"/>
    <w:rsid w:val="00543BE9"/>
    <w:rsid w:val="00543F1B"/>
    <w:rsid w:val="005440CC"/>
    <w:rsid w:val="005441A8"/>
    <w:rsid w:val="005441C4"/>
    <w:rsid w:val="00544299"/>
    <w:rsid w:val="005443D5"/>
    <w:rsid w:val="00544707"/>
    <w:rsid w:val="00544954"/>
    <w:rsid w:val="00544C90"/>
    <w:rsid w:val="005450AD"/>
    <w:rsid w:val="005452AF"/>
    <w:rsid w:val="005453B1"/>
    <w:rsid w:val="005453D3"/>
    <w:rsid w:val="00545633"/>
    <w:rsid w:val="00545973"/>
    <w:rsid w:val="00545A22"/>
    <w:rsid w:val="00545A2B"/>
    <w:rsid w:val="00545C3F"/>
    <w:rsid w:val="00545D41"/>
    <w:rsid w:val="00545D6A"/>
    <w:rsid w:val="00545EC8"/>
    <w:rsid w:val="0054639E"/>
    <w:rsid w:val="005464CB"/>
    <w:rsid w:val="00546502"/>
    <w:rsid w:val="00546711"/>
    <w:rsid w:val="0054672D"/>
    <w:rsid w:val="00546E6A"/>
    <w:rsid w:val="00547135"/>
    <w:rsid w:val="005471CB"/>
    <w:rsid w:val="005471F7"/>
    <w:rsid w:val="00547333"/>
    <w:rsid w:val="00547394"/>
    <w:rsid w:val="005475DA"/>
    <w:rsid w:val="005475EA"/>
    <w:rsid w:val="005476EB"/>
    <w:rsid w:val="0054790A"/>
    <w:rsid w:val="00547BB8"/>
    <w:rsid w:val="00547BD7"/>
    <w:rsid w:val="00547F0B"/>
    <w:rsid w:val="005503D4"/>
    <w:rsid w:val="00550491"/>
    <w:rsid w:val="0055057E"/>
    <w:rsid w:val="00550597"/>
    <w:rsid w:val="005506BB"/>
    <w:rsid w:val="005507EC"/>
    <w:rsid w:val="005508AF"/>
    <w:rsid w:val="005508EA"/>
    <w:rsid w:val="005509D1"/>
    <w:rsid w:val="00550A4C"/>
    <w:rsid w:val="00550BD7"/>
    <w:rsid w:val="00550BE8"/>
    <w:rsid w:val="00550E2E"/>
    <w:rsid w:val="00550E4D"/>
    <w:rsid w:val="00550E98"/>
    <w:rsid w:val="00551050"/>
    <w:rsid w:val="00551077"/>
    <w:rsid w:val="00551388"/>
    <w:rsid w:val="00551409"/>
    <w:rsid w:val="00551601"/>
    <w:rsid w:val="00551801"/>
    <w:rsid w:val="005518CC"/>
    <w:rsid w:val="00551C29"/>
    <w:rsid w:val="00551C2A"/>
    <w:rsid w:val="00551C50"/>
    <w:rsid w:val="00551D44"/>
    <w:rsid w:val="00551D95"/>
    <w:rsid w:val="00552039"/>
    <w:rsid w:val="005521C2"/>
    <w:rsid w:val="005523AF"/>
    <w:rsid w:val="0055254E"/>
    <w:rsid w:val="00552840"/>
    <w:rsid w:val="00552AF8"/>
    <w:rsid w:val="00552D37"/>
    <w:rsid w:val="005532AA"/>
    <w:rsid w:val="005532AC"/>
    <w:rsid w:val="00553302"/>
    <w:rsid w:val="00553659"/>
    <w:rsid w:val="005536C5"/>
    <w:rsid w:val="005538A2"/>
    <w:rsid w:val="005539D7"/>
    <w:rsid w:val="00553BA6"/>
    <w:rsid w:val="00553C28"/>
    <w:rsid w:val="00553C5C"/>
    <w:rsid w:val="00553E8D"/>
    <w:rsid w:val="00553F80"/>
    <w:rsid w:val="00553FD2"/>
    <w:rsid w:val="005544F3"/>
    <w:rsid w:val="0055458D"/>
    <w:rsid w:val="005547FB"/>
    <w:rsid w:val="00554803"/>
    <w:rsid w:val="0055482F"/>
    <w:rsid w:val="0055499B"/>
    <w:rsid w:val="005549CB"/>
    <w:rsid w:val="00554C31"/>
    <w:rsid w:val="00554CC5"/>
    <w:rsid w:val="00554D89"/>
    <w:rsid w:val="00554E4B"/>
    <w:rsid w:val="00554F1B"/>
    <w:rsid w:val="005550C8"/>
    <w:rsid w:val="0055517B"/>
    <w:rsid w:val="005556DC"/>
    <w:rsid w:val="0055584D"/>
    <w:rsid w:val="005558B7"/>
    <w:rsid w:val="0055591D"/>
    <w:rsid w:val="00555977"/>
    <w:rsid w:val="005559D7"/>
    <w:rsid w:val="00555A59"/>
    <w:rsid w:val="00555BAD"/>
    <w:rsid w:val="00555C1A"/>
    <w:rsid w:val="00555C1B"/>
    <w:rsid w:val="00555DBC"/>
    <w:rsid w:val="005564C0"/>
    <w:rsid w:val="0055663F"/>
    <w:rsid w:val="00556885"/>
    <w:rsid w:val="005568B3"/>
    <w:rsid w:val="00556985"/>
    <w:rsid w:val="00556AFA"/>
    <w:rsid w:val="00556B4E"/>
    <w:rsid w:val="00556D93"/>
    <w:rsid w:val="00556DC7"/>
    <w:rsid w:val="00556DED"/>
    <w:rsid w:val="00556E2F"/>
    <w:rsid w:val="00556EBE"/>
    <w:rsid w:val="00556FBE"/>
    <w:rsid w:val="0055709E"/>
    <w:rsid w:val="00557107"/>
    <w:rsid w:val="0055737D"/>
    <w:rsid w:val="005577F0"/>
    <w:rsid w:val="0055780E"/>
    <w:rsid w:val="00557A10"/>
    <w:rsid w:val="00557A56"/>
    <w:rsid w:val="00557ACE"/>
    <w:rsid w:val="00557AF4"/>
    <w:rsid w:val="00557DEB"/>
    <w:rsid w:val="00560047"/>
    <w:rsid w:val="005601A3"/>
    <w:rsid w:val="00560337"/>
    <w:rsid w:val="00560487"/>
    <w:rsid w:val="0056048D"/>
    <w:rsid w:val="005604E8"/>
    <w:rsid w:val="005606A0"/>
    <w:rsid w:val="0056074F"/>
    <w:rsid w:val="005607F6"/>
    <w:rsid w:val="00560853"/>
    <w:rsid w:val="005608C1"/>
    <w:rsid w:val="00560BAE"/>
    <w:rsid w:val="00560BFF"/>
    <w:rsid w:val="00560D5F"/>
    <w:rsid w:val="00560E47"/>
    <w:rsid w:val="005610CF"/>
    <w:rsid w:val="00561570"/>
    <w:rsid w:val="005617EC"/>
    <w:rsid w:val="00561A8E"/>
    <w:rsid w:val="00561B82"/>
    <w:rsid w:val="00561D75"/>
    <w:rsid w:val="00561D88"/>
    <w:rsid w:val="00561DB7"/>
    <w:rsid w:val="00561DF9"/>
    <w:rsid w:val="00562003"/>
    <w:rsid w:val="005622DC"/>
    <w:rsid w:val="0056261D"/>
    <w:rsid w:val="00562975"/>
    <w:rsid w:val="00562B7E"/>
    <w:rsid w:val="00562B8A"/>
    <w:rsid w:val="00563146"/>
    <w:rsid w:val="005636CA"/>
    <w:rsid w:val="005637FB"/>
    <w:rsid w:val="00563D35"/>
    <w:rsid w:val="00563F2D"/>
    <w:rsid w:val="00564052"/>
    <w:rsid w:val="005640D2"/>
    <w:rsid w:val="005641F1"/>
    <w:rsid w:val="00564224"/>
    <w:rsid w:val="0056435E"/>
    <w:rsid w:val="00564561"/>
    <w:rsid w:val="00564606"/>
    <w:rsid w:val="005646ED"/>
    <w:rsid w:val="00564719"/>
    <w:rsid w:val="005649C9"/>
    <w:rsid w:val="00564A19"/>
    <w:rsid w:val="00564AE7"/>
    <w:rsid w:val="00564B00"/>
    <w:rsid w:val="00564B34"/>
    <w:rsid w:val="00564E95"/>
    <w:rsid w:val="0056500C"/>
    <w:rsid w:val="00565058"/>
    <w:rsid w:val="005651D4"/>
    <w:rsid w:val="005652F3"/>
    <w:rsid w:val="00565571"/>
    <w:rsid w:val="005659A4"/>
    <w:rsid w:val="005659CE"/>
    <w:rsid w:val="00565B8C"/>
    <w:rsid w:val="00565BDA"/>
    <w:rsid w:val="00565CB5"/>
    <w:rsid w:val="00565FB8"/>
    <w:rsid w:val="005662BD"/>
    <w:rsid w:val="005663A1"/>
    <w:rsid w:val="00566411"/>
    <w:rsid w:val="00566599"/>
    <w:rsid w:val="00566824"/>
    <w:rsid w:val="0056693B"/>
    <w:rsid w:val="00566948"/>
    <w:rsid w:val="00566A68"/>
    <w:rsid w:val="00566DA4"/>
    <w:rsid w:val="00566E01"/>
    <w:rsid w:val="00566E96"/>
    <w:rsid w:val="00566F86"/>
    <w:rsid w:val="00566FE2"/>
    <w:rsid w:val="00567107"/>
    <w:rsid w:val="00567339"/>
    <w:rsid w:val="0056748B"/>
    <w:rsid w:val="005674B2"/>
    <w:rsid w:val="00567697"/>
    <w:rsid w:val="005678A2"/>
    <w:rsid w:val="00567A5B"/>
    <w:rsid w:val="00567A65"/>
    <w:rsid w:val="00567D0E"/>
    <w:rsid w:val="00567EDF"/>
    <w:rsid w:val="00567F61"/>
    <w:rsid w:val="005701DD"/>
    <w:rsid w:val="00570346"/>
    <w:rsid w:val="005703AF"/>
    <w:rsid w:val="00570553"/>
    <w:rsid w:val="005708C4"/>
    <w:rsid w:val="005708E0"/>
    <w:rsid w:val="00570AAA"/>
    <w:rsid w:val="00570BA0"/>
    <w:rsid w:val="00570F56"/>
    <w:rsid w:val="0057103E"/>
    <w:rsid w:val="00571294"/>
    <w:rsid w:val="00571373"/>
    <w:rsid w:val="005713CC"/>
    <w:rsid w:val="00571438"/>
    <w:rsid w:val="005714B4"/>
    <w:rsid w:val="0057150C"/>
    <w:rsid w:val="0057179C"/>
    <w:rsid w:val="005717AF"/>
    <w:rsid w:val="005718E1"/>
    <w:rsid w:val="005719F7"/>
    <w:rsid w:val="00571B1D"/>
    <w:rsid w:val="00571B8F"/>
    <w:rsid w:val="00571CA7"/>
    <w:rsid w:val="00571E49"/>
    <w:rsid w:val="00571ED5"/>
    <w:rsid w:val="0057206B"/>
    <w:rsid w:val="005720B8"/>
    <w:rsid w:val="0057232F"/>
    <w:rsid w:val="00572335"/>
    <w:rsid w:val="00572368"/>
    <w:rsid w:val="00572371"/>
    <w:rsid w:val="00572415"/>
    <w:rsid w:val="0057269F"/>
    <w:rsid w:val="00572911"/>
    <w:rsid w:val="00572979"/>
    <w:rsid w:val="00572A15"/>
    <w:rsid w:val="00572A41"/>
    <w:rsid w:val="00572ABC"/>
    <w:rsid w:val="00572AD3"/>
    <w:rsid w:val="00572AD4"/>
    <w:rsid w:val="00572D21"/>
    <w:rsid w:val="00572D68"/>
    <w:rsid w:val="00572DAE"/>
    <w:rsid w:val="00572E36"/>
    <w:rsid w:val="00572EEC"/>
    <w:rsid w:val="00572FAD"/>
    <w:rsid w:val="00573130"/>
    <w:rsid w:val="00573229"/>
    <w:rsid w:val="005732A6"/>
    <w:rsid w:val="005732C8"/>
    <w:rsid w:val="00573348"/>
    <w:rsid w:val="005733BC"/>
    <w:rsid w:val="005733C4"/>
    <w:rsid w:val="00573455"/>
    <w:rsid w:val="00573694"/>
    <w:rsid w:val="005737B1"/>
    <w:rsid w:val="005738F7"/>
    <w:rsid w:val="00573953"/>
    <w:rsid w:val="00573CFC"/>
    <w:rsid w:val="00573DAA"/>
    <w:rsid w:val="00573DE4"/>
    <w:rsid w:val="00573E75"/>
    <w:rsid w:val="00573F22"/>
    <w:rsid w:val="00573F30"/>
    <w:rsid w:val="00573FCA"/>
    <w:rsid w:val="005741FC"/>
    <w:rsid w:val="005743E7"/>
    <w:rsid w:val="005744FB"/>
    <w:rsid w:val="005745F4"/>
    <w:rsid w:val="00574851"/>
    <w:rsid w:val="00574866"/>
    <w:rsid w:val="0057498E"/>
    <w:rsid w:val="00574D85"/>
    <w:rsid w:val="00574E83"/>
    <w:rsid w:val="00574F04"/>
    <w:rsid w:val="00574F25"/>
    <w:rsid w:val="0057514E"/>
    <w:rsid w:val="00575410"/>
    <w:rsid w:val="005754CB"/>
    <w:rsid w:val="00575581"/>
    <w:rsid w:val="005755B5"/>
    <w:rsid w:val="0057580B"/>
    <w:rsid w:val="00575A81"/>
    <w:rsid w:val="00575DB1"/>
    <w:rsid w:val="00575DC2"/>
    <w:rsid w:val="00575E89"/>
    <w:rsid w:val="00575F1A"/>
    <w:rsid w:val="005762DB"/>
    <w:rsid w:val="005763F2"/>
    <w:rsid w:val="0057648E"/>
    <w:rsid w:val="00576651"/>
    <w:rsid w:val="005766B7"/>
    <w:rsid w:val="00576751"/>
    <w:rsid w:val="00576BB2"/>
    <w:rsid w:val="00576BE7"/>
    <w:rsid w:val="00576C35"/>
    <w:rsid w:val="00576D86"/>
    <w:rsid w:val="00576E96"/>
    <w:rsid w:val="00576F26"/>
    <w:rsid w:val="00576F59"/>
    <w:rsid w:val="0057740E"/>
    <w:rsid w:val="0057746C"/>
    <w:rsid w:val="0057763E"/>
    <w:rsid w:val="005777A8"/>
    <w:rsid w:val="00577B90"/>
    <w:rsid w:val="00580069"/>
    <w:rsid w:val="00580266"/>
    <w:rsid w:val="005802EA"/>
    <w:rsid w:val="00580568"/>
    <w:rsid w:val="0058059A"/>
    <w:rsid w:val="005805EF"/>
    <w:rsid w:val="00580A17"/>
    <w:rsid w:val="00580A91"/>
    <w:rsid w:val="00580AC0"/>
    <w:rsid w:val="00580B04"/>
    <w:rsid w:val="00580D0C"/>
    <w:rsid w:val="00580D55"/>
    <w:rsid w:val="00580EB1"/>
    <w:rsid w:val="00581102"/>
    <w:rsid w:val="00581209"/>
    <w:rsid w:val="005813EB"/>
    <w:rsid w:val="005815E1"/>
    <w:rsid w:val="00581828"/>
    <w:rsid w:val="0058188E"/>
    <w:rsid w:val="005819E7"/>
    <w:rsid w:val="00581A0C"/>
    <w:rsid w:val="00581CA7"/>
    <w:rsid w:val="00581D95"/>
    <w:rsid w:val="00581E7F"/>
    <w:rsid w:val="005820FE"/>
    <w:rsid w:val="0058273F"/>
    <w:rsid w:val="005827BA"/>
    <w:rsid w:val="00582AE3"/>
    <w:rsid w:val="00582BA1"/>
    <w:rsid w:val="00582BCB"/>
    <w:rsid w:val="00582C3A"/>
    <w:rsid w:val="00582C60"/>
    <w:rsid w:val="00582F71"/>
    <w:rsid w:val="00582FA4"/>
    <w:rsid w:val="005831FA"/>
    <w:rsid w:val="00583238"/>
    <w:rsid w:val="005832A5"/>
    <w:rsid w:val="00583796"/>
    <w:rsid w:val="005838B0"/>
    <w:rsid w:val="00583A4D"/>
    <w:rsid w:val="00583A8C"/>
    <w:rsid w:val="00583AB1"/>
    <w:rsid w:val="00583B93"/>
    <w:rsid w:val="00583C5E"/>
    <w:rsid w:val="00583E37"/>
    <w:rsid w:val="00583E3E"/>
    <w:rsid w:val="00583ED7"/>
    <w:rsid w:val="00584102"/>
    <w:rsid w:val="00584222"/>
    <w:rsid w:val="005842D7"/>
    <w:rsid w:val="00584435"/>
    <w:rsid w:val="005846A7"/>
    <w:rsid w:val="0058477E"/>
    <w:rsid w:val="005848C0"/>
    <w:rsid w:val="005849A7"/>
    <w:rsid w:val="00584BFD"/>
    <w:rsid w:val="00584CFC"/>
    <w:rsid w:val="00584D90"/>
    <w:rsid w:val="00584E89"/>
    <w:rsid w:val="00584F62"/>
    <w:rsid w:val="005850AD"/>
    <w:rsid w:val="0058528C"/>
    <w:rsid w:val="0058532F"/>
    <w:rsid w:val="00585360"/>
    <w:rsid w:val="005853A2"/>
    <w:rsid w:val="005855A4"/>
    <w:rsid w:val="005855B4"/>
    <w:rsid w:val="005855BA"/>
    <w:rsid w:val="00585C62"/>
    <w:rsid w:val="00585C90"/>
    <w:rsid w:val="00585F31"/>
    <w:rsid w:val="00585FE4"/>
    <w:rsid w:val="00586476"/>
    <w:rsid w:val="005865E1"/>
    <w:rsid w:val="0058684A"/>
    <w:rsid w:val="0058696F"/>
    <w:rsid w:val="00586A47"/>
    <w:rsid w:val="00586B8E"/>
    <w:rsid w:val="00586BB9"/>
    <w:rsid w:val="00586C6D"/>
    <w:rsid w:val="00586C8A"/>
    <w:rsid w:val="00586C9C"/>
    <w:rsid w:val="00586EA4"/>
    <w:rsid w:val="00586F1F"/>
    <w:rsid w:val="00587282"/>
    <w:rsid w:val="005872EC"/>
    <w:rsid w:val="00587626"/>
    <w:rsid w:val="0058769E"/>
    <w:rsid w:val="00587702"/>
    <w:rsid w:val="00587717"/>
    <w:rsid w:val="005877B9"/>
    <w:rsid w:val="005879B9"/>
    <w:rsid w:val="00587A4E"/>
    <w:rsid w:val="00587B4A"/>
    <w:rsid w:val="00587C72"/>
    <w:rsid w:val="00587D7A"/>
    <w:rsid w:val="005901BE"/>
    <w:rsid w:val="005904BF"/>
    <w:rsid w:val="00590585"/>
    <w:rsid w:val="005905B7"/>
    <w:rsid w:val="00590671"/>
    <w:rsid w:val="0059075D"/>
    <w:rsid w:val="0059091B"/>
    <w:rsid w:val="0059092D"/>
    <w:rsid w:val="00590BEB"/>
    <w:rsid w:val="00590D93"/>
    <w:rsid w:val="00590DA4"/>
    <w:rsid w:val="00590DE7"/>
    <w:rsid w:val="00590E11"/>
    <w:rsid w:val="00590ED0"/>
    <w:rsid w:val="0059126A"/>
    <w:rsid w:val="005913C5"/>
    <w:rsid w:val="0059142D"/>
    <w:rsid w:val="00591509"/>
    <w:rsid w:val="0059150E"/>
    <w:rsid w:val="0059153F"/>
    <w:rsid w:val="0059156F"/>
    <w:rsid w:val="00591608"/>
    <w:rsid w:val="00591632"/>
    <w:rsid w:val="005916D5"/>
    <w:rsid w:val="0059177A"/>
    <w:rsid w:val="00591857"/>
    <w:rsid w:val="00591998"/>
    <w:rsid w:val="005919E7"/>
    <w:rsid w:val="00591A8C"/>
    <w:rsid w:val="00591C18"/>
    <w:rsid w:val="00591D41"/>
    <w:rsid w:val="00591D67"/>
    <w:rsid w:val="00591E0E"/>
    <w:rsid w:val="00591E11"/>
    <w:rsid w:val="00591E67"/>
    <w:rsid w:val="00591F30"/>
    <w:rsid w:val="00591F90"/>
    <w:rsid w:val="00592045"/>
    <w:rsid w:val="0059207F"/>
    <w:rsid w:val="005920EB"/>
    <w:rsid w:val="005922A1"/>
    <w:rsid w:val="005923ED"/>
    <w:rsid w:val="0059249E"/>
    <w:rsid w:val="005927AE"/>
    <w:rsid w:val="00592882"/>
    <w:rsid w:val="005928E0"/>
    <w:rsid w:val="00592D79"/>
    <w:rsid w:val="0059305F"/>
    <w:rsid w:val="0059309A"/>
    <w:rsid w:val="0059325D"/>
    <w:rsid w:val="0059329C"/>
    <w:rsid w:val="0059340C"/>
    <w:rsid w:val="00593536"/>
    <w:rsid w:val="005937A4"/>
    <w:rsid w:val="0059385C"/>
    <w:rsid w:val="00593B49"/>
    <w:rsid w:val="00593D60"/>
    <w:rsid w:val="00593D83"/>
    <w:rsid w:val="00593D91"/>
    <w:rsid w:val="00593DE4"/>
    <w:rsid w:val="00593DE8"/>
    <w:rsid w:val="00593E14"/>
    <w:rsid w:val="00593E4C"/>
    <w:rsid w:val="00593FFC"/>
    <w:rsid w:val="00594196"/>
    <w:rsid w:val="005943F1"/>
    <w:rsid w:val="00594468"/>
    <w:rsid w:val="00594582"/>
    <w:rsid w:val="00594625"/>
    <w:rsid w:val="00594ACA"/>
    <w:rsid w:val="00594B9B"/>
    <w:rsid w:val="00594C88"/>
    <w:rsid w:val="00594CBA"/>
    <w:rsid w:val="00594E46"/>
    <w:rsid w:val="00594E68"/>
    <w:rsid w:val="00594F77"/>
    <w:rsid w:val="00594FDD"/>
    <w:rsid w:val="00594FFB"/>
    <w:rsid w:val="00595072"/>
    <w:rsid w:val="005950B3"/>
    <w:rsid w:val="00595216"/>
    <w:rsid w:val="00595248"/>
    <w:rsid w:val="00595493"/>
    <w:rsid w:val="00595752"/>
    <w:rsid w:val="005958A0"/>
    <w:rsid w:val="005959C6"/>
    <w:rsid w:val="00595B38"/>
    <w:rsid w:val="00595C84"/>
    <w:rsid w:val="00595E32"/>
    <w:rsid w:val="00595EC6"/>
    <w:rsid w:val="00595FB4"/>
    <w:rsid w:val="005962AE"/>
    <w:rsid w:val="005963EA"/>
    <w:rsid w:val="005964FB"/>
    <w:rsid w:val="0059663E"/>
    <w:rsid w:val="00596A56"/>
    <w:rsid w:val="00596C24"/>
    <w:rsid w:val="00596D48"/>
    <w:rsid w:val="00596E36"/>
    <w:rsid w:val="005970AF"/>
    <w:rsid w:val="005971E1"/>
    <w:rsid w:val="0059720F"/>
    <w:rsid w:val="00597477"/>
    <w:rsid w:val="005974DF"/>
    <w:rsid w:val="0059762E"/>
    <w:rsid w:val="00597687"/>
    <w:rsid w:val="0059772A"/>
    <w:rsid w:val="005977C9"/>
    <w:rsid w:val="005977DE"/>
    <w:rsid w:val="005978A2"/>
    <w:rsid w:val="00597A3B"/>
    <w:rsid w:val="00597C2F"/>
    <w:rsid w:val="00597C9A"/>
    <w:rsid w:val="00597E92"/>
    <w:rsid w:val="00597F30"/>
    <w:rsid w:val="00597F44"/>
    <w:rsid w:val="005A007C"/>
    <w:rsid w:val="005A0306"/>
    <w:rsid w:val="005A055F"/>
    <w:rsid w:val="005A05C5"/>
    <w:rsid w:val="005A0723"/>
    <w:rsid w:val="005A0985"/>
    <w:rsid w:val="005A0D4A"/>
    <w:rsid w:val="005A0D75"/>
    <w:rsid w:val="005A0F4A"/>
    <w:rsid w:val="005A1037"/>
    <w:rsid w:val="005A1065"/>
    <w:rsid w:val="005A10CD"/>
    <w:rsid w:val="005A12A0"/>
    <w:rsid w:val="005A12A5"/>
    <w:rsid w:val="005A12DC"/>
    <w:rsid w:val="005A14CA"/>
    <w:rsid w:val="005A1953"/>
    <w:rsid w:val="005A1B77"/>
    <w:rsid w:val="005A1DA2"/>
    <w:rsid w:val="005A1FB1"/>
    <w:rsid w:val="005A2148"/>
    <w:rsid w:val="005A21C9"/>
    <w:rsid w:val="005A2382"/>
    <w:rsid w:val="005A2443"/>
    <w:rsid w:val="005A24A3"/>
    <w:rsid w:val="005A2595"/>
    <w:rsid w:val="005A26EF"/>
    <w:rsid w:val="005A2779"/>
    <w:rsid w:val="005A2783"/>
    <w:rsid w:val="005A27D6"/>
    <w:rsid w:val="005A2809"/>
    <w:rsid w:val="005A2BF5"/>
    <w:rsid w:val="005A2CAC"/>
    <w:rsid w:val="005A2CE8"/>
    <w:rsid w:val="005A2F81"/>
    <w:rsid w:val="005A2FA6"/>
    <w:rsid w:val="005A30AD"/>
    <w:rsid w:val="005A33D2"/>
    <w:rsid w:val="005A3407"/>
    <w:rsid w:val="005A35FB"/>
    <w:rsid w:val="005A37B5"/>
    <w:rsid w:val="005A3878"/>
    <w:rsid w:val="005A399C"/>
    <w:rsid w:val="005A3AF8"/>
    <w:rsid w:val="005A3D7F"/>
    <w:rsid w:val="005A3E36"/>
    <w:rsid w:val="005A3E81"/>
    <w:rsid w:val="005A3F4D"/>
    <w:rsid w:val="005A4109"/>
    <w:rsid w:val="005A414B"/>
    <w:rsid w:val="005A45AA"/>
    <w:rsid w:val="005A4751"/>
    <w:rsid w:val="005A47B1"/>
    <w:rsid w:val="005A485D"/>
    <w:rsid w:val="005A4B32"/>
    <w:rsid w:val="005A4B58"/>
    <w:rsid w:val="005A4C03"/>
    <w:rsid w:val="005A4E00"/>
    <w:rsid w:val="005A4E0D"/>
    <w:rsid w:val="005A4EC5"/>
    <w:rsid w:val="005A4F1B"/>
    <w:rsid w:val="005A505C"/>
    <w:rsid w:val="005A51AC"/>
    <w:rsid w:val="005A51BB"/>
    <w:rsid w:val="005A51D3"/>
    <w:rsid w:val="005A5306"/>
    <w:rsid w:val="005A535B"/>
    <w:rsid w:val="005A57AC"/>
    <w:rsid w:val="005A5DCB"/>
    <w:rsid w:val="005A620F"/>
    <w:rsid w:val="005A6394"/>
    <w:rsid w:val="005A6592"/>
    <w:rsid w:val="005A685A"/>
    <w:rsid w:val="005A6864"/>
    <w:rsid w:val="005A697D"/>
    <w:rsid w:val="005A6BA7"/>
    <w:rsid w:val="005A6C00"/>
    <w:rsid w:val="005A6C9A"/>
    <w:rsid w:val="005A6D4C"/>
    <w:rsid w:val="005A6D76"/>
    <w:rsid w:val="005A6DD6"/>
    <w:rsid w:val="005A70A7"/>
    <w:rsid w:val="005A71C0"/>
    <w:rsid w:val="005A71E4"/>
    <w:rsid w:val="005A72D7"/>
    <w:rsid w:val="005A76E2"/>
    <w:rsid w:val="005A7726"/>
    <w:rsid w:val="005A78E3"/>
    <w:rsid w:val="005A7AC5"/>
    <w:rsid w:val="005A7C4E"/>
    <w:rsid w:val="005A7CDC"/>
    <w:rsid w:val="005A7F76"/>
    <w:rsid w:val="005A7FD6"/>
    <w:rsid w:val="005B00D9"/>
    <w:rsid w:val="005B03FA"/>
    <w:rsid w:val="005B06A7"/>
    <w:rsid w:val="005B095F"/>
    <w:rsid w:val="005B096E"/>
    <w:rsid w:val="005B09FB"/>
    <w:rsid w:val="005B09FF"/>
    <w:rsid w:val="005B0B21"/>
    <w:rsid w:val="005B0B79"/>
    <w:rsid w:val="005B0E68"/>
    <w:rsid w:val="005B0FDC"/>
    <w:rsid w:val="005B105D"/>
    <w:rsid w:val="005B1204"/>
    <w:rsid w:val="005B12D8"/>
    <w:rsid w:val="005B1439"/>
    <w:rsid w:val="005B14CF"/>
    <w:rsid w:val="005B14DF"/>
    <w:rsid w:val="005B156A"/>
    <w:rsid w:val="005B1645"/>
    <w:rsid w:val="005B1A77"/>
    <w:rsid w:val="005B1D55"/>
    <w:rsid w:val="005B1DC2"/>
    <w:rsid w:val="005B1DFE"/>
    <w:rsid w:val="005B1E64"/>
    <w:rsid w:val="005B1EBB"/>
    <w:rsid w:val="005B231C"/>
    <w:rsid w:val="005B23D0"/>
    <w:rsid w:val="005B244D"/>
    <w:rsid w:val="005B28B7"/>
    <w:rsid w:val="005B2972"/>
    <w:rsid w:val="005B2A74"/>
    <w:rsid w:val="005B2CFA"/>
    <w:rsid w:val="005B2E59"/>
    <w:rsid w:val="005B2FA8"/>
    <w:rsid w:val="005B3007"/>
    <w:rsid w:val="005B3773"/>
    <w:rsid w:val="005B3830"/>
    <w:rsid w:val="005B3915"/>
    <w:rsid w:val="005B39E5"/>
    <w:rsid w:val="005B3B60"/>
    <w:rsid w:val="005B3BCC"/>
    <w:rsid w:val="005B3CF1"/>
    <w:rsid w:val="005B3DAA"/>
    <w:rsid w:val="005B401B"/>
    <w:rsid w:val="005B407C"/>
    <w:rsid w:val="005B4080"/>
    <w:rsid w:val="005B444E"/>
    <w:rsid w:val="005B4946"/>
    <w:rsid w:val="005B4966"/>
    <w:rsid w:val="005B4CFC"/>
    <w:rsid w:val="005B4D25"/>
    <w:rsid w:val="005B4E04"/>
    <w:rsid w:val="005B4F1F"/>
    <w:rsid w:val="005B4F96"/>
    <w:rsid w:val="005B4FE7"/>
    <w:rsid w:val="005B50C4"/>
    <w:rsid w:val="005B519A"/>
    <w:rsid w:val="005B551D"/>
    <w:rsid w:val="005B5626"/>
    <w:rsid w:val="005B5926"/>
    <w:rsid w:val="005B597C"/>
    <w:rsid w:val="005B5A44"/>
    <w:rsid w:val="005B5D09"/>
    <w:rsid w:val="005B5DFD"/>
    <w:rsid w:val="005B5F2E"/>
    <w:rsid w:val="005B63C7"/>
    <w:rsid w:val="005B6852"/>
    <w:rsid w:val="005B693A"/>
    <w:rsid w:val="005B6B02"/>
    <w:rsid w:val="005B6B03"/>
    <w:rsid w:val="005B6C4D"/>
    <w:rsid w:val="005B705D"/>
    <w:rsid w:val="005B7183"/>
    <w:rsid w:val="005B72BA"/>
    <w:rsid w:val="005B7384"/>
    <w:rsid w:val="005B7502"/>
    <w:rsid w:val="005B77A7"/>
    <w:rsid w:val="005B77D1"/>
    <w:rsid w:val="005B77EF"/>
    <w:rsid w:val="005B7A07"/>
    <w:rsid w:val="005B7A30"/>
    <w:rsid w:val="005B7B44"/>
    <w:rsid w:val="005B7BB8"/>
    <w:rsid w:val="005B7D40"/>
    <w:rsid w:val="005C002F"/>
    <w:rsid w:val="005C02DE"/>
    <w:rsid w:val="005C0502"/>
    <w:rsid w:val="005C0659"/>
    <w:rsid w:val="005C0940"/>
    <w:rsid w:val="005C0DB7"/>
    <w:rsid w:val="005C0E22"/>
    <w:rsid w:val="005C0E34"/>
    <w:rsid w:val="005C0EBC"/>
    <w:rsid w:val="005C0F27"/>
    <w:rsid w:val="005C0F6D"/>
    <w:rsid w:val="005C11DF"/>
    <w:rsid w:val="005C122B"/>
    <w:rsid w:val="005C13D8"/>
    <w:rsid w:val="005C1567"/>
    <w:rsid w:val="005C16B4"/>
    <w:rsid w:val="005C1856"/>
    <w:rsid w:val="005C1859"/>
    <w:rsid w:val="005C1B15"/>
    <w:rsid w:val="005C1EC6"/>
    <w:rsid w:val="005C2020"/>
    <w:rsid w:val="005C22E0"/>
    <w:rsid w:val="005C26D8"/>
    <w:rsid w:val="005C2AB8"/>
    <w:rsid w:val="005C2EDD"/>
    <w:rsid w:val="005C30ED"/>
    <w:rsid w:val="005C314A"/>
    <w:rsid w:val="005C32EC"/>
    <w:rsid w:val="005C3349"/>
    <w:rsid w:val="005C3474"/>
    <w:rsid w:val="005C37D8"/>
    <w:rsid w:val="005C383E"/>
    <w:rsid w:val="005C388E"/>
    <w:rsid w:val="005C3994"/>
    <w:rsid w:val="005C39C1"/>
    <w:rsid w:val="005C3AA7"/>
    <w:rsid w:val="005C3B88"/>
    <w:rsid w:val="005C3BA4"/>
    <w:rsid w:val="005C3C5D"/>
    <w:rsid w:val="005C3D4A"/>
    <w:rsid w:val="005C3D7B"/>
    <w:rsid w:val="005C3D92"/>
    <w:rsid w:val="005C3D98"/>
    <w:rsid w:val="005C3F01"/>
    <w:rsid w:val="005C40AD"/>
    <w:rsid w:val="005C43BA"/>
    <w:rsid w:val="005C43C2"/>
    <w:rsid w:val="005C43DF"/>
    <w:rsid w:val="005C43F5"/>
    <w:rsid w:val="005C4642"/>
    <w:rsid w:val="005C4662"/>
    <w:rsid w:val="005C47AF"/>
    <w:rsid w:val="005C47E1"/>
    <w:rsid w:val="005C47E2"/>
    <w:rsid w:val="005C4AB2"/>
    <w:rsid w:val="005C4FE3"/>
    <w:rsid w:val="005C5131"/>
    <w:rsid w:val="005C5163"/>
    <w:rsid w:val="005C5170"/>
    <w:rsid w:val="005C5194"/>
    <w:rsid w:val="005C51AE"/>
    <w:rsid w:val="005C546F"/>
    <w:rsid w:val="005C54F6"/>
    <w:rsid w:val="005C56BB"/>
    <w:rsid w:val="005C5730"/>
    <w:rsid w:val="005C5A73"/>
    <w:rsid w:val="005C5A7C"/>
    <w:rsid w:val="005C5A84"/>
    <w:rsid w:val="005C5B80"/>
    <w:rsid w:val="005C5CE5"/>
    <w:rsid w:val="005C6035"/>
    <w:rsid w:val="005C61A6"/>
    <w:rsid w:val="005C6215"/>
    <w:rsid w:val="005C63C3"/>
    <w:rsid w:val="005C64DF"/>
    <w:rsid w:val="005C6637"/>
    <w:rsid w:val="005C679B"/>
    <w:rsid w:val="005C67B2"/>
    <w:rsid w:val="005C67D3"/>
    <w:rsid w:val="005C6988"/>
    <w:rsid w:val="005C69FF"/>
    <w:rsid w:val="005C6A30"/>
    <w:rsid w:val="005C6A9F"/>
    <w:rsid w:val="005C6B22"/>
    <w:rsid w:val="005C6D4B"/>
    <w:rsid w:val="005C6F8C"/>
    <w:rsid w:val="005C720C"/>
    <w:rsid w:val="005C745F"/>
    <w:rsid w:val="005C7579"/>
    <w:rsid w:val="005C7CC8"/>
    <w:rsid w:val="005D01DF"/>
    <w:rsid w:val="005D0242"/>
    <w:rsid w:val="005D0244"/>
    <w:rsid w:val="005D04BE"/>
    <w:rsid w:val="005D05B3"/>
    <w:rsid w:val="005D05C2"/>
    <w:rsid w:val="005D06BC"/>
    <w:rsid w:val="005D0700"/>
    <w:rsid w:val="005D09D5"/>
    <w:rsid w:val="005D0A73"/>
    <w:rsid w:val="005D0AC7"/>
    <w:rsid w:val="005D0E10"/>
    <w:rsid w:val="005D1155"/>
    <w:rsid w:val="005D1178"/>
    <w:rsid w:val="005D1356"/>
    <w:rsid w:val="005D16C5"/>
    <w:rsid w:val="005D1770"/>
    <w:rsid w:val="005D198F"/>
    <w:rsid w:val="005D1B13"/>
    <w:rsid w:val="005D1B3A"/>
    <w:rsid w:val="005D1C82"/>
    <w:rsid w:val="005D1D65"/>
    <w:rsid w:val="005D1F54"/>
    <w:rsid w:val="005D1FF0"/>
    <w:rsid w:val="005D2292"/>
    <w:rsid w:val="005D2517"/>
    <w:rsid w:val="005D27AF"/>
    <w:rsid w:val="005D27EA"/>
    <w:rsid w:val="005D2852"/>
    <w:rsid w:val="005D2D09"/>
    <w:rsid w:val="005D2DFA"/>
    <w:rsid w:val="005D2EB5"/>
    <w:rsid w:val="005D2F05"/>
    <w:rsid w:val="005D2FBB"/>
    <w:rsid w:val="005D30B7"/>
    <w:rsid w:val="005D32C2"/>
    <w:rsid w:val="005D32E2"/>
    <w:rsid w:val="005D34A3"/>
    <w:rsid w:val="005D35B4"/>
    <w:rsid w:val="005D35DE"/>
    <w:rsid w:val="005D3B0C"/>
    <w:rsid w:val="005D3E33"/>
    <w:rsid w:val="005D3ED3"/>
    <w:rsid w:val="005D40FF"/>
    <w:rsid w:val="005D42DF"/>
    <w:rsid w:val="005D4330"/>
    <w:rsid w:val="005D4531"/>
    <w:rsid w:val="005D4D25"/>
    <w:rsid w:val="005D4D86"/>
    <w:rsid w:val="005D4FF4"/>
    <w:rsid w:val="005D50B2"/>
    <w:rsid w:val="005D54D9"/>
    <w:rsid w:val="005D559D"/>
    <w:rsid w:val="005D55A7"/>
    <w:rsid w:val="005D564E"/>
    <w:rsid w:val="005D583D"/>
    <w:rsid w:val="005D5E22"/>
    <w:rsid w:val="005D5ECD"/>
    <w:rsid w:val="005D60EC"/>
    <w:rsid w:val="005D623F"/>
    <w:rsid w:val="005D638B"/>
    <w:rsid w:val="005D643A"/>
    <w:rsid w:val="005D6528"/>
    <w:rsid w:val="005D6545"/>
    <w:rsid w:val="005D65BC"/>
    <w:rsid w:val="005D66A1"/>
    <w:rsid w:val="005D67DF"/>
    <w:rsid w:val="005D6835"/>
    <w:rsid w:val="005D69C2"/>
    <w:rsid w:val="005D69F5"/>
    <w:rsid w:val="005D6B64"/>
    <w:rsid w:val="005D6CA9"/>
    <w:rsid w:val="005D6CD8"/>
    <w:rsid w:val="005D6D94"/>
    <w:rsid w:val="005D6E4B"/>
    <w:rsid w:val="005D71D0"/>
    <w:rsid w:val="005D7232"/>
    <w:rsid w:val="005D742D"/>
    <w:rsid w:val="005D74FB"/>
    <w:rsid w:val="005D76F5"/>
    <w:rsid w:val="005D79FB"/>
    <w:rsid w:val="005D7B2E"/>
    <w:rsid w:val="005D7BC3"/>
    <w:rsid w:val="005D7BD6"/>
    <w:rsid w:val="005D7F4C"/>
    <w:rsid w:val="005DC14F"/>
    <w:rsid w:val="005E0076"/>
    <w:rsid w:val="005E012C"/>
    <w:rsid w:val="005E026A"/>
    <w:rsid w:val="005E0272"/>
    <w:rsid w:val="005E04EC"/>
    <w:rsid w:val="005E0564"/>
    <w:rsid w:val="005E0590"/>
    <w:rsid w:val="005E0999"/>
    <w:rsid w:val="005E0AC5"/>
    <w:rsid w:val="005E0DC1"/>
    <w:rsid w:val="005E1014"/>
    <w:rsid w:val="005E1379"/>
    <w:rsid w:val="005E13CD"/>
    <w:rsid w:val="005E14C8"/>
    <w:rsid w:val="005E1970"/>
    <w:rsid w:val="005E1BD0"/>
    <w:rsid w:val="005E1D16"/>
    <w:rsid w:val="005E1E75"/>
    <w:rsid w:val="005E1F4E"/>
    <w:rsid w:val="005E2163"/>
    <w:rsid w:val="005E24AF"/>
    <w:rsid w:val="005E2567"/>
    <w:rsid w:val="005E2651"/>
    <w:rsid w:val="005E26A3"/>
    <w:rsid w:val="005E26DC"/>
    <w:rsid w:val="005E27FB"/>
    <w:rsid w:val="005E280A"/>
    <w:rsid w:val="005E28EC"/>
    <w:rsid w:val="005E2BDA"/>
    <w:rsid w:val="005E2C2F"/>
    <w:rsid w:val="005E2F65"/>
    <w:rsid w:val="005E2FDB"/>
    <w:rsid w:val="005E3022"/>
    <w:rsid w:val="005E30AF"/>
    <w:rsid w:val="005E3100"/>
    <w:rsid w:val="005E32BE"/>
    <w:rsid w:val="005E3327"/>
    <w:rsid w:val="005E3833"/>
    <w:rsid w:val="005E3962"/>
    <w:rsid w:val="005E39A0"/>
    <w:rsid w:val="005E3AFF"/>
    <w:rsid w:val="005E3D9F"/>
    <w:rsid w:val="005E3E4D"/>
    <w:rsid w:val="005E40DD"/>
    <w:rsid w:val="005E41B1"/>
    <w:rsid w:val="005E442A"/>
    <w:rsid w:val="005E443F"/>
    <w:rsid w:val="005E45D9"/>
    <w:rsid w:val="005E4680"/>
    <w:rsid w:val="005E4808"/>
    <w:rsid w:val="005E488B"/>
    <w:rsid w:val="005E4953"/>
    <w:rsid w:val="005E49EA"/>
    <w:rsid w:val="005E4AC7"/>
    <w:rsid w:val="005E4B98"/>
    <w:rsid w:val="005E5326"/>
    <w:rsid w:val="005E544E"/>
    <w:rsid w:val="005E54C2"/>
    <w:rsid w:val="005E58DE"/>
    <w:rsid w:val="005E58F8"/>
    <w:rsid w:val="005E592C"/>
    <w:rsid w:val="005E5C0F"/>
    <w:rsid w:val="005E5D16"/>
    <w:rsid w:val="005E5D82"/>
    <w:rsid w:val="005E5DAE"/>
    <w:rsid w:val="005E5DFE"/>
    <w:rsid w:val="005E5E6C"/>
    <w:rsid w:val="005E5E88"/>
    <w:rsid w:val="005E5EC9"/>
    <w:rsid w:val="005E5F54"/>
    <w:rsid w:val="005E608B"/>
    <w:rsid w:val="005E60A3"/>
    <w:rsid w:val="005E6240"/>
    <w:rsid w:val="005E632F"/>
    <w:rsid w:val="005E6365"/>
    <w:rsid w:val="005E642A"/>
    <w:rsid w:val="005E6563"/>
    <w:rsid w:val="005E65BE"/>
    <w:rsid w:val="005E6923"/>
    <w:rsid w:val="005E6A51"/>
    <w:rsid w:val="005E6B90"/>
    <w:rsid w:val="005E6C76"/>
    <w:rsid w:val="005E6F93"/>
    <w:rsid w:val="005E70CF"/>
    <w:rsid w:val="005E74BF"/>
    <w:rsid w:val="005E77B0"/>
    <w:rsid w:val="005E7885"/>
    <w:rsid w:val="005E796A"/>
    <w:rsid w:val="005E7995"/>
    <w:rsid w:val="005E79BC"/>
    <w:rsid w:val="005E7A50"/>
    <w:rsid w:val="005E7B25"/>
    <w:rsid w:val="005E7E9B"/>
    <w:rsid w:val="005E7F7C"/>
    <w:rsid w:val="005F0164"/>
    <w:rsid w:val="005F01AC"/>
    <w:rsid w:val="005F037D"/>
    <w:rsid w:val="005F0868"/>
    <w:rsid w:val="005F0ABF"/>
    <w:rsid w:val="005F0BC7"/>
    <w:rsid w:val="005F0D9D"/>
    <w:rsid w:val="005F132B"/>
    <w:rsid w:val="005F16E5"/>
    <w:rsid w:val="005F192E"/>
    <w:rsid w:val="005F1A14"/>
    <w:rsid w:val="005F1A70"/>
    <w:rsid w:val="005F1AE6"/>
    <w:rsid w:val="005F1BE1"/>
    <w:rsid w:val="005F1C2E"/>
    <w:rsid w:val="005F1D60"/>
    <w:rsid w:val="005F1EEE"/>
    <w:rsid w:val="005F20F6"/>
    <w:rsid w:val="005F22A8"/>
    <w:rsid w:val="005F23D7"/>
    <w:rsid w:val="005F2451"/>
    <w:rsid w:val="005F24D4"/>
    <w:rsid w:val="005F2504"/>
    <w:rsid w:val="005F275B"/>
    <w:rsid w:val="005F2793"/>
    <w:rsid w:val="005F280D"/>
    <w:rsid w:val="005F291D"/>
    <w:rsid w:val="005F2C9D"/>
    <w:rsid w:val="005F2DD4"/>
    <w:rsid w:val="005F2F65"/>
    <w:rsid w:val="005F31E8"/>
    <w:rsid w:val="005F332D"/>
    <w:rsid w:val="005F34A4"/>
    <w:rsid w:val="005F3626"/>
    <w:rsid w:val="005F3696"/>
    <w:rsid w:val="005F38DA"/>
    <w:rsid w:val="005F38E5"/>
    <w:rsid w:val="005F3981"/>
    <w:rsid w:val="005F39CD"/>
    <w:rsid w:val="005F39D5"/>
    <w:rsid w:val="005F39EA"/>
    <w:rsid w:val="005F3B6D"/>
    <w:rsid w:val="005F3D4E"/>
    <w:rsid w:val="005F41DD"/>
    <w:rsid w:val="005F430F"/>
    <w:rsid w:val="005F45DD"/>
    <w:rsid w:val="005F4852"/>
    <w:rsid w:val="005F4A18"/>
    <w:rsid w:val="005F4B55"/>
    <w:rsid w:val="005F4E92"/>
    <w:rsid w:val="005F4F5C"/>
    <w:rsid w:val="005F4FBE"/>
    <w:rsid w:val="005F5058"/>
    <w:rsid w:val="005F5122"/>
    <w:rsid w:val="005F51EE"/>
    <w:rsid w:val="005F52B6"/>
    <w:rsid w:val="005F5428"/>
    <w:rsid w:val="005F54EA"/>
    <w:rsid w:val="005F54F9"/>
    <w:rsid w:val="005F58AD"/>
    <w:rsid w:val="005F59F4"/>
    <w:rsid w:val="005F5A7F"/>
    <w:rsid w:val="005F5C76"/>
    <w:rsid w:val="005F5E48"/>
    <w:rsid w:val="005F6110"/>
    <w:rsid w:val="005F61A3"/>
    <w:rsid w:val="005F6286"/>
    <w:rsid w:val="005F645A"/>
    <w:rsid w:val="005F649A"/>
    <w:rsid w:val="005F6666"/>
    <w:rsid w:val="005F66CB"/>
    <w:rsid w:val="005F6873"/>
    <w:rsid w:val="005F69E6"/>
    <w:rsid w:val="005F6C92"/>
    <w:rsid w:val="005F6F1D"/>
    <w:rsid w:val="005F6F76"/>
    <w:rsid w:val="005F705D"/>
    <w:rsid w:val="005F70B0"/>
    <w:rsid w:val="005F74BA"/>
    <w:rsid w:val="005F7518"/>
    <w:rsid w:val="005F783A"/>
    <w:rsid w:val="005F7904"/>
    <w:rsid w:val="005F79FA"/>
    <w:rsid w:val="005F7C7A"/>
    <w:rsid w:val="006001C0"/>
    <w:rsid w:val="006001FB"/>
    <w:rsid w:val="006004AA"/>
    <w:rsid w:val="0060053A"/>
    <w:rsid w:val="00600607"/>
    <w:rsid w:val="006006B3"/>
    <w:rsid w:val="00600892"/>
    <w:rsid w:val="00600B42"/>
    <w:rsid w:val="00601004"/>
    <w:rsid w:val="00601169"/>
    <w:rsid w:val="0060118F"/>
    <w:rsid w:val="006012CC"/>
    <w:rsid w:val="00601467"/>
    <w:rsid w:val="006015C4"/>
    <w:rsid w:val="006016F4"/>
    <w:rsid w:val="0060183B"/>
    <w:rsid w:val="00601BCE"/>
    <w:rsid w:val="00601D97"/>
    <w:rsid w:val="00601DAD"/>
    <w:rsid w:val="00602100"/>
    <w:rsid w:val="00602396"/>
    <w:rsid w:val="00602851"/>
    <w:rsid w:val="006028B5"/>
    <w:rsid w:val="006029D3"/>
    <w:rsid w:val="00602A5C"/>
    <w:rsid w:val="00602CA4"/>
    <w:rsid w:val="00602E69"/>
    <w:rsid w:val="00602ED3"/>
    <w:rsid w:val="00602FFB"/>
    <w:rsid w:val="00603119"/>
    <w:rsid w:val="0060328E"/>
    <w:rsid w:val="00603618"/>
    <w:rsid w:val="006036B3"/>
    <w:rsid w:val="006036E2"/>
    <w:rsid w:val="00603948"/>
    <w:rsid w:val="006039EF"/>
    <w:rsid w:val="00603BB4"/>
    <w:rsid w:val="00603D3C"/>
    <w:rsid w:val="00603E2E"/>
    <w:rsid w:val="00603E68"/>
    <w:rsid w:val="00603FEF"/>
    <w:rsid w:val="006040B1"/>
    <w:rsid w:val="006040B7"/>
    <w:rsid w:val="006040F8"/>
    <w:rsid w:val="00604174"/>
    <w:rsid w:val="0060429C"/>
    <w:rsid w:val="00604664"/>
    <w:rsid w:val="0060470F"/>
    <w:rsid w:val="0060471C"/>
    <w:rsid w:val="0060491B"/>
    <w:rsid w:val="00604D7D"/>
    <w:rsid w:val="00604F4C"/>
    <w:rsid w:val="00605108"/>
    <w:rsid w:val="0060513B"/>
    <w:rsid w:val="0060554F"/>
    <w:rsid w:val="0060559F"/>
    <w:rsid w:val="006059CD"/>
    <w:rsid w:val="00605D46"/>
    <w:rsid w:val="00605F99"/>
    <w:rsid w:val="00606006"/>
    <w:rsid w:val="00606107"/>
    <w:rsid w:val="0060631D"/>
    <w:rsid w:val="00606328"/>
    <w:rsid w:val="006065B1"/>
    <w:rsid w:val="006065F5"/>
    <w:rsid w:val="00606834"/>
    <w:rsid w:val="0060689C"/>
    <w:rsid w:val="00606B42"/>
    <w:rsid w:val="00606C0A"/>
    <w:rsid w:val="00606D9B"/>
    <w:rsid w:val="0060727B"/>
    <w:rsid w:val="00607494"/>
    <w:rsid w:val="00607717"/>
    <w:rsid w:val="00607867"/>
    <w:rsid w:val="006078E0"/>
    <w:rsid w:val="0060797D"/>
    <w:rsid w:val="00607A28"/>
    <w:rsid w:val="00607A31"/>
    <w:rsid w:val="00607B36"/>
    <w:rsid w:val="00607C1B"/>
    <w:rsid w:val="00607C74"/>
    <w:rsid w:val="00607F04"/>
    <w:rsid w:val="00607F3C"/>
    <w:rsid w:val="00610011"/>
    <w:rsid w:val="00610114"/>
    <w:rsid w:val="0061036E"/>
    <w:rsid w:val="00610516"/>
    <w:rsid w:val="0061053A"/>
    <w:rsid w:val="0061056F"/>
    <w:rsid w:val="006105A6"/>
    <w:rsid w:val="006105C4"/>
    <w:rsid w:val="00610840"/>
    <w:rsid w:val="006109F0"/>
    <w:rsid w:val="00610A68"/>
    <w:rsid w:val="00610A7E"/>
    <w:rsid w:val="00610A9C"/>
    <w:rsid w:val="00610C74"/>
    <w:rsid w:val="00610D05"/>
    <w:rsid w:val="00610DCF"/>
    <w:rsid w:val="00610E38"/>
    <w:rsid w:val="00610EDE"/>
    <w:rsid w:val="006112AB"/>
    <w:rsid w:val="0061159E"/>
    <w:rsid w:val="0061163A"/>
    <w:rsid w:val="00611659"/>
    <w:rsid w:val="00611813"/>
    <w:rsid w:val="00611AAE"/>
    <w:rsid w:val="00611BFF"/>
    <w:rsid w:val="00611D0B"/>
    <w:rsid w:val="00611EAF"/>
    <w:rsid w:val="00611EFC"/>
    <w:rsid w:val="00611FD1"/>
    <w:rsid w:val="00612144"/>
    <w:rsid w:val="006121BD"/>
    <w:rsid w:val="0061222A"/>
    <w:rsid w:val="0061227A"/>
    <w:rsid w:val="00612283"/>
    <w:rsid w:val="00612373"/>
    <w:rsid w:val="00612770"/>
    <w:rsid w:val="00612898"/>
    <w:rsid w:val="006129E2"/>
    <w:rsid w:val="00612A96"/>
    <w:rsid w:val="00612C3D"/>
    <w:rsid w:val="00612CD5"/>
    <w:rsid w:val="00612D93"/>
    <w:rsid w:val="00613005"/>
    <w:rsid w:val="00613092"/>
    <w:rsid w:val="006131C2"/>
    <w:rsid w:val="006131D0"/>
    <w:rsid w:val="006131E8"/>
    <w:rsid w:val="00613242"/>
    <w:rsid w:val="0061334C"/>
    <w:rsid w:val="006134F3"/>
    <w:rsid w:val="006136F4"/>
    <w:rsid w:val="0061371D"/>
    <w:rsid w:val="00613745"/>
    <w:rsid w:val="00613836"/>
    <w:rsid w:val="0061384F"/>
    <w:rsid w:val="006139D7"/>
    <w:rsid w:val="00613A6B"/>
    <w:rsid w:val="00613B1E"/>
    <w:rsid w:val="00613EFB"/>
    <w:rsid w:val="00613F59"/>
    <w:rsid w:val="00614154"/>
    <w:rsid w:val="006141A7"/>
    <w:rsid w:val="006141DC"/>
    <w:rsid w:val="006143E2"/>
    <w:rsid w:val="006144B8"/>
    <w:rsid w:val="006144D3"/>
    <w:rsid w:val="00614847"/>
    <w:rsid w:val="00614897"/>
    <w:rsid w:val="00614950"/>
    <w:rsid w:val="00614BDF"/>
    <w:rsid w:val="00614EE0"/>
    <w:rsid w:val="00614EE2"/>
    <w:rsid w:val="00614FE3"/>
    <w:rsid w:val="00614FFF"/>
    <w:rsid w:val="00615044"/>
    <w:rsid w:val="00615069"/>
    <w:rsid w:val="006150AD"/>
    <w:rsid w:val="006150CA"/>
    <w:rsid w:val="006152C7"/>
    <w:rsid w:val="0061557A"/>
    <w:rsid w:val="006158A3"/>
    <w:rsid w:val="00615BC6"/>
    <w:rsid w:val="00615BD4"/>
    <w:rsid w:val="00615C89"/>
    <w:rsid w:val="00615D33"/>
    <w:rsid w:val="00615F66"/>
    <w:rsid w:val="006161B6"/>
    <w:rsid w:val="0061628B"/>
    <w:rsid w:val="00616365"/>
    <w:rsid w:val="0061642C"/>
    <w:rsid w:val="006165F2"/>
    <w:rsid w:val="006166EC"/>
    <w:rsid w:val="006167B7"/>
    <w:rsid w:val="00616B2B"/>
    <w:rsid w:val="00616B57"/>
    <w:rsid w:val="00616BBE"/>
    <w:rsid w:val="00616F5E"/>
    <w:rsid w:val="006170AD"/>
    <w:rsid w:val="00617154"/>
    <w:rsid w:val="006171B2"/>
    <w:rsid w:val="006175CD"/>
    <w:rsid w:val="006176FC"/>
    <w:rsid w:val="0061771D"/>
    <w:rsid w:val="00617A76"/>
    <w:rsid w:val="00617AA3"/>
    <w:rsid w:val="00617C64"/>
    <w:rsid w:val="00617F19"/>
    <w:rsid w:val="00617FC8"/>
    <w:rsid w:val="00617FE8"/>
    <w:rsid w:val="00620037"/>
    <w:rsid w:val="00620098"/>
    <w:rsid w:val="006200E5"/>
    <w:rsid w:val="0062012B"/>
    <w:rsid w:val="0062019C"/>
    <w:rsid w:val="00620317"/>
    <w:rsid w:val="00620324"/>
    <w:rsid w:val="00620401"/>
    <w:rsid w:val="00620440"/>
    <w:rsid w:val="00620745"/>
    <w:rsid w:val="0062083F"/>
    <w:rsid w:val="0062092E"/>
    <w:rsid w:val="00620965"/>
    <w:rsid w:val="00620B18"/>
    <w:rsid w:val="00620BDB"/>
    <w:rsid w:val="00620C96"/>
    <w:rsid w:val="00620D4B"/>
    <w:rsid w:val="00620DDA"/>
    <w:rsid w:val="00620DDC"/>
    <w:rsid w:val="00620F53"/>
    <w:rsid w:val="00620FA1"/>
    <w:rsid w:val="00621329"/>
    <w:rsid w:val="0062133F"/>
    <w:rsid w:val="0062153F"/>
    <w:rsid w:val="00621721"/>
    <w:rsid w:val="00621BE3"/>
    <w:rsid w:val="00621BE8"/>
    <w:rsid w:val="00621C4E"/>
    <w:rsid w:val="00621CDD"/>
    <w:rsid w:val="00622113"/>
    <w:rsid w:val="0062222C"/>
    <w:rsid w:val="00622314"/>
    <w:rsid w:val="0062248B"/>
    <w:rsid w:val="006224C5"/>
    <w:rsid w:val="00622513"/>
    <w:rsid w:val="006225DE"/>
    <w:rsid w:val="006229A1"/>
    <w:rsid w:val="006229B4"/>
    <w:rsid w:val="00622B06"/>
    <w:rsid w:val="00622BA7"/>
    <w:rsid w:val="00622CE7"/>
    <w:rsid w:val="00622D85"/>
    <w:rsid w:val="00622F1D"/>
    <w:rsid w:val="006231E7"/>
    <w:rsid w:val="0062342B"/>
    <w:rsid w:val="00623613"/>
    <w:rsid w:val="006237AB"/>
    <w:rsid w:val="00623E80"/>
    <w:rsid w:val="006240D3"/>
    <w:rsid w:val="006243CE"/>
    <w:rsid w:val="0062463F"/>
    <w:rsid w:val="00624749"/>
    <w:rsid w:val="00624995"/>
    <w:rsid w:val="00624B0E"/>
    <w:rsid w:val="00624C0A"/>
    <w:rsid w:val="00624EB5"/>
    <w:rsid w:val="00624FF4"/>
    <w:rsid w:val="006253F7"/>
    <w:rsid w:val="00625445"/>
    <w:rsid w:val="00625484"/>
    <w:rsid w:val="006254C6"/>
    <w:rsid w:val="006254E4"/>
    <w:rsid w:val="00625632"/>
    <w:rsid w:val="00625643"/>
    <w:rsid w:val="006256BA"/>
    <w:rsid w:val="006256E6"/>
    <w:rsid w:val="00625884"/>
    <w:rsid w:val="006259C7"/>
    <w:rsid w:val="00625A08"/>
    <w:rsid w:val="00625D75"/>
    <w:rsid w:val="00625D9D"/>
    <w:rsid w:val="00625F37"/>
    <w:rsid w:val="0062617E"/>
    <w:rsid w:val="006263A9"/>
    <w:rsid w:val="0062647A"/>
    <w:rsid w:val="006264F2"/>
    <w:rsid w:val="00626516"/>
    <w:rsid w:val="00626619"/>
    <w:rsid w:val="0062663F"/>
    <w:rsid w:val="0062667A"/>
    <w:rsid w:val="0062678C"/>
    <w:rsid w:val="006267DC"/>
    <w:rsid w:val="00626872"/>
    <w:rsid w:val="00626A01"/>
    <w:rsid w:val="00626C07"/>
    <w:rsid w:val="00626C97"/>
    <w:rsid w:val="00626CD9"/>
    <w:rsid w:val="00626D6E"/>
    <w:rsid w:val="00627295"/>
    <w:rsid w:val="0062740B"/>
    <w:rsid w:val="0062742F"/>
    <w:rsid w:val="0062743C"/>
    <w:rsid w:val="0062755E"/>
    <w:rsid w:val="0062757E"/>
    <w:rsid w:val="0062767B"/>
    <w:rsid w:val="0062778C"/>
    <w:rsid w:val="00627A6B"/>
    <w:rsid w:val="00627AB0"/>
    <w:rsid w:val="00627B9A"/>
    <w:rsid w:val="00627D6E"/>
    <w:rsid w:val="00627F4C"/>
    <w:rsid w:val="00627F8D"/>
    <w:rsid w:val="00627F9B"/>
    <w:rsid w:val="00630089"/>
    <w:rsid w:val="0063019D"/>
    <w:rsid w:val="0063065B"/>
    <w:rsid w:val="00630879"/>
    <w:rsid w:val="00630935"/>
    <w:rsid w:val="00630A00"/>
    <w:rsid w:val="00630AA3"/>
    <w:rsid w:val="00630CB1"/>
    <w:rsid w:val="00630E78"/>
    <w:rsid w:val="00630F4E"/>
    <w:rsid w:val="00631186"/>
    <w:rsid w:val="0063124B"/>
    <w:rsid w:val="00631304"/>
    <w:rsid w:val="0063132A"/>
    <w:rsid w:val="00631369"/>
    <w:rsid w:val="006313C7"/>
    <w:rsid w:val="00631686"/>
    <w:rsid w:val="00631930"/>
    <w:rsid w:val="00631B37"/>
    <w:rsid w:val="00631B74"/>
    <w:rsid w:val="00631BF9"/>
    <w:rsid w:val="00631D7A"/>
    <w:rsid w:val="00631E20"/>
    <w:rsid w:val="006325A4"/>
    <w:rsid w:val="006325EC"/>
    <w:rsid w:val="00632671"/>
    <w:rsid w:val="006326B4"/>
    <w:rsid w:val="006327E2"/>
    <w:rsid w:val="00632AA2"/>
    <w:rsid w:val="00632B75"/>
    <w:rsid w:val="00632B88"/>
    <w:rsid w:val="00632D97"/>
    <w:rsid w:val="00632DB2"/>
    <w:rsid w:val="00632EB5"/>
    <w:rsid w:val="00632ED3"/>
    <w:rsid w:val="006330F3"/>
    <w:rsid w:val="006330FA"/>
    <w:rsid w:val="006332F4"/>
    <w:rsid w:val="00633847"/>
    <w:rsid w:val="0063388B"/>
    <w:rsid w:val="00633B0E"/>
    <w:rsid w:val="00633CAC"/>
    <w:rsid w:val="00633F35"/>
    <w:rsid w:val="0063401B"/>
    <w:rsid w:val="0063401E"/>
    <w:rsid w:val="00634366"/>
    <w:rsid w:val="00634453"/>
    <w:rsid w:val="00634665"/>
    <w:rsid w:val="00634676"/>
    <w:rsid w:val="006346E8"/>
    <w:rsid w:val="0063473F"/>
    <w:rsid w:val="0063492C"/>
    <w:rsid w:val="00634A43"/>
    <w:rsid w:val="00635018"/>
    <w:rsid w:val="006350B9"/>
    <w:rsid w:val="006350DB"/>
    <w:rsid w:val="006350DF"/>
    <w:rsid w:val="006351BC"/>
    <w:rsid w:val="00635282"/>
    <w:rsid w:val="00635440"/>
    <w:rsid w:val="00635492"/>
    <w:rsid w:val="006354A6"/>
    <w:rsid w:val="006354EF"/>
    <w:rsid w:val="0063591F"/>
    <w:rsid w:val="00635A2D"/>
    <w:rsid w:val="00635DD0"/>
    <w:rsid w:val="00635E26"/>
    <w:rsid w:val="00635EAF"/>
    <w:rsid w:val="00635F31"/>
    <w:rsid w:val="00636007"/>
    <w:rsid w:val="0063603B"/>
    <w:rsid w:val="00636567"/>
    <w:rsid w:val="00636C3E"/>
    <w:rsid w:val="00636D15"/>
    <w:rsid w:val="00636D56"/>
    <w:rsid w:val="00636DEB"/>
    <w:rsid w:val="00636F97"/>
    <w:rsid w:val="00637256"/>
    <w:rsid w:val="00637318"/>
    <w:rsid w:val="0063775E"/>
    <w:rsid w:val="006377AE"/>
    <w:rsid w:val="006377AF"/>
    <w:rsid w:val="006377BA"/>
    <w:rsid w:val="006377BB"/>
    <w:rsid w:val="006377E3"/>
    <w:rsid w:val="00637907"/>
    <w:rsid w:val="00637925"/>
    <w:rsid w:val="00637A7A"/>
    <w:rsid w:val="00637D2D"/>
    <w:rsid w:val="00637D8B"/>
    <w:rsid w:val="00637EFF"/>
    <w:rsid w:val="00637FCA"/>
    <w:rsid w:val="0064040A"/>
    <w:rsid w:val="0064046D"/>
    <w:rsid w:val="00640500"/>
    <w:rsid w:val="0064054A"/>
    <w:rsid w:val="00640722"/>
    <w:rsid w:val="00640749"/>
    <w:rsid w:val="00640813"/>
    <w:rsid w:val="00640861"/>
    <w:rsid w:val="00640B35"/>
    <w:rsid w:val="00640DDD"/>
    <w:rsid w:val="00640FCC"/>
    <w:rsid w:val="00640FF3"/>
    <w:rsid w:val="00641179"/>
    <w:rsid w:val="006412CC"/>
    <w:rsid w:val="006412FA"/>
    <w:rsid w:val="0064132C"/>
    <w:rsid w:val="006414C0"/>
    <w:rsid w:val="00641764"/>
    <w:rsid w:val="00641793"/>
    <w:rsid w:val="00641839"/>
    <w:rsid w:val="00641869"/>
    <w:rsid w:val="00641903"/>
    <w:rsid w:val="00641A00"/>
    <w:rsid w:val="00641AB7"/>
    <w:rsid w:val="00641B11"/>
    <w:rsid w:val="00641C97"/>
    <w:rsid w:val="00641CCF"/>
    <w:rsid w:val="006421A5"/>
    <w:rsid w:val="0064232C"/>
    <w:rsid w:val="006423DB"/>
    <w:rsid w:val="006425B4"/>
    <w:rsid w:val="00642A2F"/>
    <w:rsid w:val="00642A66"/>
    <w:rsid w:val="00642B38"/>
    <w:rsid w:val="00642E35"/>
    <w:rsid w:val="00642E47"/>
    <w:rsid w:val="00642F74"/>
    <w:rsid w:val="0064301B"/>
    <w:rsid w:val="006430C7"/>
    <w:rsid w:val="00643211"/>
    <w:rsid w:val="00643215"/>
    <w:rsid w:val="00643599"/>
    <w:rsid w:val="00643838"/>
    <w:rsid w:val="006438CD"/>
    <w:rsid w:val="0064393F"/>
    <w:rsid w:val="00643A3E"/>
    <w:rsid w:val="00643AA7"/>
    <w:rsid w:val="0064403B"/>
    <w:rsid w:val="0064408A"/>
    <w:rsid w:val="00644164"/>
    <w:rsid w:val="00644174"/>
    <w:rsid w:val="006441F5"/>
    <w:rsid w:val="00644469"/>
    <w:rsid w:val="0064489B"/>
    <w:rsid w:val="00644A08"/>
    <w:rsid w:val="00644A58"/>
    <w:rsid w:val="00644AA4"/>
    <w:rsid w:val="00644AC3"/>
    <w:rsid w:val="00644AF2"/>
    <w:rsid w:val="006452C9"/>
    <w:rsid w:val="006452EB"/>
    <w:rsid w:val="00645392"/>
    <w:rsid w:val="006455A1"/>
    <w:rsid w:val="00645622"/>
    <w:rsid w:val="006456C6"/>
    <w:rsid w:val="0064598B"/>
    <w:rsid w:val="00645994"/>
    <w:rsid w:val="00645C9B"/>
    <w:rsid w:val="00645DBC"/>
    <w:rsid w:val="00645DC4"/>
    <w:rsid w:val="00645DDC"/>
    <w:rsid w:val="006461D2"/>
    <w:rsid w:val="0064623A"/>
    <w:rsid w:val="0064638D"/>
    <w:rsid w:val="006463E7"/>
    <w:rsid w:val="006465B0"/>
    <w:rsid w:val="00646B1F"/>
    <w:rsid w:val="00646B47"/>
    <w:rsid w:val="00646C9C"/>
    <w:rsid w:val="00646DF6"/>
    <w:rsid w:val="00647157"/>
    <w:rsid w:val="0064746A"/>
    <w:rsid w:val="006474EE"/>
    <w:rsid w:val="00647538"/>
    <w:rsid w:val="006475FA"/>
    <w:rsid w:val="00647659"/>
    <w:rsid w:val="006476AA"/>
    <w:rsid w:val="006477A5"/>
    <w:rsid w:val="006477C2"/>
    <w:rsid w:val="00647A2A"/>
    <w:rsid w:val="00647AA6"/>
    <w:rsid w:val="00647AB0"/>
    <w:rsid w:val="00647C80"/>
    <w:rsid w:val="00647D01"/>
    <w:rsid w:val="00647E52"/>
    <w:rsid w:val="00647E7D"/>
    <w:rsid w:val="00647F9C"/>
    <w:rsid w:val="00650017"/>
    <w:rsid w:val="006500F4"/>
    <w:rsid w:val="006501AA"/>
    <w:rsid w:val="006502A9"/>
    <w:rsid w:val="00650335"/>
    <w:rsid w:val="006503E7"/>
    <w:rsid w:val="0065059E"/>
    <w:rsid w:val="006505EE"/>
    <w:rsid w:val="00650678"/>
    <w:rsid w:val="006506B2"/>
    <w:rsid w:val="00650765"/>
    <w:rsid w:val="00650793"/>
    <w:rsid w:val="006508CD"/>
    <w:rsid w:val="006509CB"/>
    <w:rsid w:val="00650B29"/>
    <w:rsid w:val="00650B3E"/>
    <w:rsid w:val="00650B41"/>
    <w:rsid w:val="00650D3D"/>
    <w:rsid w:val="00650E46"/>
    <w:rsid w:val="00650FB0"/>
    <w:rsid w:val="00650FC3"/>
    <w:rsid w:val="00651022"/>
    <w:rsid w:val="00651058"/>
    <w:rsid w:val="006510ED"/>
    <w:rsid w:val="00651285"/>
    <w:rsid w:val="00651344"/>
    <w:rsid w:val="00651B07"/>
    <w:rsid w:val="00651B4C"/>
    <w:rsid w:val="00651BB0"/>
    <w:rsid w:val="00651CE8"/>
    <w:rsid w:val="00651E20"/>
    <w:rsid w:val="00651E34"/>
    <w:rsid w:val="0065200E"/>
    <w:rsid w:val="006521C3"/>
    <w:rsid w:val="00652307"/>
    <w:rsid w:val="00652507"/>
    <w:rsid w:val="0065253D"/>
    <w:rsid w:val="006525EC"/>
    <w:rsid w:val="006527DA"/>
    <w:rsid w:val="006529CA"/>
    <w:rsid w:val="00652A61"/>
    <w:rsid w:val="00652B39"/>
    <w:rsid w:val="00652C4C"/>
    <w:rsid w:val="00652C8A"/>
    <w:rsid w:val="00652F6C"/>
    <w:rsid w:val="00653250"/>
    <w:rsid w:val="006533C9"/>
    <w:rsid w:val="006534EE"/>
    <w:rsid w:val="006534F5"/>
    <w:rsid w:val="0065352A"/>
    <w:rsid w:val="0065355A"/>
    <w:rsid w:val="0065366B"/>
    <w:rsid w:val="006536F6"/>
    <w:rsid w:val="006537D1"/>
    <w:rsid w:val="00653832"/>
    <w:rsid w:val="00653880"/>
    <w:rsid w:val="0065388E"/>
    <w:rsid w:val="0065394B"/>
    <w:rsid w:val="00653A40"/>
    <w:rsid w:val="00653AE6"/>
    <w:rsid w:val="00653BD3"/>
    <w:rsid w:val="00653C30"/>
    <w:rsid w:val="00653D2F"/>
    <w:rsid w:val="00654061"/>
    <w:rsid w:val="00654066"/>
    <w:rsid w:val="006540F0"/>
    <w:rsid w:val="00654149"/>
    <w:rsid w:val="0065429C"/>
    <w:rsid w:val="0065429F"/>
    <w:rsid w:val="00654328"/>
    <w:rsid w:val="006543AD"/>
    <w:rsid w:val="0065442D"/>
    <w:rsid w:val="0065453E"/>
    <w:rsid w:val="0065469D"/>
    <w:rsid w:val="006546C3"/>
    <w:rsid w:val="006548A4"/>
    <w:rsid w:val="00654AC2"/>
    <w:rsid w:val="00654D40"/>
    <w:rsid w:val="00654D6B"/>
    <w:rsid w:val="00654E3F"/>
    <w:rsid w:val="00654F64"/>
    <w:rsid w:val="0065521B"/>
    <w:rsid w:val="00655285"/>
    <w:rsid w:val="00655290"/>
    <w:rsid w:val="00655477"/>
    <w:rsid w:val="0065556D"/>
    <w:rsid w:val="006556AF"/>
    <w:rsid w:val="0065570E"/>
    <w:rsid w:val="0065576D"/>
    <w:rsid w:val="0065578E"/>
    <w:rsid w:val="00655846"/>
    <w:rsid w:val="00655990"/>
    <w:rsid w:val="00655A01"/>
    <w:rsid w:val="00655EA7"/>
    <w:rsid w:val="00656182"/>
    <w:rsid w:val="006562E5"/>
    <w:rsid w:val="00656604"/>
    <w:rsid w:val="0065676F"/>
    <w:rsid w:val="0065685F"/>
    <w:rsid w:val="006568BF"/>
    <w:rsid w:val="00656B30"/>
    <w:rsid w:val="00656B79"/>
    <w:rsid w:val="00656E38"/>
    <w:rsid w:val="00657003"/>
    <w:rsid w:val="00657160"/>
    <w:rsid w:val="006571D9"/>
    <w:rsid w:val="006574C3"/>
    <w:rsid w:val="0065753C"/>
    <w:rsid w:val="00657830"/>
    <w:rsid w:val="006579CA"/>
    <w:rsid w:val="00657AB3"/>
    <w:rsid w:val="00657BAC"/>
    <w:rsid w:val="00657DC2"/>
    <w:rsid w:val="00657E06"/>
    <w:rsid w:val="00657F34"/>
    <w:rsid w:val="006600D9"/>
    <w:rsid w:val="00660395"/>
    <w:rsid w:val="006603D4"/>
    <w:rsid w:val="006604AB"/>
    <w:rsid w:val="006605B9"/>
    <w:rsid w:val="006605D0"/>
    <w:rsid w:val="006609B9"/>
    <w:rsid w:val="006609D5"/>
    <w:rsid w:val="00660B04"/>
    <w:rsid w:val="00660E33"/>
    <w:rsid w:val="00661318"/>
    <w:rsid w:val="00661397"/>
    <w:rsid w:val="006613F8"/>
    <w:rsid w:val="006614DD"/>
    <w:rsid w:val="00661528"/>
    <w:rsid w:val="006615B8"/>
    <w:rsid w:val="006615C6"/>
    <w:rsid w:val="006617B5"/>
    <w:rsid w:val="00661948"/>
    <w:rsid w:val="00661BB6"/>
    <w:rsid w:val="00661C64"/>
    <w:rsid w:val="00661E10"/>
    <w:rsid w:val="00661F82"/>
    <w:rsid w:val="006620D1"/>
    <w:rsid w:val="00662233"/>
    <w:rsid w:val="00662329"/>
    <w:rsid w:val="0066244F"/>
    <w:rsid w:val="006625D8"/>
    <w:rsid w:val="006626EA"/>
    <w:rsid w:val="00662701"/>
    <w:rsid w:val="00662779"/>
    <w:rsid w:val="006627F7"/>
    <w:rsid w:val="00662AF8"/>
    <w:rsid w:val="00662BA3"/>
    <w:rsid w:val="00662C1F"/>
    <w:rsid w:val="00662D1D"/>
    <w:rsid w:val="00662E6E"/>
    <w:rsid w:val="00662FE9"/>
    <w:rsid w:val="0066302B"/>
    <w:rsid w:val="00663116"/>
    <w:rsid w:val="006632E9"/>
    <w:rsid w:val="006633C8"/>
    <w:rsid w:val="00663540"/>
    <w:rsid w:val="00663842"/>
    <w:rsid w:val="00663849"/>
    <w:rsid w:val="00663A06"/>
    <w:rsid w:val="00663BDE"/>
    <w:rsid w:val="00663C2D"/>
    <w:rsid w:val="006640C4"/>
    <w:rsid w:val="0066412F"/>
    <w:rsid w:val="00664278"/>
    <w:rsid w:val="0066430D"/>
    <w:rsid w:val="00664326"/>
    <w:rsid w:val="00664443"/>
    <w:rsid w:val="006644D0"/>
    <w:rsid w:val="006646D6"/>
    <w:rsid w:val="00664760"/>
    <w:rsid w:val="00664781"/>
    <w:rsid w:val="0066482F"/>
    <w:rsid w:val="00664A26"/>
    <w:rsid w:val="00664A83"/>
    <w:rsid w:val="00664C1B"/>
    <w:rsid w:val="00664FB7"/>
    <w:rsid w:val="00665017"/>
    <w:rsid w:val="006650C7"/>
    <w:rsid w:val="00665170"/>
    <w:rsid w:val="00665301"/>
    <w:rsid w:val="0066538F"/>
    <w:rsid w:val="006654A9"/>
    <w:rsid w:val="006654F3"/>
    <w:rsid w:val="0066558F"/>
    <w:rsid w:val="006655A0"/>
    <w:rsid w:val="006656BD"/>
    <w:rsid w:val="006656EE"/>
    <w:rsid w:val="0066594E"/>
    <w:rsid w:val="00665CB5"/>
    <w:rsid w:val="00665CFD"/>
    <w:rsid w:val="00665F56"/>
    <w:rsid w:val="00665F73"/>
    <w:rsid w:val="00665FB2"/>
    <w:rsid w:val="006660C9"/>
    <w:rsid w:val="00666198"/>
    <w:rsid w:val="006662CE"/>
    <w:rsid w:val="00666312"/>
    <w:rsid w:val="0066661E"/>
    <w:rsid w:val="006666D0"/>
    <w:rsid w:val="006666F5"/>
    <w:rsid w:val="006667F2"/>
    <w:rsid w:val="00666A25"/>
    <w:rsid w:val="00666A3F"/>
    <w:rsid w:val="00666B7E"/>
    <w:rsid w:val="00666DBD"/>
    <w:rsid w:val="00666E13"/>
    <w:rsid w:val="00666EBC"/>
    <w:rsid w:val="0066707C"/>
    <w:rsid w:val="0066719A"/>
    <w:rsid w:val="00667292"/>
    <w:rsid w:val="006672D1"/>
    <w:rsid w:val="0066735A"/>
    <w:rsid w:val="00667472"/>
    <w:rsid w:val="0066747B"/>
    <w:rsid w:val="0066748F"/>
    <w:rsid w:val="006674F5"/>
    <w:rsid w:val="0066762F"/>
    <w:rsid w:val="00667735"/>
    <w:rsid w:val="00667779"/>
    <w:rsid w:val="00667A58"/>
    <w:rsid w:val="00667DBA"/>
    <w:rsid w:val="00667FFE"/>
    <w:rsid w:val="00670155"/>
    <w:rsid w:val="00670171"/>
    <w:rsid w:val="006701E0"/>
    <w:rsid w:val="00670244"/>
    <w:rsid w:val="006703A2"/>
    <w:rsid w:val="00670963"/>
    <w:rsid w:val="006709C1"/>
    <w:rsid w:val="00670AE9"/>
    <w:rsid w:val="00670C53"/>
    <w:rsid w:val="00670CFC"/>
    <w:rsid w:val="00670E48"/>
    <w:rsid w:val="00670EB1"/>
    <w:rsid w:val="0067108F"/>
    <w:rsid w:val="006711B9"/>
    <w:rsid w:val="006712C3"/>
    <w:rsid w:val="00671334"/>
    <w:rsid w:val="0067133B"/>
    <w:rsid w:val="00671362"/>
    <w:rsid w:val="006714C8"/>
    <w:rsid w:val="00671571"/>
    <w:rsid w:val="00671685"/>
    <w:rsid w:val="00671692"/>
    <w:rsid w:val="00671797"/>
    <w:rsid w:val="00671B02"/>
    <w:rsid w:val="00671B78"/>
    <w:rsid w:val="00671F3A"/>
    <w:rsid w:val="00671F53"/>
    <w:rsid w:val="00671FD0"/>
    <w:rsid w:val="0067217D"/>
    <w:rsid w:val="006722BD"/>
    <w:rsid w:val="00672512"/>
    <w:rsid w:val="00672608"/>
    <w:rsid w:val="006726D9"/>
    <w:rsid w:val="00672868"/>
    <w:rsid w:val="0067297C"/>
    <w:rsid w:val="00672987"/>
    <w:rsid w:val="00672D16"/>
    <w:rsid w:val="0067314D"/>
    <w:rsid w:val="006734DB"/>
    <w:rsid w:val="00673619"/>
    <w:rsid w:val="00673728"/>
    <w:rsid w:val="006737D1"/>
    <w:rsid w:val="00673915"/>
    <w:rsid w:val="006739C1"/>
    <w:rsid w:val="00673B00"/>
    <w:rsid w:val="00673C0E"/>
    <w:rsid w:val="00673CC6"/>
    <w:rsid w:val="00673FF9"/>
    <w:rsid w:val="00674166"/>
    <w:rsid w:val="006743FE"/>
    <w:rsid w:val="00674402"/>
    <w:rsid w:val="0067453D"/>
    <w:rsid w:val="006749D3"/>
    <w:rsid w:val="00674A13"/>
    <w:rsid w:val="00674A4A"/>
    <w:rsid w:val="00674BE7"/>
    <w:rsid w:val="00674CEF"/>
    <w:rsid w:val="00674D6C"/>
    <w:rsid w:val="00674D70"/>
    <w:rsid w:val="00674E1F"/>
    <w:rsid w:val="00674EF4"/>
    <w:rsid w:val="00674FC7"/>
    <w:rsid w:val="0067508C"/>
    <w:rsid w:val="0067516A"/>
    <w:rsid w:val="00675235"/>
    <w:rsid w:val="0067546B"/>
    <w:rsid w:val="006754C0"/>
    <w:rsid w:val="00675507"/>
    <w:rsid w:val="0067551B"/>
    <w:rsid w:val="0067552F"/>
    <w:rsid w:val="0067561C"/>
    <w:rsid w:val="006756BC"/>
    <w:rsid w:val="006757C7"/>
    <w:rsid w:val="00675854"/>
    <w:rsid w:val="00675896"/>
    <w:rsid w:val="00675A94"/>
    <w:rsid w:val="00675C9E"/>
    <w:rsid w:val="00675D3B"/>
    <w:rsid w:val="00675DD9"/>
    <w:rsid w:val="00675E65"/>
    <w:rsid w:val="00675EA0"/>
    <w:rsid w:val="00675EED"/>
    <w:rsid w:val="00675F35"/>
    <w:rsid w:val="006762CA"/>
    <w:rsid w:val="006764B0"/>
    <w:rsid w:val="006767CF"/>
    <w:rsid w:val="00676A38"/>
    <w:rsid w:val="00676AC3"/>
    <w:rsid w:val="00676D48"/>
    <w:rsid w:val="00676D61"/>
    <w:rsid w:val="00676D8C"/>
    <w:rsid w:val="00676E94"/>
    <w:rsid w:val="00676F58"/>
    <w:rsid w:val="00677221"/>
    <w:rsid w:val="00677374"/>
    <w:rsid w:val="00677410"/>
    <w:rsid w:val="00677436"/>
    <w:rsid w:val="0067779A"/>
    <w:rsid w:val="0067784E"/>
    <w:rsid w:val="0067788A"/>
    <w:rsid w:val="006778A7"/>
    <w:rsid w:val="00677AAC"/>
    <w:rsid w:val="00677AAF"/>
    <w:rsid w:val="00677B44"/>
    <w:rsid w:val="00677B6F"/>
    <w:rsid w:val="00677BAD"/>
    <w:rsid w:val="00677CA2"/>
    <w:rsid w:val="00677CA6"/>
    <w:rsid w:val="00677EED"/>
    <w:rsid w:val="00677F6E"/>
    <w:rsid w:val="00680000"/>
    <w:rsid w:val="0068009F"/>
    <w:rsid w:val="00680180"/>
    <w:rsid w:val="0068034E"/>
    <w:rsid w:val="0068042B"/>
    <w:rsid w:val="006804ED"/>
    <w:rsid w:val="00680573"/>
    <w:rsid w:val="00680A69"/>
    <w:rsid w:val="00680A83"/>
    <w:rsid w:val="00680B0D"/>
    <w:rsid w:val="00680BDD"/>
    <w:rsid w:val="00680CFD"/>
    <w:rsid w:val="00680E93"/>
    <w:rsid w:val="00680FF2"/>
    <w:rsid w:val="00681096"/>
    <w:rsid w:val="0068118B"/>
    <w:rsid w:val="006811D9"/>
    <w:rsid w:val="0068134D"/>
    <w:rsid w:val="006814DF"/>
    <w:rsid w:val="006815DB"/>
    <w:rsid w:val="0068161F"/>
    <w:rsid w:val="006817AD"/>
    <w:rsid w:val="006819F4"/>
    <w:rsid w:val="00681CE9"/>
    <w:rsid w:val="00681F37"/>
    <w:rsid w:val="00682085"/>
    <w:rsid w:val="006821BB"/>
    <w:rsid w:val="006824A7"/>
    <w:rsid w:val="006825AA"/>
    <w:rsid w:val="006825EE"/>
    <w:rsid w:val="00682657"/>
    <w:rsid w:val="0068293C"/>
    <w:rsid w:val="0068325A"/>
    <w:rsid w:val="006836A2"/>
    <w:rsid w:val="00683A3A"/>
    <w:rsid w:val="00683AC6"/>
    <w:rsid w:val="00683E78"/>
    <w:rsid w:val="00683E83"/>
    <w:rsid w:val="00683E9A"/>
    <w:rsid w:val="00684011"/>
    <w:rsid w:val="006841EB"/>
    <w:rsid w:val="006842C6"/>
    <w:rsid w:val="006843A1"/>
    <w:rsid w:val="0068455C"/>
    <w:rsid w:val="006845E9"/>
    <w:rsid w:val="00684698"/>
    <w:rsid w:val="00684768"/>
    <w:rsid w:val="00684971"/>
    <w:rsid w:val="00684B0A"/>
    <w:rsid w:val="00684B13"/>
    <w:rsid w:val="00684C1B"/>
    <w:rsid w:val="00684CDE"/>
    <w:rsid w:val="00684DB2"/>
    <w:rsid w:val="00684E61"/>
    <w:rsid w:val="00684F44"/>
    <w:rsid w:val="00684F73"/>
    <w:rsid w:val="00684FA7"/>
    <w:rsid w:val="006852CD"/>
    <w:rsid w:val="00685316"/>
    <w:rsid w:val="0068539C"/>
    <w:rsid w:val="00685617"/>
    <w:rsid w:val="00685779"/>
    <w:rsid w:val="0068579B"/>
    <w:rsid w:val="00685939"/>
    <w:rsid w:val="0068593D"/>
    <w:rsid w:val="00685C25"/>
    <w:rsid w:val="00685EC3"/>
    <w:rsid w:val="00685FA9"/>
    <w:rsid w:val="00685FCB"/>
    <w:rsid w:val="00685FD9"/>
    <w:rsid w:val="006860CA"/>
    <w:rsid w:val="006860D6"/>
    <w:rsid w:val="006860DF"/>
    <w:rsid w:val="0068615E"/>
    <w:rsid w:val="0068625B"/>
    <w:rsid w:val="00686365"/>
    <w:rsid w:val="006864C8"/>
    <w:rsid w:val="00686876"/>
    <w:rsid w:val="00686C8F"/>
    <w:rsid w:val="00686C96"/>
    <w:rsid w:val="00686CB1"/>
    <w:rsid w:val="00686ED3"/>
    <w:rsid w:val="00686F12"/>
    <w:rsid w:val="006872CD"/>
    <w:rsid w:val="0068749E"/>
    <w:rsid w:val="006876C9"/>
    <w:rsid w:val="006876E4"/>
    <w:rsid w:val="006877DB"/>
    <w:rsid w:val="0068781E"/>
    <w:rsid w:val="006879E4"/>
    <w:rsid w:val="00687A5F"/>
    <w:rsid w:val="00687AB8"/>
    <w:rsid w:val="00687C56"/>
    <w:rsid w:val="00687EDB"/>
    <w:rsid w:val="00690491"/>
    <w:rsid w:val="00690658"/>
    <w:rsid w:val="00690B9A"/>
    <w:rsid w:val="00690BDB"/>
    <w:rsid w:val="00690DAC"/>
    <w:rsid w:val="00690E1C"/>
    <w:rsid w:val="00690F88"/>
    <w:rsid w:val="00691100"/>
    <w:rsid w:val="006912C7"/>
    <w:rsid w:val="006912FF"/>
    <w:rsid w:val="006913A2"/>
    <w:rsid w:val="00691441"/>
    <w:rsid w:val="00691451"/>
    <w:rsid w:val="006914BD"/>
    <w:rsid w:val="00691536"/>
    <w:rsid w:val="00691635"/>
    <w:rsid w:val="00691705"/>
    <w:rsid w:val="00691803"/>
    <w:rsid w:val="00691873"/>
    <w:rsid w:val="00691C09"/>
    <w:rsid w:val="00691DAA"/>
    <w:rsid w:val="00691E13"/>
    <w:rsid w:val="006920D8"/>
    <w:rsid w:val="006923FD"/>
    <w:rsid w:val="0069243D"/>
    <w:rsid w:val="006924B0"/>
    <w:rsid w:val="006927BE"/>
    <w:rsid w:val="006929E6"/>
    <w:rsid w:val="00692A16"/>
    <w:rsid w:val="00692DDB"/>
    <w:rsid w:val="00692E89"/>
    <w:rsid w:val="00693095"/>
    <w:rsid w:val="006930CE"/>
    <w:rsid w:val="006932A8"/>
    <w:rsid w:val="006932EE"/>
    <w:rsid w:val="0069345A"/>
    <w:rsid w:val="006934F5"/>
    <w:rsid w:val="0069352C"/>
    <w:rsid w:val="00693550"/>
    <w:rsid w:val="0069356F"/>
    <w:rsid w:val="0069368B"/>
    <w:rsid w:val="00693A19"/>
    <w:rsid w:val="00693D66"/>
    <w:rsid w:val="00693E81"/>
    <w:rsid w:val="00693ECE"/>
    <w:rsid w:val="00693F9A"/>
    <w:rsid w:val="00694056"/>
    <w:rsid w:val="00694198"/>
    <w:rsid w:val="006943F6"/>
    <w:rsid w:val="0069454D"/>
    <w:rsid w:val="006946DA"/>
    <w:rsid w:val="0069485A"/>
    <w:rsid w:val="0069489A"/>
    <w:rsid w:val="00694BD8"/>
    <w:rsid w:val="00694C36"/>
    <w:rsid w:val="00694DA9"/>
    <w:rsid w:val="00694E38"/>
    <w:rsid w:val="006950A6"/>
    <w:rsid w:val="00695115"/>
    <w:rsid w:val="006952A8"/>
    <w:rsid w:val="00695387"/>
    <w:rsid w:val="0069549F"/>
    <w:rsid w:val="006955A5"/>
    <w:rsid w:val="00695608"/>
    <w:rsid w:val="0069573F"/>
    <w:rsid w:val="006957B1"/>
    <w:rsid w:val="0069583A"/>
    <w:rsid w:val="00695C99"/>
    <w:rsid w:val="00695E3A"/>
    <w:rsid w:val="00695FA7"/>
    <w:rsid w:val="00695FC4"/>
    <w:rsid w:val="006960F5"/>
    <w:rsid w:val="006961D9"/>
    <w:rsid w:val="00696331"/>
    <w:rsid w:val="006963D7"/>
    <w:rsid w:val="00696480"/>
    <w:rsid w:val="0069687B"/>
    <w:rsid w:val="00696CBF"/>
    <w:rsid w:val="00696D9A"/>
    <w:rsid w:val="00696EFA"/>
    <w:rsid w:val="00697610"/>
    <w:rsid w:val="006976B3"/>
    <w:rsid w:val="006976EE"/>
    <w:rsid w:val="0069776F"/>
    <w:rsid w:val="00697B18"/>
    <w:rsid w:val="00697B23"/>
    <w:rsid w:val="00697ECC"/>
    <w:rsid w:val="00697ECE"/>
    <w:rsid w:val="00697F94"/>
    <w:rsid w:val="006A0132"/>
    <w:rsid w:val="006A0247"/>
    <w:rsid w:val="006A02B8"/>
    <w:rsid w:val="006A02C6"/>
    <w:rsid w:val="006A050E"/>
    <w:rsid w:val="006A05C1"/>
    <w:rsid w:val="006A06F6"/>
    <w:rsid w:val="006A0703"/>
    <w:rsid w:val="006A0766"/>
    <w:rsid w:val="006A098F"/>
    <w:rsid w:val="006A0CE0"/>
    <w:rsid w:val="006A0D22"/>
    <w:rsid w:val="006A0E3F"/>
    <w:rsid w:val="006A0E7E"/>
    <w:rsid w:val="006A0F95"/>
    <w:rsid w:val="006A0FCA"/>
    <w:rsid w:val="006A0FE4"/>
    <w:rsid w:val="006A0FF0"/>
    <w:rsid w:val="006A1021"/>
    <w:rsid w:val="006A12D2"/>
    <w:rsid w:val="006A1382"/>
    <w:rsid w:val="006A143B"/>
    <w:rsid w:val="006A1593"/>
    <w:rsid w:val="006A15D7"/>
    <w:rsid w:val="006A1683"/>
    <w:rsid w:val="006A1716"/>
    <w:rsid w:val="006A1A56"/>
    <w:rsid w:val="006A1B4E"/>
    <w:rsid w:val="006A1B83"/>
    <w:rsid w:val="006A1D73"/>
    <w:rsid w:val="006A2242"/>
    <w:rsid w:val="006A2246"/>
    <w:rsid w:val="006A22C8"/>
    <w:rsid w:val="006A26D1"/>
    <w:rsid w:val="006A26FE"/>
    <w:rsid w:val="006A2A2D"/>
    <w:rsid w:val="006A2A68"/>
    <w:rsid w:val="006A2A88"/>
    <w:rsid w:val="006A2AA4"/>
    <w:rsid w:val="006A2AB5"/>
    <w:rsid w:val="006A2BB3"/>
    <w:rsid w:val="006A2CA7"/>
    <w:rsid w:val="006A2D86"/>
    <w:rsid w:val="006A2F59"/>
    <w:rsid w:val="006A3004"/>
    <w:rsid w:val="006A3022"/>
    <w:rsid w:val="006A30D7"/>
    <w:rsid w:val="006A30F1"/>
    <w:rsid w:val="006A317E"/>
    <w:rsid w:val="006A329D"/>
    <w:rsid w:val="006A32F8"/>
    <w:rsid w:val="006A359D"/>
    <w:rsid w:val="006A37E7"/>
    <w:rsid w:val="006A37F2"/>
    <w:rsid w:val="006A3810"/>
    <w:rsid w:val="006A3A2C"/>
    <w:rsid w:val="006A3AE7"/>
    <w:rsid w:val="006A3B9F"/>
    <w:rsid w:val="006A3F90"/>
    <w:rsid w:val="006A4071"/>
    <w:rsid w:val="006A46F4"/>
    <w:rsid w:val="006A47A1"/>
    <w:rsid w:val="006A4891"/>
    <w:rsid w:val="006A4926"/>
    <w:rsid w:val="006A4ABB"/>
    <w:rsid w:val="006A4BC6"/>
    <w:rsid w:val="006A4CF8"/>
    <w:rsid w:val="006A4D7F"/>
    <w:rsid w:val="006A4EE8"/>
    <w:rsid w:val="006A5174"/>
    <w:rsid w:val="006A524C"/>
    <w:rsid w:val="006A5347"/>
    <w:rsid w:val="006A56FB"/>
    <w:rsid w:val="006A5822"/>
    <w:rsid w:val="006A5A68"/>
    <w:rsid w:val="006A5BCF"/>
    <w:rsid w:val="006A5E30"/>
    <w:rsid w:val="006A5E31"/>
    <w:rsid w:val="006A6026"/>
    <w:rsid w:val="006A628E"/>
    <w:rsid w:val="006A62AE"/>
    <w:rsid w:val="006A6441"/>
    <w:rsid w:val="006A69BB"/>
    <w:rsid w:val="006A6B56"/>
    <w:rsid w:val="006A6E42"/>
    <w:rsid w:val="006A72A7"/>
    <w:rsid w:val="006A74E3"/>
    <w:rsid w:val="006A75AB"/>
    <w:rsid w:val="006A7892"/>
    <w:rsid w:val="006A792B"/>
    <w:rsid w:val="006A7BDF"/>
    <w:rsid w:val="006A7D75"/>
    <w:rsid w:val="006A7DCF"/>
    <w:rsid w:val="006A7F1D"/>
    <w:rsid w:val="006A7FA7"/>
    <w:rsid w:val="006B043D"/>
    <w:rsid w:val="006B05C7"/>
    <w:rsid w:val="006B06FC"/>
    <w:rsid w:val="006B0713"/>
    <w:rsid w:val="006B08E7"/>
    <w:rsid w:val="006B0901"/>
    <w:rsid w:val="006B0AA4"/>
    <w:rsid w:val="006B0D19"/>
    <w:rsid w:val="006B0DCA"/>
    <w:rsid w:val="006B0DF0"/>
    <w:rsid w:val="006B0E2B"/>
    <w:rsid w:val="006B0F89"/>
    <w:rsid w:val="006B10E3"/>
    <w:rsid w:val="006B11D5"/>
    <w:rsid w:val="006B11E0"/>
    <w:rsid w:val="006B122D"/>
    <w:rsid w:val="006B16CF"/>
    <w:rsid w:val="006B16D4"/>
    <w:rsid w:val="006B1736"/>
    <w:rsid w:val="006B1845"/>
    <w:rsid w:val="006B1AC3"/>
    <w:rsid w:val="006B1B16"/>
    <w:rsid w:val="006B1DBE"/>
    <w:rsid w:val="006B20FB"/>
    <w:rsid w:val="006B2429"/>
    <w:rsid w:val="006B2430"/>
    <w:rsid w:val="006B246A"/>
    <w:rsid w:val="006B2473"/>
    <w:rsid w:val="006B24BD"/>
    <w:rsid w:val="006B2D70"/>
    <w:rsid w:val="006B2E30"/>
    <w:rsid w:val="006B305D"/>
    <w:rsid w:val="006B32C8"/>
    <w:rsid w:val="006B3427"/>
    <w:rsid w:val="006B345B"/>
    <w:rsid w:val="006B396C"/>
    <w:rsid w:val="006B39D3"/>
    <w:rsid w:val="006B3A10"/>
    <w:rsid w:val="006B3ACD"/>
    <w:rsid w:val="006B3AE1"/>
    <w:rsid w:val="006B3B0A"/>
    <w:rsid w:val="006B3C23"/>
    <w:rsid w:val="006B3E10"/>
    <w:rsid w:val="006B3FE9"/>
    <w:rsid w:val="006B40E7"/>
    <w:rsid w:val="006B4154"/>
    <w:rsid w:val="006B41A7"/>
    <w:rsid w:val="006B4357"/>
    <w:rsid w:val="006B436D"/>
    <w:rsid w:val="006B438B"/>
    <w:rsid w:val="006B43FE"/>
    <w:rsid w:val="006B44DB"/>
    <w:rsid w:val="006B476E"/>
    <w:rsid w:val="006B4A4B"/>
    <w:rsid w:val="006B4B87"/>
    <w:rsid w:val="006B4DDD"/>
    <w:rsid w:val="006B4EBA"/>
    <w:rsid w:val="006B4F58"/>
    <w:rsid w:val="006B4FCF"/>
    <w:rsid w:val="006B52D6"/>
    <w:rsid w:val="006B53C4"/>
    <w:rsid w:val="006B54B3"/>
    <w:rsid w:val="006B5688"/>
    <w:rsid w:val="006B56E9"/>
    <w:rsid w:val="006B5BCA"/>
    <w:rsid w:val="006B5C26"/>
    <w:rsid w:val="006B5C89"/>
    <w:rsid w:val="006B5E0C"/>
    <w:rsid w:val="006B5EED"/>
    <w:rsid w:val="006B67D3"/>
    <w:rsid w:val="006B692D"/>
    <w:rsid w:val="006B6CED"/>
    <w:rsid w:val="006B6D2D"/>
    <w:rsid w:val="006B6D69"/>
    <w:rsid w:val="006B6DEF"/>
    <w:rsid w:val="006B705C"/>
    <w:rsid w:val="006B76C6"/>
    <w:rsid w:val="006B76F1"/>
    <w:rsid w:val="006B76FF"/>
    <w:rsid w:val="006B786A"/>
    <w:rsid w:val="006B7A21"/>
    <w:rsid w:val="006B7B70"/>
    <w:rsid w:val="006B7BE8"/>
    <w:rsid w:val="006B7D14"/>
    <w:rsid w:val="006B7D8A"/>
    <w:rsid w:val="006B7E90"/>
    <w:rsid w:val="006C0157"/>
    <w:rsid w:val="006C01EA"/>
    <w:rsid w:val="006C0220"/>
    <w:rsid w:val="006C03B8"/>
    <w:rsid w:val="006C0420"/>
    <w:rsid w:val="006C0572"/>
    <w:rsid w:val="006C05EF"/>
    <w:rsid w:val="006C07FB"/>
    <w:rsid w:val="006C0865"/>
    <w:rsid w:val="006C0930"/>
    <w:rsid w:val="006C0A64"/>
    <w:rsid w:val="006C0B01"/>
    <w:rsid w:val="006C0C24"/>
    <w:rsid w:val="006C0CEB"/>
    <w:rsid w:val="006C0E17"/>
    <w:rsid w:val="006C0EDA"/>
    <w:rsid w:val="006C0F6B"/>
    <w:rsid w:val="006C1016"/>
    <w:rsid w:val="006C105E"/>
    <w:rsid w:val="006C1142"/>
    <w:rsid w:val="006C1279"/>
    <w:rsid w:val="006C135F"/>
    <w:rsid w:val="006C176A"/>
    <w:rsid w:val="006C1B5D"/>
    <w:rsid w:val="006C1BBD"/>
    <w:rsid w:val="006C1C7D"/>
    <w:rsid w:val="006C1DBC"/>
    <w:rsid w:val="006C1E78"/>
    <w:rsid w:val="006C1EA3"/>
    <w:rsid w:val="006C21C0"/>
    <w:rsid w:val="006C2285"/>
    <w:rsid w:val="006C228B"/>
    <w:rsid w:val="006C23CC"/>
    <w:rsid w:val="006C277E"/>
    <w:rsid w:val="006C2873"/>
    <w:rsid w:val="006C29FA"/>
    <w:rsid w:val="006C2A13"/>
    <w:rsid w:val="006C2B0D"/>
    <w:rsid w:val="006C2B4F"/>
    <w:rsid w:val="006C2B77"/>
    <w:rsid w:val="006C2B96"/>
    <w:rsid w:val="006C2BFC"/>
    <w:rsid w:val="006C2C76"/>
    <w:rsid w:val="006C2CA9"/>
    <w:rsid w:val="006C2D55"/>
    <w:rsid w:val="006C2E67"/>
    <w:rsid w:val="006C30D8"/>
    <w:rsid w:val="006C311E"/>
    <w:rsid w:val="006C36A7"/>
    <w:rsid w:val="006C3791"/>
    <w:rsid w:val="006C38BB"/>
    <w:rsid w:val="006C3997"/>
    <w:rsid w:val="006C3B34"/>
    <w:rsid w:val="006C3B5F"/>
    <w:rsid w:val="006C3C1C"/>
    <w:rsid w:val="006C3CB4"/>
    <w:rsid w:val="006C3D71"/>
    <w:rsid w:val="006C3EA8"/>
    <w:rsid w:val="006C3F10"/>
    <w:rsid w:val="006C3F6B"/>
    <w:rsid w:val="006C4003"/>
    <w:rsid w:val="006C404E"/>
    <w:rsid w:val="006C4320"/>
    <w:rsid w:val="006C4463"/>
    <w:rsid w:val="006C4606"/>
    <w:rsid w:val="006C48D0"/>
    <w:rsid w:val="006C4A5A"/>
    <w:rsid w:val="006C4B14"/>
    <w:rsid w:val="006C4B1D"/>
    <w:rsid w:val="006C4B7A"/>
    <w:rsid w:val="006C4D4A"/>
    <w:rsid w:val="006C4DBA"/>
    <w:rsid w:val="006C4E80"/>
    <w:rsid w:val="006C4E9A"/>
    <w:rsid w:val="006C512C"/>
    <w:rsid w:val="006C5363"/>
    <w:rsid w:val="006C540E"/>
    <w:rsid w:val="006C5564"/>
    <w:rsid w:val="006C5596"/>
    <w:rsid w:val="006C55B6"/>
    <w:rsid w:val="006C569A"/>
    <w:rsid w:val="006C5799"/>
    <w:rsid w:val="006C583A"/>
    <w:rsid w:val="006C586D"/>
    <w:rsid w:val="006C60AF"/>
    <w:rsid w:val="006C60E8"/>
    <w:rsid w:val="006C63AF"/>
    <w:rsid w:val="006C6582"/>
    <w:rsid w:val="006C666B"/>
    <w:rsid w:val="006C685F"/>
    <w:rsid w:val="006C688E"/>
    <w:rsid w:val="006C6987"/>
    <w:rsid w:val="006C6CFC"/>
    <w:rsid w:val="006C6EC0"/>
    <w:rsid w:val="006C7000"/>
    <w:rsid w:val="006C72C7"/>
    <w:rsid w:val="006C7702"/>
    <w:rsid w:val="006C7714"/>
    <w:rsid w:val="006C7923"/>
    <w:rsid w:val="006C7A9F"/>
    <w:rsid w:val="006C7BEC"/>
    <w:rsid w:val="006C7C61"/>
    <w:rsid w:val="006C7D7D"/>
    <w:rsid w:val="006D0075"/>
    <w:rsid w:val="006D0090"/>
    <w:rsid w:val="006D00DC"/>
    <w:rsid w:val="006D0193"/>
    <w:rsid w:val="006D0207"/>
    <w:rsid w:val="006D04AE"/>
    <w:rsid w:val="006D0542"/>
    <w:rsid w:val="006D0584"/>
    <w:rsid w:val="006D058E"/>
    <w:rsid w:val="006D073C"/>
    <w:rsid w:val="006D0814"/>
    <w:rsid w:val="006D082B"/>
    <w:rsid w:val="006D0832"/>
    <w:rsid w:val="006D08AC"/>
    <w:rsid w:val="006D0B23"/>
    <w:rsid w:val="006D0B5E"/>
    <w:rsid w:val="006D0BF3"/>
    <w:rsid w:val="006D0DC9"/>
    <w:rsid w:val="006D0E5A"/>
    <w:rsid w:val="006D0E91"/>
    <w:rsid w:val="006D0F03"/>
    <w:rsid w:val="006D1044"/>
    <w:rsid w:val="006D117F"/>
    <w:rsid w:val="006D125C"/>
    <w:rsid w:val="006D12C0"/>
    <w:rsid w:val="006D1381"/>
    <w:rsid w:val="006D138D"/>
    <w:rsid w:val="006D1421"/>
    <w:rsid w:val="006D14FE"/>
    <w:rsid w:val="006D159F"/>
    <w:rsid w:val="006D1661"/>
    <w:rsid w:val="006D1668"/>
    <w:rsid w:val="006D1742"/>
    <w:rsid w:val="006D1809"/>
    <w:rsid w:val="006D188D"/>
    <w:rsid w:val="006D194E"/>
    <w:rsid w:val="006D20E0"/>
    <w:rsid w:val="006D235C"/>
    <w:rsid w:val="006D2386"/>
    <w:rsid w:val="006D2980"/>
    <w:rsid w:val="006D2B27"/>
    <w:rsid w:val="006D2B65"/>
    <w:rsid w:val="006D2B91"/>
    <w:rsid w:val="006D2D51"/>
    <w:rsid w:val="006D2D73"/>
    <w:rsid w:val="006D2EBC"/>
    <w:rsid w:val="006D31B3"/>
    <w:rsid w:val="006D36F1"/>
    <w:rsid w:val="006D3741"/>
    <w:rsid w:val="006D3B6A"/>
    <w:rsid w:val="006D3B80"/>
    <w:rsid w:val="006D3D0F"/>
    <w:rsid w:val="006D3D50"/>
    <w:rsid w:val="006D3D54"/>
    <w:rsid w:val="006D3E99"/>
    <w:rsid w:val="006D3FDC"/>
    <w:rsid w:val="006D4013"/>
    <w:rsid w:val="006D4543"/>
    <w:rsid w:val="006D4597"/>
    <w:rsid w:val="006D468D"/>
    <w:rsid w:val="006D4898"/>
    <w:rsid w:val="006D48D4"/>
    <w:rsid w:val="006D4B31"/>
    <w:rsid w:val="006D4C80"/>
    <w:rsid w:val="006D5028"/>
    <w:rsid w:val="006D5121"/>
    <w:rsid w:val="006D5139"/>
    <w:rsid w:val="006D52FC"/>
    <w:rsid w:val="006D536F"/>
    <w:rsid w:val="006D53C3"/>
    <w:rsid w:val="006D55EB"/>
    <w:rsid w:val="006D5819"/>
    <w:rsid w:val="006D5BBD"/>
    <w:rsid w:val="006D5BFD"/>
    <w:rsid w:val="006D5CAD"/>
    <w:rsid w:val="006D5D6F"/>
    <w:rsid w:val="006D5F98"/>
    <w:rsid w:val="006D5FAE"/>
    <w:rsid w:val="006D605A"/>
    <w:rsid w:val="006D61B2"/>
    <w:rsid w:val="006D62E0"/>
    <w:rsid w:val="006D63F5"/>
    <w:rsid w:val="006D648A"/>
    <w:rsid w:val="006D68F7"/>
    <w:rsid w:val="006D69A3"/>
    <w:rsid w:val="006D6A05"/>
    <w:rsid w:val="006D6CE4"/>
    <w:rsid w:val="006D6D10"/>
    <w:rsid w:val="006D6D9A"/>
    <w:rsid w:val="006D6DD8"/>
    <w:rsid w:val="006D6EB5"/>
    <w:rsid w:val="006D7153"/>
    <w:rsid w:val="006D735B"/>
    <w:rsid w:val="006D7368"/>
    <w:rsid w:val="006D760E"/>
    <w:rsid w:val="006D76D8"/>
    <w:rsid w:val="006D7820"/>
    <w:rsid w:val="006D783E"/>
    <w:rsid w:val="006D78CD"/>
    <w:rsid w:val="006D79E5"/>
    <w:rsid w:val="006D7A21"/>
    <w:rsid w:val="006D7A77"/>
    <w:rsid w:val="006D7BD1"/>
    <w:rsid w:val="006D7F35"/>
    <w:rsid w:val="006D7FC2"/>
    <w:rsid w:val="006E00D0"/>
    <w:rsid w:val="006E033B"/>
    <w:rsid w:val="006E03AA"/>
    <w:rsid w:val="006E06B7"/>
    <w:rsid w:val="006E08B4"/>
    <w:rsid w:val="006E091D"/>
    <w:rsid w:val="006E09DA"/>
    <w:rsid w:val="006E0A34"/>
    <w:rsid w:val="006E0AAE"/>
    <w:rsid w:val="006E1148"/>
    <w:rsid w:val="006E122E"/>
    <w:rsid w:val="006E1235"/>
    <w:rsid w:val="006E1462"/>
    <w:rsid w:val="006E1540"/>
    <w:rsid w:val="006E166F"/>
    <w:rsid w:val="006E169C"/>
    <w:rsid w:val="006E16A5"/>
    <w:rsid w:val="006E16ED"/>
    <w:rsid w:val="006E172B"/>
    <w:rsid w:val="006E1A52"/>
    <w:rsid w:val="006E1AFA"/>
    <w:rsid w:val="006E1BFF"/>
    <w:rsid w:val="006E1CAE"/>
    <w:rsid w:val="006E1D39"/>
    <w:rsid w:val="006E1FE5"/>
    <w:rsid w:val="006E2211"/>
    <w:rsid w:val="006E2298"/>
    <w:rsid w:val="006E25F5"/>
    <w:rsid w:val="006E2672"/>
    <w:rsid w:val="006E27E1"/>
    <w:rsid w:val="006E2B9A"/>
    <w:rsid w:val="006E2BD6"/>
    <w:rsid w:val="006E2BF3"/>
    <w:rsid w:val="006E2BF6"/>
    <w:rsid w:val="006E2D44"/>
    <w:rsid w:val="006E2D79"/>
    <w:rsid w:val="006E2F80"/>
    <w:rsid w:val="006E2FC3"/>
    <w:rsid w:val="006E30E5"/>
    <w:rsid w:val="006E316F"/>
    <w:rsid w:val="006E31DD"/>
    <w:rsid w:val="006E3367"/>
    <w:rsid w:val="006E352A"/>
    <w:rsid w:val="006E354E"/>
    <w:rsid w:val="006E37A5"/>
    <w:rsid w:val="006E3807"/>
    <w:rsid w:val="006E382A"/>
    <w:rsid w:val="006E3B20"/>
    <w:rsid w:val="006E3E6E"/>
    <w:rsid w:val="006E3EF2"/>
    <w:rsid w:val="006E404E"/>
    <w:rsid w:val="006E4082"/>
    <w:rsid w:val="006E4085"/>
    <w:rsid w:val="006E4340"/>
    <w:rsid w:val="006E439C"/>
    <w:rsid w:val="006E43D1"/>
    <w:rsid w:val="006E480C"/>
    <w:rsid w:val="006E4A02"/>
    <w:rsid w:val="006E4AE4"/>
    <w:rsid w:val="006E4D4A"/>
    <w:rsid w:val="006E4DB0"/>
    <w:rsid w:val="006E4DD7"/>
    <w:rsid w:val="006E4FE7"/>
    <w:rsid w:val="006E517F"/>
    <w:rsid w:val="006E52A9"/>
    <w:rsid w:val="006E52BF"/>
    <w:rsid w:val="006E53B5"/>
    <w:rsid w:val="006E556F"/>
    <w:rsid w:val="006E5992"/>
    <w:rsid w:val="006E5DE5"/>
    <w:rsid w:val="006E5EF2"/>
    <w:rsid w:val="006E5EF8"/>
    <w:rsid w:val="006E60A3"/>
    <w:rsid w:val="006E60C8"/>
    <w:rsid w:val="006E62C2"/>
    <w:rsid w:val="006E62C8"/>
    <w:rsid w:val="006E6553"/>
    <w:rsid w:val="006E6649"/>
    <w:rsid w:val="006E679B"/>
    <w:rsid w:val="006E6FC4"/>
    <w:rsid w:val="006E703D"/>
    <w:rsid w:val="006E7058"/>
    <w:rsid w:val="006E7205"/>
    <w:rsid w:val="006E7215"/>
    <w:rsid w:val="006E79B9"/>
    <w:rsid w:val="006E7A0A"/>
    <w:rsid w:val="006E7AEC"/>
    <w:rsid w:val="006E7DAF"/>
    <w:rsid w:val="006F0112"/>
    <w:rsid w:val="006F02B4"/>
    <w:rsid w:val="006F03AA"/>
    <w:rsid w:val="006F050A"/>
    <w:rsid w:val="006F0578"/>
    <w:rsid w:val="006F0671"/>
    <w:rsid w:val="006F0674"/>
    <w:rsid w:val="006F06EB"/>
    <w:rsid w:val="006F092E"/>
    <w:rsid w:val="006F0970"/>
    <w:rsid w:val="006F0D4B"/>
    <w:rsid w:val="006F0DE0"/>
    <w:rsid w:val="006F0E0C"/>
    <w:rsid w:val="006F0F21"/>
    <w:rsid w:val="006F131C"/>
    <w:rsid w:val="006F17E4"/>
    <w:rsid w:val="006F1918"/>
    <w:rsid w:val="006F1E08"/>
    <w:rsid w:val="006F1E29"/>
    <w:rsid w:val="006F1E51"/>
    <w:rsid w:val="006F1FCE"/>
    <w:rsid w:val="006F20EE"/>
    <w:rsid w:val="006F20F6"/>
    <w:rsid w:val="006F21F7"/>
    <w:rsid w:val="006F230A"/>
    <w:rsid w:val="006F2392"/>
    <w:rsid w:val="006F265E"/>
    <w:rsid w:val="006F2912"/>
    <w:rsid w:val="006F29A6"/>
    <w:rsid w:val="006F2B2D"/>
    <w:rsid w:val="006F2B5F"/>
    <w:rsid w:val="006F2C00"/>
    <w:rsid w:val="006F3774"/>
    <w:rsid w:val="006F3797"/>
    <w:rsid w:val="006F3FFB"/>
    <w:rsid w:val="006F4157"/>
    <w:rsid w:val="006F426F"/>
    <w:rsid w:val="006F432E"/>
    <w:rsid w:val="006F4512"/>
    <w:rsid w:val="006F454B"/>
    <w:rsid w:val="006F45AD"/>
    <w:rsid w:val="006F45FE"/>
    <w:rsid w:val="006F4949"/>
    <w:rsid w:val="006F4C68"/>
    <w:rsid w:val="006F5060"/>
    <w:rsid w:val="006F5095"/>
    <w:rsid w:val="006F518D"/>
    <w:rsid w:val="006F52DA"/>
    <w:rsid w:val="006F54AE"/>
    <w:rsid w:val="006F54DB"/>
    <w:rsid w:val="006F5555"/>
    <w:rsid w:val="006F5562"/>
    <w:rsid w:val="006F57DB"/>
    <w:rsid w:val="006F5894"/>
    <w:rsid w:val="006F5A48"/>
    <w:rsid w:val="006F5A4A"/>
    <w:rsid w:val="006F5C1F"/>
    <w:rsid w:val="006F5C9A"/>
    <w:rsid w:val="006F5CE6"/>
    <w:rsid w:val="006F5D71"/>
    <w:rsid w:val="006F5D87"/>
    <w:rsid w:val="006F5EBB"/>
    <w:rsid w:val="006F601A"/>
    <w:rsid w:val="006F60AD"/>
    <w:rsid w:val="006F62C1"/>
    <w:rsid w:val="006F637B"/>
    <w:rsid w:val="006F6417"/>
    <w:rsid w:val="006F6606"/>
    <w:rsid w:val="006F6611"/>
    <w:rsid w:val="006F6616"/>
    <w:rsid w:val="006F684C"/>
    <w:rsid w:val="006F69BB"/>
    <w:rsid w:val="006F6A7C"/>
    <w:rsid w:val="006F6C75"/>
    <w:rsid w:val="006F6D1A"/>
    <w:rsid w:val="006F6D41"/>
    <w:rsid w:val="006F6DCB"/>
    <w:rsid w:val="006F6FB3"/>
    <w:rsid w:val="006F70E3"/>
    <w:rsid w:val="006F7270"/>
    <w:rsid w:val="006F72A9"/>
    <w:rsid w:val="006F72E4"/>
    <w:rsid w:val="006F7449"/>
    <w:rsid w:val="006F74D1"/>
    <w:rsid w:val="006F7AE5"/>
    <w:rsid w:val="006F7B5B"/>
    <w:rsid w:val="006F7C13"/>
    <w:rsid w:val="006F7E10"/>
    <w:rsid w:val="006F7FDF"/>
    <w:rsid w:val="0070045B"/>
    <w:rsid w:val="007006A4"/>
    <w:rsid w:val="00700729"/>
    <w:rsid w:val="00700781"/>
    <w:rsid w:val="00700947"/>
    <w:rsid w:val="007009EF"/>
    <w:rsid w:val="00700ADE"/>
    <w:rsid w:val="00700BAD"/>
    <w:rsid w:val="00700F68"/>
    <w:rsid w:val="00700F8E"/>
    <w:rsid w:val="007010F0"/>
    <w:rsid w:val="00701127"/>
    <w:rsid w:val="00701355"/>
    <w:rsid w:val="007013FA"/>
    <w:rsid w:val="00701538"/>
    <w:rsid w:val="007015A9"/>
    <w:rsid w:val="007018A7"/>
    <w:rsid w:val="007018A9"/>
    <w:rsid w:val="00701BDC"/>
    <w:rsid w:val="00701D59"/>
    <w:rsid w:val="00701F5E"/>
    <w:rsid w:val="007023A2"/>
    <w:rsid w:val="007025AD"/>
    <w:rsid w:val="0070297C"/>
    <w:rsid w:val="00702985"/>
    <w:rsid w:val="00702E0E"/>
    <w:rsid w:val="00702E68"/>
    <w:rsid w:val="00702F33"/>
    <w:rsid w:val="00702F3F"/>
    <w:rsid w:val="00703055"/>
    <w:rsid w:val="007030D8"/>
    <w:rsid w:val="00703196"/>
    <w:rsid w:val="00703274"/>
    <w:rsid w:val="0070381A"/>
    <w:rsid w:val="0070382C"/>
    <w:rsid w:val="0070388C"/>
    <w:rsid w:val="00703917"/>
    <w:rsid w:val="00703BDA"/>
    <w:rsid w:val="00703C39"/>
    <w:rsid w:val="00703E83"/>
    <w:rsid w:val="00704054"/>
    <w:rsid w:val="00704147"/>
    <w:rsid w:val="0070439C"/>
    <w:rsid w:val="00704891"/>
    <w:rsid w:val="00704BAC"/>
    <w:rsid w:val="00704D8E"/>
    <w:rsid w:val="00704E19"/>
    <w:rsid w:val="0070507A"/>
    <w:rsid w:val="007050E5"/>
    <w:rsid w:val="00705321"/>
    <w:rsid w:val="00705391"/>
    <w:rsid w:val="00705447"/>
    <w:rsid w:val="00705453"/>
    <w:rsid w:val="0070546C"/>
    <w:rsid w:val="0070546E"/>
    <w:rsid w:val="007054CA"/>
    <w:rsid w:val="0070578B"/>
    <w:rsid w:val="00705915"/>
    <w:rsid w:val="00705A47"/>
    <w:rsid w:val="00705B8C"/>
    <w:rsid w:val="00705C55"/>
    <w:rsid w:val="00705EFA"/>
    <w:rsid w:val="007061F4"/>
    <w:rsid w:val="00706329"/>
    <w:rsid w:val="00706463"/>
    <w:rsid w:val="0070666D"/>
    <w:rsid w:val="00706706"/>
    <w:rsid w:val="00706810"/>
    <w:rsid w:val="00706932"/>
    <w:rsid w:val="0070693E"/>
    <w:rsid w:val="00706ABC"/>
    <w:rsid w:val="00706AE3"/>
    <w:rsid w:val="00706C36"/>
    <w:rsid w:val="00706D16"/>
    <w:rsid w:val="00706D97"/>
    <w:rsid w:val="00706ED9"/>
    <w:rsid w:val="00706EDF"/>
    <w:rsid w:val="00706FE3"/>
    <w:rsid w:val="0070715B"/>
    <w:rsid w:val="0070726E"/>
    <w:rsid w:val="007072C3"/>
    <w:rsid w:val="007072F3"/>
    <w:rsid w:val="00707496"/>
    <w:rsid w:val="00707551"/>
    <w:rsid w:val="00707727"/>
    <w:rsid w:val="00707A1A"/>
    <w:rsid w:val="00707A74"/>
    <w:rsid w:val="00707A94"/>
    <w:rsid w:val="00707BC9"/>
    <w:rsid w:val="00707D0F"/>
    <w:rsid w:val="00707DAE"/>
    <w:rsid w:val="00707DD3"/>
    <w:rsid w:val="007100DD"/>
    <w:rsid w:val="007100E9"/>
    <w:rsid w:val="007101B3"/>
    <w:rsid w:val="00710262"/>
    <w:rsid w:val="00710303"/>
    <w:rsid w:val="0071038E"/>
    <w:rsid w:val="007108C1"/>
    <w:rsid w:val="007108CF"/>
    <w:rsid w:val="007109CC"/>
    <w:rsid w:val="00710AD4"/>
    <w:rsid w:val="00710C18"/>
    <w:rsid w:val="00710C5B"/>
    <w:rsid w:val="00710C7F"/>
    <w:rsid w:val="00710D2A"/>
    <w:rsid w:val="00710D40"/>
    <w:rsid w:val="00710D42"/>
    <w:rsid w:val="00710D95"/>
    <w:rsid w:val="00710F65"/>
    <w:rsid w:val="00710FE9"/>
    <w:rsid w:val="007110DE"/>
    <w:rsid w:val="00711221"/>
    <w:rsid w:val="007112C6"/>
    <w:rsid w:val="00711392"/>
    <w:rsid w:val="007114DC"/>
    <w:rsid w:val="007114DF"/>
    <w:rsid w:val="00711556"/>
    <w:rsid w:val="007115E5"/>
    <w:rsid w:val="00711719"/>
    <w:rsid w:val="007118AC"/>
    <w:rsid w:val="007118BD"/>
    <w:rsid w:val="007118D8"/>
    <w:rsid w:val="00711A30"/>
    <w:rsid w:val="00711ABD"/>
    <w:rsid w:val="00711F27"/>
    <w:rsid w:val="00711FAA"/>
    <w:rsid w:val="0071208F"/>
    <w:rsid w:val="0071216A"/>
    <w:rsid w:val="007126A9"/>
    <w:rsid w:val="00712833"/>
    <w:rsid w:val="0071283B"/>
    <w:rsid w:val="00712849"/>
    <w:rsid w:val="00712A12"/>
    <w:rsid w:val="00712A62"/>
    <w:rsid w:val="00712B43"/>
    <w:rsid w:val="00712BDE"/>
    <w:rsid w:val="00712BF5"/>
    <w:rsid w:val="00712C61"/>
    <w:rsid w:val="00713224"/>
    <w:rsid w:val="0071329A"/>
    <w:rsid w:val="00713571"/>
    <w:rsid w:val="00713663"/>
    <w:rsid w:val="0071394D"/>
    <w:rsid w:val="00713B7B"/>
    <w:rsid w:val="00713BAE"/>
    <w:rsid w:val="00713C31"/>
    <w:rsid w:val="00713DD1"/>
    <w:rsid w:val="00713EC0"/>
    <w:rsid w:val="00713F9A"/>
    <w:rsid w:val="00714057"/>
    <w:rsid w:val="0071426D"/>
    <w:rsid w:val="00714421"/>
    <w:rsid w:val="00714544"/>
    <w:rsid w:val="00714590"/>
    <w:rsid w:val="00714596"/>
    <w:rsid w:val="0071459D"/>
    <w:rsid w:val="00714651"/>
    <w:rsid w:val="0071466D"/>
    <w:rsid w:val="00714679"/>
    <w:rsid w:val="007148D4"/>
    <w:rsid w:val="00714A2B"/>
    <w:rsid w:val="00714D38"/>
    <w:rsid w:val="00714E0A"/>
    <w:rsid w:val="00714E31"/>
    <w:rsid w:val="00715009"/>
    <w:rsid w:val="007150AC"/>
    <w:rsid w:val="007152FD"/>
    <w:rsid w:val="00715542"/>
    <w:rsid w:val="00715820"/>
    <w:rsid w:val="00715944"/>
    <w:rsid w:val="00715AD5"/>
    <w:rsid w:val="00715D93"/>
    <w:rsid w:val="00715DB0"/>
    <w:rsid w:val="00715FDB"/>
    <w:rsid w:val="007164C9"/>
    <w:rsid w:val="007165C1"/>
    <w:rsid w:val="00716A2E"/>
    <w:rsid w:val="00716AFA"/>
    <w:rsid w:val="00716B52"/>
    <w:rsid w:val="00716DA1"/>
    <w:rsid w:val="007170FA"/>
    <w:rsid w:val="00717176"/>
    <w:rsid w:val="00717985"/>
    <w:rsid w:val="007179DD"/>
    <w:rsid w:val="00717E40"/>
    <w:rsid w:val="00720103"/>
    <w:rsid w:val="007202B4"/>
    <w:rsid w:val="007202E3"/>
    <w:rsid w:val="00720357"/>
    <w:rsid w:val="007209DE"/>
    <w:rsid w:val="00720E9E"/>
    <w:rsid w:val="00720EBA"/>
    <w:rsid w:val="00720F38"/>
    <w:rsid w:val="007211A3"/>
    <w:rsid w:val="0072127C"/>
    <w:rsid w:val="00721588"/>
    <w:rsid w:val="0072190E"/>
    <w:rsid w:val="00721B12"/>
    <w:rsid w:val="0072221B"/>
    <w:rsid w:val="00722229"/>
    <w:rsid w:val="007222F0"/>
    <w:rsid w:val="007222F9"/>
    <w:rsid w:val="00722437"/>
    <w:rsid w:val="00722485"/>
    <w:rsid w:val="00722725"/>
    <w:rsid w:val="0072274A"/>
    <w:rsid w:val="007227A2"/>
    <w:rsid w:val="007227F6"/>
    <w:rsid w:val="007228FC"/>
    <w:rsid w:val="0072299E"/>
    <w:rsid w:val="00722AF8"/>
    <w:rsid w:val="00722B7D"/>
    <w:rsid w:val="00722B8A"/>
    <w:rsid w:val="00722C33"/>
    <w:rsid w:val="00722D61"/>
    <w:rsid w:val="00722D65"/>
    <w:rsid w:val="0072310D"/>
    <w:rsid w:val="007231A3"/>
    <w:rsid w:val="007231D7"/>
    <w:rsid w:val="007232EF"/>
    <w:rsid w:val="00723304"/>
    <w:rsid w:val="00723308"/>
    <w:rsid w:val="0072330D"/>
    <w:rsid w:val="0072335E"/>
    <w:rsid w:val="0072339B"/>
    <w:rsid w:val="007236CA"/>
    <w:rsid w:val="007236D1"/>
    <w:rsid w:val="007236F6"/>
    <w:rsid w:val="007239C7"/>
    <w:rsid w:val="00723A72"/>
    <w:rsid w:val="00723CF6"/>
    <w:rsid w:val="00723E34"/>
    <w:rsid w:val="00723E4C"/>
    <w:rsid w:val="00723EAB"/>
    <w:rsid w:val="00723FC1"/>
    <w:rsid w:val="007240FD"/>
    <w:rsid w:val="007241BA"/>
    <w:rsid w:val="0072433F"/>
    <w:rsid w:val="007244BA"/>
    <w:rsid w:val="0072451A"/>
    <w:rsid w:val="007247C6"/>
    <w:rsid w:val="00724844"/>
    <w:rsid w:val="00724862"/>
    <w:rsid w:val="0072493C"/>
    <w:rsid w:val="00724B98"/>
    <w:rsid w:val="00724D16"/>
    <w:rsid w:val="00724F95"/>
    <w:rsid w:val="00724FE6"/>
    <w:rsid w:val="007250BA"/>
    <w:rsid w:val="00725386"/>
    <w:rsid w:val="007254FB"/>
    <w:rsid w:val="00725563"/>
    <w:rsid w:val="00725DE9"/>
    <w:rsid w:val="007261DC"/>
    <w:rsid w:val="0072651D"/>
    <w:rsid w:val="00726988"/>
    <w:rsid w:val="00726A46"/>
    <w:rsid w:val="00726BC0"/>
    <w:rsid w:val="00726C12"/>
    <w:rsid w:val="00726EB3"/>
    <w:rsid w:val="00726FC1"/>
    <w:rsid w:val="007270BE"/>
    <w:rsid w:val="007272DF"/>
    <w:rsid w:val="007272E9"/>
    <w:rsid w:val="00727334"/>
    <w:rsid w:val="007275DF"/>
    <w:rsid w:val="00727793"/>
    <w:rsid w:val="0072784D"/>
    <w:rsid w:val="00727C15"/>
    <w:rsid w:val="00727C39"/>
    <w:rsid w:val="00730177"/>
    <w:rsid w:val="00730285"/>
    <w:rsid w:val="007302F8"/>
    <w:rsid w:val="00730475"/>
    <w:rsid w:val="007305AB"/>
    <w:rsid w:val="00730638"/>
    <w:rsid w:val="007307A1"/>
    <w:rsid w:val="007307AE"/>
    <w:rsid w:val="007309E9"/>
    <w:rsid w:val="00730A91"/>
    <w:rsid w:val="00730CA6"/>
    <w:rsid w:val="00730DC6"/>
    <w:rsid w:val="00730DFF"/>
    <w:rsid w:val="00730EFD"/>
    <w:rsid w:val="007310C8"/>
    <w:rsid w:val="007310DC"/>
    <w:rsid w:val="00731198"/>
    <w:rsid w:val="00731210"/>
    <w:rsid w:val="0073123B"/>
    <w:rsid w:val="0073128A"/>
    <w:rsid w:val="007312C5"/>
    <w:rsid w:val="00731542"/>
    <w:rsid w:val="007316DB"/>
    <w:rsid w:val="0073170D"/>
    <w:rsid w:val="007318DE"/>
    <w:rsid w:val="00731A15"/>
    <w:rsid w:val="00731B0D"/>
    <w:rsid w:val="00731C4B"/>
    <w:rsid w:val="00731C6A"/>
    <w:rsid w:val="00731C90"/>
    <w:rsid w:val="00731D12"/>
    <w:rsid w:val="00731D32"/>
    <w:rsid w:val="00731D37"/>
    <w:rsid w:val="00731EF7"/>
    <w:rsid w:val="00732025"/>
    <w:rsid w:val="00732355"/>
    <w:rsid w:val="007324AF"/>
    <w:rsid w:val="00732820"/>
    <w:rsid w:val="007329B0"/>
    <w:rsid w:val="00732B13"/>
    <w:rsid w:val="00732F8A"/>
    <w:rsid w:val="00732FAA"/>
    <w:rsid w:val="00733119"/>
    <w:rsid w:val="00733167"/>
    <w:rsid w:val="00733388"/>
    <w:rsid w:val="007334CE"/>
    <w:rsid w:val="0073367C"/>
    <w:rsid w:val="00733815"/>
    <w:rsid w:val="0073389A"/>
    <w:rsid w:val="007338BD"/>
    <w:rsid w:val="00733A8C"/>
    <w:rsid w:val="00733D1E"/>
    <w:rsid w:val="00733E08"/>
    <w:rsid w:val="00733E51"/>
    <w:rsid w:val="00733E87"/>
    <w:rsid w:val="007340D4"/>
    <w:rsid w:val="0073419D"/>
    <w:rsid w:val="007341E7"/>
    <w:rsid w:val="00734442"/>
    <w:rsid w:val="0073445E"/>
    <w:rsid w:val="00734510"/>
    <w:rsid w:val="007346E0"/>
    <w:rsid w:val="00734849"/>
    <w:rsid w:val="00734B94"/>
    <w:rsid w:val="00734C5C"/>
    <w:rsid w:val="00734C7A"/>
    <w:rsid w:val="00734CC7"/>
    <w:rsid w:val="00734DCF"/>
    <w:rsid w:val="0073503C"/>
    <w:rsid w:val="007353F2"/>
    <w:rsid w:val="00735595"/>
    <w:rsid w:val="007356B6"/>
    <w:rsid w:val="007356C6"/>
    <w:rsid w:val="00735700"/>
    <w:rsid w:val="007358CF"/>
    <w:rsid w:val="00735958"/>
    <w:rsid w:val="00735A08"/>
    <w:rsid w:val="00735B6D"/>
    <w:rsid w:val="00735C79"/>
    <w:rsid w:val="00735DE4"/>
    <w:rsid w:val="00735FEC"/>
    <w:rsid w:val="0073600E"/>
    <w:rsid w:val="00736131"/>
    <w:rsid w:val="007364B0"/>
    <w:rsid w:val="007364C6"/>
    <w:rsid w:val="007365D0"/>
    <w:rsid w:val="007366C5"/>
    <w:rsid w:val="00736994"/>
    <w:rsid w:val="00736AB8"/>
    <w:rsid w:val="00736BAB"/>
    <w:rsid w:val="00736D59"/>
    <w:rsid w:val="00736DC4"/>
    <w:rsid w:val="00736F3D"/>
    <w:rsid w:val="007371DE"/>
    <w:rsid w:val="0073722F"/>
    <w:rsid w:val="00737273"/>
    <w:rsid w:val="0073768F"/>
    <w:rsid w:val="007377C5"/>
    <w:rsid w:val="007378A1"/>
    <w:rsid w:val="00737A66"/>
    <w:rsid w:val="00737C6D"/>
    <w:rsid w:val="00737D4A"/>
    <w:rsid w:val="00737E21"/>
    <w:rsid w:val="00740326"/>
    <w:rsid w:val="007403F1"/>
    <w:rsid w:val="00740445"/>
    <w:rsid w:val="007405E0"/>
    <w:rsid w:val="00740712"/>
    <w:rsid w:val="007409BB"/>
    <w:rsid w:val="007409E9"/>
    <w:rsid w:val="00740C1A"/>
    <w:rsid w:val="00740C21"/>
    <w:rsid w:val="00740EB8"/>
    <w:rsid w:val="007411C3"/>
    <w:rsid w:val="0074136D"/>
    <w:rsid w:val="00741759"/>
    <w:rsid w:val="00741909"/>
    <w:rsid w:val="0074190F"/>
    <w:rsid w:val="00741BDC"/>
    <w:rsid w:val="00741EB8"/>
    <w:rsid w:val="00741F23"/>
    <w:rsid w:val="00741F37"/>
    <w:rsid w:val="0074219F"/>
    <w:rsid w:val="007422D5"/>
    <w:rsid w:val="007422E8"/>
    <w:rsid w:val="0074241F"/>
    <w:rsid w:val="00742533"/>
    <w:rsid w:val="007425CF"/>
    <w:rsid w:val="007425E9"/>
    <w:rsid w:val="00743032"/>
    <w:rsid w:val="00743144"/>
    <w:rsid w:val="0074322C"/>
    <w:rsid w:val="0074324E"/>
    <w:rsid w:val="00743260"/>
    <w:rsid w:val="0074335A"/>
    <w:rsid w:val="007434F1"/>
    <w:rsid w:val="007434F7"/>
    <w:rsid w:val="00743A7B"/>
    <w:rsid w:val="00743C0C"/>
    <w:rsid w:val="00743C3E"/>
    <w:rsid w:val="00743E0A"/>
    <w:rsid w:val="00744068"/>
    <w:rsid w:val="00744145"/>
    <w:rsid w:val="00744339"/>
    <w:rsid w:val="00744394"/>
    <w:rsid w:val="00744412"/>
    <w:rsid w:val="00744467"/>
    <w:rsid w:val="007444B1"/>
    <w:rsid w:val="007445DD"/>
    <w:rsid w:val="007448CD"/>
    <w:rsid w:val="00744922"/>
    <w:rsid w:val="00744AF1"/>
    <w:rsid w:val="00744D5B"/>
    <w:rsid w:val="00744FD7"/>
    <w:rsid w:val="007450A9"/>
    <w:rsid w:val="007450F4"/>
    <w:rsid w:val="007452FF"/>
    <w:rsid w:val="00745317"/>
    <w:rsid w:val="007454FF"/>
    <w:rsid w:val="00745585"/>
    <w:rsid w:val="00745612"/>
    <w:rsid w:val="00745706"/>
    <w:rsid w:val="00745B8B"/>
    <w:rsid w:val="00745C03"/>
    <w:rsid w:val="00745C38"/>
    <w:rsid w:val="00745D7E"/>
    <w:rsid w:val="00745F09"/>
    <w:rsid w:val="00746134"/>
    <w:rsid w:val="00746252"/>
    <w:rsid w:val="00746365"/>
    <w:rsid w:val="0074637B"/>
    <w:rsid w:val="007467CF"/>
    <w:rsid w:val="007468EE"/>
    <w:rsid w:val="00746B9D"/>
    <w:rsid w:val="00746BF9"/>
    <w:rsid w:val="00746C45"/>
    <w:rsid w:val="00746F03"/>
    <w:rsid w:val="00746F66"/>
    <w:rsid w:val="007470E4"/>
    <w:rsid w:val="00747380"/>
    <w:rsid w:val="007473E9"/>
    <w:rsid w:val="007474B2"/>
    <w:rsid w:val="00747597"/>
    <w:rsid w:val="00747839"/>
    <w:rsid w:val="00747B46"/>
    <w:rsid w:val="00747B83"/>
    <w:rsid w:val="00747CFE"/>
    <w:rsid w:val="00747DC7"/>
    <w:rsid w:val="00747DD9"/>
    <w:rsid w:val="00747F5C"/>
    <w:rsid w:val="0075007C"/>
    <w:rsid w:val="0075014B"/>
    <w:rsid w:val="007501A5"/>
    <w:rsid w:val="007503DD"/>
    <w:rsid w:val="007504A4"/>
    <w:rsid w:val="007505EB"/>
    <w:rsid w:val="00750698"/>
    <w:rsid w:val="00750756"/>
    <w:rsid w:val="00750860"/>
    <w:rsid w:val="00750B76"/>
    <w:rsid w:val="0075171E"/>
    <w:rsid w:val="007517C8"/>
    <w:rsid w:val="007517E1"/>
    <w:rsid w:val="00751877"/>
    <w:rsid w:val="00751A95"/>
    <w:rsid w:val="00751C6B"/>
    <w:rsid w:val="00751C84"/>
    <w:rsid w:val="00751CB6"/>
    <w:rsid w:val="00751E4B"/>
    <w:rsid w:val="00751E8A"/>
    <w:rsid w:val="00751F1A"/>
    <w:rsid w:val="0075206C"/>
    <w:rsid w:val="007521B4"/>
    <w:rsid w:val="00752625"/>
    <w:rsid w:val="00752713"/>
    <w:rsid w:val="007528DB"/>
    <w:rsid w:val="0075290E"/>
    <w:rsid w:val="00752B37"/>
    <w:rsid w:val="00752D91"/>
    <w:rsid w:val="00752DC1"/>
    <w:rsid w:val="00753203"/>
    <w:rsid w:val="0075369A"/>
    <w:rsid w:val="00753887"/>
    <w:rsid w:val="00753ACA"/>
    <w:rsid w:val="00753AE1"/>
    <w:rsid w:val="00753B43"/>
    <w:rsid w:val="00753FD7"/>
    <w:rsid w:val="00754027"/>
    <w:rsid w:val="007540D7"/>
    <w:rsid w:val="0075410F"/>
    <w:rsid w:val="0075418A"/>
    <w:rsid w:val="0075421B"/>
    <w:rsid w:val="00754378"/>
    <w:rsid w:val="00754382"/>
    <w:rsid w:val="0075445B"/>
    <w:rsid w:val="007545FB"/>
    <w:rsid w:val="0075461F"/>
    <w:rsid w:val="00754771"/>
    <w:rsid w:val="00754954"/>
    <w:rsid w:val="00754C68"/>
    <w:rsid w:val="00754DD2"/>
    <w:rsid w:val="00754E77"/>
    <w:rsid w:val="00754EE4"/>
    <w:rsid w:val="00754F1C"/>
    <w:rsid w:val="00754FF9"/>
    <w:rsid w:val="00755002"/>
    <w:rsid w:val="00755051"/>
    <w:rsid w:val="00755117"/>
    <w:rsid w:val="0075570C"/>
    <w:rsid w:val="00755748"/>
    <w:rsid w:val="00755834"/>
    <w:rsid w:val="00755A54"/>
    <w:rsid w:val="00755EF2"/>
    <w:rsid w:val="00755F35"/>
    <w:rsid w:val="0075665C"/>
    <w:rsid w:val="007566B1"/>
    <w:rsid w:val="0075672C"/>
    <w:rsid w:val="0075687A"/>
    <w:rsid w:val="007569A3"/>
    <w:rsid w:val="007569FF"/>
    <w:rsid w:val="00756AAA"/>
    <w:rsid w:val="00756D42"/>
    <w:rsid w:val="00756E14"/>
    <w:rsid w:val="00756F64"/>
    <w:rsid w:val="00757096"/>
    <w:rsid w:val="00757160"/>
    <w:rsid w:val="00757254"/>
    <w:rsid w:val="00757298"/>
    <w:rsid w:val="007573CC"/>
    <w:rsid w:val="00757518"/>
    <w:rsid w:val="007576FE"/>
    <w:rsid w:val="007577BB"/>
    <w:rsid w:val="007577D1"/>
    <w:rsid w:val="00757CE9"/>
    <w:rsid w:val="00757DFC"/>
    <w:rsid w:val="00757E53"/>
    <w:rsid w:val="00757FBB"/>
    <w:rsid w:val="0076026D"/>
    <w:rsid w:val="00760394"/>
    <w:rsid w:val="007603A8"/>
    <w:rsid w:val="007604AA"/>
    <w:rsid w:val="00760535"/>
    <w:rsid w:val="00760599"/>
    <w:rsid w:val="00760693"/>
    <w:rsid w:val="007606E2"/>
    <w:rsid w:val="0076076F"/>
    <w:rsid w:val="00760A49"/>
    <w:rsid w:val="00760A85"/>
    <w:rsid w:val="00760C91"/>
    <w:rsid w:val="00760DCA"/>
    <w:rsid w:val="00760DD7"/>
    <w:rsid w:val="00760E01"/>
    <w:rsid w:val="00760E24"/>
    <w:rsid w:val="00760F8E"/>
    <w:rsid w:val="00761321"/>
    <w:rsid w:val="007613ED"/>
    <w:rsid w:val="0076152B"/>
    <w:rsid w:val="007615EC"/>
    <w:rsid w:val="00761641"/>
    <w:rsid w:val="007616F8"/>
    <w:rsid w:val="00761763"/>
    <w:rsid w:val="007617EE"/>
    <w:rsid w:val="007618F0"/>
    <w:rsid w:val="00761961"/>
    <w:rsid w:val="007619B7"/>
    <w:rsid w:val="00761A42"/>
    <w:rsid w:val="00761A97"/>
    <w:rsid w:val="00761DEB"/>
    <w:rsid w:val="0076209C"/>
    <w:rsid w:val="00762276"/>
    <w:rsid w:val="007622D8"/>
    <w:rsid w:val="007626BD"/>
    <w:rsid w:val="0076287D"/>
    <w:rsid w:val="007628C8"/>
    <w:rsid w:val="00762A4F"/>
    <w:rsid w:val="00762CB5"/>
    <w:rsid w:val="00762D7A"/>
    <w:rsid w:val="00762E0A"/>
    <w:rsid w:val="00762F6D"/>
    <w:rsid w:val="00763497"/>
    <w:rsid w:val="00763D0D"/>
    <w:rsid w:val="00763EDC"/>
    <w:rsid w:val="007643C5"/>
    <w:rsid w:val="007646D5"/>
    <w:rsid w:val="00764765"/>
    <w:rsid w:val="00764C89"/>
    <w:rsid w:val="00764CF5"/>
    <w:rsid w:val="00764DBA"/>
    <w:rsid w:val="00764DC8"/>
    <w:rsid w:val="00765024"/>
    <w:rsid w:val="007650C4"/>
    <w:rsid w:val="0076511F"/>
    <w:rsid w:val="00765223"/>
    <w:rsid w:val="00765310"/>
    <w:rsid w:val="007653F6"/>
    <w:rsid w:val="00765789"/>
    <w:rsid w:val="00765837"/>
    <w:rsid w:val="00765A34"/>
    <w:rsid w:val="00765A58"/>
    <w:rsid w:val="00765BAA"/>
    <w:rsid w:val="00765C26"/>
    <w:rsid w:val="00765CCA"/>
    <w:rsid w:val="00765E8E"/>
    <w:rsid w:val="0076616F"/>
    <w:rsid w:val="00766376"/>
    <w:rsid w:val="0076651B"/>
    <w:rsid w:val="00766568"/>
    <w:rsid w:val="0076665A"/>
    <w:rsid w:val="00766775"/>
    <w:rsid w:val="00766843"/>
    <w:rsid w:val="0076691E"/>
    <w:rsid w:val="00766955"/>
    <w:rsid w:val="007669A0"/>
    <w:rsid w:val="00766AA8"/>
    <w:rsid w:val="00766D54"/>
    <w:rsid w:val="00766D5C"/>
    <w:rsid w:val="00766DF1"/>
    <w:rsid w:val="00766E8E"/>
    <w:rsid w:val="00766F48"/>
    <w:rsid w:val="0076719A"/>
    <w:rsid w:val="007671F0"/>
    <w:rsid w:val="00767350"/>
    <w:rsid w:val="007673C8"/>
    <w:rsid w:val="0076765D"/>
    <w:rsid w:val="00767706"/>
    <w:rsid w:val="00767B4E"/>
    <w:rsid w:val="00767CEE"/>
    <w:rsid w:val="00767E21"/>
    <w:rsid w:val="00767FA2"/>
    <w:rsid w:val="00767FD8"/>
    <w:rsid w:val="007702E0"/>
    <w:rsid w:val="0077031C"/>
    <w:rsid w:val="0077047F"/>
    <w:rsid w:val="00770558"/>
    <w:rsid w:val="00770626"/>
    <w:rsid w:val="0077063A"/>
    <w:rsid w:val="007707E5"/>
    <w:rsid w:val="00770860"/>
    <w:rsid w:val="00770B25"/>
    <w:rsid w:val="00770C2E"/>
    <w:rsid w:val="00770E1B"/>
    <w:rsid w:val="00770FA1"/>
    <w:rsid w:val="00771009"/>
    <w:rsid w:val="007710B4"/>
    <w:rsid w:val="00771227"/>
    <w:rsid w:val="00771376"/>
    <w:rsid w:val="0077145F"/>
    <w:rsid w:val="00771525"/>
    <w:rsid w:val="00771930"/>
    <w:rsid w:val="007719B5"/>
    <w:rsid w:val="007719C4"/>
    <w:rsid w:val="00771CE0"/>
    <w:rsid w:val="00771CFE"/>
    <w:rsid w:val="00771E5D"/>
    <w:rsid w:val="00771FD4"/>
    <w:rsid w:val="00772173"/>
    <w:rsid w:val="00772209"/>
    <w:rsid w:val="007723CE"/>
    <w:rsid w:val="007723FC"/>
    <w:rsid w:val="007724DF"/>
    <w:rsid w:val="00772755"/>
    <w:rsid w:val="007727ED"/>
    <w:rsid w:val="007727F0"/>
    <w:rsid w:val="00772A19"/>
    <w:rsid w:val="00772A43"/>
    <w:rsid w:val="00772E34"/>
    <w:rsid w:val="00772E48"/>
    <w:rsid w:val="00772EB5"/>
    <w:rsid w:val="00773055"/>
    <w:rsid w:val="0077319E"/>
    <w:rsid w:val="007732FD"/>
    <w:rsid w:val="007733D2"/>
    <w:rsid w:val="007734CF"/>
    <w:rsid w:val="00773648"/>
    <w:rsid w:val="007736F9"/>
    <w:rsid w:val="0077382A"/>
    <w:rsid w:val="007739FD"/>
    <w:rsid w:val="00773AF6"/>
    <w:rsid w:val="00773BEC"/>
    <w:rsid w:val="007742F5"/>
    <w:rsid w:val="00774338"/>
    <w:rsid w:val="00774404"/>
    <w:rsid w:val="0077446C"/>
    <w:rsid w:val="00774558"/>
    <w:rsid w:val="007745C5"/>
    <w:rsid w:val="00774632"/>
    <w:rsid w:val="00774652"/>
    <w:rsid w:val="007748E9"/>
    <w:rsid w:val="00774AF8"/>
    <w:rsid w:val="00774BCB"/>
    <w:rsid w:val="00774BDC"/>
    <w:rsid w:val="00774CA0"/>
    <w:rsid w:val="00774CD9"/>
    <w:rsid w:val="00774DBB"/>
    <w:rsid w:val="00774F74"/>
    <w:rsid w:val="00775054"/>
    <w:rsid w:val="00775232"/>
    <w:rsid w:val="007755FE"/>
    <w:rsid w:val="00775B14"/>
    <w:rsid w:val="00775B1A"/>
    <w:rsid w:val="00775BEA"/>
    <w:rsid w:val="00775C99"/>
    <w:rsid w:val="00775D51"/>
    <w:rsid w:val="00775E6B"/>
    <w:rsid w:val="00775FDA"/>
    <w:rsid w:val="0077603B"/>
    <w:rsid w:val="007760FC"/>
    <w:rsid w:val="00776751"/>
    <w:rsid w:val="007768A4"/>
    <w:rsid w:val="00776905"/>
    <w:rsid w:val="00776D0F"/>
    <w:rsid w:val="00776D5D"/>
    <w:rsid w:val="00776DF9"/>
    <w:rsid w:val="00776EB3"/>
    <w:rsid w:val="00776FE4"/>
    <w:rsid w:val="007773A7"/>
    <w:rsid w:val="00777525"/>
    <w:rsid w:val="00777560"/>
    <w:rsid w:val="0077756C"/>
    <w:rsid w:val="0077769D"/>
    <w:rsid w:val="007776DC"/>
    <w:rsid w:val="00777A25"/>
    <w:rsid w:val="00777AED"/>
    <w:rsid w:val="00777B5D"/>
    <w:rsid w:val="00777E9C"/>
    <w:rsid w:val="00777FA4"/>
    <w:rsid w:val="0078000F"/>
    <w:rsid w:val="00780026"/>
    <w:rsid w:val="007804A2"/>
    <w:rsid w:val="0078057A"/>
    <w:rsid w:val="00780604"/>
    <w:rsid w:val="0078075D"/>
    <w:rsid w:val="0078076B"/>
    <w:rsid w:val="007807B2"/>
    <w:rsid w:val="007808E7"/>
    <w:rsid w:val="007809B9"/>
    <w:rsid w:val="00780E15"/>
    <w:rsid w:val="00780F34"/>
    <w:rsid w:val="0078108B"/>
    <w:rsid w:val="007814D4"/>
    <w:rsid w:val="007816A7"/>
    <w:rsid w:val="007817C3"/>
    <w:rsid w:val="00781960"/>
    <w:rsid w:val="00781A2C"/>
    <w:rsid w:val="00781B39"/>
    <w:rsid w:val="00781CB6"/>
    <w:rsid w:val="00781CD9"/>
    <w:rsid w:val="00781CE8"/>
    <w:rsid w:val="00781E68"/>
    <w:rsid w:val="00781EF0"/>
    <w:rsid w:val="0078203B"/>
    <w:rsid w:val="007820ED"/>
    <w:rsid w:val="00782466"/>
    <w:rsid w:val="007826B3"/>
    <w:rsid w:val="007826CA"/>
    <w:rsid w:val="0078272D"/>
    <w:rsid w:val="00782836"/>
    <w:rsid w:val="00782851"/>
    <w:rsid w:val="007829BA"/>
    <w:rsid w:val="00782ABD"/>
    <w:rsid w:val="00782BAD"/>
    <w:rsid w:val="00782DC7"/>
    <w:rsid w:val="00783215"/>
    <w:rsid w:val="007833B4"/>
    <w:rsid w:val="0078347B"/>
    <w:rsid w:val="00783497"/>
    <w:rsid w:val="007835AB"/>
    <w:rsid w:val="0078369D"/>
    <w:rsid w:val="0078373D"/>
    <w:rsid w:val="007837CC"/>
    <w:rsid w:val="007838C4"/>
    <w:rsid w:val="007839D9"/>
    <w:rsid w:val="00783AAF"/>
    <w:rsid w:val="00783ADA"/>
    <w:rsid w:val="00783BD9"/>
    <w:rsid w:val="00783BE7"/>
    <w:rsid w:val="00783C21"/>
    <w:rsid w:val="00783F0A"/>
    <w:rsid w:val="00783F78"/>
    <w:rsid w:val="0078435B"/>
    <w:rsid w:val="007843ED"/>
    <w:rsid w:val="007847BB"/>
    <w:rsid w:val="0078480D"/>
    <w:rsid w:val="007848D6"/>
    <w:rsid w:val="00784CAA"/>
    <w:rsid w:val="00785249"/>
    <w:rsid w:val="007852E1"/>
    <w:rsid w:val="0078538E"/>
    <w:rsid w:val="007854BF"/>
    <w:rsid w:val="00785909"/>
    <w:rsid w:val="007859F5"/>
    <w:rsid w:val="00785BA4"/>
    <w:rsid w:val="00785C56"/>
    <w:rsid w:val="00785CCB"/>
    <w:rsid w:val="00785E66"/>
    <w:rsid w:val="00785EB0"/>
    <w:rsid w:val="00785F9E"/>
    <w:rsid w:val="0078618B"/>
    <w:rsid w:val="0078619B"/>
    <w:rsid w:val="007863EB"/>
    <w:rsid w:val="0078648B"/>
    <w:rsid w:val="007864AC"/>
    <w:rsid w:val="007865F6"/>
    <w:rsid w:val="007868C2"/>
    <w:rsid w:val="007868D2"/>
    <w:rsid w:val="007868D5"/>
    <w:rsid w:val="00786D0D"/>
    <w:rsid w:val="00786EA4"/>
    <w:rsid w:val="00786FB6"/>
    <w:rsid w:val="00786FCA"/>
    <w:rsid w:val="007872D6"/>
    <w:rsid w:val="0078759A"/>
    <w:rsid w:val="00787633"/>
    <w:rsid w:val="0078768A"/>
    <w:rsid w:val="0078793F"/>
    <w:rsid w:val="00787E6F"/>
    <w:rsid w:val="00787F5D"/>
    <w:rsid w:val="007901F9"/>
    <w:rsid w:val="0079020E"/>
    <w:rsid w:val="007902DF"/>
    <w:rsid w:val="00790424"/>
    <w:rsid w:val="0079045B"/>
    <w:rsid w:val="0079057A"/>
    <w:rsid w:val="0079060A"/>
    <w:rsid w:val="00790698"/>
    <w:rsid w:val="007908E0"/>
    <w:rsid w:val="007909C9"/>
    <w:rsid w:val="00790FB5"/>
    <w:rsid w:val="007911BF"/>
    <w:rsid w:val="0079131C"/>
    <w:rsid w:val="0079131D"/>
    <w:rsid w:val="007913A3"/>
    <w:rsid w:val="007915E4"/>
    <w:rsid w:val="00791619"/>
    <w:rsid w:val="00791686"/>
    <w:rsid w:val="007916CC"/>
    <w:rsid w:val="00791839"/>
    <w:rsid w:val="00791A00"/>
    <w:rsid w:val="00791B05"/>
    <w:rsid w:val="00791BA3"/>
    <w:rsid w:val="00791D1A"/>
    <w:rsid w:val="00791DFE"/>
    <w:rsid w:val="0079207E"/>
    <w:rsid w:val="00792294"/>
    <w:rsid w:val="007922D4"/>
    <w:rsid w:val="0079237C"/>
    <w:rsid w:val="0079242B"/>
    <w:rsid w:val="007924F1"/>
    <w:rsid w:val="0079252D"/>
    <w:rsid w:val="007928FC"/>
    <w:rsid w:val="0079293C"/>
    <w:rsid w:val="00792982"/>
    <w:rsid w:val="007929BC"/>
    <w:rsid w:val="00792A85"/>
    <w:rsid w:val="00792CB5"/>
    <w:rsid w:val="00792F16"/>
    <w:rsid w:val="00792F74"/>
    <w:rsid w:val="0079304A"/>
    <w:rsid w:val="0079337A"/>
    <w:rsid w:val="00793567"/>
    <w:rsid w:val="00793746"/>
    <w:rsid w:val="00793A29"/>
    <w:rsid w:val="00793CFB"/>
    <w:rsid w:val="00793E2B"/>
    <w:rsid w:val="00793FF0"/>
    <w:rsid w:val="007940AF"/>
    <w:rsid w:val="007941B4"/>
    <w:rsid w:val="007941FE"/>
    <w:rsid w:val="007942E5"/>
    <w:rsid w:val="00794309"/>
    <w:rsid w:val="00794427"/>
    <w:rsid w:val="00794545"/>
    <w:rsid w:val="0079456F"/>
    <w:rsid w:val="00794673"/>
    <w:rsid w:val="007946C0"/>
    <w:rsid w:val="007947AA"/>
    <w:rsid w:val="00794861"/>
    <w:rsid w:val="007948BE"/>
    <w:rsid w:val="00794CA6"/>
    <w:rsid w:val="00794D51"/>
    <w:rsid w:val="00794DC1"/>
    <w:rsid w:val="007951D2"/>
    <w:rsid w:val="0079555E"/>
    <w:rsid w:val="007955A3"/>
    <w:rsid w:val="0079572A"/>
    <w:rsid w:val="0079577A"/>
    <w:rsid w:val="0079592C"/>
    <w:rsid w:val="00795A41"/>
    <w:rsid w:val="00795AB0"/>
    <w:rsid w:val="00795B1C"/>
    <w:rsid w:val="00795E7F"/>
    <w:rsid w:val="00796233"/>
    <w:rsid w:val="00796394"/>
    <w:rsid w:val="0079640D"/>
    <w:rsid w:val="007965CD"/>
    <w:rsid w:val="007969F6"/>
    <w:rsid w:val="00796BD4"/>
    <w:rsid w:val="00796C19"/>
    <w:rsid w:val="00796E3C"/>
    <w:rsid w:val="00796E8F"/>
    <w:rsid w:val="00796F23"/>
    <w:rsid w:val="00796F38"/>
    <w:rsid w:val="00797039"/>
    <w:rsid w:val="007971B5"/>
    <w:rsid w:val="007971DD"/>
    <w:rsid w:val="00797926"/>
    <w:rsid w:val="00797ACC"/>
    <w:rsid w:val="00797B8A"/>
    <w:rsid w:val="00797BE8"/>
    <w:rsid w:val="00797C05"/>
    <w:rsid w:val="00797C5B"/>
    <w:rsid w:val="007A0058"/>
    <w:rsid w:val="007A01E6"/>
    <w:rsid w:val="007A02D2"/>
    <w:rsid w:val="007A032A"/>
    <w:rsid w:val="007A08D1"/>
    <w:rsid w:val="007A0AE8"/>
    <w:rsid w:val="007A0BB7"/>
    <w:rsid w:val="007A0CAA"/>
    <w:rsid w:val="007A0D65"/>
    <w:rsid w:val="007A0D7B"/>
    <w:rsid w:val="007A0DC4"/>
    <w:rsid w:val="007A11F2"/>
    <w:rsid w:val="007A15CA"/>
    <w:rsid w:val="007A18FD"/>
    <w:rsid w:val="007A1925"/>
    <w:rsid w:val="007A1AE8"/>
    <w:rsid w:val="007A1B2B"/>
    <w:rsid w:val="007A1B8D"/>
    <w:rsid w:val="007A1EE7"/>
    <w:rsid w:val="007A1FF1"/>
    <w:rsid w:val="007A206D"/>
    <w:rsid w:val="007A20D9"/>
    <w:rsid w:val="007A215F"/>
    <w:rsid w:val="007A26A6"/>
    <w:rsid w:val="007A28AC"/>
    <w:rsid w:val="007A291A"/>
    <w:rsid w:val="007A2C34"/>
    <w:rsid w:val="007A2DF4"/>
    <w:rsid w:val="007A2F71"/>
    <w:rsid w:val="007A30ED"/>
    <w:rsid w:val="007A318E"/>
    <w:rsid w:val="007A31C7"/>
    <w:rsid w:val="007A33A2"/>
    <w:rsid w:val="007A3589"/>
    <w:rsid w:val="007A3718"/>
    <w:rsid w:val="007A3814"/>
    <w:rsid w:val="007A38AF"/>
    <w:rsid w:val="007A38E8"/>
    <w:rsid w:val="007A39E8"/>
    <w:rsid w:val="007A3C0C"/>
    <w:rsid w:val="007A3F9A"/>
    <w:rsid w:val="007A41C4"/>
    <w:rsid w:val="007A44D0"/>
    <w:rsid w:val="007A4520"/>
    <w:rsid w:val="007A45E0"/>
    <w:rsid w:val="007A4805"/>
    <w:rsid w:val="007A48CE"/>
    <w:rsid w:val="007A48CF"/>
    <w:rsid w:val="007A4C6B"/>
    <w:rsid w:val="007A4D11"/>
    <w:rsid w:val="007A4D7E"/>
    <w:rsid w:val="007A502F"/>
    <w:rsid w:val="007A5117"/>
    <w:rsid w:val="007A51DD"/>
    <w:rsid w:val="007A5271"/>
    <w:rsid w:val="007A55A0"/>
    <w:rsid w:val="007A5657"/>
    <w:rsid w:val="007A5669"/>
    <w:rsid w:val="007A56DE"/>
    <w:rsid w:val="007A5779"/>
    <w:rsid w:val="007A5B85"/>
    <w:rsid w:val="007A5C16"/>
    <w:rsid w:val="007A60EC"/>
    <w:rsid w:val="007A6135"/>
    <w:rsid w:val="007A6253"/>
    <w:rsid w:val="007A67A2"/>
    <w:rsid w:val="007A68C8"/>
    <w:rsid w:val="007A69E5"/>
    <w:rsid w:val="007A6A03"/>
    <w:rsid w:val="007A6A5F"/>
    <w:rsid w:val="007A6B91"/>
    <w:rsid w:val="007A6CC1"/>
    <w:rsid w:val="007A6D44"/>
    <w:rsid w:val="007A6E0E"/>
    <w:rsid w:val="007A6E3C"/>
    <w:rsid w:val="007A6E93"/>
    <w:rsid w:val="007A6FB3"/>
    <w:rsid w:val="007A70AE"/>
    <w:rsid w:val="007A710A"/>
    <w:rsid w:val="007A7194"/>
    <w:rsid w:val="007A723C"/>
    <w:rsid w:val="007A73E1"/>
    <w:rsid w:val="007A74AF"/>
    <w:rsid w:val="007A76D3"/>
    <w:rsid w:val="007A7A64"/>
    <w:rsid w:val="007A7C21"/>
    <w:rsid w:val="007A7CAE"/>
    <w:rsid w:val="007A7D33"/>
    <w:rsid w:val="007A7DED"/>
    <w:rsid w:val="007A7E49"/>
    <w:rsid w:val="007A7F28"/>
    <w:rsid w:val="007A7F4D"/>
    <w:rsid w:val="007B01F4"/>
    <w:rsid w:val="007B04B7"/>
    <w:rsid w:val="007B07E1"/>
    <w:rsid w:val="007B090C"/>
    <w:rsid w:val="007B0A74"/>
    <w:rsid w:val="007B0D46"/>
    <w:rsid w:val="007B0EC7"/>
    <w:rsid w:val="007B0FD1"/>
    <w:rsid w:val="007B102D"/>
    <w:rsid w:val="007B12CD"/>
    <w:rsid w:val="007B1321"/>
    <w:rsid w:val="007B14EF"/>
    <w:rsid w:val="007B1567"/>
    <w:rsid w:val="007B18CA"/>
    <w:rsid w:val="007B1AF1"/>
    <w:rsid w:val="007B1C8B"/>
    <w:rsid w:val="007B1E03"/>
    <w:rsid w:val="007B1E50"/>
    <w:rsid w:val="007B1FF6"/>
    <w:rsid w:val="007B20AA"/>
    <w:rsid w:val="007B20F5"/>
    <w:rsid w:val="007B220C"/>
    <w:rsid w:val="007B2391"/>
    <w:rsid w:val="007B2446"/>
    <w:rsid w:val="007B2738"/>
    <w:rsid w:val="007B2933"/>
    <w:rsid w:val="007B2937"/>
    <w:rsid w:val="007B2944"/>
    <w:rsid w:val="007B2ACE"/>
    <w:rsid w:val="007B2B5E"/>
    <w:rsid w:val="007B2BD5"/>
    <w:rsid w:val="007B2D01"/>
    <w:rsid w:val="007B2F5D"/>
    <w:rsid w:val="007B2FB3"/>
    <w:rsid w:val="007B3012"/>
    <w:rsid w:val="007B3026"/>
    <w:rsid w:val="007B304F"/>
    <w:rsid w:val="007B3244"/>
    <w:rsid w:val="007B32E8"/>
    <w:rsid w:val="007B3452"/>
    <w:rsid w:val="007B3509"/>
    <w:rsid w:val="007B35CF"/>
    <w:rsid w:val="007B35FA"/>
    <w:rsid w:val="007B3603"/>
    <w:rsid w:val="007B364F"/>
    <w:rsid w:val="007B3764"/>
    <w:rsid w:val="007B37D1"/>
    <w:rsid w:val="007B3A2B"/>
    <w:rsid w:val="007B3AFB"/>
    <w:rsid w:val="007B3D91"/>
    <w:rsid w:val="007B3E4E"/>
    <w:rsid w:val="007B400B"/>
    <w:rsid w:val="007B41E1"/>
    <w:rsid w:val="007B4293"/>
    <w:rsid w:val="007B44F3"/>
    <w:rsid w:val="007B4816"/>
    <w:rsid w:val="007B48B4"/>
    <w:rsid w:val="007B4A1F"/>
    <w:rsid w:val="007B4A4F"/>
    <w:rsid w:val="007B4B70"/>
    <w:rsid w:val="007B4BB5"/>
    <w:rsid w:val="007B4CEB"/>
    <w:rsid w:val="007B50DD"/>
    <w:rsid w:val="007B51FA"/>
    <w:rsid w:val="007B5238"/>
    <w:rsid w:val="007B542E"/>
    <w:rsid w:val="007B5725"/>
    <w:rsid w:val="007B5753"/>
    <w:rsid w:val="007B5758"/>
    <w:rsid w:val="007B5822"/>
    <w:rsid w:val="007B5A7B"/>
    <w:rsid w:val="007B5C20"/>
    <w:rsid w:val="007B5CFB"/>
    <w:rsid w:val="007B5D6F"/>
    <w:rsid w:val="007B5E08"/>
    <w:rsid w:val="007B5E7E"/>
    <w:rsid w:val="007B5E98"/>
    <w:rsid w:val="007B5EBD"/>
    <w:rsid w:val="007B62D7"/>
    <w:rsid w:val="007B64CE"/>
    <w:rsid w:val="007B651D"/>
    <w:rsid w:val="007B67AF"/>
    <w:rsid w:val="007B69AF"/>
    <w:rsid w:val="007B6AC2"/>
    <w:rsid w:val="007B6B63"/>
    <w:rsid w:val="007B6E47"/>
    <w:rsid w:val="007B6E95"/>
    <w:rsid w:val="007B6FC8"/>
    <w:rsid w:val="007B6FDE"/>
    <w:rsid w:val="007B713D"/>
    <w:rsid w:val="007B75AA"/>
    <w:rsid w:val="007B78AE"/>
    <w:rsid w:val="007B7908"/>
    <w:rsid w:val="007B7991"/>
    <w:rsid w:val="007B7BC5"/>
    <w:rsid w:val="007B7D8A"/>
    <w:rsid w:val="007C005B"/>
    <w:rsid w:val="007C0152"/>
    <w:rsid w:val="007C01D5"/>
    <w:rsid w:val="007C0265"/>
    <w:rsid w:val="007C0512"/>
    <w:rsid w:val="007C0977"/>
    <w:rsid w:val="007C09C5"/>
    <w:rsid w:val="007C0A81"/>
    <w:rsid w:val="007C0ACF"/>
    <w:rsid w:val="007C0C93"/>
    <w:rsid w:val="007C0C9E"/>
    <w:rsid w:val="007C0DF8"/>
    <w:rsid w:val="007C1223"/>
    <w:rsid w:val="007C1339"/>
    <w:rsid w:val="007C18A6"/>
    <w:rsid w:val="007C19D4"/>
    <w:rsid w:val="007C1A5B"/>
    <w:rsid w:val="007C1C3A"/>
    <w:rsid w:val="007C1CD2"/>
    <w:rsid w:val="007C1D31"/>
    <w:rsid w:val="007C1D60"/>
    <w:rsid w:val="007C1FB5"/>
    <w:rsid w:val="007C23B1"/>
    <w:rsid w:val="007C2576"/>
    <w:rsid w:val="007C2583"/>
    <w:rsid w:val="007C269F"/>
    <w:rsid w:val="007C26E8"/>
    <w:rsid w:val="007C2955"/>
    <w:rsid w:val="007C2AE8"/>
    <w:rsid w:val="007C2C66"/>
    <w:rsid w:val="007C2D75"/>
    <w:rsid w:val="007C3291"/>
    <w:rsid w:val="007C33FB"/>
    <w:rsid w:val="007C36C9"/>
    <w:rsid w:val="007C37A2"/>
    <w:rsid w:val="007C37B6"/>
    <w:rsid w:val="007C3845"/>
    <w:rsid w:val="007C389E"/>
    <w:rsid w:val="007C39C7"/>
    <w:rsid w:val="007C39E7"/>
    <w:rsid w:val="007C3A0A"/>
    <w:rsid w:val="007C3C3D"/>
    <w:rsid w:val="007C3D50"/>
    <w:rsid w:val="007C3D99"/>
    <w:rsid w:val="007C3E37"/>
    <w:rsid w:val="007C3F32"/>
    <w:rsid w:val="007C3F7B"/>
    <w:rsid w:val="007C4043"/>
    <w:rsid w:val="007C41A9"/>
    <w:rsid w:val="007C4586"/>
    <w:rsid w:val="007C45CA"/>
    <w:rsid w:val="007C45FA"/>
    <w:rsid w:val="007C46E4"/>
    <w:rsid w:val="007C476E"/>
    <w:rsid w:val="007C4771"/>
    <w:rsid w:val="007C483F"/>
    <w:rsid w:val="007C48DF"/>
    <w:rsid w:val="007C48EF"/>
    <w:rsid w:val="007C4A33"/>
    <w:rsid w:val="007C4A4E"/>
    <w:rsid w:val="007C4BEF"/>
    <w:rsid w:val="007C4BF9"/>
    <w:rsid w:val="007C4CF5"/>
    <w:rsid w:val="007C4D90"/>
    <w:rsid w:val="007C4E23"/>
    <w:rsid w:val="007C4FDC"/>
    <w:rsid w:val="007C510A"/>
    <w:rsid w:val="007C51FC"/>
    <w:rsid w:val="007C52A3"/>
    <w:rsid w:val="007C5588"/>
    <w:rsid w:val="007C5597"/>
    <w:rsid w:val="007C56AD"/>
    <w:rsid w:val="007C5742"/>
    <w:rsid w:val="007C5817"/>
    <w:rsid w:val="007C5D8B"/>
    <w:rsid w:val="007C5FDE"/>
    <w:rsid w:val="007C6199"/>
    <w:rsid w:val="007C658F"/>
    <w:rsid w:val="007C6622"/>
    <w:rsid w:val="007C686E"/>
    <w:rsid w:val="007C692D"/>
    <w:rsid w:val="007C693C"/>
    <w:rsid w:val="007C693D"/>
    <w:rsid w:val="007C6A91"/>
    <w:rsid w:val="007C6A9C"/>
    <w:rsid w:val="007C6C44"/>
    <w:rsid w:val="007C6D32"/>
    <w:rsid w:val="007C6DA5"/>
    <w:rsid w:val="007C6E6E"/>
    <w:rsid w:val="007C6EBD"/>
    <w:rsid w:val="007C6EFD"/>
    <w:rsid w:val="007C6FE9"/>
    <w:rsid w:val="007C70B6"/>
    <w:rsid w:val="007C70D8"/>
    <w:rsid w:val="007C7175"/>
    <w:rsid w:val="007C717E"/>
    <w:rsid w:val="007C7325"/>
    <w:rsid w:val="007C755B"/>
    <w:rsid w:val="007C79A3"/>
    <w:rsid w:val="007C79B9"/>
    <w:rsid w:val="007C7A29"/>
    <w:rsid w:val="007C7BC3"/>
    <w:rsid w:val="007C7FAA"/>
    <w:rsid w:val="007D0016"/>
    <w:rsid w:val="007D010D"/>
    <w:rsid w:val="007D0132"/>
    <w:rsid w:val="007D02FC"/>
    <w:rsid w:val="007D08F4"/>
    <w:rsid w:val="007D0997"/>
    <w:rsid w:val="007D09AC"/>
    <w:rsid w:val="007D0ADC"/>
    <w:rsid w:val="007D0B69"/>
    <w:rsid w:val="007D0FA4"/>
    <w:rsid w:val="007D0FF6"/>
    <w:rsid w:val="007D121D"/>
    <w:rsid w:val="007D1419"/>
    <w:rsid w:val="007D14B8"/>
    <w:rsid w:val="007D164A"/>
    <w:rsid w:val="007D170F"/>
    <w:rsid w:val="007D1BD4"/>
    <w:rsid w:val="007D1D15"/>
    <w:rsid w:val="007D2164"/>
    <w:rsid w:val="007D2221"/>
    <w:rsid w:val="007D22EE"/>
    <w:rsid w:val="007D2350"/>
    <w:rsid w:val="007D26DA"/>
    <w:rsid w:val="007D26F5"/>
    <w:rsid w:val="007D272E"/>
    <w:rsid w:val="007D287E"/>
    <w:rsid w:val="007D28EC"/>
    <w:rsid w:val="007D2962"/>
    <w:rsid w:val="007D2A67"/>
    <w:rsid w:val="007D2C1B"/>
    <w:rsid w:val="007D2C42"/>
    <w:rsid w:val="007D2C44"/>
    <w:rsid w:val="007D2C8D"/>
    <w:rsid w:val="007D308A"/>
    <w:rsid w:val="007D3196"/>
    <w:rsid w:val="007D3268"/>
    <w:rsid w:val="007D3612"/>
    <w:rsid w:val="007D379A"/>
    <w:rsid w:val="007D37E2"/>
    <w:rsid w:val="007D380B"/>
    <w:rsid w:val="007D38CE"/>
    <w:rsid w:val="007D39F7"/>
    <w:rsid w:val="007D39FF"/>
    <w:rsid w:val="007D3A65"/>
    <w:rsid w:val="007D3A75"/>
    <w:rsid w:val="007D3A9B"/>
    <w:rsid w:val="007D3AD3"/>
    <w:rsid w:val="007D3CDD"/>
    <w:rsid w:val="007D3DBA"/>
    <w:rsid w:val="007D410F"/>
    <w:rsid w:val="007D4186"/>
    <w:rsid w:val="007D4250"/>
    <w:rsid w:val="007D43B0"/>
    <w:rsid w:val="007D443C"/>
    <w:rsid w:val="007D45B3"/>
    <w:rsid w:val="007D4651"/>
    <w:rsid w:val="007D46DF"/>
    <w:rsid w:val="007D47D4"/>
    <w:rsid w:val="007D48C7"/>
    <w:rsid w:val="007D4902"/>
    <w:rsid w:val="007D4B79"/>
    <w:rsid w:val="007D4BBE"/>
    <w:rsid w:val="007D534F"/>
    <w:rsid w:val="007D53AC"/>
    <w:rsid w:val="007D5413"/>
    <w:rsid w:val="007D55EF"/>
    <w:rsid w:val="007D56D2"/>
    <w:rsid w:val="007D56D8"/>
    <w:rsid w:val="007D56D9"/>
    <w:rsid w:val="007D5886"/>
    <w:rsid w:val="007D58F1"/>
    <w:rsid w:val="007D5988"/>
    <w:rsid w:val="007D59B8"/>
    <w:rsid w:val="007D5A82"/>
    <w:rsid w:val="007D5CD3"/>
    <w:rsid w:val="007D5D31"/>
    <w:rsid w:val="007D6103"/>
    <w:rsid w:val="007D631F"/>
    <w:rsid w:val="007D64A5"/>
    <w:rsid w:val="007D65A6"/>
    <w:rsid w:val="007D6624"/>
    <w:rsid w:val="007D665D"/>
    <w:rsid w:val="007D6742"/>
    <w:rsid w:val="007D690D"/>
    <w:rsid w:val="007D694D"/>
    <w:rsid w:val="007D6D9D"/>
    <w:rsid w:val="007D6F46"/>
    <w:rsid w:val="007D7149"/>
    <w:rsid w:val="007D7197"/>
    <w:rsid w:val="007D7387"/>
    <w:rsid w:val="007D7463"/>
    <w:rsid w:val="007D7493"/>
    <w:rsid w:val="007D7619"/>
    <w:rsid w:val="007D7759"/>
    <w:rsid w:val="007D77E6"/>
    <w:rsid w:val="007D799B"/>
    <w:rsid w:val="007D7ACB"/>
    <w:rsid w:val="007D7BC6"/>
    <w:rsid w:val="007D7CC9"/>
    <w:rsid w:val="007D7DD8"/>
    <w:rsid w:val="007D7F9B"/>
    <w:rsid w:val="007D7FEA"/>
    <w:rsid w:val="007E0243"/>
    <w:rsid w:val="007E04CD"/>
    <w:rsid w:val="007E0744"/>
    <w:rsid w:val="007E0887"/>
    <w:rsid w:val="007E0BA7"/>
    <w:rsid w:val="007E0BE1"/>
    <w:rsid w:val="007E0C57"/>
    <w:rsid w:val="007E0C70"/>
    <w:rsid w:val="007E0D9F"/>
    <w:rsid w:val="007E0E7B"/>
    <w:rsid w:val="007E0F47"/>
    <w:rsid w:val="007E103E"/>
    <w:rsid w:val="007E12A2"/>
    <w:rsid w:val="007E160A"/>
    <w:rsid w:val="007E1748"/>
    <w:rsid w:val="007E176E"/>
    <w:rsid w:val="007E1994"/>
    <w:rsid w:val="007E1A4B"/>
    <w:rsid w:val="007E2040"/>
    <w:rsid w:val="007E2130"/>
    <w:rsid w:val="007E21A7"/>
    <w:rsid w:val="007E2232"/>
    <w:rsid w:val="007E2338"/>
    <w:rsid w:val="007E2467"/>
    <w:rsid w:val="007E246B"/>
    <w:rsid w:val="007E25E8"/>
    <w:rsid w:val="007E2A20"/>
    <w:rsid w:val="007E2DDF"/>
    <w:rsid w:val="007E2F01"/>
    <w:rsid w:val="007E31B1"/>
    <w:rsid w:val="007E3343"/>
    <w:rsid w:val="007E3361"/>
    <w:rsid w:val="007E33B6"/>
    <w:rsid w:val="007E33E4"/>
    <w:rsid w:val="007E33E5"/>
    <w:rsid w:val="007E34C4"/>
    <w:rsid w:val="007E36E0"/>
    <w:rsid w:val="007E3853"/>
    <w:rsid w:val="007E3B8C"/>
    <w:rsid w:val="007E3C33"/>
    <w:rsid w:val="007E3EB3"/>
    <w:rsid w:val="007E4137"/>
    <w:rsid w:val="007E4146"/>
    <w:rsid w:val="007E439F"/>
    <w:rsid w:val="007E43E8"/>
    <w:rsid w:val="007E473E"/>
    <w:rsid w:val="007E47D5"/>
    <w:rsid w:val="007E49F2"/>
    <w:rsid w:val="007E4EB9"/>
    <w:rsid w:val="007E4EF8"/>
    <w:rsid w:val="007E5153"/>
    <w:rsid w:val="007E51A3"/>
    <w:rsid w:val="007E51BA"/>
    <w:rsid w:val="007E5326"/>
    <w:rsid w:val="007E5465"/>
    <w:rsid w:val="007E57B0"/>
    <w:rsid w:val="007E5815"/>
    <w:rsid w:val="007E59D8"/>
    <w:rsid w:val="007E5D3C"/>
    <w:rsid w:val="007E5DB4"/>
    <w:rsid w:val="007E63CA"/>
    <w:rsid w:val="007E672A"/>
    <w:rsid w:val="007E6795"/>
    <w:rsid w:val="007E6816"/>
    <w:rsid w:val="007E6869"/>
    <w:rsid w:val="007E6884"/>
    <w:rsid w:val="007E68E5"/>
    <w:rsid w:val="007E69CC"/>
    <w:rsid w:val="007E6D07"/>
    <w:rsid w:val="007E6E73"/>
    <w:rsid w:val="007E6F51"/>
    <w:rsid w:val="007E702C"/>
    <w:rsid w:val="007E7067"/>
    <w:rsid w:val="007E746A"/>
    <w:rsid w:val="007E75BE"/>
    <w:rsid w:val="007E7776"/>
    <w:rsid w:val="007E7869"/>
    <w:rsid w:val="007E7914"/>
    <w:rsid w:val="007E7A0E"/>
    <w:rsid w:val="007E7A5D"/>
    <w:rsid w:val="007E7FE4"/>
    <w:rsid w:val="007F0333"/>
    <w:rsid w:val="007F051E"/>
    <w:rsid w:val="007F0771"/>
    <w:rsid w:val="007F080C"/>
    <w:rsid w:val="007F13BB"/>
    <w:rsid w:val="007F1498"/>
    <w:rsid w:val="007F1592"/>
    <w:rsid w:val="007F15EA"/>
    <w:rsid w:val="007F1674"/>
    <w:rsid w:val="007F16B7"/>
    <w:rsid w:val="007F1990"/>
    <w:rsid w:val="007F19FD"/>
    <w:rsid w:val="007F1B04"/>
    <w:rsid w:val="007F1D12"/>
    <w:rsid w:val="007F1D49"/>
    <w:rsid w:val="007F1D4D"/>
    <w:rsid w:val="007F1DDA"/>
    <w:rsid w:val="007F1E40"/>
    <w:rsid w:val="007F1E54"/>
    <w:rsid w:val="007F1E92"/>
    <w:rsid w:val="007F1EB4"/>
    <w:rsid w:val="007F2179"/>
    <w:rsid w:val="007F228B"/>
    <w:rsid w:val="007F22D0"/>
    <w:rsid w:val="007F24C3"/>
    <w:rsid w:val="007F2564"/>
    <w:rsid w:val="007F274C"/>
    <w:rsid w:val="007F29DB"/>
    <w:rsid w:val="007F29DE"/>
    <w:rsid w:val="007F29E5"/>
    <w:rsid w:val="007F2A40"/>
    <w:rsid w:val="007F2E61"/>
    <w:rsid w:val="007F2F53"/>
    <w:rsid w:val="007F3038"/>
    <w:rsid w:val="007F310B"/>
    <w:rsid w:val="007F315E"/>
    <w:rsid w:val="007F3278"/>
    <w:rsid w:val="007F334F"/>
    <w:rsid w:val="007F3374"/>
    <w:rsid w:val="007F3445"/>
    <w:rsid w:val="007F3639"/>
    <w:rsid w:val="007F3787"/>
    <w:rsid w:val="007F3907"/>
    <w:rsid w:val="007F3F33"/>
    <w:rsid w:val="007F3FE0"/>
    <w:rsid w:val="007F40D8"/>
    <w:rsid w:val="007F40E3"/>
    <w:rsid w:val="007F4197"/>
    <w:rsid w:val="007F41A2"/>
    <w:rsid w:val="007F432A"/>
    <w:rsid w:val="007F43EA"/>
    <w:rsid w:val="007F4567"/>
    <w:rsid w:val="007F46A2"/>
    <w:rsid w:val="007F470E"/>
    <w:rsid w:val="007F477E"/>
    <w:rsid w:val="007F487E"/>
    <w:rsid w:val="007F497B"/>
    <w:rsid w:val="007F4B00"/>
    <w:rsid w:val="007F4D70"/>
    <w:rsid w:val="007F4F27"/>
    <w:rsid w:val="007F4F7B"/>
    <w:rsid w:val="007F4F99"/>
    <w:rsid w:val="007F4FE6"/>
    <w:rsid w:val="007F5041"/>
    <w:rsid w:val="007F5164"/>
    <w:rsid w:val="007F52D8"/>
    <w:rsid w:val="007F5339"/>
    <w:rsid w:val="007F5507"/>
    <w:rsid w:val="007F56BD"/>
    <w:rsid w:val="007F574F"/>
    <w:rsid w:val="007F59BD"/>
    <w:rsid w:val="007F5A6A"/>
    <w:rsid w:val="007F5DFA"/>
    <w:rsid w:val="007F5F0D"/>
    <w:rsid w:val="007F62AD"/>
    <w:rsid w:val="007F6389"/>
    <w:rsid w:val="007F647E"/>
    <w:rsid w:val="007F64B4"/>
    <w:rsid w:val="007F670E"/>
    <w:rsid w:val="007F6717"/>
    <w:rsid w:val="007F6959"/>
    <w:rsid w:val="007F6BB4"/>
    <w:rsid w:val="007F6BE1"/>
    <w:rsid w:val="007F6E00"/>
    <w:rsid w:val="007F6E57"/>
    <w:rsid w:val="007F6ECE"/>
    <w:rsid w:val="007F7199"/>
    <w:rsid w:val="007F7246"/>
    <w:rsid w:val="007F72C5"/>
    <w:rsid w:val="007F76A4"/>
    <w:rsid w:val="007F76D4"/>
    <w:rsid w:val="007F777C"/>
    <w:rsid w:val="007F7A59"/>
    <w:rsid w:val="007F7A97"/>
    <w:rsid w:val="007F7B91"/>
    <w:rsid w:val="007F7B94"/>
    <w:rsid w:val="007F7F70"/>
    <w:rsid w:val="008000BD"/>
    <w:rsid w:val="0080014C"/>
    <w:rsid w:val="00800522"/>
    <w:rsid w:val="008005C6"/>
    <w:rsid w:val="00800712"/>
    <w:rsid w:val="0080095B"/>
    <w:rsid w:val="00800C5F"/>
    <w:rsid w:val="00800C7F"/>
    <w:rsid w:val="00800CDB"/>
    <w:rsid w:val="00800F96"/>
    <w:rsid w:val="00800FB1"/>
    <w:rsid w:val="0080115B"/>
    <w:rsid w:val="0080120E"/>
    <w:rsid w:val="008014C5"/>
    <w:rsid w:val="00801596"/>
    <w:rsid w:val="0080161A"/>
    <w:rsid w:val="00801629"/>
    <w:rsid w:val="008017E0"/>
    <w:rsid w:val="00801952"/>
    <w:rsid w:val="008019C8"/>
    <w:rsid w:val="00801B78"/>
    <w:rsid w:val="00801BAF"/>
    <w:rsid w:val="00801CE3"/>
    <w:rsid w:val="00801DAB"/>
    <w:rsid w:val="00801DEB"/>
    <w:rsid w:val="00801E11"/>
    <w:rsid w:val="00802012"/>
    <w:rsid w:val="008024D5"/>
    <w:rsid w:val="008025CB"/>
    <w:rsid w:val="00802771"/>
    <w:rsid w:val="00802802"/>
    <w:rsid w:val="00802BAB"/>
    <w:rsid w:val="00802C65"/>
    <w:rsid w:val="00803009"/>
    <w:rsid w:val="008032AF"/>
    <w:rsid w:val="0080331C"/>
    <w:rsid w:val="00803437"/>
    <w:rsid w:val="008035BA"/>
    <w:rsid w:val="00803875"/>
    <w:rsid w:val="00803A6C"/>
    <w:rsid w:val="00803EA3"/>
    <w:rsid w:val="00803FDD"/>
    <w:rsid w:val="0080402E"/>
    <w:rsid w:val="00804089"/>
    <w:rsid w:val="0080428C"/>
    <w:rsid w:val="008048D5"/>
    <w:rsid w:val="00804A6D"/>
    <w:rsid w:val="00804B78"/>
    <w:rsid w:val="00804C56"/>
    <w:rsid w:val="00804EA4"/>
    <w:rsid w:val="00804F7F"/>
    <w:rsid w:val="008050AE"/>
    <w:rsid w:val="008054CD"/>
    <w:rsid w:val="00805837"/>
    <w:rsid w:val="0080588B"/>
    <w:rsid w:val="00805948"/>
    <w:rsid w:val="00805FE3"/>
    <w:rsid w:val="0080614F"/>
    <w:rsid w:val="00806300"/>
    <w:rsid w:val="00806576"/>
    <w:rsid w:val="00806578"/>
    <w:rsid w:val="0080672F"/>
    <w:rsid w:val="00806A10"/>
    <w:rsid w:val="00806A4D"/>
    <w:rsid w:val="00806A69"/>
    <w:rsid w:val="00806C18"/>
    <w:rsid w:val="00806CC5"/>
    <w:rsid w:val="00806D0D"/>
    <w:rsid w:val="00806D4A"/>
    <w:rsid w:val="00806D5F"/>
    <w:rsid w:val="00806E4C"/>
    <w:rsid w:val="00806EAA"/>
    <w:rsid w:val="00807017"/>
    <w:rsid w:val="00807089"/>
    <w:rsid w:val="008071D7"/>
    <w:rsid w:val="00807373"/>
    <w:rsid w:val="00807631"/>
    <w:rsid w:val="0080764D"/>
    <w:rsid w:val="008078B0"/>
    <w:rsid w:val="00807965"/>
    <w:rsid w:val="00807CB5"/>
    <w:rsid w:val="00807DE3"/>
    <w:rsid w:val="00807EF2"/>
    <w:rsid w:val="0081006A"/>
    <w:rsid w:val="008100DC"/>
    <w:rsid w:val="00810188"/>
    <w:rsid w:val="0081021C"/>
    <w:rsid w:val="00810345"/>
    <w:rsid w:val="0081043B"/>
    <w:rsid w:val="0081063E"/>
    <w:rsid w:val="0081079A"/>
    <w:rsid w:val="0081082A"/>
    <w:rsid w:val="00810845"/>
    <w:rsid w:val="0081095A"/>
    <w:rsid w:val="00810A7C"/>
    <w:rsid w:val="00810CA9"/>
    <w:rsid w:val="008110C3"/>
    <w:rsid w:val="0081116B"/>
    <w:rsid w:val="0081123C"/>
    <w:rsid w:val="00811376"/>
    <w:rsid w:val="00811797"/>
    <w:rsid w:val="0081188D"/>
    <w:rsid w:val="008118B5"/>
    <w:rsid w:val="0081192B"/>
    <w:rsid w:val="008119BC"/>
    <w:rsid w:val="00811A2B"/>
    <w:rsid w:val="00811A4F"/>
    <w:rsid w:val="00811B5C"/>
    <w:rsid w:val="00811C53"/>
    <w:rsid w:val="00811CB7"/>
    <w:rsid w:val="00811CD5"/>
    <w:rsid w:val="00811F22"/>
    <w:rsid w:val="00811F5F"/>
    <w:rsid w:val="00812111"/>
    <w:rsid w:val="0081229E"/>
    <w:rsid w:val="00812488"/>
    <w:rsid w:val="0081256E"/>
    <w:rsid w:val="00812571"/>
    <w:rsid w:val="00812797"/>
    <w:rsid w:val="008127A1"/>
    <w:rsid w:val="00812922"/>
    <w:rsid w:val="008129DE"/>
    <w:rsid w:val="00812BEE"/>
    <w:rsid w:val="00812E68"/>
    <w:rsid w:val="00812E70"/>
    <w:rsid w:val="00813121"/>
    <w:rsid w:val="008131B2"/>
    <w:rsid w:val="00813578"/>
    <w:rsid w:val="00813683"/>
    <w:rsid w:val="008136E9"/>
    <w:rsid w:val="00813773"/>
    <w:rsid w:val="00813896"/>
    <w:rsid w:val="00813AE3"/>
    <w:rsid w:val="00813B1E"/>
    <w:rsid w:val="00813CFF"/>
    <w:rsid w:val="00813F60"/>
    <w:rsid w:val="00814172"/>
    <w:rsid w:val="00814209"/>
    <w:rsid w:val="008142AD"/>
    <w:rsid w:val="0081433B"/>
    <w:rsid w:val="00814433"/>
    <w:rsid w:val="008144B4"/>
    <w:rsid w:val="00814647"/>
    <w:rsid w:val="008146D7"/>
    <w:rsid w:val="008146E9"/>
    <w:rsid w:val="0081480C"/>
    <w:rsid w:val="0081483E"/>
    <w:rsid w:val="00814A39"/>
    <w:rsid w:val="00814B6F"/>
    <w:rsid w:val="00814C1D"/>
    <w:rsid w:val="00814C6C"/>
    <w:rsid w:val="00814CE9"/>
    <w:rsid w:val="0081503C"/>
    <w:rsid w:val="00815147"/>
    <w:rsid w:val="00815413"/>
    <w:rsid w:val="0081542A"/>
    <w:rsid w:val="00815573"/>
    <w:rsid w:val="00815616"/>
    <w:rsid w:val="00815763"/>
    <w:rsid w:val="0081576F"/>
    <w:rsid w:val="00815888"/>
    <w:rsid w:val="008158CF"/>
    <w:rsid w:val="00815B24"/>
    <w:rsid w:val="00815C4A"/>
    <w:rsid w:val="00815D75"/>
    <w:rsid w:val="00815DA8"/>
    <w:rsid w:val="00815E7A"/>
    <w:rsid w:val="00815FDB"/>
    <w:rsid w:val="00816014"/>
    <w:rsid w:val="0081605F"/>
    <w:rsid w:val="008166B5"/>
    <w:rsid w:val="008166FC"/>
    <w:rsid w:val="0081676B"/>
    <w:rsid w:val="00816A7A"/>
    <w:rsid w:val="00816CFE"/>
    <w:rsid w:val="00816D6C"/>
    <w:rsid w:val="00816F73"/>
    <w:rsid w:val="00817547"/>
    <w:rsid w:val="0081758A"/>
    <w:rsid w:val="00817A32"/>
    <w:rsid w:val="00817BBF"/>
    <w:rsid w:val="00817BEC"/>
    <w:rsid w:val="00817C0A"/>
    <w:rsid w:val="00817CA7"/>
    <w:rsid w:val="00817CAD"/>
    <w:rsid w:val="00817EB1"/>
    <w:rsid w:val="00820126"/>
    <w:rsid w:val="008202FE"/>
    <w:rsid w:val="00820376"/>
    <w:rsid w:val="0082060C"/>
    <w:rsid w:val="00820822"/>
    <w:rsid w:val="008208B1"/>
    <w:rsid w:val="00820CAF"/>
    <w:rsid w:val="00820D70"/>
    <w:rsid w:val="0082117D"/>
    <w:rsid w:val="0082127F"/>
    <w:rsid w:val="008213AC"/>
    <w:rsid w:val="00821557"/>
    <w:rsid w:val="0082174E"/>
    <w:rsid w:val="00821AFD"/>
    <w:rsid w:val="00821B54"/>
    <w:rsid w:val="00821B73"/>
    <w:rsid w:val="00821C93"/>
    <w:rsid w:val="00821C97"/>
    <w:rsid w:val="00821DDC"/>
    <w:rsid w:val="0082208C"/>
    <w:rsid w:val="008221E8"/>
    <w:rsid w:val="00822357"/>
    <w:rsid w:val="00822406"/>
    <w:rsid w:val="00822413"/>
    <w:rsid w:val="008224D5"/>
    <w:rsid w:val="008225F1"/>
    <w:rsid w:val="0082272D"/>
    <w:rsid w:val="00822804"/>
    <w:rsid w:val="008228D4"/>
    <w:rsid w:val="0082299E"/>
    <w:rsid w:val="008229D2"/>
    <w:rsid w:val="00822A7D"/>
    <w:rsid w:val="00822EA9"/>
    <w:rsid w:val="0082301D"/>
    <w:rsid w:val="008230DB"/>
    <w:rsid w:val="0082327A"/>
    <w:rsid w:val="00823466"/>
    <w:rsid w:val="008234F9"/>
    <w:rsid w:val="008235C2"/>
    <w:rsid w:val="008235EE"/>
    <w:rsid w:val="00823604"/>
    <w:rsid w:val="00823756"/>
    <w:rsid w:val="00823853"/>
    <w:rsid w:val="00823911"/>
    <w:rsid w:val="00823A90"/>
    <w:rsid w:val="00823C7A"/>
    <w:rsid w:val="00823DF6"/>
    <w:rsid w:val="0082400A"/>
    <w:rsid w:val="00824066"/>
    <w:rsid w:val="008243C1"/>
    <w:rsid w:val="008243FA"/>
    <w:rsid w:val="0082443C"/>
    <w:rsid w:val="00824672"/>
    <w:rsid w:val="008246AD"/>
    <w:rsid w:val="008247C9"/>
    <w:rsid w:val="00824809"/>
    <w:rsid w:val="00824818"/>
    <w:rsid w:val="008248A7"/>
    <w:rsid w:val="008248B2"/>
    <w:rsid w:val="00824933"/>
    <w:rsid w:val="0082497B"/>
    <w:rsid w:val="008249DE"/>
    <w:rsid w:val="008249E0"/>
    <w:rsid w:val="00824A3F"/>
    <w:rsid w:val="008251F9"/>
    <w:rsid w:val="0082538B"/>
    <w:rsid w:val="00825440"/>
    <w:rsid w:val="00825617"/>
    <w:rsid w:val="008257A1"/>
    <w:rsid w:val="0082591D"/>
    <w:rsid w:val="00826278"/>
    <w:rsid w:val="008264C4"/>
    <w:rsid w:val="008264DB"/>
    <w:rsid w:val="00826699"/>
    <w:rsid w:val="0082677E"/>
    <w:rsid w:val="008268C1"/>
    <w:rsid w:val="008268F8"/>
    <w:rsid w:val="008269EE"/>
    <w:rsid w:val="008269F5"/>
    <w:rsid w:val="00826B88"/>
    <w:rsid w:val="00826C6C"/>
    <w:rsid w:val="00826D5B"/>
    <w:rsid w:val="00826D86"/>
    <w:rsid w:val="00826DCC"/>
    <w:rsid w:val="00826EC8"/>
    <w:rsid w:val="008270BA"/>
    <w:rsid w:val="008270D5"/>
    <w:rsid w:val="0082724B"/>
    <w:rsid w:val="008272ED"/>
    <w:rsid w:val="00827349"/>
    <w:rsid w:val="00827393"/>
    <w:rsid w:val="0082761E"/>
    <w:rsid w:val="0082762F"/>
    <w:rsid w:val="008276D7"/>
    <w:rsid w:val="00827A53"/>
    <w:rsid w:val="00827C26"/>
    <w:rsid w:val="00827D2C"/>
    <w:rsid w:val="00827F50"/>
    <w:rsid w:val="00830195"/>
    <w:rsid w:val="008302BA"/>
    <w:rsid w:val="00830425"/>
    <w:rsid w:val="00830483"/>
    <w:rsid w:val="008304FF"/>
    <w:rsid w:val="00830683"/>
    <w:rsid w:val="00830765"/>
    <w:rsid w:val="00830787"/>
    <w:rsid w:val="008307BC"/>
    <w:rsid w:val="008307DA"/>
    <w:rsid w:val="008307FF"/>
    <w:rsid w:val="00830976"/>
    <w:rsid w:val="00830A1A"/>
    <w:rsid w:val="00830E7B"/>
    <w:rsid w:val="00830F1D"/>
    <w:rsid w:val="00831661"/>
    <w:rsid w:val="0083185A"/>
    <w:rsid w:val="00831E47"/>
    <w:rsid w:val="0083205A"/>
    <w:rsid w:val="008320AF"/>
    <w:rsid w:val="008321CC"/>
    <w:rsid w:val="008321D2"/>
    <w:rsid w:val="008323FF"/>
    <w:rsid w:val="00832565"/>
    <w:rsid w:val="008328F5"/>
    <w:rsid w:val="00832A0B"/>
    <w:rsid w:val="00832A2C"/>
    <w:rsid w:val="00832C9C"/>
    <w:rsid w:val="00832DB2"/>
    <w:rsid w:val="00832F11"/>
    <w:rsid w:val="00832F5F"/>
    <w:rsid w:val="008331B2"/>
    <w:rsid w:val="008331C1"/>
    <w:rsid w:val="00833408"/>
    <w:rsid w:val="00833695"/>
    <w:rsid w:val="008336B6"/>
    <w:rsid w:val="0083386D"/>
    <w:rsid w:val="00833894"/>
    <w:rsid w:val="008338B4"/>
    <w:rsid w:val="008338CB"/>
    <w:rsid w:val="0083394F"/>
    <w:rsid w:val="00833BFA"/>
    <w:rsid w:val="00833CBB"/>
    <w:rsid w:val="008340D5"/>
    <w:rsid w:val="00834410"/>
    <w:rsid w:val="008344E7"/>
    <w:rsid w:val="0083465A"/>
    <w:rsid w:val="008349D4"/>
    <w:rsid w:val="00834A2D"/>
    <w:rsid w:val="00834DCD"/>
    <w:rsid w:val="00834EAA"/>
    <w:rsid w:val="008351B0"/>
    <w:rsid w:val="00835290"/>
    <w:rsid w:val="0083544C"/>
    <w:rsid w:val="0083561D"/>
    <w:rsid w:val="00835958"/>
    <w:rsid w:val="00835B40"/>
    <w:rsid w:val="00835BD6"/>
    <w:rsid w:val="00835CD8"/>
    <w:rsid w:val="00835D96"/>
    <w:rsid w:val="00835E5B"/>
    <w:rsid w:val="008360BF"/>
    <w:rsid w:val="0083617A"/>
    <w:rsid w:val="008361EC"/>
    <w:rsid w:val="0083622A"/>
    <w:rsid w:val="00836320"/>
    <w:rsid w:val="00836594"/>
    <w:rsid w:val="00836611"/>
    <w:rsid w:val="0083679D"/>
    <w:rsid w:val="008368AF"/>
    <w:rsid w:val="00836A71"/>
    <w:rsid w:val="00836B26"/>
    <w:rsid w:val="00836C84"/>
    <w:rsid w:val="00836C9A"/>
    <w:rsid w:val="00836D1A"/>
    <w:rsid w:val="00836D98"/>
    <w:rsid w:val="00836E6C"/>
    <w:rsid w:val="0083709D"/>
    <w:rsid w:val="00837184"/>
    <w:rsid w:val="008371A3"/>
    <w:rsid w:val="008376E5"/>
    <w:rsid w:val="0083793E"/>
    <w:rsid w:val="0083793F"/>
    <w:rsid w:val="00837A71"/>
    <w:rsid w:val="00837A80"/>
    <w:rsid w:val="00837AA7"/>
    <w:rsid w:val="00837AF2"/>
    <w:rsid w:val="00837F17"/>
    <w:rsid w:val="00837F38"/>
    <w:rsid w:val="008403D2"/>
    <w:rsid w:val="008403F1"/>
    <w:rsid w:val="008403F7"/>
    <w:rsid w:val="0084042F"/>
    <w:rsid w:val="008405F2"/>
    <w:rsid w:val="008406A6"/>
    <w:rsid w:val="008407AF"/>
    <w:rsid w:val="008407E1"/>
    <w:rsid w:val="00840999"/>
    <w:rsid w:val="0084099E"/>
    <w:rsid w:val="00840C60"/>
    <w:rsid w:val="00840D00"/>
    <w:rsid w:val="00840EFC"/>
    <w:rsid w:val="00841056"/>
    <w:rsid w:val="00841199"/>
    <w:rsid w:val="00841284"/>
    <w:rsid w:val="0084129B"/>
    <w:rsid w:val="008412B8"/>
    <w:rsid w:val="008412FB"/>
    <w:rsid w:val="0084188C"/>
    <w:rsid w:val="00841A64"/>
    <w:rsid w:val="00841C57"/>
    <w:rsid w:val="008420C6"/>
    <w:rsid w:val="008423BD"/>
    <w:rsid w:val="0084252E"/>
    <w:rsid w:val="008427FA"/>
    <w:rsid w:val="00842986"/>
    <w:rsid w:val="00842A91"/>
    <w:rsid w:val="00842ED6"/>
    <w:rsid w:val="00842F09"/>
    <w:rsid w:val="008433E2"/>
    <w:rsid w:val="00843496"/>
    <w:rsid w:val="0084375D"/>
    <w:rsid w:val="00843A9D"/>
    <w:rsid w:val="00843BE8"/>
    <w:rsid w:val="00844057"/>
    <w:rsid w:val="0084407B"/>
    <w:rsid w:val="00844370"/>
    <w:rsid w:val="008443ED"/>
    <w:rsid w:val="00844404"/>
    <w:rsid w:val="008444C1"/>
    <w:rsid w:val="008444E4"/>
    <w:rsid w:val="00844697"/>
    <w:rsid w:val="008446B1"/>
    <w:rsid w:val="008446BB"/>
    <w:rsid w:val="008446DD"/>
    <w:rsid w:val="00844735"/>
    <w:rsid w:val="00844951"/>
    <w:rsid w:val="008449A9"/>
    <w:rsid w:val="008449D0"/>
    <w:rsid w:val="00844AE4"/>
    <w:rsid w:val="00844C43"/>
    <w:rsid w:val="00844C46"/>
    <w:rsid w:val="00844CAD"/>
    <w:rsid w:val="0084520B"/>
    <w:rsid w:val="008452E7"/>
    <w:rsid w:val="00845320"/>
    <w:rsid w:val="0084535D"/>
    <w:rsid w:val="008453EE"/>
    <w:rsid w:val="0084588D"/>
    <w:rsid w:val="008458F4"/>
    <w:rsid w:val="0084595B"/>
    <w:rsid w:val="00845C53"/>
    <w:rsid w:val="00845CD5"/>
    <w:rsid w:val="00845F38"/>
    <w:rsid w:val="008460DF"/>
    <w:rsid w:val="00846137"/>
    <w:rsid w:val="008461EB"/>
    <w:rsid w:val="00846308"/>
    <w:rsid w:val="008465D6"/>
    <w:rsid w:val="00846692"/>
    <w:rsid w:val="00846747"/>
    <w:rsid w:val="00846937"/>
    <w:rsid w:val="008469BC"/>
    <w:rsid w:val="00846BAC"/>
    <w:rsid w:val="00846CCE"/>
    <w:rsid w:val="00847338"/>
    <w:rsid w:val="00847480"/>
    <w:rsid w:val="008477A9"/>
    <w:rsid w:val="008477FD"/>
    <w:rsid w:val="00847955"/>
    <w:rsid w:val="00847A9B"/>
    <w:rsid w:val="00847BBE"/>
    <w:rsid w:val="00847C74"/>
    <w:rsid w:val="00847D5C"/>
    <w:rsid w:val="00847D5D"/>
    <w:rsid w:val="00847E5E"/>
    <w:rsid w:val="00847EAF"/>
    <w:rsid w:val="00847FE3"/>
    <w:rsid w:val="008501A1"/>
    <w:rsid w:val="00850234"/>
    <w:rsid w:val="00850340"/>
    <w:rsid w:val="0085044A"/>
    <w:rsid w:val="008504CC"/>
    <w:rsid w:val="00850523"/>
    <w:rsid w:val="0085067A"/>
    <w:rsid w:val="008507EF"/>
    <w:rsid w:val="0085090F"/>
    <w:rsid w:val="00850BB8"/>
    <w:rsid w:val="008510F5"/>
    <w:rsid w:val="0085118B"/>
    <w:rsid w:val="008511D0"/>
    <w:rsid w:val="0085121E"/>
    <w:rsid w:val="0085134B"/>
    <w:rsid w:val="0085136D"/>
    <w:rsid w:val="008513EA"/>
    <w:rsid w:val="008513F2"/>
    <w:rsid w:val="0085141C"/>
    <w:rsid w:val="008516FF"/>
    <w:rsid w:val="0085187D"/>
    <w:rsid w:val="008518A3"/>
    <w:rsid w:val="00851C2B"/>
    <w:rsid w:val="00851C49"/>
    <w:rsid w:val="00851D30"/>
    <w:rsid w:val="00851F2E"/>
    <w:rsid w:val="008520CA"/>
    <w:rsid w:val="008520F2"/>
    <w:rsid w:val="00852101"/>
    <w:rsid w:val="00852458"/>
    <w:rsid w:val="00852AEE"/>
    <w:rsid w:val="00852C3E"/>
    <w:rsid w:val="00852E97"/>
    <w:rsid w:val="00853165"/>
    <w:rsid w:val="00853228"/>
    <w:rsid w:val="0085341B"/>
    <w:rsid w:val="008534D0"/>
    <w:rsid w:val="0085351C"/>
    <w:rsid w:val="0085375C"/>
    <w:rsid w:val="00853817"/>
    <w:rsid w:val="00853CEA"/>
    <w:rsid w:val="00853CF9"/>
    <w:rsid w:val="00853D57"/>
    <w:rsid w:val="00853EBA"/>
    <w:rsid w:val="00854102"/>
    <w:rsid w:val="00854178"/>
    <w:rsid w:val="00854437"/>
    <w:rsid w:val="008544D0"/>
    <w:rsid w:val="00854592"/>
    <w:rsid w:val="008545E7"/>
    <w:rsid w:val="008545E8"/>
    <w:rsid w:val="0085470B"/>
    <w:rsid w:val="00854A0B"/>
    <w:rsid w:val="00854B72"/>
    <w:rsid w:val="00854B9F"/>
    <w:rsid w:val="00854DA1"/>
    <w:rsid w:val="00854ED1"/>
    <w:rsid w:val="00854FBE"/>
    <w:rsid w:val="00855035"/>
    <w:rsid w:val="00855176"/>
    <w:rsid w:val="00855186"/>
    <w:rsid w:val="008552F9"/>
    <w:rsid w:val="0085537D"/>
    <w:rsid w:val="008553D6"/>
    <w:rsid w:val="00855669"/>
    <w:rsid w:val="00855703"/>
    <w:rsid w:val="00855869"/>
    <w:rsid w:val="008558B0"/>
    <w:rsid w:val="00855C6E"/>
    <w:rsid w:val="00855E01"/>
    <w:rsid w:val="00855ECF"/>
    <w:rsid w:val="008560B1"/>
    <w:rsid w:val="0085611C"/>
    <w:rsid w:val="0085613C"/>
    <w:rsid w:val="00856263"/>
    <w:rsid w:val="0085626E"/>
    <w:rsid w:val="008562A9"/>
    <w:rsid w:val="008562FB"/>
    <w:rsid w:val="008563B8"/>
    <w:rsid w:val="00856545"/>
    <w:rsid w:val="00856632"/>
    <w:rsid w:val="0085676F"/>
    <w:rsid w:val="00856777"/>
    <w:rsid w:val="0085689C"/>
    <w:rsid w:val="00856920"/>
    <w:rsid w:val="00856957"/>
    <w:rsid w:val="00856B5B"/>
    <w:rsid w:val="00856B99"/>
    <w:rsid w:val="00856D26"/>
    <w:rsid w:val="00857224"/>
    <w:rsid w:val="008572A1"/>
    <w:rsid w:val="0085732E"/>
    <w:rsid w:val="0085738B"/>
    <w:rsid w:val="00857425"/>
    <w:rsid w:val="0085744E"/>
    <w:rsid w:val="008574A9"/>
    <w:rsid w:val="0085763F"/>
    <w:rsid w:val="00857662"/>
    <w:rsid w:val="00857712"/>
    <w:rsid w:val="0085773F"/>
    <w:rsid w:val="00857ACF"/>
    <w:rsid w:val="00857D5A"/>
    <w:rsid w:val="00857DC1"/>
    <w:rsid w:val="00860179"/>
    <w:rsid w:val="00860362"/>
    <w:rsid w:val="00860583"/>
    <w:rsid w:val="008609D1"/>
    <w:rsid w:val="00860DA9"/>
    <w:rsid w:val="00860E48"/>
    <w:rsid w:val="00860F0D"/>
    <w:rsid w:val="00860FB4"/>
    <w:rsid w:val="00860FCA"/>
    <w:rsid w:val="00861055"/>
    <w:rsid w:val="0086106B"/>
    <w:rsid w:val="0086115B"/>
    <w:rsid w:val="008611EE"/>
    <w:rsid w:val="0086121A"/>
    <w:rsid w:val="00861285"/>
    <w:rsid w:val="0086133A"/>
    <w:rsid w:val="00861657"/>
    <w:rsid w:val="0086167C"/>
    <w:rsid w:val="00861856"/>
    <w:rsid w:val="00861CC0"/>
    <w:rsid w:val="00862028"/>
    <w:rsid w:val="008620A9"/>
    <w:rsid w:val="00862150"/>
    <w:rsid w:val="00862224"/>
    <w:rsid w:val="00862513"/>
    <w:rsid w:val="008625EF"/>
    <w:rsid w:val="0086267F"/>
    <w:rsid w:val="008626EC"/>
    <w:rsid w:val="00862831"/>
    <w:rsid w:val="00862A0B"/>
    <w:rsid w:val="00862A11"/>
    <w:rsid w:val="00862A14"/>
    <w:rsid w:val="00862A7A"/>
    <w:rsid w:val="00862BD0"/>
    <w:rsid w:val="00863026"/>
    <w:rsid w:val="00863051"/>
    <w:rsid w:val="008630D3"/>
    <w:rsid w:val="008633D7"/>
    <w:rsid w:val="008633F8"/>
    <w:rsid w:val="00863467"/>
    <w:rsid w:val="008634F7"/>
    <w:rsid w:val="00863506"/>
    <w:rsid w:val="00863593"/>
    <w:rsid w:val="008637D5"/>
    <w:rsid w:val="00863AF2"/>
    <w:rsid w:val="00863EF2"/>
    <w:rsid w:val="00863FA7"/>
    <w:rsid w:val="0086415E"/>
    <w:rsid w:val="0086421E"/>
    <w:rsid w:val="00864357"/>
    <w:rsid w:val="0086437A"/>
    <w:rsid w:val="008643EF"/>
    <w:rsid w:val="00864424"/>
    <w:rsid w:val="00864442"/>
    <w:rsid w:val="008644C8"/>
    <w:rsid w:val="00864765"/>
    <w:rsid w:val="00864A6D"/>
    <w:rsid w:val="00864ADB"/>
    <w:rsid w:val="00865261"/>
    <w:rsid w:val="008652E9"/>
    <w:rsid w:val="0086562D"/>
    <w:rsid w:val="00865725"/>
    <w:rsid w:val="00865AC5"/>
    <w:rsid w:val="00865C99"/>
    <w:rsid w:val="00865D01"/>
    <w:rsid w:val="008664C2"/>
    <w:rsid w:val="008665B0"/>
    <w:rsid w:val="0086662A"/>
    <w:rsid w:val="008666CC"/>
    <w:rsid w:val="00866728"/>
    <w:rsid w:val="00866960"/>
    <w:rsid w:val="008669D2"/>
    <w:rsid w:val="00866A34"/>
    <w:rsid w:val="00866E90"/>
    <w:rsid w:val="00866EAC"/>
    <w:rsid w:val="0086717C"/>
    <w:rsid w:val="00867252"/>
    <w:rsid w:val="008672B0"/>
    <w:rsid w:val="00867355"/>
    <w:rsid w:val="0086739D"/>
    <w:rsid w:val="00867697"/>
    <w:rsid w:val="00867821"/>
    <w:rsid w:val="00867824"/>
    <w:rsid w:val="0086792B"/>
    <w:rsid w:val="00867B5B"/>
    <w:rsid w:val="00867BB3"/>
    <w:rsid w:val="00867BFB"/>
    <w:rsid w:val="00867C7B"/>
    <w:rsid w:val="00867D2A"/>
    <w:rsid w:val="00867D46"/>
    <w:rsid w:val="00867E57"/>
    <w:rsid w:val="00867EDE"/>
    <w:rsid w:val="00867F09"/>
    <w:rsid w:val="00867FEF"/>
    <w:rsid w:val="00870279"/>
    <w:rsid w:val="008702EF"/>
    <w:rsid w:val="00870395"/>
    <w:rsid w:val="008703F1"/>
    <w:rsid w:val="008704C5"/>
    <w:rsid w:val="00870577"/>
    <w:rsid w:val="008707B8"/>
    <w:rsid w:val="0087083F"/>
    <w:rsid w:val="00870907"/>
    <w:rsid w:val="00870B4A"/>
    <w:rsid w:val="00870D49"/>
    <w:rsid w:val="00870E3F"/>
    <w:rsid w:val="00870FE6"/>
    <w:rsid w:val="0087139F"/>
    <w:rsid w:val="00871478"/>
    <w:rsid w:val="0087151E"/>
    <w:rsid w:val="00871848"/>
    <w:rsid w:val="0087185E"/>
    <w:rsid w:val="008718F3"/>
    <w:rsid w:val="00871993"/>
    <w:rsid w:val="00871AC3"/>
    <w:rsid w:val="00871CFB"/>
    <w:rsid w:val="00871DBA"/>
    <w:rsid w:val="00871E7B"/>
    <w:rsid w:val="00872135"/>
    <w:rsid w:val="00872228"/>
    <w:rsid w:val="008723C0"/>
    <w:rsid w:val="008724D3"/>
    <w:rsid w:val="008724E0"/>
    <w:rsid w:val="00872536"/>
    <w:rsid w:val="00872678"/>
    <w:rsid w:val="00872754"/>
    <w:rsid w:val="008727FB"/>
    <w:rsid w:val="008728EF"/>
    <w:rsid w:val="00872948"/>
    <w:rsid w:val="00872990"/>
    <w:rsid w:val="00872A5A"/>
    <w:rsid w:val="00872BB5"/>
    <w:rsid w:val="00872BD4"/>
    <w:rsid w:val="00872CC8"/>
    <w:rsid w:val="00872D12"/>
    <w:rsid w:val="0087301A"/>
    <w:rsid w:val="0087301E"/>
    <w:rsid w:val="0087316D"/>
    <w:rsid w:val="008733B9"/>
    <w:rsid w:val="008733CE"/>
    <w:rsid w:val="00873430"/>
    <w:rsid w:val="00873608"/>
    <w:rsid w:val="00873639"/>
    <w:rsid w:val="0087386B"/>
    <w:rsid w:val="00873892"/>
    <w:rsid w:val="00873A48"/>
    <w:rsid w:val="00873B2B"/>
    <w:rsid w:val="00873C4B"/>
    <w:rsid w:val="008741C7"/>
    <w:rsid w:val="008741FE"/>
    <w:rsid w:val="0087429D"/>
    <w:rsid w:val="0087472D"/>
    <w:rsid w:val="0087493A"/>
    <w:rsid w:val="008749CD"/>
    <w:rsid w:val="00874B82"/>
    <w:rsid w:val="00874C56"/>
    <w:rsid w:val="00874D60"/>
    <w:rsid w:val="00874EEF"/>
    <w:rsid w:val="00874F54"/>
    <w:rsid w:val="00875172"/>
    <w:rsid w:val="00875269"/>
    <w:rsid w:val="0087545B"/>
    <w:rsid w:val="008755AE"/>
    <w:rsid w:val="00875834"/>
    <w:rsid w:val="00875965"/>
    <w:rsid w:val="00875C8B"/>
    <w:rsid w:val="00875E20"/>
    <w:rsid w:val="00875E8F"/>
    <w:rsid w:val="008761D6"/>
    <w:rsid w:val="008762DF"/>
    <w:rsid w:val="00876401"/>
    <w:rsid w:val="0087646A"/>
    <w:rsid w:val="008764F7"/>
    <w:rsid w:val="00876767"/>
    <w:rsid w:val="008768E9"/>
    <w:rsid w:val="00876B48"/>
    <w:rsid w:val="00876CD1"/>
    <w:rsid w:val="00876D75"/>
    <w:rsid w:val="00876E3D"/>
    <w:rsid w:val="00876EEF"/>
    <w:rsid w:val="0087708E"/>
    <w:rsid w:val="008770B4"/>
    <w:rsid w:val="008771AE"/>
    <w:rsid w:val="00877295"/>
    <w:rsid w:val="00877335"/>
    <w:rsid w:val="00877365"/>
    <w:rsid w:val="0087747A"/>
    <w:rsid w:val="0087752A"/>
    <w:rsid w:val="0087759D"/>
    <w:rsid w:val="0087786D"/>
    <w:rsid w:val="008778F2"/>
    <w:rsid w:val="008779FB"/>
    <w:rsid w:val="00877D0B"/>
    <w:rsid w:val="00877DAF"/>
    <w:rsid w:val="008801B3"/>
    <w:rsid w:val="00880269"/>
    <w:rsid w:val="008802B1"/>
    <w:rsid w:val="0088050E"/>
    <w:rsid w:val="00880520"/>
    <w:rsid w:val="00880667"/>
    <w:rsid w:val="00880695"/>
    <w:rsid w:val="008808CB"/>
    <w:rsid w:val="008808F0"/>
    <w:rsid w:val="00880901"/>
    <w:rsid w:val="0088093E"/>
    <w:rsid w:val="008809B9"/>
    <w:rsid w:val="00880A9B"/>
    <w:rsid w:val="00880B15"/>
    <w:rsid w:val="00880D21"/>
    <w:rsid w:val="00881167"/>
    <w:rsid w:val="008812A1"/>
    <w:rsid w:val="0088137E"/>
    <w:rsid w:val="00881515"/>
    <w:rsid w:val="00881594"/>
    <w:rsid w:val="008815D1"/>
    <w:rsid w:val="008815DB"/>
    <w:rsid w:val="008815E0"/>
    <w:rsid w:val="008815E4"/>
    <w:rsid w:val="0088179D"/>
    <w:rsid w:val="008819EA"/>
    <w:rsid w:val="00881A98"/>
    <w:rsid w:val="00881AFC"/>
    <w:rsid w:val="00881CB3"/>
    <w:rsid w:val="00881EE3"/>
    <w:rsid w:val="008823DA"/>
    <w:rsid w:val="00882509"/>
    <w:rsid w:val="008825B8"/>
    <w:rsid w:val="008825FE"/>
    <w:rsid w:val="00882670"/>
    <w:rsid w:val="00882690"/>
    <w:rsid w:val="00882754"/>
    <w:rsid w:val="0088275C"/>
    <w:rsid w:val="0088284C"/>
    <w:rsid w:val="00882AF6"/>
    <w:rsid w:val="00882E6F"/>
    <w:rsid w:val="00882EF3"/>
    <w:rsid w:val="00883097"/>
    <w:rsid w:val="0088317A"/>
    <w:rsid w:val="008831A6"/>
    <w:rsid w:val="008834AA"/>
    <w:rsid w:val="008835DB"/>
    <w:rsid w:val="00883715"/>
    <w:rsid w:val="0088375C"/>
    <w:rsid w:val="0088379A"/>
    <w:rsid w:val="00883A16"/>
    <w:rsid w:val="00884016"/>
    <w:rsid w:val="0088404E"/>
    <w:rsid w:val="00884071"/>
    <w:rsid w:val="00884129"/>
    <w:rsid w:val="00884315"/>
    <w:rsid w:val="008844D2"/>
    <w:rsid w:val="00884967"/>
    <w:rsid w:val="008849A8"/>
    <w:rsid w:val="00884E6C"/>
    <w:rsid w:val="00884F1B"/>
    <w:rsid w:val="00884FB4"/>
    <w:rsid w:val="00885022"/>
    <w:rsid w:val="008850CB"/>
    <w:rsid w:val="0088536F"/>
    <w:rsid w:val="0088567C"/>
    <w:rsid w:val="008856CF"/>
    <w:rsid w:val="00885823"/>
    <w:rsid w:val="0088593B"/>
    <w:rsid w:val="00885AAA"/>
    <w:rsid w:val="00885B13"/>
    <w:rsid w:val="00885BA8"/>
    <w:rsid w:val="00885C27"/>
    <w:rsid w:val="00885CAD"/>
    <w:rsid w:val="00885E10"/>
    <w:rsid w:val="00885EE2"/>
    <w:rsid w:val="00885F25"/>
    <w:rsid w:val="008861C4"/>
    <w:rsid w:val="008861C6"/>
    <w:rsid w:val="00886206"/>
    <w:rsid w:val="00886511"/>
    <w:rsid w:val="0088656B"/>
    <w:rsid w:val="0088659E"/>
    <w:rsid w:val="008866F9"/>
    <w:rsid w:val="00886AEA"/>
    <w:rsid w:val="00886BC2"/>
    <w:rsid w:val="00886F4B"/>
    <w:rsid w:val="008871C9"/>
    <w:rsid w:val="008876C9"/>
    <w:rsid w:val="0088779A"/>
    <w:rsid w:val="00887B8E"/>
    <w:rsid w:val="00887E9E"/>
    <w:rsid w:val="00887F1A"/>
    <w:rsid w:val="008901D7"/>
    <w:rsid w:val="00890208"/>
    <w:rsid w:val="0089032D"/>
    <w:rsid w:val="008903CA"/>
    <w:rsid w:val="00890561"/>
    <w:rsid w:val="0089062F"/>
    <w:rsid w:val="00890A88"/>
    <w:rsid w:val="00890B25"/>
    <w:rsid w:val="00890FCA"/>
    <w:rsid w:val="00891523"/>
    <w:rsid w:val="00891A20"/>
    <w:rsid w:val="00892070"/>
    <w:rsid w:val="008920B9"/>
    <w:rsid w:val="0089211F"/>
    <w:rsid w:val="008924FD"/>
    <w:rsid w:val="00892534"/>
    <w:rsid w:val="008929AD"/>
    <w:rsid w:val="00892A16"/>
    <w:rsid w:val="00892C9A"/>
    <w:rsid w:val="00892D81"/>
    <w:rsid w:val="00892D8F"/>
    <w:rsid w:val="00892FE6"/>
    <w:rsid w:val="0089319A"/>
    <w:rsid w:val="008931CE"/>
    <w:rsid w:val="008933D7"/>
    <w:rsid w:val="00893536"/>
    <w:rsid w:val="008937C5"/>
    <w:rsid w:val="00893967"/>
    <w:rsid w:val="008939C4"/>
    <w:rsid w:val="00893B9D"/>
    <w:rsid w:val="00893BE3"/>
    <w:rsid w:val="00893C9D"/>
    <w:rsid w:val="00893CD7"/>
    <w:rsid w:val="00893E3F"/>
    <w:rsid w:val="00893E97"/>
    <w:rsid w:val="0089411D"/>
    <w:rsid w:val="00894207"/>
    <w:rsid w:val="00894268"/>
    <w:rsid w:val="008942EB"/>
    <w:rsid w:val="00894357"/>
    <w:rsid w:val="00894367"/>
    <w:rsid w:val="00894416"/>
    <w:rsid w:val="00894786"/>
    <w:rsid w:val="008947DE"/>
    <w:rsid w:val="00894823"/>
    <w:rsid w:val="00894B1B"/>
    <w:rsid w:val="00894D3D"/>
    <w:rsid w:val="00894D69"/>
    <w:rsid w:val="00894DEC"/>
    <w:rsid w:val="00894E29"/>
    <w:rsid w:val="00894F8D"/>
    <w:rsid w:val="008951D4"/>
    <w:rsid w:val="008951D8"/>
    <w:rsid w:val="00895665"/>
    <w:rsid w:val="00895825"/>
    <w:rsid w:val="008958F8"/>
    <w:rsid w:val="00895A46"/>
    <w:rsid w:val="00895A9D"/>
    <w:rsid w:val="00895B10"/>
    <w:rsid w:val="00895C63"/>
    <w:rsid w:val="00895DE0"/>
    <w:rsid w:val="00895E09"/>
    <w:rsid w:val="00895EEC"/>
    <w:rsid w:val="00895F78"/>
    <w:rsid w:val="00896125"/>
    <w:rsid w:val="008963DA"/>
    <w:rsid w:val="008965A9"/>
    <w:rsid w:val="00896815"/>
    <w:rsid w:val="0089689B"/>
    <w:rsid w:val="00896A2D"/>
    <w:rsid w:val="00896B0B"/>
    <w:rsid w:val="00896CD1"/>
    <w:rsid w:val="00896E45"/>
    <w:rsid w:val="00896F16"/>
    <w:rsid w:val="00896F96"/>
    <w:rsid w:val="0089704A"/>
    <w:rsid w:val="008971FF"/>
    <w:rsid w:val="0089732F"/>
    <w:rsid w:val="008973A6"/>
    <w:rsid w:val="008974B3"/>
    <w:rsid w:val="0089752F"/>
    <w:rsid w:val="0089781C"/>
    <w:rsid w:val="00897849"/>
    <w:rsid w:val="00897952"/>
    <w:rsid w:val="00897A0F"/>
    <w:rsid w:val="00897B16"/>
    <w:rsid w:val="00897B2B"/>
    <w:rsid w:val="00897B31"/>
    <w:rsid w:val="00897BC0"/>
    <w:rsid w:val="00897D52"/>
    <w:rsid w:val="00897D5E"/>
    <w:rsid w:val="00897DB9"/>
    <w:rsid w:val="00897E4D"/>
    <w:rsid w:val="008A0111"/>
    <w:rsid w:val="008A0388"/>
    <w:rsid w:val="008A05A4"/>
    <w:rsid w:val="008A05C0"/>
    <w:rsid w:val="008A0870"/>
    <w:rsid w:val="008A09F6"/>
    <w:rsid w:val="008A0B36"/>
    <w:rsid w:val="008A0B84"/>
    <w:rsid w:val="008A0C92"/>
    <w:rsid w:val="008A0CEF"/>
    <w:rsid w:val="008A0EAE"/>
    <w:rsid w:val="008A0EC4"/>
    <w:rsid w:val="008A0FE1"/>
    <w:rsid w:val="008A1040"/>
    <w:rsid w:val="008A11FA"/>
    <w:rsid w:val="008A1288"/>
    <w:rsid w:val="008A1427"/>
    <w:rsid w:val="008A1493"/>
    <w:rsid w:val="008A14B3"/>
    <w:rsid w:val="008A17AD"/>
    <w:rsid w:val="008A1AD4"/>
    <w:rsid w:val="008A1C00"/>
    <w:rsid w:val="008A1D4F"/>
    <w:rsid w:val="008A1DFF"/>
    <w:rsid w:val="008A1E67"/>
    <w:rsid w:val="008A2492"/>
    <w:rsid w:val="008A2694"/>
    <w:rsid w:val="008A2748"/>
    <w:rsid w:val="008A27F6"/>
    <w:rsid w:val="008A28AA"/>
    <w:rsid w:val="008A2C0E"/>
    <w:rsid w:val="008A2DF1"/>
    <w:rsid w:val="008A3820"/>
    <w:rsid w:val="008A38E4"/>
    <w:rsid w:val="008A3905"/>
    <w:rsid w:val="008A3963"/>
    <w:rsid w:val="008A3B27"/>
    <w:rsid w:val="008A3C82"/>
    <w:rsid w:val="008A3D70"/>
    <w:rsid w:val="008A435C"/>
    <w:rsid w:val="008A444F"/>
    <w:rsid w:val="008A487D"/>
    <w:rsid w:val="008A4A05"/>
    <w:rsid w:val="008A4A7F"/>
    <w:rsid w:val="008A4B46"/>
    <w:rsid w:val="008A4BD6"/>
    <w:rsid w:val="008A4D35"/>
    <w:rsid w:val="008A512A"/>
    <w:rsid w:val="008A5291"/>
    <w:rsid w:val="008A541F"/>
    <w:rsid w:val="008A56FA"/>
    <w:rsid w:val="008A58BF"/>
    <w:rsid w:val="008A58E8"/>
    <w:rsid w:val="008A5B0B"/>
    <w:rsid w:val="008A5CBA"/>
    <w:rsid w:val="008A5F73"/>
    <w:rsid w:val="008A608E"/>
    <w:rsid w:val="008A6156"/>
    <w:rsid w:val="008A62C8"/>
    <w:rsid w:val="008A62EE"/>
    <w:rsid w:val="008A62F6"/>
    <w:rsid w:val="008A642D"/>
    <w:rsid w:val="008A648D"/>
    <w:rsid w:val="008A64FF"/>
    <w:rsid w:val="008A655A"/>
    <w:rsid w:val="008A65C4"/>
    <w:rsid w:val="008A6636"/>
    <w:rsid w:val="008A66C4"/>
    <w:rsid w:val="008A6814"/>
    <w:rsid w:val="008A68CD"/>
    <w:rsid w:val="008A6967"/>
    <w:rsid w:val="008A6E9B"/>
    <w:rsid w:val="008A6FDB"/>
    <w:rsid w:val="008A7252"/>
    <w:rsid w:val="008A7277"/>
    <w:rsid w:val="008A73BF"/>
    <w:rsid w:val="008A76A4"/>
    <w:rsid w:val="008A785B"/>
    <w:rsid w:val="008A7D59"/>
    <w:rsid w:val="008A7D5D"/>
    <w:rsid w:val="008A7DF6"/>
    <w:rsid w:val="008A7EA5"/>
    <w:rsid w:val="008A7ED4"/>
    <w:rsid w:val="008B00C3"/>
    <w:rsid w:val="008B0209"/>
    <w:rsid w:val="008B0259"/>
    <w:rsid w:val="008B0561"/>
    <w:rsid w:val="008B05DB"/>
    <w:rsid w:val="008B05F8"/>
    <w:rsid w:val="008B0797"/>
    <w:rsid w:val="008B07C4"/>
    <w:rsid w:val="008B09C4"/>
    <w:rsid w:val="008B0B95"/>
    <w:rsid w:val="008B0BB2"/>
    <w:rsid w:val="008B0C50"/>
    <w:rsid w:val="008B0DF1"/>
    <w:rsid w:val="008B0F27"/>
    <w:rsid w:val="008B10B3"/>
    <w:rsid w:val="008B11D6"/>
    <w:rsid w:val="008B1268"/>
    <w:rsid w:val="008B1481"/>
    <w:rsid w:val="008B159B"/>
    <w:rsid w:val="008B1A6B"/>
    <w:rsid w:val="008B1C6D"/>
    <w:rsid w:val="008B1C97"/>
    <w:rsid w:val="008B1CA8"/>
    <w:rsid w:val="008B1CF6"/>
    <w:rsid w:val="008B2106"/>
    <w:rsid w:val="008B2273"/>
    <w:rsid w:val="008B276E"/>
    <w:rsid w:val="008B27B0"/>
    <w:rsid w:val="008B294C"/>
    <w:rsid w:val="008B2D5B"/>
    <w:rsid w:val="008B2DDD"/>
    <w:rsid w:val="008B2EA8"/>
    <w:rsid w:val="008B2F4F"/>
    <w:rsid w:val="008B2FC1"/>
    <w:rsid w:val="008B2FCB"/>
    <w:rsid w:val="008B300B"/>
    <w:rsid w:val="008B3087"/>
    <w:rsid w:val="008B31D3"/>
    <w:rsid w:val="008B32DF"/>
    <w:rsid w:val="008B3385"/>
    <w:rsid w:val="008B3486"/>
    <w:rsid w:val="008B34CE"/>
    <w:rsid w:val="008B35B1"/>
    <w:rsid w:val="008B35B3"/>
    <w:rsid w:val="008B3787"/>
    <w:rsid w:val="008B37DA"/>
    <w:rsid w:val="008B3882"/>
    <w:rsid w:val="008B38C1"/>
    <w:rsid w:val="008B3A68"/>
    <w:rsid w:val="008B3AC9"/>
    <w:rsid w:val="008B3C8F"/>
    <w:rsid w:val="008B3D8B"/>
    <w:rsid w:val="008B46A5"/>
    <w:rsid w:val="008B46E2"/>
    <w:rsid w:val="008B49D5"/>
    <w:rsid w:val="008B4C00"/>
    <w:rsid w:val="008B4CC5"/>
    <w:rsid w:val="008B4FCE"/>
    <w:rsid w:val="008B502B"/>
    <w:rsid w:val="008B524B"/>
    <w:rsid w:val="008B524F"/>
    <w:rsid w:val="008B53B6"/>
    <w:rsid w:val="008B53E3"/>
    <w:rsid w:val="008B5400"/>
    <w:rsid w:val="008B54EF"/>
    <w:rsid w:val="008B562F"/>
    <w:rsid w:val="008B5958"/>
    <w:rsid w:val="008B599E"/>
    <w:rsid w:val="008B59FC"/>
    <w:rsid w:val="008B5A0C"/>
    <w:rsid w:val="008B5EF6"/>
    <w:rsid w:val="008B5F97"/>
    <w:rsid w:val="008B60C3"/>
    <w:rsid w:val="008B6304"/>
    <w:rsid w:val="008B6408"/>
    <w:rsid w:val="008B645E"/>
    <w:rsid w:val="008B6487"/>
    <w:rsid w:val="008B6562"/>
    <w:rsid w:val="008B6616"/>
    <w:rsid w:val="008B677B"/>
    <w:rsid w:val="008B6791"/>
    <w:rsid w:val="008B67CD"/>
    <w:rsid w:val="008B68FA"/>
    <w:rsid w:val="008B6A7E"/>
    <w:rsid w:val="008B6BCD"/>
    <w:rsid w:val="008B6C72"/>
    <w:rsid w:val="008B6CAA"/>
    <w:rsid w:val="008B6DDD"/>
    <w:rsid w:val="008B6EA9"/>
    <w:rsid w:val="008B6F3E"/>
    <w:rsid w:val="008B6FE5"/>
    <w:rsid w:val="008B7134"/>
    <w:rsid w:val="008B7435"/>
    <w:rsid w:val="008B7852"/>
    <w:rsid w:val="008B79E5"/>
    <w:rsid w:val="008B7A0E"/>
    <w:rsid w:val="008B7D3C"/>
    <w:rsid w:val="008B7D70"/>
    <w:rsid w:val="008B7DD4"/>
    <w:rsid w:val="008B7E2E"/>
    <w:rsid w:val="008B7EFE"/>
    <w:rsid w:val="008B7F5B"/>
    <w:rsid w:val="008B7FA8"/>
    <w:rsid w:val="008C0029"/>
    <w:rsid w:val="008C0232"/>
    <w:rsid w:val="008C026B"/>
    <w:rsid w:val="008C0307"/>
    <w:rsid w:val="008C036E"/>
    <w:rsid w:val="008C0392"/>
    <w:rsid w:val="008C07AA"/>
    <w:rsid w:val="008C083B"/>
    <w:rsid w:val="008C0A98"/>
    <w:rsid w:val="008C0C01"/>
    <w:rsid w:val="008C0C1B"/>
    <w:rsid w:val="008C0D54"/>
    <w:rsid w:val="008C10D8"/>
    <w:rsid w:val="008C10F0"/>
    <w:rsid w:val="008C12F2"/>
    <w:rsid w:val="008C157B"/>
    <w:rsid w:val="008C174E"/>
    <w:rsid w:val="008C1C0C"/>
    <w:rsid w:val="008C1C35"/>
    <w:rsid w:val="008C1E58"/>
    <w:rsid w:val="008C1EA3"/>
    <w:rsid w:val="008C1EAB"/>
    <w:rsid w:val="008C1F09"/>
    <w:rsid w:val="008C2475"/>
    <w:rsid w:val="008C26FD"/>
    <w:rsid w:val="008C29B8"/>
    <w:rsid w:val="008C2A26"/>
    <w:rsid w:val="008C2C67"/>
    <w:rsid w:val="008C2C6B"/>
    <w:rsid w:val="008C2D98"/>
    <w:rsid w:val="008C2FB7"/>
    <w:rsid w:val="008C31F1"/>
    <w:rsid w:val="008C32F6"/>
    <w:rsid w:val="008C3566"/>
    <w:rsid w:val="008C356C"/>
    <w:rsid w:val="008C3687"/>
    <w:rsid w:val="008C373F"/>
    <w:rsid w:val="008C38C4"/>
    <w:rsid w:val="008C39CF"/>
    <w:rsid w:val="008C3BA2"/>
    <w:rsid w:val="008C3BD7"/>
    <w:rsid w:val="008C3EEE"/>
    <w:rsid w:val="008C3F38"/>
    <w:rsid w:val="008C4718"/>
    <w:rsid w:val="008C47F2"/>
    <w:rsid w:val="008C4858"/>
    <w:rsid w:val="008C48D7"/>
    <w:rsid w:val="008C49F7"/>
    <w:rsid w:val="008C4ABB"/>
    <w:rsid w:val="008C4AD3"/>
    <w:rsid w:val="008C4D40"/>
    <w:rsid w:val="008C4F6E"/>
    <w:rsid w:val="008C512F"/>
    <w:rsid w:val="008C52F0"/>
    <w:rsid w:val="008C53E3"/>
    <w:rsid w:val="008C544C"/>
    <w:rsid w:val="008C5597"/>
    <w:rsid w:val="008C5738"/>
    <w:rsid w:val="008C5814"/>
    <w:rsid w:val="008C587B"/>
    <w:rsid w:val="008C5A22"/>
    <w:rsid w:val="008C5DAD"/>
    <w:rsid w:val="008C5F23"/>
    <w:rsid w:val="008C5F85"/>
    <w:rsid w:val="008C5FFE"/>
    <w:rsid w:val="008C6091"/>
    <w:rsid w:val="008C63AC"/>
    <w:rsid w:val="008C63C2"/>
    <w:rsid w:val="008C6428"/>
    <w:rsid w:val="008C64CC"/>
    <w:rsid w:val="008C6631"/>
    <w:rsid w:val="008C66E0"/>
    <w:rsid w:val="008C6B81"/>
    <w:rsid w:val="008C6B9C"/>
    <w:rsid w:val="008C6BC9"/>
    <w:rsid w:val="008C6CEA"/>
    <w:rsid w:val="008C6D7B"/>
    <w:rsid w:val="008C6F91"/>
    <w:rsid w:val="008C7243"/>
    <w:rsid w:val="008C72F8"/>
    <w:rsid w:val="008C7326"/>
    <w:rsid w:val="008C7444"/>
    <w:rsid w:val="008C7658"/>
    <w:rsid w:val="008C7712"/>
    <w:rsid w:val="008C784E"/>
    <w:rsid w:val="008C786F"/>
    <w:rsid w:val="008C788B"/>
    <w:rsid w:val="008C7928"/>
    <w:rsid w:val="008C7999"/>
    <w:rsid w:val="008C7AC6"/>
    <w:rsid w:val="008C7BA5"/>
    <w:rsid w:val="008D0051"/>
    <w:rsid w:val="008D04F0"/>
    <w:rsid w:val="008D06E2"/>
    <w:rsid w:val="008D08B4"/>
    <w:rsid w:val="008D0958"/>
    <w:rsid w:val="008D0AEF"/>
    <w:rsid w:val="008D0D59"/>
    <w:rsid w:val="008D0D9F"/>
    <w:rsid w:val="008D0DC7"/>
    <w:rsid w:val="008D0E61"/>
    <w:rsid w:val="008D0EE1"/>
    <w:rsid w:val="008D143F"/>
    <w:rsid w:val="008D14E7"/>
    <w:rsid w:val="008D1579"/>
    <w:rsid w:val="008D1595"/>
    <w:rsid w:val="008D15A8"/>
    <w:rsid w:val="008D171C"/>
    <w:rsid w:val="008D17DE"/>
    <w:rsid w:val="008D17E0"/>
    <w:rsid w:val="008D18D7"/>
    <w:rsid w:val="008D1951"/>
    <w:rsid w:val="008D19D2"/>
    <w:rsid w:val="008D1B5D"/>
    <w:rsid w:val="008D1B64"/>
    <w:rsid w:val="008D1D03"/>
    <w:rsid w:val="008D1D1E"/>
    <w:rsid w:val="008D1DE8"/>
    <w:rsid w:val="008D1E1E"/>
    <w:rsid w:val="008D1E2A"/>
    <w:rsid w:val="008D2032"/>
    <w:rsid w:val="008D214C"/>
    <w:rsid w:val="008D2594"/>
    <w:rsid w:val="008D2918"/>
    <w:rsid w:val="008D29AE"/>
    <w:rsid w:val="008D2E60"/>
    <w:rsid w:val="008D3055"/>
    <w:rsid w:val="008D3191"/>
    <w:rsid w:val="008D31AD"/>
    <w:rsid w:val="008D3329"/>
    <w:rsid w:val="008D3388"/>
    <w:rsid w:val="008D3479"/>
    <w:rsid w:val="008D34E4"/>
    <w:rsid w:val="008D34FE"/>
    <w:rsid w:val="008D35CC"/>
    <w:rsid w:val="008D3992"/>
    <w:rsid w:val="008D3C18"/>
    <w:rsid w:val="008D3C7C"/>
    <w:rsid w:val="008D3E6F"/>
    <w:rsid w:val="008D3F8F"/>
    <w:rsid w:val="008D405F"/>
    <w:rsid w:val="008D4114"/>
    <w:rsid w:val="008D4162"/>
    <w:rsid w:val="008D4263"/>
    <w:rsid w:val="008D4308"/>
    <w:rsid w:val="008D437E"/>
    <w:rsid w:val="008D4481"/>
    <w:rsid w:val="008D4509"/>
    <w:rsid w:val="008D450B"/>
    <w:rsid w:val="008D45F2"/>
    <w:rsid w:val="008D46D5"/>
    <w:rsid w:val="008D47FA"/>
    <w:rsid w:val="008D49EF"/>
    <w:rsid w:val="008D4AE7"/>
    <w:rsid w:val="008D4D27"/>
    <w:rsid w:val="008D4D8B"/>
    <w:rsid w:val="008D4E5E"/>
    <w:rsid w:val="008D5153"/>
    <w:rsid w:val="008D51E0"/>
    <w:rsid w:val="008D5407"/>
    <w:rsid w:val="008D55DC"/>
    <w:rsid w:val="008D57BC"/>
    <w:rsid w:val="008D583F"/>
    <w:rsid w:val="008D5F48"/>
    <w:rsid w:val="008D5F53"/>
    <w:rsid w:val="008D5F6E"/>
    <w:rsid w:val="008D5FDC"/>
    <w:rsid w:val="008D602A"/>
    <w:rsid w:val="008D60E8"/>
    <w:rsid w:val="008D6311"/>
    <w:rsid w:val="008D65EA"/>
    <w:rsid w:val="008D660A"/>
    <w:rsid w:val="008D672D"/>
    <w:rsid w:val="008D6776"/>
    <w:rsid w:val="008D687A"/>
    <w:rsid w:val="008D6DFF"/>
    <w:rsid w:val="008D73CB"/>
    <w:rsid w:val="008D7444"/>
    <w:rsid w:val="008D7462"/>
    <w:rsid w:val="008D75B5"/>
    <w:rsid w:val="008D7681"/>
    <w:rsid w:val="008D7835"/>
    <w:rsid w:val="008D7896"/>
    <w:rsid w:val="008D7917"/>
    <w:rsid w:val="008D79A5"/>
    <w:rsid w:val="008D7B02"/>
    <w:rsid w:val="008D7B73"/>
    <w:rsid w:val="008D7E0A"/>
    <w:rsid w:val="008D7F64"/>
    <w:rsid w:val="008E0050"/>
    <w:rsid w:val="008E0084"/>
    <w:rsid w:val="008E012A"/>
    <w:rsid w:val="008E0173"/>
    <w:rsid w:val="008E03B6"/>
    <w:rsid w:val="008E0722"/>
    <w:rsid w:val="008E092E"/>
    <w:rsid w:val="008E09A3"/>
    <w:rsid w:val="008E0A02"/>
    <w:rsid w:val="008E0BA2"/>
    <w:rsid w:val="008E0C07"/>
    <w:rsid w:val="008E0CF3"/>
    <w:rsid w:val="008E0D08"/>
    <w:rsid w:val="008E0D57"/>
    <w:rsid w:val="008E0E34"/>
    <w:rsid w:val="008E0E4E"/>
    <w:rsid w:val="008E1014"/>
    <w:rsid w:val="008E11C3"/>
    <w:rsid w:val="008E1317"/>
    <w:rsid w:val="008E1508"/>
    <w:rsid w:val="008E1647"/>
    <w:rsid w:val="008E1657"/>
    <w:rsid w:val="008E1744"/>
    <w:rsid w:val="008E17E0"/>
    <w:rsid w:val="008E199E"/>
    <w:rsid w:val="008E1EFB"/>
    <w:rsid w:val="008E2020"/>
    <w:rsid w:val="008E2051"/>
    <w:rsid w:val="008E20ED"/>
    <w:rsid w:val="008E2108"/>
    <w:rsid w:val="008E22B5"/>
    <w:rsid w:val="008E2331"/>
    <w:rsid w:val="008E2426"/>
    <w:rsid w:val="008E2574"/>
    <w:rsid w:val="008E2953"/>
    <w:rsid w:val="008E2E3E"/>
    <w:rsid w:val="008E2E76"/>
    <w:rsid w:val="008E2F5F"/>
    <w:rsid w:val="008E3046"/>
    <w:rsid w:val="008E309B"/>
    <w:rsid w:val="008E30B2"/>
    <w:rsid w:val="008E30D0"/>
    <w:rsid w:val="008E3126"/>
    <w:rsid w:val="008E31E4"/>
    <w:rsid w:val="008E336B"/>
    <w:rsid w:val="008E3956"/>
    <w:rsid w:val="008E3A52"/>
    <w:rsid w:val="008E3D18"/>
    <w:rsid w:val="008E3E35"/>
    <w:rsid w:val="008E3EE2"/>
    <w:rsid w:val="008E3F4C"/>
    <w:rsid w:val="008E3FC0"/>
    <w:rsid w:val="008E3FD8"/>
    <w:rsid w:val="008E403C"/>
    <w:rsid w:val="008E40F2"/>
    <w:rsid w:val="008E41CC"/>
    <w:rsid w:val="008E42A2"/>
    <w:rsid w:val="008E42DA"/>
    <w:rsid w:val="008E436D"/>
    <w:rsid w:val="008E44EA"/>
    <w:rsid w:val="008E453E"/>
    <w:rsid w:val="008E479C"/>
    <w:rsid w:val="008E4892"/>
    <w:rsid w:val="008E48D1"/>
    <w:rsid w:val="008E4936"/>
    <w:rsid w:val="008E49C2"/>
    <w:rsid w:val="008E4A50"/>
    <w:rsid w:val="008E4AA9"/>
    <w:rsid w:val="008E4AE2"/>
    <w:rsid w:val="008E4B44"/>
    <w:rsid w:val="008E4BBA"/>
    <w:rsid w:val="008E4D2C"/>
    <w:rsid w:val="008E5016"/>
    <w:rsid w:val="008E53B5"/>
    <w:rsid w:val="008E55DE"/>
    <w:rsid w:val="008E55EC"/>
    <w:rsid w:val="008E5668"/>
    <w:rsid w:val="008E588A"/>
    <w:rsid w:val="008E5A9D"/>
    <w:rsid w:val="008E5F65"/>
    <w:rsid w:val="008E5FB3"/>
    <w:rsid w:val="008E6137"/>
    <w:rsid w:val="008E62E9"/>
    <w:rsid w:val="008E63D5"/>
    <w:rsid w:val="008E6ACC"/>
    <w:rsid w:val="008E6E0A"/>
    <w:rsid w:val="008E6FA4"/>
    <w:rsid w:val="008E724D"/>
    <w:rsid w:val="008E74FD"/>
    <w:rsid w:val="008E7574"/>
    <w:rsid w:val="008E758A"/>
    <w:rsid w:val="008E7630"/>
    <w:rsid w:val="008E79E8"/>
    <w:rsid w:val="008E7A14"/>
    <w:rsid w:val="008E7C8E"/>
    <w:rsid w:val="008E7CF0"/>
    <w:rsid w:val="008E7D08"/>
    <w:rsid w:val="008E7EB2"/>
    <w:rsid w:val="008F0068"/>
    <w:rsid w:val="008F04F4"/>
    <w:rsid w:val="008F076C"/>
    <w:rsid w:val="008F0921"/>
    <w:rsid w:val="008F0BDA"/>
    <w:rsid w:val="008F0C3C"/>
    <w:rsid w:val="008F0C90"/>
    <w:rsid w:val="008F0F8D"/>
    <w:rsid w:val="008F1083"/>
    <w:rsid w:val="008F11CD"/>
    <w:rsid w:val="008F12DD"/>
    <w:rsid w:val="008F1329"/>
    <w:rsid w:val="008F1390"/>
    <w:rsid w:val="008F142E"/>
    <w:rsid w:val="008F14A4"/>
    <w:rsid w:val="008F1532"/>
    <w:rsid w:val="008F17E3"/>
    <w:rsid w:val="008F1927"/>
    <w:rsid w:val="008F1ABD"/>
    <w:rsid w:val="008F1C77"/>
    <w:rsid w:val="008F201B"/>
    <w:rsid w:val="008F2130"/>
    <w:rsid w:val="008F2415"/>
    <w:rsid w:val="008F24E2"/>
    <w:rsid w:val="008F27B9"/>
    <w:rsid w:val="008F28D1"/>
    <w:rsid w:val="008F28D8"/>
    <w:rsid w:val="008F2997"/>
    <w:rsid w:val="008F2A8A"/>
    <w:rsid w:val="008F2BEA"/>
    <w:rsid w:val="008F2C83"/>
    <w:rsid w:val="008F2CCD"/>
    <w:rsid w:val="008F2D97"/>
    <w:rsid w:val="008F2DFD"/>
    <w:rsid w:val="008F2E8A"/>
    <w:rsid w:val="008F2F20"/>
    <w:rsid w:val="008F303E"/>
    <w:rsid w:val="008F30CE"/>
    <w:rsid w:val="008F313D"/>
    <w:rsid w:val="008F31C9"/>
    <w:rsid w:val="008F352E"/>
    <w:rsid w:val="008F3644"/>
    <w:rsid w:val="008F3765"/>
    <w:rsid w:val="008F3949"/>
    <w:rsid w:val="008F3A9B"/>
    <w:rsid w:val="008F3C4E"/>
    <w:rsid w:val="008F3C95"/>
    <w:rsid w:val="008F3CFF"/>
    <w:rsid w:val="008F3D8D"/>
    <w:rsid w:val="008F3DD4"/>
    <w:rsid w:val="008F4098"/>
    <w:rsid w:val="008F45DD"/>
    <w:rsid w:val="008F4685"/>
    <w:rsid w:val="008F46E9"/>
    <w:rsid w:val="008F474D"/>
    <w:rsid w:val="008F4A91"/>
    <w:rsid w:val="008F4B27"/>
    <w:rsid w:val="008F4D94"/>
    <w:rsid w:val="008F507E"/>
    <w:rsid w:val="008F553A"/>
    <w:rsid w:val="008F56FE"/>
    <w:rsid w:val="008F57C4"/>
    <w:rsid w:val="008F5B62"/>
    <w:rsid w:val="008F5B98"/>
    <w:rsid w:val="008F5E95"/>
    <w:rsid w:val="008F5EE0"/>
    <w:rsid w:val="008F5F0E"/>
    <w:rsid w:val="008F5FD6"/>
    <w:rsid w:val="008F6046"/>
    <w:rsid w:val="008F606D"/>
    <w:rsid w:val="008F6096"/>
    <w:rsid w:val="008F6112"/>
    <w:rsid w:val="008F61D4"/>
    <w:rsid w:val="008F6210"/>
    <w:rsid w:val="008F65C7"/>
    <w:rsid w:val="008F665F"/>
    <w:rsid w:val="008F669B"/>
    <w:rsid w:val="008F66CB"/>
    <w:rsid w:val="008F670B"/>
    <w:rsid w:val="008F6908"/>
    <w:rsid w:val="008F6BBA"/>
    <w:rsid w:val="008F6C4E"/>
    <w:rsid w:val="008F6DB2"/>
    <w:rsid w:val="008F6F50"/>
    <w:rsid w:val="008F715A"/>
    <w:rsid w:val="008F7234"/>
    <w:rsid w:val="008F72FF"/>
    <w:rsid w:val="008F7655"/>
    <w:rsid w:val="008F7AB8"/>
    <w:rsid w:val="008F7AD8"/>
    <w:rsid w:val="008F7B1C"/>
    <w:rsid w:val="008F7F68"/>
    <w:rsid w:val="009001E7"/>
    <w:rsid w:val="00900296"/>
    <w:rsid w:val="009007AC"/>
    <w:rsid w:val="009008B2"/>
    <w:rsid w:val="00900953"/>
    <w:rsid w:val="00900A1C"/>
    <w:rsid w:val="00900ADD"/>
    <w:rsid w:val="00900B02"/>
    <w:rsid w:val="00900D56"/>
    <w:rsid w:val="00900D86"/>
    <w:rsid w:val="00900DA3"/>
    <w:rsid w:val="00900DF1"/>
    <w:rsid w:val="00900F84"/>
    <w:rsid w:val="00901149"/>
    <w:rsid w:val="00901485"/>
    <w:rsid w:val="009015EF"/>
    <w:rsid w:val="0090170B"/>
    <w:rsid w:val="00901820"/>
    <w:rsid w:val="009018AD"/>
    <w:rsid w:val="009018D0"/>
    <w:rsid w:val="009019E8"/>
    <w:rsid w:val="00901B38"/>
    <w:rsid w:val="00901C22"/>
    <w:rsid w:val="00901D15"/>
    <w:rsid w:val="00901D7F"/>
    <w:rsid w:val="00901DC3"/>
    <w:rsid w:val="00901ED0"/>
    <w:rsid w:val="00902108"/>
    <w:rsid w:val="00902450"/>
    <w:rsid w:val="00902475"/>
    <w:rsid w:val="00902476"/>
    <w:rsid w:val="009026C0"/>
    <w:rsid w:val="00902710"/>
    <w:rsid w:val="00902C6C"/>
    <w:rsid w:val="00902D08"/>
    <w:rsid w:val="0090305B"/>
    <w:rsid w:val="00903342"/>
    <w:rsid w:val="00903479"/>
    <w:rsid w:val="009035F2"/>
    <w:rsid w:val="00903689"/>
    <w:rsid w:val="00903735"/>
    <w:rsid w:val="00903785"/>
    <w:rsid w:val="009038FF"/>
    <w:rsid w:val="0090398F"/>
    <w:rsid w:val="00903F8E"/>
    <w:rsid w:val="00904156"/>
    <w:rsid w:val="009041D1"/>
    <w:rsid w:val="00904313"/>
    <w:rsid w:val="00904469"/>
    <w:rsid w:val="009046C3"/>
    <w:rsid w:val="00904871"/>
    <w:rsid w:val="009048D7"/>
    <w:rsid w:val="00904ADC"/>
    <w:rsid w:val="00904AFD"/>
    <w:rsid w:val="00904D50"/>
    <w:rsid w:val="00904E65"/>
    <w:rsid w:val="00905013"/>
    <w:rsid w:val="00905054"/>
    <w:rsid w:val="00905112"/>
    <w:rsid w:val="0090518D"/>
    <w:rsid w:val="00905307"/>
    <w:rsid w:val="009054C8"/>
    <w:rsid w:val="00905761"/>
    <w:rsid w:val="009057AF"/>
    <w:rsid w:val="009057BB"/>
    <w:rsid w:val="00905956"/>
    <w:rsid w:val="009059DB"/>
    <w:rsid w:val="00905BFE"/>
    <w:rsid w:val="00905C5F"/>
    <w:rsid w:val="00905CBE"/>
    <w:rsid w:val="00905F45"/>
    <w:rsid w:val="00906115"/>
    <w:rsid w:val="0090616A"/>
    <w:rsid w:val="00906420"/>
    <w:rsid w:val="00906626"/>
    <w:rsid w:val="009066E5"/>
    <w:rsid w:val="00906773"/>
    <w:rsid w:val="009067CD"/>
    <w:rsid w:val="00906A23"/>
    <w:rsid w:val="00906A82"/>
    <w:rsid w:val="00906BB5"/>
    <w:rsid w:val="00906DEF"/>
    <w:rsid w:val="00906E56"/>
    <w:rsid w:val="00906FF0"/>
    <w:rsid w:val="00907174"/>
    <w:rsid w:val="009071EC"/>
    <w:rsid w:val="009071FE"/>
    <w:rsid w:val="00907206"/>
    <w:rsid w:val="00907482"/>
    <w:rsid w:val="009074AB"/>
    <w:rsid w:val="0090754F"/>
    <w:rsid w:val="00907580"/>
    <w:rsid w:val="009075CA"/>
    <w:rsid w:val="00907624"/>
    <w:rsid w:val="0090764F"/>
    <w:rsid w:val="0090777C"/>
    <w:rsid w:val="00907A5F"/>
    <w:rsid w:val="00907B3E"/>
    <w:rsid w:val="00907B41"/>
    <w:rsid w:val="00907F72"/>
    <w:rsid w:val="009100A7"/>
    <w:rsid w:val="009103B8"/>
    <w:rsid w:val="0091065F"/>
    <w:rsid w:val="009106A9"/>
    <w:rsid w:val="00910BB2"/>
    <w:rsid w:val="00910BB3"/>
    <w:rsid w:val="00910FC9"/>
    <w:rsid w:val="009111A4"/>
    <w:rsid w:val="009112E6"/>
    <w:rsid w:val="00911386"/>
    <w:rsid w:val="0091138B"/>
    <w:rsid w:val="009113DB"/>
    <w:rsid w:val="00911745"/>
    <w:rsid w:val="00911A50"/>
    <w:rsid w:val="00911AF8"/>
    <w:rsid w:val="00911B6E"/>
    <w:rsid w:val="00911E60"/>
    <w:rsid w:val="0091202D"/>
    <w:rsid w:val="00912048"/>
    <w:rsid w:val="009121FE"/>
    <w:rsid w:val="009121FF"/>
    <w:rsid w:val="009122FA"/>
    <w:rsid w:val="009123C2"/>
    <w:rsid w:val="009123D5"/>
    <w:rsid w:val="0091244E"/>
    <w:rsid w:val="00912467"/>
    <w:rsid w:val="0091250A"/>
    <w:rsid w:val="009128C5"/>
    <w:rsid w:val="00912947"/>
    <w:rsid w:val="00912C2D"/>
    <w:rsid w:val="00912D35"/>
    <w:rsid w:val="009131D2"/>
    <w:rsid w:val="009134AF"/>
    <w:rsid w:val="00913517"/>
    <w:rsid w:val="00913906"/>
    <w:rsid w:val="00913AEA"/>
    <w:rsid w:val="00913BCF"/>
    <w:rsid w:val="0091402F"/>
    <w:rsid w:val="009142CC"/>
    <w:rsid w:val="0091446C"/>
    <w:rsid w:val="0091448B"/>
    <w:rsid w:val="0091448E"/>
    <w:rsid w:val="009144C2"/>
    <w:rsid w:val="009144D1"/>
    <w:rsid w:val="00914534"/>
    <w:rsid w:val="0091484D"/>
    <w:rsid w:val="00914959"/>
    <w:rsid w:val="00914991"/>
    <w:rsid w:val="00914BB5"/>
    <w:rsid w:val="00914F84"/>
    <w:rsid w:val="0091501A"/>
    <w:rsid w:val="0091503A"/>
    <w:rsid w:val="00915208"/>
    <w:rsid w:val="00915382"/>
    <w:rsid w:val="00915694"/>
    <w:rsid w:val="00915750"/>
    <w:rsid w:val="00915849"/>
    <w:rsid w:val="009158D2"/>
    <w:rsid w:val="009158EC"/>
    <w:rsid w:val="0091590D"/>
    <w:rsid w:val="00915917"/>
    <w:rsid w:val="00915979"/>
    <w:rsid w:val="00915A31"/>
    <w:rsid w:val="00915A7E"/>
    <w:rsid w:val="00915B4C"/>
    <w:rsid w:val="00915B52"/>
    <w:rsid w:val="00915D74"/>
    <w:rsid w:val="00915DE0"/>
    <w:rsid w:val="00915E4E"/>
    <w:rsid w:val="00915F09"/>
    <w:rsid w:val="00915FDE"/>
    <w:rsid w:val="009165B4"/>
    <w:rsid w:val="00916661"/>
    <w:rsid w:val="009167EA"/>
    <w:rsid w:val="009167EB"/>
    <w:rsid w:val="00916801"/>
    <w:rsid w:val="0091695C"/>
    <w:rsid w:val="0091696A"/>
    <w:rsid w:val="009169CD"/>
    <w:rsid w:val="00916A56"/>
    <w:rsid w:val="00916AAE"/>
    <w:rsid w:val="00916C47"/>
    <w:rsid w:val="00916E82"/>
    <w:rsid w:val="00917118"/>
    <w:rsid w:val="009171BC"/>
    <w:rsid w:val="009172C4"/>
    <w:rsid w:val="009174AA"/>
    <w:rsid w:val="00917606"/>
    <w:rsid w:val="009177B9"/>
    <w:rsid w:val="0091788D"/>
    <w:rsid w:val="00917AA7"/>
    <w:rsid w:val="00917AF2"/>
    <w:rsid w:val="00917BD7"/>
    <w:rsid w:val="00917C1C"/>
    <w:rsid w:val="00917E26"/>
    <w:rsid w:val="00917F0E"/>
    <w:rsid w:val="00917FE4"/>
    <w:rsid w:val="00920084"/>
    <w:rsid w:val="009202E4"/>
    <w:rsid w:val="009202FE"/>
    <w:rsid w:val="0092041C"/>
    <w:rsid w:val="00920480"/>
    <w:rsid w:val="00920502"/>
    <w:rsid w:val="0092065F"/>
    <w:rsid w:val="009207B1"/>
    <w:rsid w:val="0092097B"/>
    <w:rsid w:val="00920B29"/>
    <w:rsid w:val="00920B5B"/>
    <w:rsid w:val="00920B6D"/>
    <w:rsid w:val="00920D7D"/>
    <w:rsid w:val="00920D98"/>
    <w:rsid w:val="00920ED0"/>
    <w:rsid w:val="00920FE9"/>
    <w:rsid w:val="009210B1"/>
    <w:rsid w:val="00921100"/>
    <w:rsid w:val="0092112B"/>
    <w:rsid w:val="00921130"/>
    <w:rsid w:val="009211A6"/>
    <w:rsid w:val="0092145E"/>
    <w:rsid w:val="00921486"/>
    <w:rsid w:val="00921625"/>
    <w:rsid w:val="0092172A"/>
    <w:rsid w:val="009217A1"/>
    <w:rsid w:val="009217B9"/>
    <w:rsid w:val="0092190D"/>
    <w:rsid w:val="00921D12"/>
    <w:rsid w:val="00921E9D"/>
    <w:rsid w:val="00921F04"/>
    <w:rsid w:val="00921FF2"/>
    <w:rsid w:val="0092227F"/>
    <w:rsid w:val="0092249F"/>
    <w:rsid w:val="00922507"/>
    <w:rsid w:val="00922662"/>
    <w:rsid w:val="0092280B"/>
    <w:rsid w:val="00922815"/>
    <w:rsid w:val="00922A03"/>
    <w:rsid w:val="00922A8F"/>
    <w:rsid w:val="00922B80"/>
    <w:rsid w:val="00922BBD"/>
    <w:rsid w:val="00922CC4"/>
    <w:rsid w:val="00922E79"/>
    <w:rsid w:val="009230E2"/>
    <w:rsid w:val="00923503"/>
    <w:rsid w:val="00923777"/>
    <w:rsid w:val="009237D0"/>
    <w:rsid w:val="0092394A"/>
    <w:rsid w:val="00923992"/>
    <w:rsid w:val="00923999"/>
    <w:rsid w:val="00923A14"/>
    <w:rsid w:val="00923C7C"/>
    <w:rsid w:val="00923D25"/>
    <w:rsid w:val="0092407A"/>
    <w:rsid w:val="009241A0"/>
    <w:rsid w:val="00924225"/>
    <w:rsid w:val="0092449B"/>
    <w:rsid w:val="00924512"/>
    <w:rsid w:val="0092454B"/>
    <w:rsid w:val="00924777"/>
    <w:rsid w:val="00924ADC"/>
    <w:rsid w:val="00924B60"/>
    <w:rsid w:val="00924DD1"/>
    <w:rsid w:val="00924EDE"/>
    <w:rsid w:val="00924F41"/>
    <w:rsid w:val="00924FED"/>
    <w:rsid w:val="009251F2"/>
    <w:rsid w:val="0092527E"/>
    <w:rsid w:val="00925296"/>
    <w:rsid w:val="00925721"/>
    <w:rsid w:val="009257CB"/>
    <w:rsid w:val="00925981"/>
    <w:rsid w:val="00925BD3"/>
    <w:rsid w:val="00925CF3"/>
    <w:rsid w:val="00925D33"/>
    <w:rsid w:val="00925ECA"/>
    <w:rsid w:val="00925F5E"/>
    <w:rsid w:val="00926002"/>
    <w:rsid w:val="00926045"/>
    <w:rsid w:val="009260BD"/>
    <w:rsid w:val="00926376"/>
    <w:rsid w:val="00926477"/>
    <w:rsid w:val="00926557"/>
    <w:rsid w:val="009266B8"/>
    <w:rsid w:val="00926723"/>
    <w:rsid w:val="00926808"/>
    <w:rsid w:val="009268EB"/>
    <w:rsid w:val="0092693D"/>
    <w:rsid w:val="00926A9E"/>
    <w:rsid w:val="00926C15"/>
    <w:rsid w:val="00926CD1"/>
    <w:rsid w:val="00927158"/>
    <w:rsid w:val="009271CC"/>
    <w:rsid w:val="00927360"/>
    <w:rsid w:val="0092749F"/>
    <w:rsid w:val="009274F5"/>
    <w:rsid w:val="00927500"/>
    <w:rsid w:val="0092758D"/>
    <w:rsid w:val="00927621"/>
    <w:rsid w:val="0092762F"/>
    <w:rsid w:val="00927701"/>
    <w:rsid w:val="00927716"/>
    <w:rsid w:val="0092771B"/>
    <w:rsid w:val="0092777D"/>
    <w:rsid w:val="00927C9C"/>
    <w:rsid w:val="00927CFE"/>
    <w:rsid w:val="00927F12"/>
    <w:rsid w:val="00927F4A"/>
    <w:rsid w:val="009300D5"/>
    <w:rsid w:val="009304AD"/>
    <w:rsid w:val="0093057D"/>
    <w:rsid w:val="00930972"/>
    <w:rsid w:val="00930AAE"/>
    <w:rsid w:val="00930ACB"/>
    <w:rsid w:val="00930B09"/>
    <w:rsid w:val="00930C3D"/>
    <w:rsid w:val="00930D30"/>
    <w:rsid w:val="00930D95"/>
    <w:rsid w:val="00930E21"/>
    <w:rsid w:val="0093104E"/>
    <w:rsid w:val="00931107"/>
    <w:rsid w:val="00931468"/>
    <w:rsid w:val="00931499"/>
    <w:rsid w:val="009315F1"/>
    <w:rsid w:val="00931631"/>
    <w:rsid w:val="009316D0"/>
    <w:rsid w:val="0093181A"/>
    <w:rsid w:val="0093185B"/>
    <w:rsid w:val="009318D0"/>
    <w:rsid w:val="00931F22"/>
    <w:rsid w:val="009323D9"/>
    <w:rsid w:val="00932CE5"/>
    <w:rsid w:val="00932EDF"/>
    <w:rsid w:val="00932EE0"/>
    <w:rsid w:val="00932F3E"/>
    <w:rsid w:val="00933012"/>
    <w:rsid w:val="0093307A"/>
    <w:rsid w:val="00933242"/>
    <w:rsid w:val="009332BA"/>
    <w:rsid w:val="00933422"/>
    <w:rsid w:val="0093346B"/>
    <w:rsid w:val="009335AD"/>
    <w:rsid w:val="00933817"/>
    <w:rsid w:val="0093386F"/>
    <w:rsid w:val="009338A8"/>
    <w:rsid w:val="00933C9B"/>
    <w:rsid w:val="00933DB4"/>
    <w:rsid w:val="00933F17"/>
    <w:rsid w:val="00933F99"/>
    <w:rsid w:val="009340F5"/>
    <w:rsid w:val="00934231"/>
    <w:rsid w:val="00934583"/>
    <w:rsid w:val="00934584"/>
    <w:rsid w:val="009345CB"/>
    <w:rsid w:val="009346A3"/>
    <w:rsid w:val="009347F4"/>
    <w:rsid w:val="0093488D"/>
    <w:rsid w:val="0093492B"/>
    <w:rsid w:val="00934AA5"/>
    <w:rsid w:val="00934B8C"/>
    <w:rsid w:val="00934C88"/>
    <w:rsid w:val="00934CE8"/>
    <w:rsid w:val="00934E08"/>
    <w:rsid w:val="00935132"/>
    <w:rsid w:val="009351DC"/>
    <w:rsid w:val="00935304"/>
    <w:rsid w:val="00935434"/>
    <w:rsid w:val="00935571"/>
    <w:rsid w:val="009355EB"/>
    <w:rsid w:val="0093571C"/>
    <w:rsid w:val="0093574E"/>
    <w:rsid w:val="009359C8"/>
    <w:rsid w:val="009359F9"/>
    <w:rsid w:val="00935A56"/>
    <w:rsid w:val="00935AE4"/>
    <w:rsid w:val="00935DF5"/>
    <w:rsid w:val="00935E71"/>
    <w:rsid w:val="00935F07"/>
    <w:rsid w:val="00936492"/>
    <w:rsid w:val="009365AB"/>
    <w:rsid w:val="009366CF"/>
    <w:rsid w:val="009367B6"/>
    <w:rsid w:val="009368E3"/>
    <w:rsid w:val="00936AA6"/>
    <w:rsid w:val="00936AD7"/>
    <w:rsid w:val="00936CF6"/>
    <w:rsid w:val="00936D96"/>
    <w:rsid w:val="00936EE5"/>
    <w:rsid w:val="009372AA"/>
    <w:rsid w:val="00937779"/>
    <w:rsid w:val="0093778E"/>
    <w:rsid w:val="00937931"/>
    <w:rsid w:val="009379E4"/>
    <w:rsid w:val="00937A77"/>
    <w:rsid w:val="00937AE8"/>
    <w:rsid w:val="00937E48"/>
    <w:rsid w:val="009400E7"/>
    <w:rsid w:val="00940450"/>
    <w:rsid w:val="009404BD"/>
    <w:rsid w:val="009406D4"/>
    <w:rsid w:val="009408EE"/>
    <w:rsid w:val="00940917"/>
    <w:rsid w:val="00940924"/>
    <w:rsid w:val="00940B05"/>
    <w:rsid w:val="00940BAD"/>
    <w:rsid w:val="00940C98"/>
    <w:rsid w:val="00940E25"/>
    <w:rsid w:val="00940F28"/>
    <w:rsid w:val="0094123E"/>
    <w:rsid w:val="00941274"/>
    <w:rsid w:val="009414C7"/>
    <w:rsid w:val="0094151E"/>
    <w:rsid w:val="009418D1"/>
    <w:rsid w:val="009418EB"/>
    <w:rsid w:val="00941B3D"/>
    <w:rsid w:val="00941C11"/>
    <w:rsid w:val="00942179"/>
    <w:rsid w:val="00942226"/>
    <w:rsid w:val="0094232D"/>
    <w:rsid w:val="00942658"/>
    <w:rsid w:val="009426F0"/>
    <w:rsid w:val="00942736"/>
    <w:rsid w:val="0094290F"/>
    <w:rsid w:val="00942D28"/>
    <w:rsid w:val="00942D59"/>
    <w:rsid w:val="00942DE1"/>
    <w:rsid w:val="009435E5"/>
    <w:rsid w:val="0094362E"/>
    <w:rsid w:val="00943995"/>
    <w:rsid w:val="00943A22"/>
    <w:rsid w:val="00943BDD"/>
    <w:rsid w:val="00943DE1"/>
    <w:rsid w:val="00943E04"/>
    <w:rsid w:val="00943EF1"/>
    <w:rsid w:val="00943F9C"/>
    <w:rsid w:val="009440C1"/>
    <w:rsid w:val="0094412F"/>
    <w:rsid w:val="0094421B"/>
    <w:rsid w:val="0094434E"/>
    <w:rsid w:val="0094463A"/>
    <w:rsid w:val="0094486F"/>
    <w:rsid w:val="00944992"/>
    <w:rsid w:val="00944A80"/>
    <w:rsid w:val="00944BB3"/>
    <w:rsid w:val="00944DAD"/>
    <w:rsid w:val="00944F30"/>
    <w:rsid w:val="009450CF"/>
    <w:rsid w:val="00945105"/>
    <w:rsid w:val="00945199"/>
    <w:rsid w:val="00945212"/>
    <w:rsid w:val="00945561"/>
    <w:rsid w:val="00945795"/>
    <w:rsid w:val="0094593B"/>
    <w:rsid w:val="009459D0"/>
    <w:rsid w:val="00945A33"/>
    <w:rsid w:val="00945DF1"/>
    <w:rsid w:val="00945E2A"/>
    <w:rsid w:val="00945F48"/>
    <w:rsid w:val="00945FCB"/>
    <w:rsid w:val="0094618C"/>
    <w:rsid w:val="00946192"/>
    <w:rsid w:val="0094619F"/>
    <w:rsid w:val="0094642C"/>
    <w:rsid w:val="0094673C"/>
    <w:rsid w:val="0094690D"/>
    <w:rsid w:val="00946A70"/>
    <w:rsid w:val="00946A8E"/>
    <w:rsid w:val="00946B8C"/>
    <w:rsid w:val="00946CA0"/>
    <w:rsid w:val="00946CC4"/>
    <w:rsid w:val="00946E59"/>
    <w:rsid w:val="009473E3"/>
    <w:rsid w:val="0094741F"/>
    <w:rsid w:val="00947431"/>
    <w:rsid w:val="009475EC"/>
    <w:rsid w:val="00947747"/>
    <w:rsid w:val="0094786D"/>
    <w:rsid w:val="009478CB"/>
    <w:rsid w:val="0094795B"/>
    <w:rsid w:val="00947ACA"/>
    <w:rsid w:val="00947C2D"/>
    <w:rsid w:val="00947D5A"/>
    <w:rsid w:val="00947E03"/>
    <w:rsid w:val="00947E69"/>
    <w:rsid w:val="00947F6B"/>
    <w:rsid w:val="0094928F"/>
    <w:rsid w:val="009500AD"/>
    <w:rsid w:val="009500BF"/>
    <w:rsid w:val="00950131"/>
    <w:rsid w:val="00950464"/>
    <w:rsid w:val="0095066D"/>
    <w:rsid w:val="00950809"/>
    <w:rsid w:val="0095089D"/>
    <w:rsid w:val="00950A38"/>
    <w:rsid w:val="00950B44"/>
    <w:rsid w:val="00950BC4"/>
    <w:rsid w:val="00950DA4"/>
    <w:rsid w:val="009512CA"/>
    <w:rsid w:val="009512E7"/>
    <w:rsid w:val="0095164B"/>
    <w:rsid w:val="0095186D"/>
    <w:rsid w:val="00951954"/>
    <w:rsid w:val="009519AA"/>
    <w:rsid w:val="00951A88"/>
    <w:rsid w:val="00951AE5"/>
    <w:rsid w:val="00951B3B"/>
    <w:rsid w:val="00951B46"/>
    <w:rsid w:val="00951BAA"/>
    <w:rsid w:val="00951C31"/>
    <w:rsid w:val="00951DA7"/>
    <w:rsid w:val="00951F29"/>
    <w:rsid w:val="0095222B"/>
    <w:rsid w:val="009522FB"/>
    <w:rsid w:val="0095230C"/>
    <w:rsid w:val="00952363"/>
    <w:rsid w:val="0095255F"/>
    <w:rsid w:val="0095261C"/>
    <w:rsid w:val="00952893"/>
    <w:rsid w:val="00952983"/>
    <w:rsid w:val="00952D45"/>
    <w:rsid w:val="00953307"/>
    <w:rsid w:val="009535B0"/>
    <w:rsid w:val="009538CF"/>
    <w:rsid w:val="00953924"/>
    <w:rsid w:val="00953ABA"/>
    <w:rsid w:val="00953B81"/>
    <w:rsid w:val="00953C00"/>
    <w:rsid w:val="00953DB0"/>
    <w:rsid w:val="0095401B"/>
    <w:rsid w:val="009542B2"/>
    <w:rsid w:val="00954315"/>
    <w:rsid w:val="00954684"/>
    <w:rsid w:val="009546B1"/>
    <w:rsid w:val="00954886"/>
    <w:rsid w:val="009548E7"/>
    <w:rsid w:val="00954957"/>
    <w:rsid w:val="00954A22"/>
    <w:rsid w:val="00954B11"/>
    <w:rsid w:val="0095505A"/>
    <w:rsid w:val="00955115"/>
    <w:rsid w:val="00955218"/>
    <w:rsid w:val="00955387"/>
    <w:rsid w:val="009554EE"/>
    <w:rsid w:val="0095553A"/>
    <w:rsid w:val="00955633"/>
    <w:rsid w:val="00955878"/>
    <w:rsid w:val="009558B9"/>
    <w:rsid w:val="00955CAF"/>
    <w:rsid w:val="00955D49"/>
    <w:rsid w:val="00955D5F"/>
    <w:rsid w:val="00955D90"/>
    <w:rsid w:val="00955DD8"/>
    <w:rsid w:val="00955DE0"/>
    <w:rsid w:val="00955E77"/>
    <w:rsid w:val="009560A6"/>
    <w:rsid w:val="00956312"/>
    <w:rsid w:val="00956457"/>
    <w:rsid w:val="0095651B"/>
    <w:rsid w:val="0095679E"/>
    <w:rsid w:val="00956CFD"/>
    <w:rsid w:val="00956D59"/>
    <w:rsid w:val="00956FE1"/>
    <w:rsid w:val="009571C7"/>
    <w:rsid w:val="00957318"/>
    <w:rsid w:val="009573D8"/>
    <w:rsid w:val="00957423"/>
    <w:rsid w:val="00957479"/>
    <w:rsid w:val="009577CF"/>
    <w:rsid w:val="009578F0"/>
    <w:rsid w:val="00957BAA"/>
    <w:rsid w:val="00957D00"/>
    <w:rsid w:val="00957D94"/>
    <w:rsid w:val="00960042"/>
    <w:rsid w:val="00960280"/>
    <w:rsid w:val="00960629"/>
    <w:rsid w:val="0096074E"/>
    <w:rsid w:val="00960891"/>
    <w:rsid w:val="00960A11"/>
    <w:rsid w:val="00960F81"/>
    <w:rsid w:val="00961080"/>
    <w:rsid w:val="009611CE"/>
    <w:rsid w:val="00961361"/>
    <w:rsid w:val="00961592"/>
    <w:rsid w:val="009616B3"/>
    <w:rsid w:val="00961A1B"/>
    <w:rsid w:val="00961B13"/>
    <w:rsid w:val="00961D00"/>
    <w:rsid w:val="00961E8A"/>
    <w:rsid w:val="00961E94"/>
    <w:rsid w:val="00961E9B"/>
    <w:rsid w:val="00961F27"/>
    <w:rsid w:val="00961FA9"/>
    <w:rsid w:val="009621C9"/>
    <w:rsid w:val="00962518"/>
    <w:rsid w:val="0096255F"/>
    <w:rsid w:val="009626D8"/>
    <w:rsid w:val="009629CA"/>
    <w:rsid w:val="00962CAA"/>
    <w:rsid w:val="00962D76"/>
    <w:rsid w:val="00962DD5"/>
    <w:rsid w:val="00962E92"/>
    <w:rsid w:val="00963008"/>
    <w:rsid w:val="00963115"/>
    <w:rsid w:val="0096316F"/>
    <w:rsid w:val="009631AE"/>
    <w:rsid w:val="00963263"/>
    <w:rsid w:val="009633A7"/>
    <w:rsid w:val="009634C3"/>
    <w:rsid w:val="0096359A"/>
    <w:rsid w:val="00963688"/>
    <w:rsid w:val="009636E4"/>
    <w:rsid w:val="009638F2"/>
    <w:rsid w:val="00963993"/>
    <w:rsid w:val="00963C64"/>
    <w:rsid w:val="00963CB5"/>
    <w:rsid w:val="00963D05"/>
    <w:rsid w:val="00963DEA"/>
    <w:rsid w:val="00963E79"/>
    <w:rsid w:val="00963EF9"/>
    <w:rsid w:val="0096419D"/>
    <w:rsid w:val="00964266"/>
    <w:rsid w:val="009642BB"/>
    <w:rsid w:val="009643E7"/>
    <w:rsid w:val="00964430"/>
    <w:rsid w:val="00964549"/>
    <w:rsid w:val="00964721"/>
    <w:rsid w:val="0096475F"/>
    <w:rsid w:val="009647C8"/>
    <w:rsid w:val="00964BA3"/>
    <w:rsid w:val="00964D3A"/>
    <w:rsid w:val="00964DF4"/>
    <w:rsid w:val="00964DFA"/>
    <w:rsid w:val="00964DFE"/>
    <w:rsid w:val="00964FA6"/>
    <w:rsid w:val="0096503C"/>
    <w:rsid w:val="00965244"/>
    <w:rsid w:val="009653C1"/>
    <w:rsid w:val="009655BE"/>
    <w:rsid w:val="009659DD"/>
    <w:rsid w:val="00965C5D"/>
    <w:rsid w:val="00965C64"/>
    <w:rsid w:val="00965E01"/>
    <w:rsid w:val="009662EA"/>
    <w:rsid w:val="009665F9"/>
    <w:rsid w:val="00966743"/>
    <w:rsid w:val="009668C1"/>
    <w:rsid w:val="009669A1"/>
    <w:rsid w:val="00966B40"/>
    <w:rsid w:val="00966D5A"/>
    <w:rsid w:val="00966E0E"/>
    <w:rsid w:val="00966F52"/>
    <w:rsid w:val="00966FCA"/>
    <w:rsid w:val="0096709E"/>
    <w:rsid w:val="009670BC"/>
    <w:rsid w:val="009678D3"/>
    <w:rsid w:val="0096796B"/>
    <w:rsid w:val="00967998"/>
    <w:rsid w:val="00967A33"/>
    <w:rsid w:val="00967C21"/>
    <w:rsid w:val="00967DA1"/>
    <w:rsid w:val="00967E10"/>
    <w:rsid w:val="00967F94"/>
    <w:rsid w:val="00970009"/>
    <w:rsid w:val="009701D6"/>
    <w:rsid w:val="00970269"/>
    <w:rsid w:val="00970312"/>
    <w:rsid w:val="00970380"/>
    <w:rsid w:val="009703E1"/>
    <w:rsid w:val="009704E2"/>
    <w:rsid w:val="009707B5"/>
    <w:rsid w:val="009707FA"/>
    <w:rsid w:val="00970819"/>
    <w:rsid w:val="00970924"/>
    <w:rsid w:val="0097095D"/>
    <w:rsid w:val="009709D8"/>
    <w:rsid w:val="009709E0"/>
    <w:rsid w:val="00970C97"/>
    <w:rsid w:val="00970E79"/>
    <w:rsid w:val="00970FA0"/>
    <w:rsid w:val="00971014"/>
    <w:rsid w:val="009711B5"/>
    <w:rsid w:val="00971426"/>
    <w:rsid w:val="00971462"/>
    <w:rsid w:val="009714C8"/>
    <w:rsid w:val="009715A9"/>
    <w:rsid w:val="00971715"/>
    <w:rsid w:val="00971992"/>
    <w:rsid w:val="00971C96"/>
    <w:rsid w:val="00971DBC"/>
    <w:rsid w:val="00971F25"/>
    <w:rsid w:val="009720F3"/>
    <w:rsid w:val="009721A3"/>
    <w:rsid w:val="00972342"/>
    <w:rsid w:val="0097295D"/>
    <w:rsid w:val="00972CC1"/>
    <w:rsid w:val="00972DC9"/>
    <w:rsid w:val="00972E11"/>
    <w:rsid w:val="00972EA4"/>
    <w:rsid w:val="00972F2D"/>
    <w:rsid w:val="00972F2E"/>
    <w:rsid w:val="0097312F"/>
    <w:rsid w:val="00973228"/>
    <w:rsid w:val="00973290"/>
    <w:rsid w:val="009732AB"/>
    <w:rsid w:val="009736B2"/>
    <w:rsid w:val="009736F2"/>
    <w:rsid w:val="00973936"/>
    <w:rsid w:val="009739FF"/>
    <w:rsid w:val="00973AD3"/>
    <w:rsid w:val="00973DC0"/>
    <w:rsid w:val="00973E6C"/>
    <w:rsid w:val="00973E8C"/>
    <w:rsid w:val="009742D2"/>
    <w:rsid w:val="009742EA"/>
    <w:rsid w:val="009743D2"/>
    <w:rsid w:val="009743E7"/>
    <w:rsid w:val="009744E7"/>
    <w:rsid w:val="009744F8"/>
    <w:rsid w:val="00974696"/>
    <w:rsid w:val="00974814"/>
    <w:rsid w:val="009748DD"/>
    <w:rsid w:val="00974A89"/>
    <w:rsid w:val="00974B2E"/>
    <w:rsid w:val="00974BC0"/>
    <w:rsid w:val="00974BCD"/>
    <w:rsid w:val="00974C72"/>
    <w:rsid w:val="0097556C"/>
    <w:rsid w:val="00975801"/>
    <w:rsid w:val="009758BC"/>
    <w:rsid w:val="00975926"/>
    <w:rsid w:val="009759B6"/>
    <w:rsid w:val="00975AB4"/>
    <w:rsid w:val="00975ACA"/>
    <w:rsid w:val="00975B2C"/>
    <w:rsid w:val="00975B2E"/>
    <w:rsid w:val="00975C14"/>
    <w:rsid w:val="00975DB9"/>
    <w:rsid w:val="00975F11"/>
    <w:rsid w:val="009767BA"/>
    <w:rsid w:val="009767E0"/>
    <w:rsid w:val="00976C94"/>
    <w:rsid w:val="00976EFE"/>
    <w:rsid w:val="00976F01"/>
    <w:rsid w:val="00976F0B"/>
    <w:rsid w:val="00976F77"/>
    <w:rsid w:val="00976FC6"/>
    <w:rsid w:val="0097706B"/>
    <w:rsid w:val="0097707D"/>
    <w:rsid w:val="00977253"/>
    <w:rsid w:val="00977346"/>
    <w:rsid w:val="00977533"/>
    <w:rsid w:val="009775CC"/>
    <w:rsid w:val="009775CE"/>
    <w:rsid w:val="009775DD"/>
    <w:rsid w:val="009776B2"/>
    <w:rsid w:val="00977791"/>
    <w:rsid w:val="00977817"/>
    <w:rsid w:val="009779D0"/>
    <w:rsid w:val="00977D46"/>
    <w:rsid w:val="00977E2C"/>
    <w:rsid w:val="00977FDB"/>
    <w:rsid w:val="00980053"/>
    <w:rsid w:val="009800CD"/>
    <w:rsid w:val="009800DD"/>
    <w:rsid w:val="00980153"/>
    <w:rsid w:val="009801C0"/>
    <w:rsid w:val="00980259"/>
    <w:rsid w:val="009802A5"/>
    <w:rsid w:val="009802A6"/>
    <w:rsid w:val="009803DB"/>
    <w:rsid w:val="0098045D"/>
    <w:rsid w:val="0098046B"/>
    <w:rsid w:val="009804CB"/>
    <w:rsid w:val="00980742"/>
    <w:rsid w:val="00980831"/>
    <w:rsid w:val="00980966"/>
    <w:rsid w:val="00980AAB"/>
    <w:rsid w:val="00980CA5"/>
    <w:rsid w:val="00980F12"/>
    <w:rsid w:val="009811AD"/>
    <w:rsid w:val="00981265"/>
    <w:rsid w:val="00981329"/>
    <w:rsid w:val="0098132F"/>
    <w:rsid w:val="00981343"/>
    <w:rsid w:val="009814EE"/>
    <w:rsid w:val="00981540"/>
    <w:rsid w:val="0098181F"/>
    <w:rsid w:val="00981977"/>
    <w:rsid w:val="00981D5D"/>
    <w:rsid w:val="00981E40"/>
    <w:rsid w:val="00981EE8"/>
    <w:rsid w:val="00981F8C"/>
    <w:rsid w:val="00982106"/>
    <w:rsid w:val="0098218B"/>
    <w:rsid w:val="009822F6"/>
    <w:rsid w:val="00982339"/>
    <w:rsid w:val="009823A8"/>
    <w:rsid w:val="009827B4"/>
    <w:rsid w:val="00982874"/>
    <w:rsid w:val="0098295E"/>
    <w:rsid w:val="00982D4F"/>
    <w:rsid w:val="00982EC0"/>
    <w:rsid w:val="0098314E"/>
    <w:rsid w:val="0098319C"/>
    <w:rsid w:val="009831C5"/>
    <w:rsid w:val="0098324B"/>
    <w:rsid w:val="00983283"/>
    <w:rsid w:val="0098368B"/>
    <w:rsid w:val="0098374E"/>
    <w:rsid w:val="00983BB2"/>
    <w:rsid w:val="00983BDF"/>
    <w:rsid w:val="00983C1E"/>
    <w:rsid w:val="009840B9"/>
    <w:rsid w:val="009841C8"/>
    <w:rsid w:val="009841ED"/>
    <w:rsid w:val="00984518"/>
    <w:rsid w:val="00984C21"/>
    <w:rsid w:val="00984C78"/>
    <w:rsid w:val="00984DFF"/>
    <w:rsid w:val="00984EB3"/>
    <w:rsid w:val="00984F93"/>
    <w:rsid w:val="00984F9A"/>
    <w:rsid w:val="0098528B"/>
    <w:rsid w:val="009853D2"/>
    <w:rsid w:val="0098550D"/>
    <w:rsid w:val="009857D1"/>
    <w:rsid w:val="009858C8"/>
    <w:rsid w:val="009858D8"/>
    <w:rsid w:val="00985A40"/>
    <w:rsid w:val="00985AC6"/>
    <w:rsid w:val="00985BD3"/>
    <w:rsid w:val="00985C76"/>
    <w:rsid w:val="00985D8A"/>
    <w:rsid w:val="00985DF4"/>
    <w:rsid w:val="00985E3A"/>
    <w:rsid w:val="0098614F"/>
    <w:rsid w:val="00986264"/>
    <w:rsid w:val="00986293"/>
    <w:rsid w:val="009863BC"/>
    <w:rsid w:val="00986438"/>
    <w:rsid w:val="0098653E"/>
    <w:rsid w:val="00986561"/>
    <w:rsid w:val="009865B8"/>
    <w:rsid w:val="00986671"/>
    <w:rsid w:val="00986685"/>
    <w:rsid w:val="00986727"/>
    <w:rsid w:val="00986734"/>
    <w:rsid w:val="0098683D"/>
    <w:rsid w:val="009868B9"/>
    <w:rsid w:val="009868C2"/>
    <w:rsid w:val="009868C8"/>
    <w:rsid w:val="00986962"/>
    <w:rsid w:val="00986C15"/>
    <w:rsid w:val="00986E55"/>
    <w:rsid w:val="00987041"/>
    <w:rsid w:val="009870B8"/>
    <w:rsid w:val="009874B2"/>
    <w:rsid w:val="00987506"/>
    <w:rsid w:val="009876A5"/>
    <w:rsid w:val="009877AD"/>
    <w:rsid w:val="00987AD8"/>
    <w:rsid w:val="00987B90"/>
    <w:rsid w:val="00987D81"/>
    <w:rsid w:val="00987E5B"/>
    <w:rsid w:val="00987E6C"/>
    <w:rsid w:val="00987FD7"/>
    <w:rsid w:val="009900BF"/>
    <w:rsid w:val="00990100"/>
    <w:rsid w:val="0099026C"/>
    <w:rsid w:val="009904E7"/>
    <w:rsid w:val="009904F6"/>
    <w:rsid w:val="0099058E"/>
    <w:rsid w:val="00990649"/>
    <w:rsid w:val="009906A1"/>
    <w:rsid w:val="00990863"/>
    <w:rsid w:val="009908E3"/>
    <w:rsid w:val="00990D14"/>
    <w:rsid w:val="00990E3D"/>
    <w:rsid w:val="00990E89"/>
    <w:rsid w:val="00991015"/>
    <w:rsid w:val="00991134"/>
    <w:rsid w:val="0099117B"/>
    <w:rsid w:val="0099119E"/>
    <w:rsid w:val="009913BE"/>
    <w:rsid w:val="00991594"/>
    <w:rsid w:val="009915B5"/>
    <w:rsid w:val="0099164A"/>
    <w:rsid w:val="0099171D"/>
    <w:rsid w:val="009918F2"/>
    <w:rsid w:val="00991B04"/>
    <w:rsid w:val="00991D3A"/>
    <w:rsid w:val="00991E00"/>
    <w:rsid w:val="00991EBC"/>
    <w:rsid w:val="00991EE6"/>
    <w:rsid w:val="0099228B"/>
    <w:rsid w:val="0099275D"/>
    <w:rsid w:val="009927BD"/>
    <w:rsid w:val="009928D3"/>
    <w:rsid w:val="009928F6"/>
    <w:rsid w:val="00992C0B"/>
    <w:rsid w:val="00992C79"/>
    <w:rsid w:val="00992D3C"/>
    <w:rsid w:val="00992DB1"/>
    <w:rsid w:val="00992E3D"/>
    <w:rsid w:val="00992F24"/>
    <w:rsid w:val="00993010"/>
    <w:rsid w:val="009931E7"/>
    <w:rsid w:val="00993235"/>
    <w:rsid w:val="0099347A"/>
    <w:rsid w:val="0099358B"/>
    <w:rsid w:val="0099379A"/>
    <w:rsid w:val="0099380D"/>
    <w:rsid w:val="0099384A"/>
    <w:rsid w:val="009938AE"/>
    <w:rsid w:val="00993906"/>
    <w:rsid w:val="00993990"/>
    <w:rsid w:val="00993D1B"/>
    <w:rsid w:val="00993F04"/>
    <w:rsid w:val="00994020"/>
    <w:rsid w:val="0099451C"/>
    <w:rsid w:val="009946AA"/>
    <w:rsid w:val="009947C8"/>
    <w:rsid w:val="009947F2"/>
    <w:rsid w:val="009948FA"/>
    <w:rsid w:val="00994B41"/>
    <w:rsid w:val="00994E0A"/>
    <w:rsid w:val="009951FB"/>
    <w:rsid w:val="00995216"/>
    <w:rsid w:val="0099563A"/>
    <w:rsid w:val="009957B7"/>
    <w:rsid w:val="009957E0"/>
    <w:rsid w:val="00995843"/>
    <w:rsid w:val="00995964"/>
    <w:rsid w:val="009959EA"/>
    <w:rsid w:val="00995A1E"/>
    <w:rsid w:val="00995B1E"/>
    <w:rsid w:val="00995CB0"/>
    <w:rsid w:val="00995D24"/>
    <w:rsid w:val="0099601E"/>
    <w:rsid w:val="00996326"/>
    <w:rsid w:val="009963B9"/>
    <w:rsid w:val="009964D9"/>
    <w:rsid w:val="00996A1B"/>
    <w:rsid w:val="00996CD5"/>
    <w:rsid w:val="00996D87"/>
    <w:rsid w:val="00997096"/>
    <w:rsid w:val="009973BA"/>
    <w:rsid w:val="00997489"/>
    <w:rsid w:val="00997601"/>
    <w:rsid w:val="00997750"/>
    <w:rsid w:val="00997837"/>
    <w:rsid w:val="00997884"/>
    <w:rsid w:val="00997946"/>
    <w:rsid w:val="00997B87"/>
    <w:rsid w:val="00997BAA"/>
    <w:rsid w:val="00997E22"/>
    <w:rsid w:val="009A010F"/>
    <w:rsid w:val="009A01F5"/>
    <w:rsid w:val="009A031E"/>
    <w:rsid w:val="009A046F"/>
    <w:rsid w:val="009A0499"/>
    <w:rsid w:val="009A0745"/>
    <w:rsid w:val="009A0970"/>
    <w:rsid w:val="009A09FE"/>
    <w:rsid w:val="009A0C06"/>
    <w:rsid w:val="009A0CA1"/>
    <w:rsid w:val="009A0F01"/>
    <w:rsid w:val="009A0FD0"/>
    <w:rsid w:val="009A0FD9"/>
    <w:rsid w:val="009A1036"/>
    <w:rsid w:val="009A1148"/>
    <w:rsid w:val="009A11CC"/>
    <w:rsid w:val="009A1699"/>
    <w:rsid w:val="009A16E3"/>
    <w:rsid w:val="009A1A4C"/>
    <w:rsid w:val="009A1C6E"/>
    <w:rsid w:val="009A1DFF"/>
    <w:rsid w:val="009A23D4"/>
    <w:rsid w:val="009A2609"/>
    <w:rsid w:val="009A26F6"/>
    <w:rsid w:val="009A2787"/>
    <w:rsid w:val="009A2963"/>
    <w:rsid w:val="009A29B8"/>
    <w:rsid w:val="009A2BD2"/>
    <w:rsid w:val="009A2D7D"/>
    <w:rsid w:val="009A2F0E"/>
    <w:rsid w:val="009A300D"/>
    <w:rsid w:val="009A3382"/>
    <w:rsid w:val="009A3BE4"/>
    <w:rsid w:val="009A3CFC"/>
    <w:rsid w:val="009A3EF4"/>
    <w:rsid w:val="009A4139"/>
    <w:rsid w:val="009A41DE"/>
    <w:rsid w:val="009A41F0"/>
    <w:rsid w:val="009A41F3"/>
    <w:rsid w:val="009A42D2"/>
    <w:rsid w:val="009A4339"/>
    <w:rsid w:val="009A43DE"/>
    <w:rsid w:val="009A4704"/>
    <w:rsid w:val="009A4857"/>
    <w:rsid w:val="009A4A0D"/>
    <w:rsid w:val="009A4A60"/>
    <w:rsid w:val="009A4B62"/>
    <w:rsid w:val="009A4C24"/>
    <w:rsid w:val="009A5012"/>
    <w:rsid w:val="009A5205"/>
    <w:rsid w:val="009A5405"/>
    <w:rsid w:val="009A5429"/>
    <w:rsid w:val="009A54B8"/>
    <w:rsid w:val="009A5625"/>
    <w:rsid w:val="009A563E"/>
    <w:rsid w:val="009A58EF"/>
    <w:rsid w:val="009A5906"/>
    <w:rsid w:val="009A59E7"/>
    <w:rsid w:val="009A5CE4"/>
    <w:rsid w:val="009A5D03"/>
    <w:rsid w:val="009A5DA6"/>
    <w:rsid w:val="009A5DAF"/>
    <w:rsid w:val="009A5DB7"/>
    <w:rsid w:val="009A5F10"/>
    <w:rsid w:val="009A5F28"/>
    <w:rsid w:val="009A61E2"/>
    <w:rsid w:val="009A6490"/>
    <w:rsid w:val="009A668B"/>
    <w:rsid w:val="009A6934"/>
    <w:rsid w:val="009A6999"/>
    <w:rsid w:val="009A69C4"/>
    <w:rsid w:val="009A69D1"/>
    <w:rsid w:val="009A69E1"/>
    <w:rsid w:val="009A6A2B"/>
    <w:rsid w:val="009A6A82"/>
    <w:rsid w:val="009A6B26"/>
    <w:rsid w:val="009A6CA8"/>
    <w:rsid w:val="009A6F7C"/>
    <w:rsid w:val="009A7062"/>
    <w:rsid w:val="009A7254"/>
    <w:rsid w:val="009A7594"/>
    <w:rsid w:val="009A766C"/>
    <w:rsid w:val="009A775F"/>
    <w:rsid w:val="009A784D"/>
    <w:rsid w:val="009A7BD0"/>
    <w:rsid w:val="009A7C40"/>
    <w:rsid w:val="009A7D13"/>
    <w:rsid w:val="009B000C"/>
    <w:rsid w:val="009B01A3"/>
    <w:rsid w:val="009B023D"/>
    <w:rsid w:val="009B02D0"/>
    <w:rsid w:val="009B04FC"/>
    <w:rsid w:val="009B0575"/>
    <w:rsid w:val="009B087E"/>
    <w:rsid w:val="009B088E"/>
    <w:rsid w:val="009B08CB"/>
    <w:rsid w:val="009B08CF"/>
    <w:rsid w:val="009B0AA5"/>
    <w:rsid w:val="009B0BB7"/>
    <w:rsid w:val="009B0CF8"/>
    <w:rsid w:val="009B0D04"/>
    <w:rsid w:val="009B0D9E"/>
    <w:rsid w:val="009B0EB4"/>
    <w:rsid w:val="009B0FDF"/>
    <w:rsid w:val="009B1128"/>
    <w:rsid w:val="009B1251"/>
    <w:rsid w:val="009B12E4"/>
    <w:rsid w:val="009B1647"/>
    <w:rsid w:val="009B1907"/>
    <w:rsid w:val="009B1A95"/>
    <w:rsid w:val="009B1C06"/>
    <w:rsid w:val="009B1C4F"/>
    <w:rsid w:val="009B2127"/>
    <w:rsid w:val="009B243B"/>
    <w:rsid w:val="009B24BE"/>
    <w:rsid w:val="009B2695"/>
    <w:rsid w:val="009B2ADE"/>
    <w:rsid w:val="009B2B2E"/>
    <w:rsid w:val="009B2D1F"/>
    <w:rsid w:val="009B2EB9"/>
    <w:rsid w:val="009B302C"/>
    <w:rsid w:val="009B3051"/>
    <w:rsid w:val="009B307D"/>
    <w:rsid w:val="009B32B3"/>
    <w:rsid w:val="009B355B"/>
    <w:rsid w:val="009B36A4"/>
    <w:rsid w:val="009B3D09"/>
    <w:rsid w:val="009B3DE7"/>
    <w:rsid w:val="009B4029"/>
    <w:rsid w:val="009B412E"/>
    <w:rsid w:val="009B445C"/>
    <w:rsid w:val="009B4749"/>
    <w:rsid w:val="009B497F"/>
    <w:rsid w:val="009B4B45"/>
    <w:rsid w:val="009B4D72"/>
    <w:rsid w:val="009B4E83"/>
    <w:rsid w:val="009B4EBC"/>
    <w:rsid w:val="009B4ED0"/>
    <w:rsid w:val="009B5082"/>
    <w:rsid w:val="009B523F"/>
    <w:rsid w:val="009B5254"/>
    <w:rsid w:val="009B5342"/>
    <w:rsid w:val="009B5389"/>
    <w:rsid w:val="009B5722"/>
    <w:rsid w:val="009B57E3"/>
    <w:rsid w:val="009B5957"/>
    <w:rsid w:val="009B5C07"/>
    <w:rsid w:val="009B5C45"/>
    <w:rsid w:val="009B5EF3"/>
    <w:rsid w:val="009B6025"/>
    <w:rsid w:val="009B6129"/>
    <w:rsid w:val="009B62D9"/>
    <w:rsid w:val="009B62FD"/>
    <w:rsid w:val="009B631E"/>
    <w:rsid w:val="009B64BA"/>
    <w:rsid w:val="009B6510"/>
    <w:rsid w:val="009B659C"/>
    <w:rsid w:val="009B65CC"/>
    <w:rsid w:val="009B65EB"/>
    <w:rsid w:val="009B6623"/>
    <w:rsid w:val="009B6729"/>
    <w:rsid w:val="009B677A"/>
    <w:rsid w:val="009B684A"/>
    <w:rsid w:val="009B6962"/>
    <w:rsid w:val="009B6A16"/>
    <w:rsid w:val="009B6AEE"/>
    <w:rsid w:val="009B6B7C"/>
    <w:rsid w:val="009B6CD8"/>
    <w:rsid w:val="009B6D12"/>
    <w:rsid w:val="009B6F08"/>
    <w:rsid w:val="009B6F20"/>
    <w:rsid w:val="009B705D"/>
    <w:rsid w:val="009B708F"/>
    <w:rsid w:val="009B72F1"/>
    <w:rsid w:val="009B7506"/>
    <w:rsid w:val="009B77E5"/>
    <w:rsid w:val="009B7832"/>
    <w:rsid w:val="009B796B"/>
    <w:rsid w:val="009B7A52"/>
    <w:rsid w:val="009B7EC7"/>
    <w:rsid w:val="009C001D"/>
    <w:rsid w:val="009C0295"/>
    <w:rsid w:val="009C0313"/>
    <w:rsid w:val="009C066F"/>
    <w:rsid w:val="009C067E"/>
    <w:rsid w:val="009C068A"/>
    <w:rsid w:val="009C07A0"/>
    <w:rsid w:val="009C08A2"/>
    <w:rsid w:val="009C08E6"/>
    <w:rsid w:val="009C093D"/>
    <w:rsid w:val="009C0CB3"/>
    <w:rsid w:val="009C0DB9"/>
    <w:rsid w:val="009C0DD2"/>
    <w:rsid w:val="009C0E03"/>
    <w:rsid w:val="009C0E62"/>
    <w:rsid w:val="009C0F78"/>
    <w:rsid w:val="009C0FAA"/>
    <w:rsid w:val="009C0FB6"/>
    <w:rsid w:val="009C11B5"/>
    <w:rsid w:val="009C14DE"/>
    <w:rsid w:val="009C1796"/>
    <w:rsid w:val="009C17D8"/>
    <w:rsid w:val="009C1802"/>
    <w:rsid w:val="009C198D"/>
    <w:rsid w:val="009C19C2"/>
    <w:rsid w:val="009C1A56"/>
    <w:rsid w:val="009C1B22"/>
    <w:rsid w:val="009C1B80"/>
    <w:rsid w:val="009C1B85"/>
    <w:rsid w:val="009C1BAF"/>
    <w:rsid w:val="009C1C25"/>
    <w:rsid w:val="009C21F7"/>
    <w:rsid w:val="009C2214"/>
    <w:rsid w:val="009C2461"/>
    <w:rsid w:val="009C262F"/>
    <w:rsid w:val="009C26DC"/>
    <w:rsid w:val="009C287B"/>
    <w:rsid w:val="009C2966"/>
    <w:rsid w:val="009C2A69"/>
    <w:rsid w:val="009C2AAA"/>
    <w:rsid w:val="009C2D34"/>
    <w:rsid w:val="009C2F58"/>
    <w:rsid w:val="009C3028"/>
    <w:rsid w:val="009C3760"/>
    <w:rsid w:val="009C38DB"/>
    <w:rsid w:val="009C3C94"/>
    <w:rsid w:val="009C3D46"/>
    <w:rsid w:val="009C40FD"/>
    <w:rsid w:val="009C4117"/>
    <w:rsid w:val="009C41DC"/>
    <w:rsid w:val="009C4351"/>
    <w:rsid w:val="009C437D"/>
    <w:rsid w:val="009C4772"/>
    <w:rsid w:val="009C47F0"/>
    <w:rsid w:val="009C4909"/>
    <w:rsid w:val="009C4C03"/>
    <w:rsid w:val="009C4C52"/>
    <w:rsid w:val="009C4C6F"/>
    <w:rsid w:val="009C4D38"/>
    <w:rsid w:val="009C4DF9"/>
    <w:rsid w:val="009C4E0A"/>
    <w:rsid w:val="009C4ECA"/>
    <w:rsid w:val="009C504D"/>
    <w:rsid w:val="009C5132"/>
    <w:rsid w:val="009C519A"/>
    <w:rsid w:val="009C528F"/>
    <w:rsid w:val="009C53F1"/>
    <w:rsid w:val="009C5604"/>
    <w:rsid w:val="009C56B4"/>
    <w:rsid w:val="009C577A"/>
    <w:rsid w:val="009C5800"/>
    <w:rsid w:val="009C5808"/>
    <w:rsid w:val="009C584D"/>
    <w:rsid w:val="009C5942"/>
    <w:rsid w:val="009C5A72"/>
    <w:rsid w:val="009C5C3B"/>
    <w:rsid w:val="009C6085"/>
    <w:rsid w:val="009C6086"/>
    <w:rsid w:val="009C62D7"/>
    <w:rsid w:val="009C63D2"/>
    <w:rsid w:val="009C6497"/>
    <w:rsid w:val="009C664A"/>
    <w:rsid w:val="009C669E"/>
    <w:rsid w:val="009C67C0"/>
    <w:rsid w:val="009C69F9"/>
    <w:rsid w:val="009C6D84"/>
    <w:rsid w:val="009C6DB4"/>
    <w:rsid w:val="009C6F71"/>
    <w:rsid w:val="009C7171"/>
    <w:rsid w:val="009C7271"/>
    <w:rsid w:val="009C728C"/>
    <w:rsid w:val="009C731E"/>
    <w:rsid w:val="009C73B0"/>
    <w:rsid w:val="009C7497"/>
    <w:rsid w:val="009C7531"/>
    <w:rsid w:val="009C75B7"/>
    <w:rsid w:val="009C7610"/>
    <w:rsid w:val="009C76F8"/>
    <w:rsid w:val="009C77AB"/>
    <w:rsid w:val="009C7A08"/>
    <w:rsid w:val="009C7AAA"/>
    <w:rsid w:val="009C7C82"/>
    <w:rsid w:val="009C7CD6"/>
    <w:rsid w:val="009C7F1A"/>
    <w:rsid w:val="009D0121"/>
    <w:rsid w:val="009D0350"/>
    <w:rsid w:val="009D0564"/>
    <w:rsid w:val="009D06CD"/>
    <w:rsid w:val="009D06D9"/>
    <w:rsid w:val="009D096B"/>
    <w:rsid w:val="009D0B25"/>
    <w:rsid w:val="009D0BD1"/>
    <w:rsid w:val="009D0DD5"/>
    <w:rsid w:val="009D0E1B"/>
    <w:rsid w:val="009D0F07"/>
    <w:rsid w:val="009D1178"/>
    <w:rsid w:val="009D1190"/>
    <w:rsid w:val="009D11E6"/>
    <w:rsid w:val="009D11EC"/>
    <w:rsid w:val="009D18D2"/>
    <w:rsid w:val="009D19F2"/>
    <w:rsid w:val="009D1D79"/>
    <w:rsid w:val="009D20B4"/>
    <w:rsid w:val="009D219B"/>
    <w:rsid w:val="009D22C5"/>
    <w:rsid w:val="009D2320"/>
    <w:rsid w:val="009D243A"/>
    <w:rsid w:val="009D2918"/>
    <w:rsid w:val="009D2974"/>
    <w:rsid w:val="009D2C33"/>
    <w:rsid w:val="009D2CEE"/>
    <w:rsid w:val="009D2D51"/>
    <w:rsid w:val="009D2E44"/>
    <w:rsid w:val="009D2EE6"/>
    <w:rsid w:val="009D2EFA"/>
    <w:rsid w:val="009D3070"/>
    <w:rsid w:val="009D350C"/>
    <w:rsid w:val="009D3608"/>
    <w:rsid w:val="009D3661"/>
    <w:rsid w:val="009D3767"/>
    <w:rsid w:val="009D377A"/>
    <w:rsid w:val="009D37F0"/>
    <w:rsid w:val="009D3814"/>
    <w:rsid w:val="009D385B"/>
    <w:rsid w:val="009D38D6"/>
    <w:rsid w:val="009D3A16"/>
    <w:rsid w:val="009D3AF6"/>
    <w:rsid w:val="009D3C0B"/>
    <w:rsid w:val="009D3C65"/>
    <w:rsid w:val="009D3C6D"/>
    <w:rsid w:val="009D3D0A"/>
    <w:rsid w:val="009D3D72"/>
    <w:rsid w:val="009D3E20"/>
    <w:rsid w:val="009D3E74"/>
    <w:rsid w:val="009D400A"/>
    <w:rsid w:val="009D41B8"/>
    <w:rsid w:val="009D4394"/>
    <w:rsid w:val="009D446C"/>
    <w:rsid w:val="009D44C9"/>
    <w:rsid w:val="009D4A44"/>
    <w:rsid w:val="009D4B97"/>
    <w:rsid w:val="009D4CA8"/>
    <w:rsid w:val="009D4DB6"/>
    <w:rsid w:val="009D4DDC"/>
    <w:rsid w:val="009D4F73"/>
    <w:rsid w:val="009D5039"/>
    <w:rsid w:val="009D50D8"/>
    <w:rsid w:val="009D5236"/>
    <w:rsid w:val="009D5543"/>
    <w:rsid w:val="009D55AD"/>
    <w:rsid w:val="009D565B"/>
    <w:rsid w:val="009D56A5"/>
    <w:rsid w:val="009D5775"/>
    <w:rsid w:val="009D5A2B"/>
    <w:rsid w:val="009D5D92"/>
    <w:rsid w:val="009D5E43"/>
    <w:rsid w:val="009D5E7D"/>
    <w:rsid w:val="009D5F19"/>
    <w:rsid w:val="009D5F22"/>
    <w:rsid w:val="009D5F8A"/>
    <w:rsid w:val="009D6069"/>
    <w:rsid w:val="009D60F3"/>
    <w:rsid w:val="009D6354"/>
    <w:rsid w:val="009D6362"/>
    <w:rsid w:val="009D6455"/>
    <w:rsid w:val="009D64FD"/>
    <w:rsid w:val="009D656A"/>
    <w:rsid w:val="009D6BF4"/>
    <w:rsid w:val="009D6CB9"/>
    <w:rsid w:val="009D6E68"/>
    <w:rsid w:val="009D6E9A"/>
    <w:rsid w:val="009D7217"/>
    <w:rsid w:val="009D72D1"/>
    <w:rsid w:val="009D7519"/>
    <w:rsid w:val="009D76B1"/>
    <w:rsid w:val="009D782E"/>
    <w:rsid w:val="009D7A52"/>
    <w:rsid w:val="009D7A90"/>
    <w:rsid w:val="009D7C1A"/>
    <w:rsid w:val="009D7D08"/>
    <w:rsid w:val="009D7D33"/>
    <w:rsid w:val="009D7FC5"/>
    <w:rsid w:val="009E011E"/>
    <w:rsid w:val="009E0276"/>
    <w:rsid w:val="009E0547"/>
    <w:rsid w:val="009E056F"/>
    <w:rsid w:val="009E061E"/>
    <w:rsid w:val="009E0688"/>
    <w:rsid w:val="009E0737"/>
    <w:rsid w:val="009E07EA"/>
    <w:rsid w:val="009E0A3B"/>
    <w:rsid w:val="009E0AF0"/>
    <w:rsid w:val="009E0BEF"/>
    <w:rsid w:val="009E0F5F"/>
    <w:rsid w:val="009E1066"/>
    <w:rsid w:val="009E106A"/>
    <w:rsid w:val="009E15B7"/>
    <w:rsid w:val="009E1632"/>
    <w:rsid w:val="009E165B"/>
    <w:rsid w:val="009E16B2"/>
    <w:rsid w:val="009E1769"/>
    <w:rsid w:val="009E18B1"/>
    <w:rsid w:val="009E18FB"/>
    <w:rsid w:val="009E1C0A"/>
    <w:rsid w:val="009E1C29"/>
    <w:rsid w:val="009E1C68"/>
    <w:rsid w:val="009E1CD1"/>
    <w:rsid w:val="009E1D0C"/>
    <w:rsid w:val="009E1D35"/>
    <w:rsid w:val="009E1D57"/>
    <w:rsid w:val="009E1EA2"/>
    <w:rsid w:val="009E1EC2"/>
    <w:rsid w:val="009E1F35"/>
    <w:rsid w:val="009E2007"/>
    <w:rsid w:val="009E2078"/>
    <w:rsid w:val="009E2345"/>
    <w:rsid w:val="009E2381"/>
    <w:rsid w:val="009E2511"/>
    <w:rsid w:val="009E2556"/>
    <w:rsid w:val="009E267C"/>
    <w:rsid w:val="009E2784"/>
    <w:rsid w:val="009E2838"/>
    <w:rsid w:val="009E2A00"/>
    <w:rsid w:val="009E305F"/>
    <w:rsid w:val="009E34E5"/>
    <w:rsid w:val="009E3569"/>
    <w:rsid w:val="009E361C"/>
    <w:rsid w:val="009E381B"/>
    <w:rsid w:val="009E39EA"/>
    <w:rsid w:val="009E3B66"/>
    <w:rsid w:val="009E3D93"/>
    <w:rsid w:val="009E3F47"/>
    <w:rsid w:val="009E413F"/>
    <w:rsid w:val="009E415F"/>
    <w:rsid w:val="009E41DB"/>
    <w:rsid w:val="009E4256"/>
    <w:rsid w:val="009E42BB"/>
    <w:rsid w:val="009E4320"/>
    <w:rsid w:val="009E4462"/>
    <w:rsid w:val="009E47DC"/>
    <w:rsid w:val="009E47FA"/>
    <w:rsid w:val="009E47FD"/>
    <w:rsid w:val="009E480E"/>
    <w:rsid w:val="009E4873"/>
    <w:rsid w:val="009E4928"/>
    <w:rsid w:val="009E4C76"/>
    <w:rsid w:val="009E4CF6"/>
    <w:rsid w:val="009E4D91"/>
    <w:rsid w:val="009E4E0F"/>
    <w:rsid w:val="009E4E76"/>
    <w:rsid w:val="009E53D7"/>
    <w:rsid w:val="009E5401"/>
    <w:rsid w:val="009E5687"/>
    <w:rsid w:val="009E56F9"/>
    <w:rsid w:val="009E5A1B"/>
    <w:rsid w:val="009E5A4E"/>
    <w:rsid w:val="009E5AFB"/>
    <w:rsid w:val="009E5B42"/>
    <w:rsid w:val="009E5B80"/>
    <w:rsid w:val="009E5CB3"/>
    <w:rsid w:val="009E6108"/>
    <w:rsid w:val="009E6168"/>
    <w:rsid w:val="009E64C0"/>
    <w:rsid w:val="009E6773"/>
    <w:rsid w:val="009E67D4"/>
    <w:rsid w:val="009E6A33"/>
    <w:rsid w:val="009E6ACF"/>
    <w:rsid w:val="009E6C21"/>
    <w:rsid w:val="009E6C57"/>
    <w:rsid w:val="009E6FE6"/>
    <w:rsid w:val="009E7088"/>
    <w:rsid w:val="009E71C3"/>
    <w:rsid w:val="009E7245"/>
    <w:rsid w:val="009E73CA"/>
    <w:rsid w:val="009E742E"/>
    <w:rsid w:val="009E75B1"/>
    <w:rsid w:val="009E75BF"/>
    <w:rsid w:val="009E75CE"/>
    <w:rsid w:val="009E7761"/>
    <w:rsid w:val="009E79FD"/>
    <w:rsid w:val="009E7A0E"/>
    <w:rsid w:val="009E7B32"/>
    <w:rsid w:val="009E7C69"/>
    <w:rsid w:val="009E7D6A"/>
    <w:rsid w:val="009F004D"/>
    <w:rsid w:val="009F02B5"/>
    <w:rsid w:val="009F0355"/>
    <w:rsid w:val="009F0394"/>
    <w:rsid w:val="009F0471"/>
    <w:rsid w:val="009F04E1"/>
    <w:rsid w:val="009F0742"/>
    <w:rsid w:val="009F07CD"/>
    <w:rsid w:val="009F0A39"/>
    <w:rsid w:val="009F0BA6"/>
    <w:rsid w:val="009F0E7A"/>
    <w:rsid w:val="009F10CE"/>
    <w:rsid w:val="009F12C2"/>
    <w:rsid w:val="009F193F"/>
    <w:rsid w:val="009F1E56"/>
    <w:rsid w:val="009F1EA2"/>
    <w:rsid w:val="009F2249"/>
    <w:rsid w:val="009F2752"/>
    <w:rsid w:val="009F281B"/>
    <w:rsid w:val="009F2E6D"/>
    <w:rsid w:val="009F3025"/>
    <w:rsid w:val="009F308C"/>
    <w:rsid w:val="009F3120"/>
    <w:rsid w:val="009F346F"/>
    <w:rsid w:val="009F36DC"/>
    <w:rsid w:val="009F3813"/>
    <w:rsid w:val="009F3891"/>
    <w:rsid w:val="009F3A83"/>
    <w:rsid w:val="009F3AA5"/>
    <w:rsid w:val="009F3B1D"/>
    <w:rsid w:val="009F3DC0"/>
    <w:rsid w:val="009F3EF1"/>
    <w:rsid w:val="009F3F22"/>
    <w:rsid w:val="009F3F85"/>
    <w:rsid w:val="009F415A"/>
    <w:rsid w:val="009F4238"/>
    <w:rsid w:val="009F43D1"/>
    <w:rsid w:val="009F450E"/>
    <w:rsid w:val="009F4737"/>
    <w:rsid w:val="009F47F2"/>
    <w:rsid w:val="009F4939"/>
    <w:rsid w:val="009F498A"/>
    <w:rsid w:val="009F49BE"/>
    <w:rsid w:val="009F49C9"/>
    <w:rsid w:val="009F4BD3"/>
    <w:rsid w:val="009F4C69"/>
    <w:rsid w:val="009F4E71"/>
    <w:rsid w:val="009F4F05"/>
    <w:rsid w:val="009F4F21"/>
    <w:rsid w:val="009F5057"/>
    <w:rsid w:val="009F509F"/>
    <w:rsid w:val="009F50B8"/>
    <w:rsid w:val="009F55B5"/>
    <w:rsid w:val="009F560B"/>
    <w:rsid w:val="009F5619"/>
    <w:rsid w:val="009F5624"/>
    <w:rsid w:val="009F5637"/>
    <w:rsid w:val="009F5651"/>
    <w:rsid w:val="009F5711"/>
    <w:rsid w:val="009F5871"/>
    <w:rsid w:val="009F58CE"/>
    <w:rsid w:val="009F5AD2"/>
    <w:rsid w:val="009F5AE1"/>
    <w:rsid w:val="009F5B5C"/>
    <w:rsid w:val="009F5D35"/>
    <w:rsid w:val="009F5D8B"/>
    <w:rsid w:val="009F5FF4"/>
    <w:rsid w:val="009F61A8"/>
    <w:rsid w:val="009F61D8"/>
    <w:rsid w:val="009F62C0"/>
    <w:rsid w:val="009F63B7"/>
    <w:rsid w:val="009F64DB"/>
    <w:rsid w:val="009F697B"/>
    <w:rsid w:val="009F6B96"/>
    <w:rsid w:val="009F6BB7"/>
    <w:rsid w:val="009F6C14"/>
    <w:rsid w:val="009F6CE9"/>
    <w:rsid w:val="009F6CEB"/>
    <w:rsid w:val="009F6E60"/>
    <w:rsid w:val="009F6ECB"/>
    <w:rsid w:val="009F6EF9"/>
    <w:rsid w:val="009F6F7D"/>
    <w:rsid w:val="009F71B9"/>
    <w:rsid w:val="009F7475"/>
    <w:rsid w:val="009F74D0"/>
    <w:rsid w:val="009F7B96"/>
    <w:rsid w:val="009F7F63"/>
    <w:rsid w:val="00A000CF"/>
    <w:rsid w:val="00A00144"/>
    <w:rsid w:val="00A002FD"/>
    <w:rsid w:val="00A004B4"/>
    <w:rsid w:val="00A004E0"/>
    <w:rsid w:val="00A00710"/>
    <w:rsid w:val="00A00C26"/>
    <w:rsid w:val="00A00D11"/>
    <w:rsid w:val="00A00D34"/>
    <w:rsid w:val="00A00DD7"/>
    <w:rsid w:val="00A00E10"/>
    <w:rsid w:val="00A00E59"/>
    <w:rsid w:val="00A0105E"/>
    <w:rsid w:val="00A01254"/>
    <w:rsid w:val="00A012C0"/>
    <w:rsid w:val="00A013E7"/>
    <w:rsid w:val="00A01551"/>
    <w:rsid w:val="00A01646"/>
    <w:rsid w:val="00A0187E"/>
    <w:rsid w:val="00A018B4"/>
    <w:rsid w:val="00A01C2A"/>
    <w:rsid w:val="00A01DB1"/>
    <w:rsid w:val="00A01E09"/>
    <w:rsid w:val="00A01EAF"/>
    <w:rsid w:val="00A01F6E"/>
    <w:rsid w:val="00A021B9"/>
    <w:rsid w:val="00A0228C"/>
    <w:rsid w:val="00A025A6"/>
    <w:rsid w:val="00A026BA"/>
    <w:rsid w:val="00A029A5"/>
    <w:rsid w:val="00A029AD"/>
    <w:rsid w:val="00A02BF8"/>
    <w:rsid w:val="00A02C59"/>
    <w:rsid w:val="00A02F1A"/>
    <w:rsid w:val="00A0315C"/>
    <w:rsid w:val="00A03195"/>
    <w:rsid w:val="00A03485"/>
    <w:rsid w:val="00A035A8"/>
    <w:rsid w:val="00A03622"/>
    <w:rsid w:val="00A036B2"/>
    <w:rsid w:val="00A036FB"/>
    <w:rsid w:val="00A036FF"/>
    <w:rsid w:val="00A03B31"/>
    <w:rsid w:val="00A03B43"/>
    <w:rsid w:val="00A03BD5"/>
    <w:rsid w:val="00A03C05"/>
    <w:rsid w:val="00A03D7E"/>
    <w:rsid w:val="00A03E5D"/>
    <w:rsid w:val="00A04074"/>
    <w:rsid w:val="00A043AB"/>
    <w:rsid w:val="00A043B8"/>
    <w:rsid w:val="00A044AE"/>
    <w:rsid w:val="00A044EC"/>
    <w:rsid w:val="00A0465A"/>
    <w:rsid w:val="00A046A5"/>
    <w:rsid w:val="00A047C6"/>
    <w:rsid w:val="00A047F3"/>
    <w:rsid w:val="00A04938"/>
    <w:rsid w:val="00A04D7F"/>
    <w:rsid w:val="00A05191"/>
    <w:rsid w:val="00A05606"/>
    <w:rsid w:val="00A0576F"/>
    <w:rsid w:val="00A0579D"/>
    <w:rsid w:val="00A057D0"/>
    <w:rsid w:val="00A05AA6"/>
    <w:rsid w:val="00A05BE7"/>
    <w:rsid w:val="00A05F97"/>
    <w:rsid w:val="00A05FC9"/>
    <w:rsid w:val="00A0602E"/>
    <w:rsid w:val="00A06154"/>
    <w:rsid w:val="00A06391"/>
    <w:rsid w:val="00A063F3"/>
    <w:rsid w:val="00A0641D"/>
    <w:rsid w:val="00A06C72"/>
    <w:rsid w:val="00A06DEB"/>
    <w:rsid w:val="00A06EAB"/>
    <w:rsid w:val="00A06F06"/>
    <w:rsid w:val="00A06FF6"/>
    <w:rsid w:val="00A07052"/>
    <w:rsid w:val="00A0712A"/>
    <w:rsid w:val="00A0736F"/>
    <w:rsid w:val="00A0738A"/>
    <w:rsid w:val="00A0751D"/>
    <w:rsid w:val="00A075F6"/>
    <w:rsid w:val="00A0775A"/>
    <w:rsid w:val="00A077ED"/>
    <w:rsid w:val="00A078F6"/>
    <w:rsid w:val="00A07B4B"/>
    <w:rsid w:val="00A07E5E"/>
    <w:rsid w:val="00A07FD8"/>
    <w:rsid w:val="00A1022B"/>
    <w:rsid w:val="00A1030A"/>
    <w:rsid w:val="00A104A2"/>
    <w:rsid w:val="00A10604"/>
    <w:rsid w:val="00A1061F"/>
    <w:rsid w:val="00A107C3"/>
    <w:rsid w:val="00A108D6"/>
    <w:rsid w:val="00A108FF"/>
    <w:rsid w:val="00A10C4F"/>
    <w:rsid w:val="00A10D47"/>
    <w:rsid w:val="00A10EB0"/>
    <w:rsid w:val="00A10EC0"/>
    <w:rsid w:val="00A11029"/>
    <w:rsid w:val="00A11118"/>
    <w:rsid w:val="00A1117E"/>
    <w:rsid w:val="00A11210"/>
    <w:rsid w:val="00A1126E"/>
    <w:rsid w:val="00A11366"/>
    <w:rsid w:val="00A1138B"/>
    <w:rsid w:val="00A11399"/>
    <w:rsid w:val="00A113CD"/>
    <w:rsid w:val="00A1148B"/>
    <w:rsid w:val="00A1163B"/>
    <w:rsid w:val="00A11702"/>
    <w:rsid w:val="00A117C6"/>
    <w:rsid w:val="00A11827"/>
    <w:rsid w:val="00A118D1"/>
    <w:rsid w:val="00A11B15"/>
    <w:rsid w:val="00A11B99"/>
    <w:rsid w:val="00A11FF5"/>
    <w:rsid w:val="00A1227E"/>
    <w:rsid w:val="00A1243B"/>
    <w:rsid w:val="00A12463"/>
    <w:rsid w:val="00A12483"/>
    <w:rsid w:val="00A12704"/>
    <w:rsid w:val="00A12797"/>
    <w:rsid w:val="00A12856"/>
    <w:rsid w:val="00A1285B"/>
    <w:rsid w:val="00A12BB8"/>
    <w:rsid w:val="00A12C1C"/>
    <w:rsid w:val="00A12FC2"/>
    <w:rsid w:val="00A130CA"/>
    <w:rsid w:val="00A1310C"/>
    <w:rsid w:val="00A13172"/>
    <w:rsid w:val="00A1333D"/>
    <w:rsid w:val="00A133CD"/>
    <w:rsid w:val="00A1365F"/>
    <w:rsid w:val="00A13BEE"/>
    <w:rsid w:val="00A13F89"/>
    <w:rsid w:val="00A13FFF"/>
    <w:rsid w:val="00A140B1"/>
    <w:rsid w:val="00A14140"/>
    <w:rsid w:val="00A14218"/>
    <w:rsid w:val="00A14337"/>
    <w:rsid w:val="00A144E6"/>
    <w:rsid w:val="00A145B2"/>
    <w:rsid w:val="00A14604"/>
    <w:rsid w:val="00A14858"/>
    <w:rsid w:val="00A1490D"/>
    <w:rsid w:val="00A14982"/>
    <w:rsid w:val="00A149DD"/>
    <w:rsid w:val="00A14A0C"/>
    <w:rsid w:val="00A14A44"/>
    <w:rsid w:val="00A14AC3"/>
    <w:rsid w:val="00A14AD8"/>
    <w:rsid w:val="00A14B60"/>
    <w:rsid w:val="00A14FC0"/>
    <w:rsid w:val="00A151BB"/>
    <w:rsid w:val="00A155C7"/>
    <w:rsid w:val="00A15670"/>
    <w:rsid w:val="00A15797"/>
    <w:rsid w:val="00A15A79"/>
    <w:rsid w:val="00A15B16"/>
    <w:rsid w:val="00A15B79"/>
    <w:rsid w:val="00A15CEC"/>
    <w:rsid w:val="00A15E51"/>
    <w:rsid w:val="00A15E9D"/>
    <w:rsid w:val="00A15EFB"/>
    <w:rsid w:val="00A15F35"/>
    <w:rsid w:val="00A15F62"/>
    <w:rsid w:val="00A15FD6"/>
    <w:rsid w:val="00A160BF"/>
    <w:rsid w:val="00A1620D"/>
    <w:rsid w:val="00A167F0"/>
    <w:rsid w:val="00A16929"/>
    <w:rsid w:val="00A16B64"/>
    <w:rsid w:val="00A16B65"/>
    <w:rsid w:val="00A16BD6"/>
    <w:rsid w:val="00A16C25"/>
    <w:rsid w:val="00A16CD5"/>
    <w:rsid w:val="00A16CF4"/>
    <w:rsid w:val="00A16D9C"/>
    <w:rsid w:val="00A16EB6"/>
    <w:rsid w:val="00A16EF4"/>
    <w:rsid w:val="00A17031"/>
    <w:rsid w:val="00A1705A"/>
    <w:rsid w:val="00A1716A"/>
    <w:rsid w:val="00A1764C"/>
    <w:rsid w:val="00A17806"/>
    <w:rsid w:val="00A17CC1"/>
    <w:rsid w:val="00A17D9A"/>
    <w:rsid w:val="00A200F5"/>
    <w:rsid w:val="00A20173"/>
    <w:rsid w:val="00A20336"/>
    <w:rsid w:val="00A20610"/>
    <w:rsid w:val="00A2064A"/>
    <w:rsid w:val="00A2064D"/>
    <w:rsid w:val="00A20743"/>
    <w:rsid w:val="00A20994"/>
    <w:rsid w:val="00A20A10"/>
    <w:rsid w:val="00A20B8C"/>
    <w:rsid w:val="00A20C60"/>
    <w:rsid w:val="00A20C63"/>
    <w:rsid w:val="00A20C8C"/>
    <w:rsid w:val="00A20D1F"/>
    <w:rsid w:val="00A20D4D"/>
    <w:rsid w:val="00A20E5F"/>
    <w:rsid w:val="00A20E86"/>
    <w:rsid w:val="00A20EFF"/>
    <w:rsid w:val="00A20F2D"/>
    <w:rsid w:val="00A20FDF"/>
    <w:rsid w:val="00A21363"/>
    <w:rsid w:val="00A213B5"/>
    <w:rsid w:val="00A213CA"/>
    <w:rsid w:val="00A213DC"/>
    <w:rsid w:val="00A2143F"/>
    <w:rsid w:val="00A2153A"/>
    <w:rsid w:val="00A21834"/>
    <w:rsid w:val="00A219EB"/>
    <w:rsid w:val="00A21A6C"/>
    <w:rsid w:val="00A21A8F"/>
    <w:rsid w:val="00A21DDC"/>
    <w:rsid w:val="00A21F72"/>
    <w:rsid w:val="00A21F8C"/>
    <w:rsid w:val="00A2208E"/>
    <w:rsid w:val="00A2223D"/>
    <w:rsid w:val="00A223A3"/>
    <w:rsid w:val="00A2251D"/>
    <w:rsid w:val="00A22A26"/>
    <w:rsid w:val="00A22ABE"/>
    <w:rsid w:val="00A22B0E"/>
    <w:rsid w:val="00A22CC2"/>
    <w:rsid w:val="00A230E1"/>
    <w:rsid w:val="00A231BB"/>
    <w:rsid w:val="00A23350"/>
    <w:rsid w:val="00A23445"/>
    <w:rsid w:val="00A235D5"/>
    <w:rsid w:val="00A237A1"/>
    <w:rsid w:val="00A237D1"/>
    <w:rsid w:val="00A23CEA"/>
    <w:rsid w:val="00A23E31"/>
    <w:rsid w:val="00A23E50"/>
    <w:rsid w:val="00A23F32"/>
    <w:rsid w:val="00A23F42"/>
    <w:rsid w:val="00A23FBF"/>
    <w:rsid w:val="00A24238"/>
    <w:rsid w:val="00A243CD"/>
    <w:rsid w:val="00A2443A"/>
    <w:rsid w:val="00A24972"/>
    <w:rsid w:val="00A249B6"/>
    <w:rsid w:val="00A249BA"/>
    <w:rsid w:val="00A24ACF"/>
    <w:rsid w:val="00A24B81"/>
    <w:rsid w:val="00A24E52"/>
    <w:rsid w:val="00A24F94"/>
    <w:rsid w:val="00A250C9"/>
    <w:rsid w:val="00A250F9"/>
    <w:rsid w:val="00A2512C"/>
    <w:rsid w:val="00A25410"/>
    <w:rsid w:val="00A25417"/>
    <w:rsid w:val="00A2553E"/>
    <w:rsid w:val="00A2572C"/>
    <w:rsid w:val="00A257CA"/>
    <w:rsid w:val="00A25B47"/>
    <w:rsid w:val="00A25B9F"/>
    <w:rsid w:val="00A25BD3"/>
    <w:rsid w:val="00A25C90"/>
    <w:rsid w:val="00A25CE2"/>
    <w:rsid w:val="00A25DE7"/>
    <w:rsid w:val="00A25EFA"/>
    <w:rsid w:val="00A25F28"/>
    <w:rsid w:val="00A260B6"/>
    <w:rsid w:val="00A261C9"/>
    <w:rsid w:val="00A2631B"/>
    <w:rsid w:val="00A26770"/>
    <w:rsid w:val="00A26778"/>
    <w:rsid w:val="00A267E8"/>
    <w:rsid w:val="00A2686A"/>
    <w:rsid w:val="00A2691F"/>
    <w:rsid w:val="00A26A08"/>
    <w:rsid w:val="00A26BCE"/>
    <w:rsid w:val="00A26EEF"/>
    <w:rsid w:val="00A271AC"/>
    <w:rsid w:val="00A273F4"/>
    <w:rsid w:val="00A27400"/>
    <w:rsid w:val="00A27419"/>
    <w:rsid w:val="00A274D4"/>
    <w:rsid w:val="00A274EC"/>
    <w:rsid w:val="00A2757A"/>
    <w:rsid w:val="00A275ED"/>
    <w:rsid w:val="00A27618"/>
    <w:rsid w:val="00A276A5"/>
    <w:rsid w:val="00A27771"/>
    <w:rsid w:val="00A27A01"/>
    <w:rsid w:val="00A30052"/>
    <w:rsid w:val="00A30279"/>
    <w:rsid w:val="00A3027E"/>
    <w:rsid w:val="00A30461"/>
    <w:rsid w:val="00A30562"/>
    <w:rsid w:val="00A30693"/>
    <w:rsid w:val="00A30DB8"/>
    <w:rsid w:val="00A30DFD"/>
    <w:rsid w:val="00A30EAB"/>
    <w:rsid w:val="00A30F2B"/>
    <w:rsid w:val="00A30F66"/>
    <w:rsid w:val="00A30F9D"/>
    <w:rsid w:val="00A30FE5"/>
    <w:rsid w:val="00A31005"/>
    <w:rsid w:val="00A3106F"/>
    <w:rsid w:val="00A311D5"/>
    <w:rsid w:val="00A3122E"/>
    <w:rsid w:val="00A312A3"/>
    <w:rsid w:val="00A3133F"/>
    <w:rsid w:val="00A313EB"/>
    <w:rsid w:val="00A3147D"/>
    <w:rsid w:val="00A314B0"/>
    <w:rsid w:val="00A31701"/>
    <w:rsid w:val="00A31711"/>
    <w:rsid w:val="00A318FE"/>
    <w:rsid w:val="00A31BC8"/>
    <w:rsid w:val="00A31C14"/>
    <w:rsid w:val="00A31DFE"/>
    <w:rsid w:val="00A32255"/>
    <w:rsid w:val="00A322B3"/>
    <w:rsid w:val="00A3244E"/>
    <w:rsid w:val="00A32544"/>
    <w:rsid w:val="00A325E4"/>
    <w:rsid w:val="00A32681"/>
    <w:rsid w:val="00A326AA"/>
    <w:rsid w:val="00A3278B"/>
    <w:rsid w:val="00A328AD"/>
    <w:rsid w:val="00A32AF2"/>
    <w:rsid w:val="00A33039"/>
    <w:rsid w:val="00A3304C"/>
    <w:rsid w:val="00A331A1"/>
    <w:rsid w:val="00A33415"/>
    <w:rsid w:val="00A334DC"/>
    <w:rsid w:val="00A336A8"/>
    <w:rsid w:val="00A336D4"/>
    <w:rsid w:val="00A3373E"/>
    <w:rsid w:val="00A337A7"/>
    <w:rsid w:val="00A337D4"/>
    <w:rsid w:val="00A3390F"/>
    <w:rsid w:val="00A3397E"/>
    <w:rsid w:val="00A33E16"/>
    <w:rsid w:val="00A34085"/>
    <w:rsid w:val="00A34134"/>
    <w:rsid w:val="00A34542"/>
    <w:rsid w:val="00A345E6"/>
    <w:rsid w:val="00A346C9"/>
    <w:rsid w:val="00A34827"/>
    <w:rsid w:val="00A3485A"/>
    <w:rsid w:val="00A3485F"/>
    <w:rsid w:val="00A3488B"/>
    <w:rsid w:val="00A34947"/>
    <w:rsid w:val="00A34964"/>
    <w:rsid w:val="00A34AB7"/>
    <w:rsid w:val="00A34C19"/>
    <w:rsid w:val="00A34D14"/>
    <w:rsid w:val="00A34E2C"/>
    <w:rsid w:val="00A34EB0"/>
    <w:rsid w:val="00A34EED"/>
    <w:rsid w:val="00A350A6"/>
    <w:rsid w:val="00A3516C"/>
    <w:rsid w:val="00A3517C"/>
    <w:rsid w:val="00A35326"/>
    <w:rsid w:val="00A3544C"/>
    <w:rsid w:val="00A3553B"/>
    <w:rsid w:val="00A35C30"/>
    <w:rsid w:val="00A35C8B"/>
    <w:rsid w:val="00A35E04"/>
    <w:rsid w:val="00A35FF3"/>
    <w:rsid w:val="00A3610D"/>
    <w:rsid w:val="00A36142"/>
    <w:rsid w:val="00A36251"/>
    <w:rsid w:val="00A3639F"/>
    <w:rsid w:val="00A364CD"/>
    <w:rsid w:val="00A3668C"/>
    <w:rsid w:val="00A36C06"/>
    <w:rsid w:val="00A36C30"/>
    <w:rsid w:val="00A36C47"/>
    <w:rsid w:val="00A36C72"/>
    <w:rsid w:val="00A36FA1"/>
    <w:rsid w:val="00A3705F"/>
    <w:rsid w:val="00A37102"/>
    <w:rsid w:val="00A371D3"/>
    <w:rsid w:val="00A37415"/>
    <w:rsid w:val="00A37699"/>
    <w:rsid w:val="00A376EF"/>
    <w:rsid w:val="00A37A17"/>
    <w:rsid w:val="00A37BD4"/>
    <w:rsid w:val="00A37C95"/>
    <w:rsid w:val="00A400F0"/>
    <w:rsid w:val="00A403A1"/>
    <w:rsid w:val="00A404D9"/>
    <w:rsid w:val="00A40760"/>
    <w:rsid w:val="00A4081A"/>
    <w:rsid w:val="00A40821"/>
    <w:rsid w:val="00A40CE3"/>
    <w:rsid w:val="00A40E0E"/>
    <w:rsid w:val="00A40ED5"/>
    <w:rsid w:val="00A40FA9"/>
    <w:rsid w:val="00A411F6"/>
    <w:rsid w:val="00A41232"/>
    <w:rsid w:val="00A41422"/>
    <w:rsid w:val="00A41435"/>
    <w:rsid w:val="00A41441"/>
    <w:rsid w:val="00A41A14"/>
    <w:rsid w:val="00A41BE6"/>
    <w:rsid w:val="00A41D6F"/>
    <w:rsid w:val="00A41E09"/>
    <w:rsid w:val="00A4203C"/>
    <w:rsid w:val="00A42236"/>
    <w:rsid w:val="00A4232F"/>
    <w:rsid w:val="00A4260D"/>
    <w:rsid w:val="00A4265D"/>
    <w:rsid w:val="00A42753"/>
    <w:rsid w:val="00A42C1E"/>
    <w:rsid w:val="00A42DF4"/>
    <w:rsid w:val="00A42E17"/>
    <w:rsid w:val="00A42E36"/>
    <w:rsid w:val="00A42E3D"/>
    <w:rsid w:val="00A430F1"/>
    <w:rsid w:val="00A431B6"/>
    <w:rsid w:val="00A431E3"/>
    <w:rsid w:val="00A432F5"/>
    <w:rsid w:val="00A43380"/>
    <w:rsid w:val="00A4345F"/>
    <w:rsid w:val="00A43498"/>
    <w:rsid w:val="00A435E6"/>
    <w:rsid w:val="00A435E7"/>
    <w:rsid w:val="00A43664"/>
    <w:rsid w:val="00A436A0"/>
    <w:rsid w:val="00A436C6"/>
    <w:rsid w:val="00A436E9"/>
    <w:rsid w:val="00A4372F"/>
    <w:rsid w:val="00A43856"/>
    <w:rsid w:val="00A43958"/>
    <w:rsid w:val="00A43962"/>
    <w:rsid w:val="00A43AB4"/>
    <w:rsid w:val="00A43C15"/>
    <w:rsid w:val="00A4416F"/>
    <w:rsid w:val="00A4424B"/>
    <w:rsid w:val="00A4428D"/>
    <w:rsid w:val="00A44390"/>
    <w:rsid w:val="00A44975"/>
    <w:rsid w:val="00A44A79"/>
    <w:rsid w:val="00A44AAC"/>
    <w:rsid w:val="00A44CFE"/>
    <w:rsid w:val="00A45389"/>
    <w:rsid w:val="00A454D0"/>
    <w:rsid w:val="00A454D7"/>
    <w:rsid w:val="00A455A7"/>
    <w:rsid w:val="00A45947"/>
    <w:rsid w:val="00A45A0B"/>
    <w:rsid w:val="00A45B63"/>
    <w:rsid w:val="00A45CC7"/>
    <w:rsid w:val="00A45EC8"/>
    <w:rsid w:val="00A45F49"/>
    <w:rsid w:val="00A4624F"/>
    <w:rsid w:val="00A4631B"/>
    <w:rsid w:val="00A463E3"/>
    <w:rsid w:val="00A4642F"/>
    <w:rsid w:val="00A464F2"/>
    <w:rsid w:val="00A4684D"/>
    <w:rsid w:val="00A46865"/>
    <w:rsid w:val="00A46C12"/>
    <w:rsid w:val="00A46FC4"/>
    <w:rsid w:val="00A470A7"/>
    <w:rsid w:val="00A4738E"/>
    <w:rsid w:val="00A4754F"/>
    <w:rsid w:val="00A47601"/>
    <w:rsid w:val="00A47616"/>
    <w:rsid w:val="00A47887"/>
    <w:rsid w:val="00A479CE"/>
    <w:rsid w:val="00A47A2E"/>
    <w:rsid w:val="00A47B27"/>
    <w:rsid w:val="00A47DA0"/>
    <w:rsid w:val="00A47F00"/>
    <w:rsid w:val="00A5000C"/>
    <w:rsid w:val="00A5003D"/>
    <w:rsid w:val="00A50184"/>
    <w:rsid w:val="00A50319"/>
    <w:rsid w:val="00A504C2"/>
    <w:rsid w:val="00A50515"/>
    <w:rsid w:val="00A505F7"/>
    <w:rsid w:val="00A506FC"/>
    <w:rsid w:val="00A50801"/>
    <w:rsid w:val="00A508D7"/>
    <w:rsid w:val="00A509D6"/>
    <w:rsid w:val="00A50B17"/>
    <w:rsid w:val="00A50D0C"/>
    <w:rsid w:val="00A513A1"/>
    <w:rsid w:val="00A513B0"/>
    <w:rsid w:val="00A51508"/>
    <w:rsid w:val="00A516C7"/>
    <w:rsid w:val="00A519D6"/>
    <w:rsid w:val="00A51C4D"/>
    <w:rsid w:val="00A51D1F"/>
    <w:rsid w:val="00A51D60"/>
    <w:rsid w:val="00A51DAC"/>
    <w:rsid w:val="00A51E34"/>
    <w:rsid w:val="00A520D2"/>
    <w:rsid w:val="00A52183"/>
    <w:rsid w:val="00A522C9"/>
    <w:rsid w:val="00A52362"/>
    <w:rsid w:val="00A52608"/>
    <w:rsid w:val="00A526B9"/>
    <w:rsid w:val="00A52766"/>
    <w:rsid w:val="00A527D9"/>
    <w:rsid w:val="00A527DD"/>
    <w:rsid w:val="00A52882"/>
    <w:rsid w:val="00A529FC"/>
    <w:rsid w:val="00A52A21"/>
    <w:rsid w:val="00A52A7F"/>
    <w:rsid w:val="00A52C7A"/>
    <w:rsid w:val="00A52D9F"/>
    <w:rsid w:val="00A531C1"/>
    <w:rsid w:val="00A531D7"/>
    <w:rsid w:val="00A532DE"/>
    <w:rsid w:val="00A5378E"/>
    <w:rsid w:val="00A53AAE"/>
    <w:rsid w:val="00A53ACA"/>
    <w:rsid w:val="00A53B3E"/>
    <w:rsid w:val="00A53BCE"/>
    <w:rsid w:val="00A53C1D"/>
    <w:rsid w:val="00A53C65"/>
    <w:rsid w:val="00A53E5E"/>
    <w:rsid w:val="00A53F20"/>
    <w:rsid w:val="00A54153"/>
    <w:rsid w:val="00A54336"/>
    <w:rsid w:val="00A54650"/>
    <w:rsid w:val="00A5465E"/>
    <w:rsid w:val="00A546CA"/>
    <w:rsid w:val="00A547DE"/>
    <w:rsid w:val="00A547E3"/>
    <w:rsid w:val="00A54AC8"/>
    <w:rsid w:val="00A54CF7"/>
    <w:rsid w:val="00A54DEA"/>
    <w:rsid w:val="00A54E60"/>
    <w:rsid w:val="00A54F08"/>
    <w:rsid w:val="00A54F89"/>
    <w:rsid w:val="00A55036"/>
    <w:rsid w:val="00A550A4"/>
    <w:rsid w:val="00A5511C"/>
    <w:rsid w:val="00A55229"/>
    <w:rsid w:val="00A55304"/>
    <w:rsid w:val="00A554D6"/>
    <w:rsid w:val="00A558B3"/>
    <w:rsid w:val="00A55B5E"/>
    <w:rsid w:val="00A55CDC"/>
    <w:rsid w:val="00A55DE9"/>
    <w:rsid w:val="00A5646B"/>
    <w:rsid w:val="00A566C3"/>
    <w:rsid w:val="00A5680C"/>
    <w:rsid w:val="00A5695D"/>
    <w:rsid w:val="00A56989"/>
    <w:rsid w:val="00A56AA5"/>
    <w:rsid w:val="00A56B83"/>
    <w:rsid w:val="00A56C22"/>
    <w:rsid w:val="00A56CDE"/>
    <w:rsid w:val="00A56CFF"/>
    <w:rsid w:val="00A56DFA"/>
    <w:rsid w:val="00A570B0"/>
    <w:rsid w:val="00A5723B"/>
    <w:rsid w:val="00A572AE"/>
    <w:rsid w:val="00A5733F"/>
    <w:rsid w:val="00A57439"/>
    <w:rsid w:val="00A57451"/>
    <w:rsid w:val="00A5755E"/>
    <w:rsid w:val="00A57565"/>
    <w:rsid w:val="00A57567"/>
    <w:rsid w:val="00A5757D"/>
    <w:rsid w:val="00A575E2"/>
    <w:rsid w:val="00A57600"/>
    <w:rsid w:val="00A57724"/>
    <w:rsid w:val="00A57A34"/>
    <w:rsid w:val="00A57A70"/>
    <w:rsid w:val="00A57C3B"/>
    <w:rsid w:val="00A57CA1"/>
    <w:rsid w:val="00A57E02"/>
    <w:rsid w:val="00A60216"/>
    <w:rsid w:val="00A60242"/>
    <w:rsid w:val="00A6026C"/>
    <w:rsid w:val="00A60296"/>
    <w:rsid w:val="00A602A1"/>
    <w:rsid w:val="00A602F5"/>
    <w:rsid w:val="00A60303"/>
    <w:rsid w:val="00A6031F"/>
    <w:rsid w:val="00A603B5"/>
    <w:rsid w:val="00A605B9"/>
    <w:rsid w:val="00A605F1"/>
    <w:rsid w:val="00A6070E"/>
    <w:rsid w:val="00A608A6"/>
    <w:rsid w:val="00A608CE"/>
    <w:rsid w:val="00A6093B"/>
    <w:rsid w:val="00A60A8F"/>
    <w:rsid w:val="00A60AC8"/>
    <w:rsid w:val="00A60ADC"/>
    <w:rsid w:val="00A60B61"/>
    <w:rsid w:val="00A60BB1"/>
    <w:rsid w:val="00A60E8E"/>
    <w:rsid w:val="00A61154"/>
    <w:rsid w:val="00A611EF"/>
    <w:rsid w:val="00A6127B"/>
    <w:rsid w:val="00A614B0"/>
    <w:rsid w:val="00A6178A"/>
    <w:rsid w:val="00A61824"/>
    <w:rsid w:val="00A618B1"/>
    <w:rsid w:val="00A61A56"/>
    <w:rsid w:val="00A61A97"/>
    <w:rsid w:val="00A61B90"/>
    <w:rsid w:val="00A621CC"/>
    <w:rsid w:val="00A623FE"/>
    <w:rsid w:val="00A62593"/>
    <w:rsid w:val="00A627E0"/>
    <w:rsid w:val="00A628AA"/>
    <w:rsid w:val="00A62A3B"/>
    <w:rsid w:val="00A62C08"/>
    <w:rsid w:val="00A62E6F"/>
    <w:rsid w:val="00A62FBD"/>
    <w:rsid w:val="00A6304C"/>
    <w:rsid w:val="00A6312E"/>
    <w:rsid w:val="00A63257"/>
    <w:rsid w:val="00A632BD"/>
    <w:rsid w:val="00A632D6"/>
    <w:rsid w:val="00A635BB"/>
    <w:rsid w:val="00A63672"/>
    <w:rsid w:val="00A63878"/>
    <w:rsid w:val="00A63C87"/>
    <w:rsid w:val="00A63F46"/>
    <w:rsid w:val="00A63FEF"/>
    <w:rsid w:val="00A6440E"/>
    <w:rsid w:val="00A647E1"/>
    <w:rsid w:val="00A648F5"/>
    <w:rsid w:val="00A64B2C"/>
    <w:rsid w:val="00A64B67"/>
    <w:rsid w:val="00A64D90"/>
    <w:rsid w:val="00A64E1A"/>
    <w:rsid w:val="00A6500E"/>
    <w:rsid w:val="00A65360"/>
    <w:rsid w:val="00A6559F"/>
    <w:rsid w:val="00A655FF"/>
    <w:rsid w:val="00A657D2"/>
    <w:rsid w:val="00A65905"/>
    <w:rsid w:val="00A65C0A"/>
    <w:rsid w:val="00A65DDF"/>
    <w:rsid w:val="00A65F1C"/>
    <w:rsid w:val="00A66044"/>
    <w:rsid w:val="00A66202"/>
    <w:rsid w:val="00A6643E"/>
    <w:rsid w:val="00A66546"/>
    <w:rsid w:val="00A665F2"/>
    <w:rsid w:val="00A66715"/>
    <w:rsid w:val="00A66743"/>
    <w:rsid w:val="00A668E8"/>
    <w:rsid w:val="00A6697E"/>
    <w:rsid w:val="00A66A3F"/>
    <w:rsid w:val="00A66B53"/>
    <w:rsid w:val="00A66D23"/>
    <w:rsid w:val="00A66D6D"/>
    <w:rsid w:val="00A670DB"/>
    <w:rsid w:val="00A672AF"/>
    <w:rsid w:val="00A674CA"/>
    <w:rsid w:val="00A676E4"/>
    <w:rsid w:val="00A676EC"/>
    <w:rsid w:val="00A67824"/>
    <w:rsid w:val="00A67885"/>
    <w:rsid w:val="00A678D6"/>
    <w:rsid w:val="00A67967"/>
    <w:rsid w:val="00A67B73"/>
    <w:rsid w:val="00A67CB0"/>
    <w:rsid w:val="00A67D4A"/>
    <w:rsid w:val="00A7003F"/>
    <w:rsid w:val="00A70135"/>
    <w:rsid w:val="00A701C8"/>
    <w:rsid w:val="00A701FD"/>
    <w:rsid w:val="00A702BE"/>
    <w:rsid w:val="00A70734"/>
    <w:rsid w:val="00A7078E"/>
    <w:rsid w:val="00A708A6"/>
    <w:rsid w:val="00A70923"/>
    <w:rsid w:val="00A70A79"/>
    <w:rsid w:val="00A70B1B"/>
    <w:rsid w:val="00A70B40"/>
    <w:rsid w:val="00A70C86"/>
    <w:rsid w:val="00A70CAC"/>
    <w:rsid w:val="00A7110C"/>
    <w:rsid w:val="00A7127A"/>
    <w:rsid w:val="00A7150B"/>
    <w:rsid w:val="00A7180A"/>
    <w:rsid w:val="00A7180F"/>
    <w:rsid w:val="00A719D7"/>
    <w:rsid w:val="00A719F7"/>
    <w:rsid w:val="00A71D73"/>
    <w:rsid w:val="00A720BB"/>
    <w:rsid w:val="00A720C4"/>
    <w:rsid w:val="00A720E1"/>
    <w:rsid w:val="00A72203"/>
    <w:rsid w:val="00A7248A"/>
    <w:rsid w:val="00A72539"/>
    <w:rsid w:val="00A7263A"/>
    <w:rsid w:val="00A72646"/>
    <w:rsid w:val="00A72696"/>
    <w:rsid w:val="00A7276C"/>
    <w:rsid w:val="00A727F0"/>
    <w:rsid w:val="00A7282E"/>
    <w:rsid w:val="00A7284C"/>
    <w:rsid w:val="00A72861"/>
    <w:rsid w:val="00A72880"/>
    <w:rsid w:val="00A7288A"/>
    <w:rsid w:val="00A72BF6"/>
    <w:rsid w:val="00A72DF3"/>
    <w:rsid w:val="00A72E19"/>
    <w:rsid w:val="00A72E3D"/>
    <w:rsid w:val="00A72F59"/>
    <w:rsid w:val="00A7301D"/>
    <w:rsid w:val="00A73064"/>
    <w:rsid w:val="00A730AE"/>
    <w:rsid w:val="00A73121"/>
    <w:rsid w:val="00A73183"/>
    <w:rsid w:val="00A73859"/>
    <w:rsid w:val="00A73918"/>
    <w:rsid w:val="00A73A0D"/>
    <w:rsid w:val="00A73CB0"/>
    <w:rsid w:val="00A73E27"/>
    <w:rsid w:val="00A73EE3"/>
    <w:rsid w:val="00A740ED"/>
    <w:rsid w:val="00A74327"/>
    <w:rsid w:val="00A744F7"/>
    <w:rsid w:val="00A74687"/>
    <w:rsid w:val="00A74B09"/>
    <w:rsid w:val="00A74B1E"/>
    <w:rsid w:val="00A74D0B"/>
    <w:rsid w:val="00A74FBF"/>
    <w:rsid w:val="00A7544C"/>
    <w:rsid w:val="00A7556B"/>
    <w:rsid w:val="00A7570C"/>
    <w:rsid w:val="00A7573A"/>
    <w:rsid w:val="00A75966"/>
    <w:rsid w:val="00A75BE7"/>
    <w:rsid w:val="00A75E11"/>
    <w:rsid w:val="00A75EDB"/>
    <w:rsid w:val="00A76060"/>
    <w:rsid w:val="00A760CE"/>
    <w:rsid w:val="00A760E2"/>
    <w:rsid w:val="00A7622F"/>
    <w:rsid w:val="00A76244"/>
    <w:rsid w:val="00A76299"/>
    <w:rsid w:val="00A76465"/>
    <w:rsid w:val="00A764D0"/>
    <w:rsid w:val="00A76526"/>
    <w:rsid w:val="00A76799"/>
    <w:rsid w:val="00A767FE"/>
    <w:rsid w:val="00A76864"/>
    <w:rsid w:val="00A768F2"/>
    <w:rsid w:val="00A76B16"/>
    <w:rsid w:val="00A76F4C"/>
    <w:rsid w:val="00A77093"/>
    <w:rsid w:val="00A77160"/>
    <w:rsid w:val="00A771BD"/>
    <w:rsid w:val="00A77227"/>
    <w:rsid w:val="00A774F1"/>
    <w:rsid w:val="00A77ECC"/>
    <w:rsid w:val="00A77EE7"/>
    <w:rsid w:val="00A77F52"/>
    <w:rsid w:val="00A8016A"/>
    <w:rsid w:val="00A80232"/>
    <w:rsid w:val="00A8033D"/>
    <w:rsid w:val="00A803B6"/>
    <w:rsid w:val="00A8042F"/>
    <w:rsid w:val="00A804D8"/>
    <w:rsid w:val="00A804E3"/>
    <w:rsid w:val="00A80541"/>
    <w:rsid w:val="00A80820"/>
    <w:rsid w:val="00A808C3"/>
    <w:rsid w:val="00A80B06"/>
    <w:rsid w:val="00A80CA3"/>
    <w:rsid w:val="00A80F65"/>
    <w:rsid w:val="00A8103D"/>
    <w:rsid w:val="00A81223"/>
    <w:rsid w:val="00A81425"/>
    <w:rsid w:val="00A8170D"/>
    <w:rsid w:val="00A817AE"/>
    <w:rsid w:val="00A8194E"/>
    <w:rsid w:val="00A8197C"/>
    <w:rsid w:val="00A81CDD"/>
    <w:rsid w:val="00A820B8"/>
    <w:rsid w:val="00A82281"/>
    <w:rsid w:val="00A824C4"/>
    <w:rsid w:val="00A8250A"/>
    <w:rsid w:val="00A82634"/>
    <w:rsid w:val="00A82F1C"/>
    <w:rsid w:val="00A8325A"/>
    <w:rsid w:val="00A83428"/>
    <w:rsid w:val="00A83798"/>
    <w:rsid w:val="00A837D9"/>
    <w:rsid w:val="00A837EA"/>
    <w:rsid w:val="00A8382B"/>
    <w:rsid w:val="00A83A42"/>
    <w:rsid w:val="00A83BC0"/>
    <w:rsid w:val="00A83C52"/>
    <w:rsid w:val="00A83D18"/>
    <w:rsid w:val="00A83DB7"/>
    <w:rsid w:val="00A83DC0"/>
    <w:rsid w:val="00A83DE6"/>
    <w:rsid w:val="00A8419E"/>
    <w:rsid w:val="00A841A4"/>
    <w:rsid w:val="00A841CC"/>
    <w:rsid w:val="00A84458"/>
    <w:rsid w:val="00A84543"/>
    <w:rsid w:val="00A845C6"/>
    <w:rsid w:val="00A84639"/>
    <w:rsid w:val="00A846A3"/>
    <w:rsid w:val="00A847DE"/>
    <w:rsid w:val="00A84821"/>
    <w:rsid w:val="00A849C5"/>
    <w:rsid w:val="00A84C10"/>
    <w:rsid w:val="00A84E15"/>
    <w:rsid w:val="00A84F55"/>
    <w:rsid w:val="00A851B1"/>
    <w:rsid w:val="00A851D2"/>
    <w:rsid w:val="00A851FD"/>
    <w:rsid w:val="00A852BE"/>
    <w:rsid w:val="00A852E1"/>
    <w:rsid w:val="00A85831"/>
    <w:rsid w:val="00A858F0"/>
    <w:rsid w:val="00A85988"/>
    <w:rsid w:val="00A859A6"/>
    <w:rsid w:val="00A85A2B"/>
    <w:rsid w:val="00A85B21"/>
    <w:rsid w:val="00A85B85"/>
    <w:rsid w:val="00A85E3A"/>
    <w:rsid w:val="00A85E65"/>
    <w:rsid w:val="00A85E77"/>
    <w:rsid w:val="00A86269"/>
    <w:rsid w:val="00A86294"/>
    <w:rsid w:val="00A862AF"/>
    <w:rsid w:val="00A8642E"/>
    <w:rsid w:val="00A86438"/>
    <w:rsid w:val="00A8653F"/>
    <w:rsid w:val="00A866E8"/>
    <w:rsid w:val="00A867C3"/>
    <w:rsid w:val="00A86B02"/>
    <w:rsid w:val="00A86BD1"/>
    <w:rsid w:val="00A86C32"/>
    <w:rsid w:val="00A87375"/>
    <w:rsid w:val="00A874EE"/>
    <w:rsid w:val="00A875C3"/>
    <w:rsid w:val="00A87782"/>
    <w:rsid w:val="00A87AB3"/>
    <w:rsid w:val="00A87C55"/>
    <w:rsid w:val="00A87D6E"/>
    <w:rsid w:val="00A87DFC"/>
    <w:rsid w:val="00A87E1B"/>
    <w:rsid w:val="00A87E27"/>
    <w:rsid w:val="00A87E48"/>
    <w:rsid w:val="00A87EA1"/>
    <w:rsid w:val="00A87EF2"/>
    <w:rsid w:val="00A90092"/>
    <w:rsid w:val="00A900D3"/>
    <w:rsid w:val="00A9015C"/>
    <w:rsid w:val="00A90318"/>
    <w:rsid w:val="00A903F3"/>
    <w:rsid w:val="00A9048D"/>
    <w:rsid w:val="00A904E2"/>
    <w:rsid w:val="00A90751"/>
    <w:rsid w:val="00A90784"/>
    <w:rsid w:val="00A907C4"/>
    <w:rsid w:val="00A90BFE"/>
    <w:rsid w:val="00A90D42"/>
    <w:rsid w:val="00A90DDE"/>
    <w:rsid w:val="00A90E6F"/>
    <w:rsid w:val="00A90FE0"/>
    <w:rsid w:val="00A910AD"/>
    <w:rsid w:val="00A91199"/>
    <w:rsid w:val="00A911A2"/>
    <w:rsid w:val="00A911F8"/>
    <w:rsid w:val="00A91275"/>
    <w:rsid w:val="00A912B2"/>
    <w:rsid w:val="00A91340"/>
    <w:rsid w:val="00A913DE"/>
    <w:rsid w:val="00A91531"/>
    <w:rsid w:val="00A91572"/>
    <w:rsid w:val="00A915DF"/>
    <w:rsid w:val="00A9164D"/>
    <w:rsid w:val="00A91736"/>
    <w:rsid w:val="00A91835"/>
    <w:rsid w:val="00A91A13"/>
    <w:rsid w:val="00A91B2D"/>
    <w:rsid w:val="00A91C7F"/>
    <w:rsid w:val="00A91CAE"/>
    <w:rsid w:val="00A91DCE"/>
    <w:rsid w:val="00A922BA"/>
    <w:rsid w:val="00A9234E"/>
    <w:rsid w:val="00A924EE"/>
    <w:rsid w:val="00A92548"/>
    <w:rsid w:val="00A9256D"/>
    <w:rsid w:val="00A925A6"/>
    <w:rsid w:val="00A92622"/>
    <w:rsid w:val="00A927A6"/>
    <w:rsid w:val="00A92A1A"/>
    <w:rsid w:val="00A92E48"/>
    <w:rsid w:val="00A92F89"/>
    <w:rsid w:val="00A92FEC"/>
    <w:rsid w:val="00A930C4"/>
    <w:rsid w:val="00A93279"/>
    <w:rsid w:val="00A9333A"/>
    <w:rsid w:val="00A93342"/>
    <w:rsid w:val="00A9339C"/>
    <w:rsid w:val="00A933CD"/>
    <w:rsid w:val="00A933F1"/>
    <w:rsid w:val="00A93498"/>
    <w:rsid w:val="00A93631"/>
    <w:rsid w:val="00A93728"/>
    <w:rsid w:val="00A93A09"/>
    <w:rsid w:val="00A93A8B"/>
    <w:rsid w:val="00A93BDA"/>
    <w:rsid w:val="00A93BEC"/>
    <w:rsid w:val="00A93C26"/>
    <w:rsid w:val="00A93CAC"/>
    <w:rsid w:val="00A93DF2"/>
    <w:rsid w:val="00A93F01"/>
    <w:rsid w:val="00A93F19"/>
    <w:rsid w:val="00A9443D"/>
    <w:rsid w:val="00A9449F"/>
    <w:rsid w:val="00A9456A"/>
    <w:rsid w:val="00A94732"/>
    <w:rsid w:val="00A94812"/>
    <w:rsid w:val="00A948D9"/>
    <w:rsid w:val="00A94C88"/>
    <w:rsid w:val="00A94CE0"/>
    <w:rsid w:val="00A94D5D"/>
    <w:rsid w:val="00A95075"/>
    <w:rsid w:val="00A950C6"/>
    <w:rsid w:val="00A951C5"/>
    <w:rsid w:val="00A9541A"/>
    <w:rsid w:val="00A955BD"/>
    <w:rsid w:val="00A95684"/>
    <w:rsid w:val="00A957F2"/>
    <w:rsid w:val="00A959FA"/>
    <w:rsid w:val="00A95AB2"/>
    <w:rsid w:val="00A95B02"/>
    <w:rsid w:val="00A95B5B"/>
    <w:rsid w:val="00A95B8B"/>
    <w:rsid w:val="00A95BD5"/>
    <w:rsid w:val="00A95BE7"/>
    <w:rsid w:val="00A95E5D"/>
    <w:rsid w:val="00A95EB4"/>
    <w:rsid w:val="00A96045"/>
    <w:rsid w:val="00A963DE"/>
    <w:rsid w:val="00A964CB"/>
    <w:rsid w:val="00A96500"/>
    <w:rsid w:val="00A9662D"/>
    <w:rsid w:val="00A966C6"/>
    <w:rsid w:val="00A966D8"/>
    <w:rsid w:val="00A9682D"/>
    <w:rsid w:val="00A96BD6"/>
    <w:rsid w:val="00A96C2B"/>
    <w:rsid w:val="00A96CA2"/>
    <w:rsid w:val="00A96D46"/>
    <w:rsid w:val="00A96DB6"/>
    <w:rsid w:val="00A97390"/>
    <w:rsid w:val="00A9760A"/>
    <w:rsid w:val="00A9760F"/>
    <w:rsid w:val="00A97780"/>
    <w:rsid w:val="00A9786A"/>
    <w:rsid w:val="00A97BAC"/>
    <w:rsid w:val="00A97BF0"/>
    <w:rsid w:val="00A97C0F"/>
    <w:rsid w:val="00A97F48"/>
    <w:rsid w:val="00A97F6E"/>
    <w:rsid w:val="00AA0040"/>
    <w:rsid w:val="00AA0063"/>
    <w:rsid w:val="00AA01DD"/>
    <w:rsid w:val="00AA0214"/>
    <w:rsid w:val="00AA08DC"/>
    <w:rsid w:val="00AA0E62"/>
    <w:rsid w:val="00AA0E7A"/>
    <w:rsid w:val="00AA0ECA"/>
    <w:rsid w:val="00AA0F18"/>
    <w:rsid w:val="00AA0F33"/>
    <w:rsid w:val="00AA0F69"/>
    <w:rsid w:val="00AA1544"/>
    <w:rsid w:val="00AA1565"/>
    <w:rsid w:val="00AA15A5"/>
    <w:rsid w:val="00AA16C7"/>
    <w:rsid w:val="00AA171B"/>
    <w:rsid w:val="00AA1746"/>
    <w:rsid w:val="00AA1800"/>
    <w:rsid w:val="00AA186B"/>
    <w:rsid w:val="00AA1B8D"/>
    <w:rsid w:val="00AA1BBF"/>
    <w:rsid w:val="00AA1C12"/>
    <w:rsid w:val="00AA1C63"/>
    <w:rsid w:val="00AA1C73"/>
    <w:rsid w:val="00AA1CA2"/>
    <w:rsid w:val="00AA1F45"/>
    <w:rsid w:val="00AA1F78"/>
    <w:rsid w:val="00AA2020"/>
    <w:rsid w:val="00AA2502"/>
    <w:rsid w:val="00AA272D"/>
    <w:rsid w:val="00AA27E5"/>
    <w:rsid w:val="00AA2B86"/>
    <w:rsid w:val="00AA2D1A"/>
    <w:rsid w:val="00AA2ED4"/>
    <w:rsid w:val="00AA2F4F"/>
    <w:rsid w:val="00AA2F51"/>
    <w:rsid w:val="00AA2FC0"/>
    <w:rsid w:val="00AA3062"/>
    <w:rsid w:val="00AA3098"/>
    <w:rsid w:val="00AA340C"/>
    <w:rsid w:val="00AA34B7"/>
    <w:rsid w:val="00AA34CA"/>
    <w:rsid w:val="00AA3600"/>
    <w:rsid w:val="00AA39D6"/>
    <w:rsid w:val="00AA3ACD"/>
    <w:rsid w:val="00AA3CD2"/>
    <w:rsid w:val="00AA3E81"/>
    <w:rsid w:val="00AA3F25"/>
    <w:rsid w:val="00AA3F84"/>
    <w:rsid w:val="00AA41AB"/>
    <w:rsid w:val="00AA41BC"/>
    <w:rsid w:val="00AA41E5"/>
    <w:rsid w:val="00AA435C"/>
    <w:rsid w:val="00AA43E8"/>
    <w:rsid w:val="00AA441B"/>
    <w:rsid w:val="00AA4432"/>
    <w:rsid w:val="00AA4466"/>
    <w:rsid w:val="00AA478C"/>
    <w:rsid w:val="00AA47D0"/>
    <w:rsid w:val="00AA49F0"/>
    <w:rsid w:val="00AA4A66"/>
    <w:rsid w:val="00AA4B00"/>
    <w:rsid w:val="00AA4E37"/>
    <w:rsid w:val="00AA4E40"/>
    <w:rsid w:val="00AA4E87"/>
    <w:rsid w:val="00AA5022"/>
    <w:rsid w:val="00AA520A"/>
    <w:rsid w:val="00AA52BD"/>
    <w:rsid w:val="00AA5391"/>
    <w:rsid w:val="00AA540D"/>
    <w:rsid w:val="00AA5414"/>
    <w:rsid w:val="00AA54E9"/>
    <w:rsid w:val="00AA5504"/>
    <w:rsid w:val="00AA567C"/>
    <w:rsid w:val="00AA596C"/>
    <w:rsid w:val="00AA5AEC"/>
    <w:rsid w:val="00AA5EB5"/>
    <w:rsid w:val="00AA5FC4"/>
    <w:rsid w:val="00AA60A0"/>
    <w:rsid w:val="00AA622C"/>
    <w:rsid w:val="00AA62E2"/>
    <w:rsid w:val="00AA69D9"/>
    <w:rsid w:val="00AA6C58"/>
    <w:rsid w:val="00AA6D45"/>
    <w:rsid w:val="00AA702C"/>
    <w:rsid w:val="00AA7280"/>
    <w:rsid w:val="00AA72B6"/>
    <w:rsid w:val="00AA741D"/>
    <w:rsid w:val="00AA7575"/>
    <w:rsid w:val="00AA7680"/>
    <w:rsid w:val="00AA76FC"/>
    <w:rsid w:val="00AA7907"/>
    <w:rsid w:val="00AA7A61"/>
    <w:rsid w:val="00AA7AA4"/>
    <w:rsid w:val="00AA7ADC"/>
    <w:rsid w:val="00AA7AE3"/>
    <w:rsid w:val="00AA7D76"/>
    <w:rsid w:val="00AA7EBB"/>
    <w:rsid w:val="00AB047F"/>
    <w:rsid w:val="00AB067F"/>
    <w:rsid w:val="00AB068B"/>
    <w:rsid w:val="00AB072F"/>
    <w:rsid w:val="00AB09D8"/>
    <w:rsid w:val="00AB0AB2"/>
    <w:rsid w:val="00AB0BAF"/>
    <w:rsid w:val="00AB1065"/>
    <w:rsid w:val="00AB1120"/>
    <w:rsid w:val="00AB11A3"/>
    <w:rsid w:val="00AB1445"/>
    <w:rsid w:val="00AB14A2"/>
    <w:rsid w:val="00AB1742"/>
    <w:rsid w:val="00AB1D76"/>
    <w:rsid w:val="00AB1E84"/>
    <w:rsid w:val="00AB1F33"/>
    <w:rsid w:val="00AB20EF"/>
    <w:rsid w:val="00AB23D7"/>
    <w:rsid w:val="00AB2471"/>
    <w:rsid w:val="00AB248B"/>
    <w:rsid w:val="00AB2577"/>
    <w:rsid w:val="00AB260F"/>
    <w:rsid w:val="00AB2964"/>
    <w:rsid w:val="00AB2A8A"/>
    <w:rsid w:val="00AB2C29"/>
    <w:rsid w:val="00AB2E1E"/>
    <w:rsid w:val="00AB302A"/>
    <w:rsid w:val="00AB3242"/>
    <w:rsid w:val="00AB3335"/>
    <w:rsid w:val="00AB34B4"/>
    <w:rsid w:val="00AB35F5"/>
    <w:rsid w:val="00AB3672"/>
    <w:rsid w:val="00AB3812"/>
    <w:rsid w:val="00AB3843"/>
    <w:rsid w:val="00AB3DD3"/>
    <w:rsid w:val="00AB3E34"/>
    <w:rsid w:val="00AB3E51"/>
    <w:rsid w:val="00AB3E9A"/>
    <w:rsid w:val="00AB3F34"/>
    <w:rsid w:val="00AB416F"/>
    <w:rsid w:val="00AB4422"/>
    <w:rsid w:val="00AB448C"/>
    <w:rsid w:val="00AB44D7"/>
    <w:rsid w:val="00AB45F8"/>
    <w:rsid w:val="00AB48A5"/>
    <w:rsid w:val="00AB4949"/>
    <w:rsid w:val="00AB4A6C"/>
    <w:rsid w:val="00AB4DA2"/>
    <w:rsid w:val="00AB4FD4"/>
    <w:rsid w:val="00AB5151"/>
    <w:rsid w:val="00AB529E"/>
    <w:rsid w:val="00AB55B1"/>
    <w:rsid w:val="00AB5833"/>
    <w:rsid w:val="00AB58FA"/>
    <w:rsid w:val="00AB5E6F"/>
    <w:rsid w:val="00AB5EF2"/>
    <w:rsid w:val="00AB5FA5"/>
    <w:rsid w:val="00AB6006"/>
    <w:rsid w:val="00AB605D"/>
    <w:rsid w:val="00AB61D8"/>
    <w:rsid w:val="00AB6342"/>
    <w:rsid w:val="00AB6358"/>
    <w:rsid w:val="00AB6379"/>
    <w:rsid w:val="00AB63BC"/>
    <w:rsid w:val="00AB650A"/>
    <w:rsid w:val="00AB657E"/>
    <w:rsid w:val="00AB66E9"/>
    <w:rsid w:val="00AB6831"/>
    <w:rsid w:val="00AB695E"/>
    <w:rsid w:val="00AB6AA6"/>
    <w:rsid w:val="00AB6AAC"/>
    <w:rsid w:val="00AB6BB8"/>
    <w:rsid w:val="00AB6F20"/>
    <w:rsid w:val="00AB7054"/>
    <w:rsid w:val="00AB712F"/>
    <w:rsid w:val="00AB71CD"/>
    <w:rsid w:val="00AB73F1"/>
    <w:rsid w:val="00AB74C8"/>
    <w:rsid w:val="00AB777F"/>
    <w:rsid w:val="00AB78B3"/>
    <w:rsid w:val="00AB7BA2"/>
    <w:rsid w:val="00AB7D3A"/>
    <w:rsid w:val="00AB7D76"/>
    <w:rsid w:val="00AB7F0D"/>
    <w:rsid w:val="00AC0025"/>
    <w:rsid w:val="00AC0049"/>
    <w:rsid w:val="00AC021E"/>
    <w:rsid w:val="00AC0238"/>
    <w:rsid w:val="00AC029A"/>
    <w:rsid w:val="00AC0807"/>
    <w:rsid w:val="00AC0B00"/>
    <w:rsid w:val="00AC0B20"/>
    <w:rsid w:val="00AC0B74"/>
    <w:rsid w:val="00AC0D1F"/>
    <w:rsid w:val="00AC0EA3"/>
    <w:rsid w:val="00AC107C"/>
    <w:rsid w:val="00AC111C"/>
    <w:rsid w:val="00AC116F"/>
    <w:rsid w:val="00AC1202"/>
    <w:rsid w:val="00AC12C7"/>
    <w:rsid w:val="00AC152B"/>
    <w:rsid w:val="00AC1565"/>
    <w:rsid w:val="00AC15BF"/>
    <w:rsid w:val="00AC16BF"/>
    <w:rsid w:val="00AC174A"/>
    <w:rsid w:val="00AC17CC"/>
    <w:rsid w:val="00AC1E3A"/>
    <w:rsid w:val="00AC1EAC"/>
    <w:rsid w:val="00AC202D"/>
    <w:rsid w:val="00AC211C"/>
    <w:rsid w:val="00AC21AA"/>
    <w:rsid w:val="00AC2334"/>
    <w:rsid w:val="00AC2655"/>
    <w:rsid w:val="00AC28D4"/>
    <w:rsid w:val="00AC2B2E"/>
    <w:rsid w:val="00AC2C0C"/>
    <w:rsid w:val="00AC3105"/>
    <w:rsid w:val="00AC311E"/>
    <w:rsid w:val="00AC315C"/>
    <w:rsid w:val="00AC319A"/>
    <w:rsid w:val="00AC31F3"/>
    <w:rsid w:val="00AC37CE"/>
    <w:rsid w:val="00AC38FD"/>
    <w:rsid w:val="00AC3939"/>
    <w:rsid w:val="00AC3940"/>
    <w:rsid w:val="00AC39EC"/>
    <w:rsid w:val="00AC3A7C"/>
    <w:rsid w:val="00AC3B12"/>
    <w:rsid w:val="00AC3B48"/>
    <w:rsid w:val="00AC3D0A"/>
    <w:rsid w:val="00AC3E45"/>
    <w:rsid w:val="00AC4012"/>
    <w:rsid w:val="00AC4199"/>
    <w:rsid w:val="00AC431A"/>
    <w:rsid w:val="00AC43D4"/>
    <w:rsid w:val="00AC4AA4"/>
    <w:rsid w:val="00AC4D21"/>
    <w:rsid w:val="00AC4DFF"/>
    <w:rsid w:val="00AC4E6D"/>
    <w:rsid w:val="00AC4F0A"/>
    <w:rsid w:val="00AC4F1C"/>
    <w:rsid w:val="00AC4F4B"/>
    <w:rsid w:val="00AC517D"/>
    <w:rsid w:val="00AC5211"/>
    <w:rsid w:val="00AC558A"/>
    <w:rsid w:val="00AC574D"/>
    <w:rsid w:val="00AC57DB"/>
    <w:rsid w:val="00AC5877"/>
    <w:rsid w:val="00AC5AB7"/>
    <w:rsid w:val="00AC5D1C"/>
    <w:rsid w:val="00AC5E6C"/>
    <w:rsid w:val="00AC5EEA"/>
    <w:rsid w:val="00AC60EE"/>
    <w:rsid w:val="00AC611D"/>
    <w:rsid w:val="00AC648C"/>
    <w:rsid w:val="00AC663C"/>
    <w:rsid w:val="00AC6699"/>
    <w:rsid w:val="00AC66E2"/>
    <w:rsid w:val="00AC682A"/>
    <w:rsid w:val="00AC686A"/>
    <w:rsid w:val="00AC6936"/>
    <w:rsid w:val="00AC6A41"/>
    <w:rsid w:val="00AC6FD1"/>
    <w:rsid w:val="00AC6FE6"/>
    <w:rsid w:val="00AC705D"/>
    <w:rsid w:val="00AC7077"/>
    <w:rsid w:val="00AC7128"/>
    <w:rsid w:val="00AC716E"/>
    <w:rsid w:val="00AC75AD"/>
    <w:rsid w:val="00AC77F1"/>
    <w:rsid w:val="00AC7974"/>
    <w:rsid w:val="00AC7A3B"/>
    <w:rsid w:val="00AC7B8D"/>
    <w:rsid w:val="00AC7D45"/>
    <w:rsid w:val="00AC7DDD"/>
    <w:rsid w:val="00AC7E56"/>
    <w:rsid w:val="00AD015F"/>
    <w:rsid w:val="00AD025E"/>
    <w:rsid w:val="00AD03BD"/>
    <w:rsid w:val="00AD0590"/>
    <w:rsid w:val="00AD077A"/>
    <w:rsid w:val="00AD07D3"/>
    <w:rsid w:val="00AD08D1"/>
    <w:rsid w:val="00AD0953"/>
    <w:rsid w:val="00AD09A9"/>
    <w:rsid w:val="00AD0AA2"/>
    <w:rsid w:val="00AD0AD8"/>
    <w:rsid w:val="00AD0B5E"/>
    <w:rsid w:val="00AD0BB7"/>
    <w:rsid w:val="00AD0BE5"/>
    <w:rsid w:val="00AD0C25"/>
    <w:rsid w:val="00AD0DEA"/>
    <w:rsid w:val="00AD0E27"/>
    <w:rsid w:val="00AD0E9D"/>
    <w:rsid w:val="00AD0F08"/>
    <w:rsid w:val="00AD0F90"/>
    <w:rsid w:val="00AD1171"/>
    <w:rsid w:val="00AD1221"/>
    <w:rsid w:val="00AD1436"/>
    <w:rsid w:val="00AD1473"/>
    <w:rsid w:val="00AD1642"/>
    <w:rsid w:val="00AD16B4"/>
    <w:rsid w:val="00AD177B"/>
    <w:rsid w:val="00AD1AEE"/>
    <w:rsid w:val="00AD1CBF"/>
    <w:rsid w:val="00AD1F8E"/>
    <w:rsid w:val="00AD2358"/>
    <w:rsid w:val="00AD2425"/>
    <w:rsid w:val="00AD26BA"/>
    <w:rsid w:val="00AD286D"/>
    <w:rsid w:val="00AD28CB"/>
    <w:rsid w:val="00AD290C"/>
    <w:rsid w:val="00AD29A8"/>
    <w:rsid w:val="00AD29B5"/>
    <w:rsid w:val="00AD2B4F"/>
    <w:rsid w:val="00AD2B7E"/>
    <w:rsid w:val="00AD2C0D"/>
    <w:rsid w:val="00AD2DC0"/>
    <w:rsid w:val="00AD2EED"/>
    <w:rsid w:val="00AD2F55"/>
    <w:rsid w:val="00AD3015"/>
    <w:rsid w:val="00AD33C5"/>
    <w:rsid w:val="00AD3557"/>
    <w:rsid w:val="00AD3664"/>
    <w:rsid w:val="00AD36FE"/>
    <w:rsid w:val="00AD3786"/>
    <w:rsid w:val="00AD39B2"/>
    <w:rsid w:val="00AD3AB4"/>
    <w:rsid w:val="00AD3BAB"/>
    <w:rsid w:val="00AD3F0F"/>
    <w:rsid w:val="00AD41C4"/>
    <w:rsid w:val="00AD41CE"/>
    <w:rsid w:val="00AD427D"/>
    <w:rsid w:val="00AD43DC"/>
    <w:rsid w:val="00AD44EC"/>
    <w:rsid w:val="00AD459D"/>
    <w:rsid w:val="00AD45C9"/>
    <w:rsid w:val="00AD4608"/>
    <w:rsid w:val="00AD46A2"/>
    <w:rsid w:val="00AD48EE"/>
    <w:rsid w:val="00AD49A4"/>
    <w:rsid w:val="00AD4AE7"/>
    <w:rsid w:val="00AD4AFE"/>
    <w:rsid w:val="00AD4B3C"/>
    <w:rsid w:val="00AD4D51"/>
    <w:rsid w:val="00AD4E5A"/>
    <w:rsid w:val="00AD4FA7"/>
    <w:rsid w:val="00AD5020"/>
    <w:rsid w:val="00AD50ED"/>
    <w:rsid w:val="00AD52BB"/>
    <w:rsid w:val="00AD52E8"/>
    <w:rsid w:val="00AD53C2"/>
    <w:rsid w:val="00AD5641"/>
    <w:rsid w:val="00AD5726"/>
    <w:rsid w:val="00AD584A"/>
    <w:rsid w:val="00AD5A7E"/>
    <w:rsid w:val="00AD5AF1"/>
    <w:rsid w:val="00AD5C68"/>
    <w:rsid w:val="00AD5D05"/>
    <w:rsid w:val="00AD5D51"/>
    <w:rsid w:val="00AD5D59"/>
    <w:rsid w:val="00AD5E50"/>
    <w:rsid w:val="00AD5EDE"/>
    <w:rsid w:val="00AD6022"/>
    <w:rsid w:val="00AD60AB"/>
    <w:rsid w:val="00AD6273"/>
    <w:rsid w:val="00AD62FF"/>
    <w:rsid w:val="00AD6359"/>
    <w:rsid w:val="00AD6442"/>
    <w:rsid w:val="00AD64FD"/>
    <w:rsid w:val="00AD653E"/>
    <w:rsid w:val="00AD6788"/>
    <w:rsid w:val="00AD67E3"/>
    <w:rsid w:val="00AD68F6"/>
    <w:rsid w:val="00AD6931"/>
    <w:rsid w:val="00AD694E"/>
    <w:rsid w:val="00AD6ADF"/>
    <w:rsid w:val="00AD6CF8"/>
    <w:rsid w:val="00AD6D2E"/>
    <w:rsid w:val="00AD6D3A"/>
    <w:rsid w:val="00AD6D6C"/>
    <w:rsid w:val="00AD6DE2"/>
    <w:rsid w:val="00AD6EB1"/>
    <w:rsid w:val="00AD6ED8"/>
    <w:rsid w:val="00AD715B"/>
    <w:rsid w:val="00AD72DA"/>
    <w:rsid w:val="00AD764A"/>
    <w:rsid w:val="00AD77B1"/>
    <w:rsid w:val="00AD77B4"/>
    <w:rsid w:val="00AD79E9"/>
    <w:rsid w:val="00AD7A36"/>
    <w:rsid w:val="00AD7B08"/>
    <w:rsid w:val="00AD7BA8"/>
    <w:rsid w:val="00AD7C93"/>
    <w:rsid w:val="00AD7CF6"/>
    <w:rsid w:val="00AD7D5E"/>
    <w:rsid w:val="00AD7E02"/>
    <w:rsid w:val="00AD7E18"/>
    <w:rsid w:val="00AD7E27"/>
    <w:rsid w:val="00AD7ECE"/>
    <w:rsid w:val="00ADEA01"/>
    <w:rsid w:val="00AE005D"/>
    <w:rsid w:val="00AE0098"/>
    <w:rsid w:val="00AE04D8"/>
    <w:rsid w:val="00AE05B1"/>
    <w:rsid w:val="00AE0800"/>
    <w:rsid w:val="00AE0A8B"/>
    <w:rsid w:val="00AE0AEA"/>
    <w:rsid w:val="00AE0BA8"/>
    <w:rsid w:val="00AE0CEE"/>
    <w:rsid w:val="00AE0EE9"/>
    <w:rsid w:val="00AE0F19"/>
    <w:rsid w:val="00AE1056"/>
    <w:rsid w:val="00AE1361"/>
    <w:rsid w:val="00AE1A3B"/>
    <w:rsid w:val="00AE1FF8"/>
    <w:rsid w:val="00AE21E3"/>
    <w:rsid w:val="00AE228B"/>
    <w:rsid w:val="00AE2528"/>
    <w:rsid w:val="00AE252A"/>
    <w:rsid w:val="00AE25C1"/>
    <w:rsid w:val="00AE2610"/>
    <w:rsid w:val="00AE26CB"/>
    <w:rsid w:val="00AE26D7"/>
    <w:rsid w:val="00AE2743"/>
    <w:rsid w:val="00AE27E2"/>
    <w:rsid w:val="00AE29D0"/>
    <w:rsid w:val="00AE2A21"/>
    <w:rsid w:val="00AE2B10"/>
    <w:rsid w:val="00AE2E9B"/>
    <w:rsid w:val="00AE322C"/>
    <w:rsid w:val="00AE33A8"/>
    <w:rsid w:val="00AE3758"/>
    <w:rsid w:val="00AE3DC1"/>
    <w:rsid w:val="00AE3F19"/>
    <w:rsid w:val="00AE40FB"/>
    <w:rsid w:val="00AE411A"/>
    <w:rsid w:val="00AE41B2"/>
    <w:rsid w:val="00AE4265"/>
    <w:rsid w:val="00AE4553"/>
    <w:rsid w:val="00AE4583"/>
    <w:rsid w:val="00AE4752"/>
    <w:rsid w:val="00AE4A3C"/>
    <w:rsid w:val="00AE4A68"/>
    <w:rsid w:val="00AE4A77"/>
    <w:rsid w:val="00AE4AFB"/>
    <w:rsid w:val="00AE4C55"/>
    <w:rsid w:val="00AE4DD9"/>
    <w:rsid w:val="00AE4E22"/>
    <w:rsid w:val="00AE4E9E"/>
    <w:rsid w:val="00AE4EEA"/>
    <w:rsid w:val="00AE4F6A"/>
    <w:rsid w:val="00AE4FC6"/>
    <w:rsid w:val="00AE4FD9"/>
    <w:rsid w:val="00AE5238"/>
    <w:rsid w:val="00AE52E9"/>
    <w:rsid w:val="00AE5343"/>
    <w:rsid w:val="00AE543C"/>
    <w:rsid w:val="00AE56A5"/>
    <w:rsid w:val="00AE587B"/>
    <w:rsid w:val="00AE59BA"/>
    <w:rsid w:val="00AE5B3C"/>
    <w:rsid w:val="00AE5E53"/>
    <w:rsid w:val="00AE5F8B"/>
    <w:rsid w:val="00AE5FE4"/>
    <w:rsid w:val="00AE6126"/>
    <w:rsid w:val="00AE626A"/>
    <w:rsid w:val="00AE6297"/>
    <w:rsid w:val="00AE64B5"/>
    <w:rsid w:val="00AE64F5"/>
    <w:rsid w:val="00AE65F0"/>
    <w:rsid w:val="00AE66B5"/>
    <w:rsid w:val="00AE68C4"/>
    <w:rsid w:val="00AE6AEF"/>
    <w:rsid w:val="00AE6B3C"/>
    <w:rsid w:val="00AE6C63"/>
    <w:rsid w:val="00AE6C9D"/>
    <w:rsid w:val="00AE6F8B"/>
    <w:rsid w:val="00AE717B"/>
    <w:rsid w:val="00AE7335"/>
    <w:rsid w:val="00AE74B1"/>
    <w:rsid w:val="00AE75A1"/>
    <w:rsid w:val="00AE7BB7"/>
    <w:rsid w:val="00AE7C03"/>
    <w:rsid w:val="00AE7F2D"/>
    <w:rsid w:val="00AF0126"/>
    <w:rsid w:val="00AF062A"/>
    <w:rsid w:val="00AF07B0"/>
    <w:rsid w:val="00AF0C6D"/>
    <w:rsid w:val="00AF0F1C"/>
    <w:rsid w:val="00AF11A5"/>
    <w:rsid w:val="00AF11C7"/>
    <w:rsid w:val="00AF1238"/>
    <w:rsid w:val="00AF139A"/>
    <w:rsid w:val="00AF14E4"/>
    <w:rsid w:val="00AF15A4"/>
    <w:rsid w:val="00AF161C"/>
    <w:rsid w:val="00AF163F"/>
    <w:rsid w:val="00AF16E2"/>
    <w:rsid w:val="00AF197C"/>
    <w:rsid w:val="00AF1A2C"/>
    <w:rsid w:val="00AF214C"/>
    <w:rsid w:val="00AF2312"/>
    <w:rsid w:val="00AF233A"/>
    <w:rsid w:val="00AF2360"/>
    <w:rsid w:val="00AF245C"/>
    <w:rsid w:val="00AF24D6"/>
    <w:rsid w:val="00AF2585"/>
    <w:rsid w:val="00AF25D1"/>
    <w:rsid w:val="00AF2784"/>
    <w:rsid w:val="00AF28B1"/>
    <w:rsid w:val="00AF2994"/>
    <w:rsid w:val="00AF29BA"/>
    <w:rsid w:val="00AF2B42"/>
    <w:rsid w:val="00AF2D4B"/>
    <w:rsid w:val="00AF3021"/>
    <w:rsid w:val="00AF308F"/>
    <w:rsid w:val="00AF3464"/>
    <w:rsid w:val="00AF3662"/>
    <w:rsid w:val="00AF3A15"/>
    <w:rsid w:val="00AF3A99"/>
    <w:rsid w:val="00AF3AAD"/>
    <w:rsid w:val="00AF3C5F"/>
    <w:rsid w:val="00AF3E46"/>
    <w:rsid w:val="00AF4137"/>
    <w:rsid w:val="00AF41F4"/>
    <w:rsid w:val="00AF42E4"/>
    <w:rsid w:val="00AF4B30"/>
    <w:rsid w:val="00AF4BDE"/>
    <w:rsid w:val="00AF4CD0"/>
    <w:rsid w:val="00AF4D0E"/>
    <w:rsid w:val="00AF4D6A"/>
    <w:rsid w:val="00AF5132"/>
    <w:rsid w:val="00AF539A"/>
    <w:rsid w:val="00AF540E"/>
    <w:rsid w:val="00AF55F3"/>
    <w:rsid w:val="00AF5601"/>
    <w:rsid w:val="00AF57ED"/>
    <w:rsid w:val="00AF58D6"/>
    <w:rsid w:val="00AF5997"/>
    <w:rsid w:val="00AF5A4E"/>
    <w:rsid w:val="00AF5B24"/>
    <w:rsid w:val="00AF5D6F"/>
    <w:rsid w:val="00AF5D97"/>
    <w:rsid w:val="00AF5FE0"/>
    <w:rsid w:val="00AF6070"/>
    <w:rsid w:val="00AF626D"/>
    <w:rsid w:val="00AF639D"/>
    <w:rsid w:val="00AF63EB"/>
    <w:rsid w:val="00AF64B9"/>
    <w:rsid w:val="00AF650E"/>
    <w:rsid w:val="00AF655D"/>
    <w:rsid w:val="00AF659C"/>
    <w:rsid w:val="00AF66B0"/>
    <w:rsid w:val="00AF6865"/>
    <w:rsid w:val="00AF6887"/>
    <w:rsid w:val="00AF6AD5"/>
    <w:rsid w:val="00AF6BCA"/>
    <w:rsid w:val="00AF6D2D"/>
    <w:rsid w:val="00AF6E69"/>
    <w:rsid w:val="00AF6F53"/>
    <w:rsid w:val="00AF71FC"/>
    <w:rsid w:val="00AF72BC"/>
    <w:rsid w:val="00AF7366"/>
    <w:rsid w:val="00AF747C"/>
    <w:rsid w:val="00AF75B6"/>
    <w:rsid w:val="00AF7642"/>
    <w:rsid w:val="00AF77BC"/>
    <w:rsid w:val="00AF7811"/>
    <w:rsid w:val="00AF7B78"/>
    <w:rsid w:val="00AF7EAD"/>
    <w:rsid w:val="00AF7F64"/>
    <w:rsid w:val="00B002F0"/>
    <w:rsid w:val="00B005BD"/>
    <w:rsid w:val="00B0086D"/>
    <w:rsid w:val="00B0093A"/>
    <w:rsid w:val="00B0095F"/>
    <w:rsid w:val="00B0096F"/>
    <w:rsid w:val="00B00B18"/>
    <w:rsid w:val="00B00BBD"/>
    <w:rsid w:val="00B00ECC"/>
    <w:rsid w:val="00B00EFF"/>
    <w:rsid w:val="00B0119D"/>
    <w:rsid w:val="00B0165D"/>
    <w:rsid w:val="00B016E5"/>
    <w:rsid w:val="00B01808"/>
    <w:rsid w:val="00B01848"/>
    <w:rsid w:val="00B01906"/>
    <w:rsid w:val="00B01909"/>
    <w:rsid w:val="00B01959"/>
    <w:rsid w:val="00B01A25"/>
    <w:rsid w:val="00B01BF1"/>
    <w:rsid w:val="00B01C5F"/>
    <w:rsid w:val="00B01E23"/>
    <w:rsid w:val="00B020CA"/>
    <w:rsid w:val="00B02161"/>
    <w:rsid w:val="00B024E8"/>
    <w:rsid w:val="00B024FD"/>
    <w:rsid w:val="00B02576"/>
    <w:rsid w:val="00B026B3"/>
    <w:rsid w:val="00B0271C"/>
    <w:rsid w:val="00B0271F"/>
    <w:rsid w:val="00B02833"/>
    <w:rsid w:val="00B0298A"/>
    <w:rsid w:val="00B02A79"/>
    <w:rsid w:val="00B02BB7"/>
    <w:rsid w:val="00B02C16"/>
    <w:rsid w:val="00B02D2D"/>
    <w:rsid w:val="00B02D41"/>
    <w:rsid w:val="00B02E1F"/>
    <w:rsid w:val="00B02E33"/>
    <w:rsid w:val="00B02E9F"/>
    <w:rsid w:val="00B02F49"/>
    <w:rsid w:val="00B03001"/>
    <w:rsid w:val="00B03116"/>
    <w:rsid w:val="00B03134"/>
    <w:rsid w:val="00B03270"/>
    <w:rsid w:val="00B035F3"/>
    <w:rsid w:val="00B03679"/>
    <w:rsid w:val="00B0369C"/>
    <w:rsid w:val="00B03850"/>
    <w:rsid w:val="00B03A7F"/>
    <w:rsid w:val="00B03C47"/>
    <w:rsid w:val="00B03DD8"/>
    <w:rsid w:val="00B03DFB"/>
    <w:rsid w:val="00B03E5A"/>
    <w:rsid w:val="00B040E9"/>
    <w:rsid w:val="00B04213"/>
    <w:rsid w:val="00B0430A"/>
    <w:rsid w:val="00B0437B"/>
    <w:rsid w:val="00B043E2"/>
    <w:rsid w:val="00B04433"/>
    <w:rsid w:val="00B0473D"/>
    <w:rsid w:val="00B04827"/>
    <w:rsid w:val="00B04991"/>
    <w:rsid w:val="00B04A83"/>
    <w:rsid w:val="00B04DC8"/>
    <w:rsid w:val="00B04DDC"/>
    <w:rsid w:val="00B04F39"/>
    <w:rsid w:val="00B0501D"/>
    <w:rsid w:val="00B050BB"/>
    <w:rsid w:val="00B05224"/>
    <w:rsid w:val="00B05284"/>
    <w:rsid w:val="00B0534F"/>
    <w:rsid w:val="00B05468"/>
    <w:rsid w:val="00B055D7"/>
    <w:rsid w:val="00B05676"/>
    <w:rsid w:val="00B0589F"/>
    <w:rsid w:val="00B059B1"/>
    <w:rsid w:val="00B05AE4"/>
    <w:rsid w:val="00B05D5C"/>
    <w:rsid w:val="00B05F37"/>
    <w:rsid w:val="00B05F52"/>
    <w:rsid w:val="00B06079"/>
    <w:rsid w:val="00B06227"/>
    <w:rsid w:val="00B06297"/>
    <w:rsid w:val="00B06345"/>
    <w:rsid w:val="00B063AA"/>
    <w:rsid w:val="00B064F7"/>
    <w:rsid w:val="00B0653F"/>
    <w:rsid w:val="00B06A08"/>
    <w:rsid w:val="00B06BE3"/>
    <w:rsid w:val="00B06F39"/>
    <w:rsid w:val="00B06FC2"/>
    <w:rsid w:val="00B0700C"/>
    <w:rsid w:val="00B071BE"/>
    <w:rsid w:val="00B073BE"/>
    <w:rsid w:val="00B07552"/>
    <w:rsid w:val="00B076CB"/>
    <w:rsid w:val="00B0774E"/>
    <w:rsid w:val="00B077CE"/>
    <w:rsid w:val="00B07B82"/>
    <w:rsid w:val="00B07C3C"/>
    <w:rsid w:val="00B07CA9"/>
    <w:rsid w:val="00B07D9E"/>
    <w:rsid w:val="00B07F1D"/>
    <w:rsid w:val="00B07F95"/>
    <w:rsid w:val="00B07FF0"/>
    <w:rsid w:val="00B10069"/>
    <w:rsid w:val="00B1013F"/>
    <w:rsid w:val="00B10213"/>
    <w:rsid w:val="00B10233"/>
    <w:rsid w:val="00B10293"/>
    <w:rsid w:val="00B102E9"/>
    <w:rsid w:val="00B106C5"/>
    <w:rsid w:val="00B106CA"/>
    <w:rsid w:val="00B10843"/>
    <w:rsid w:val="00B1087A"/>
    <w:rsid w:val="00B108EB"/>
    <w:rsid w:val="00B109D2"/>
    <w:rsid w:val="00B109D3"/>
    <w:rsid w:val="00B10C30"/>
    <w:rsid w:val="00B10D8B"/>
    <w:rsid w:val="00B10EA6"/>
    <w:rsid w:val="00B110D4"/>
    <w:rsid w:val="00B111F8"/>
    <w:rsid w:val="00B112B6"/>
    <w:rsid w:val="00B112F5"/>
    <w:rsid w:val="00B11439"/>
    <w:rsid w:val="00B116EB"/>
    <w:rsid w:val="00B11831"/>
    <w:rsid w:val="00B1193B"/>
    <w:rsid w:val="00B11976"/>
    <w:rsid w:val="00B119C4"/>
    <w:rsid w:val="00B11AA6"/>
    <w:rsid w:val="00B11E9C"/>
    <w:rsid w:val="00B11F67"/>
    <w:rsid w:val="00B122B5"/>
    <w:rsid w:val="00B1258A"/>
    <w:rsid w:val="00B125AF"/>
    <w:rsid w:val="00B125F1"/>
    <w:rsid w:val="00B128DB"/>
    <w:rsid w:val="00B12AC0"/>
    <w:rsid w:val="00B12B32"/>
    <w:rsid w:val="00B12B48"/>
    <w:rsid w:val="00B12D3A"/>
    <w:rsid w:val="00B12F09"/>
    <w:rsid w:val="00B132BC"/>
    <w:rsid w:val="00B133A3"/>
    <w:rsid w:val="00B136BC"/>
    <w:rsid w:val="00B137B2"/>
    <w:rsid w:val="00B138F1"/>
    <w:rsid w:val="00B13C10"/>
    <w:rsid w:val="00B13C82"/>
    <w:rsid w:val="00B13D99"/>
    <w:rsid w:val="00B142D0"/>
    <w:rsid w:val="00B14304"/>
    <w:rsid w:val="00B14322"/>
    <w:rsid w:val="00B143BB"/>
    <w:rsid w:val="00B14839"/>
    <w:rsid w:val="00B149F5"/>
    <w:rsid w:val="00B14A6D"/>
    <w:rsid w:val="00B14AE8"/>
    <w:rsid w:val="00B14B51"/>
    <w:rsid w:val="00B14C4B"/>
    <w:rsid w:val="00B1510F"/>
    <w:rsid w:val="00B1515C"/>
    <w:rsid w:val="00B15218"/>
    <w:rsid w:val="00B153B6"/>
    <w:rsid w:val="00B153D2"/>
    <w:rsid w:val="00B1540C"/>
    <w:rsid w:val="00B15439"/>
    <w:rsid w:val="00B1584F"/>
    <w:rsid w:val="00B15955"/>
    <w:rsid w:val="00B15988"/>
    <w:rsid w:val="00B15B69"/>
    <w:rsid w:val="00B15B80"/>
    <w:rsid w:val="00B162C2"/>
    <w:rsid w:val="00B16542"/>
    <w:rsid w:val="00B166CF"/>
    <w:rsid w:val="00B1679D"/>
    <w:rsid w:val="00B16C31"/>
    <w:rsid w:val="00B16D84"/>
    <w:rsid w:val="00B16DE4"/>
    <w:rsid w:val="00B16F31"/>
    <w:rsid w:val="00B1704A"/>
    <w:rsid w:val="00B17093"/>
    <w:rsid w:val="00B17374"/>
    <w:rsid w:val="00B174EC"/>
    <w:rsid w:val="00B177CE"/>
    <w:rsid w:val="00B17892"/>
    <w:rsid w:val="00B179C0"/>
    <w:rsid w:val="00B17BFF"/>
    <w:rsid w:val="00B17CFF"/>
    <w:rsid w:val="00B200EC"/>
    <w:rsid w:val="00B202BD"/>
    <w:rsid w:val="00B20360"/>
    <w:rsid w:val="00B20467"/>
    <w:rsid w:val="00B2062D"/>
    <w:rsid w:val="00B20C8F"/>
    <w:rsid w:val="00B21465"/>
    <w:rsid w:val="00B2181D"/>
    <w:rsid w:val="00B2182C"/>
    <w:rsid w:val="00B21840"/>
    <w:rsid w:val="00B2185C"/>
    <w:rsid w:val="00B219D6"/>
    <w:rsid w:val="00B21A5C"/>
    <w:rsid w:val="00B21AFB"/>
    <w:rsid w:val="00B21C01"/>
    <w:rsid w:val="00B21CBF"/>
    <w:rsid w:val="00B21EA2"/>
    <w:rsid w:val="00B22101"/>
    <w:rsid w:val="00B223CE"/>
    <w:rsid w:val="00B22429"/>
    <w:rsid w:val="00B2249C"/>
    <w:rsid w:val="00B22628"/>
    <w:rsid w:val="00B22717"/>
    <w:rsid w:val="00B22729"/>
    <w:rsid w:val="00B2279C"/>
    <w:rsid w:val="00B22962"/>
    <w:rsid w:val="00B229C3"/>
    <w:rsid w:val="00B22F36"/>
    <w:rsid w:val="00B23327"/>
    <w:rsid w:val="00B2368E"/>
    <w:rsid w:val="00B23850"/>
    <w:rsid w:val="00B23B9C"/>
    <w:rsid w:val="00B23BD7"/>
    <w:rsid w:val="00B23D2F"/>
    <w:rsid w:val="00B24331"/>
    <w:rsid w:val="00B244D8"/>
    <w:rsid w:val="00B244D9"/>
    <w:rsid w:val="00B249A9"/>
    <w:rsid w:val="00B24BEE"/>
    <w:rsid w:val="00B24CCB"/>
    <w:rsid w:val="00B24CD4"/>
    <w:rsid w:val="00B24D79"/>
    <w:rsid w:val="00B24DFB"/>
    <w:rsid w:val="00B24E2B"/>
    <w:rsid w:val="00B24F14"/>
    <w:rsid w:val="00B24F65"/>
    <w:rsid w:val="00B25049"/>
    <w:rsid w:val="00B250F8"/>
    <w:rsid w:val="00B25179"/>
    <w:rsid w:val="00B25202"/>
    <w:rsid w:val="00B252FA"/>
    <w:rsid w:val="00B25371"/>
    <w:rsid w:val="00B253A5"/>
    <w:rsid w:val="00B25451"/>
    <w:rsid w:val="00B2558F"/>
    <w:rsid w:val="00B257C9"/>
    <w:rsid w:val="00B25B4D"/>
    <w:rsid w:val="00B25C06"/>
    <w:rsid w:val="00B25D4A"/>
    <w:rsid w:val="00B25FCF"/>
    <w:rsid w:val="00B262BF"/>
    <w:rsid w:val="00B2635D"/>
    <w:rsid w:val="00B266CD"/>
    <w:rsid w:val="00B26853"/>
    <w:rsid w:val="00B2685C"/>
    <w:rsid w:val="00B2687C"/>
    <w:rsid w:val="00B26A76"/>
    <w:rsid w:val="00B26CEB"/>
    <w:rsid w:val="00B26D0C"/>
    <w:rsid w:val="00B271AC"/>
    <w:rsid w:val="00B274FB"/>
    <w:rsid w:val="00B275A6"/>
    <w:rsid w:val="00B27608"/>
    <w:rsid w:val="00B27764"/>
    <w:rsid w:val="00B2785A"/>
    <w:rsid w:val="00B27A0E"/>
    <w:rsid w:val="00B27B66"/>
    <w:rsid w:val="00B27FBA"/>
    <w:rsid w:val="00B2CEF6"/>
    <w:rsid w:val="00B30131"/>
    <w:rsid w:val="00B3019C"/>
    <w:rsid w:val="00B30332"/>
    <w:rsid w:val="00B30394"/>
    <w:rsid w:val="00B3068F"/>
    <w:rsid w:val="00B306A6"/>
    <w:rsid w:val="00B306BA"/>
    <w:rsid w:val="00B308CD"/>
    <w:rsid w:val="00B30915"/>
    <w:rsid w:val="00B30A92"/>
    <w:rsid w:val="00B30C51"/>
    <w:rsid w:val="00B30DE9"/>
    <w:rsid w:val="00B30F81"/>
    <w:rsid w:val="00B311D4"/>
    <w:rsid w:val="00B311E8"/>
    <w:rsid w:val="00B312A7"/>
    <w:rsid w:val="00B313B0"/>
    <w:rsid w:val="00B31511"/>
    <w:rsid w:val="00B3161B"/>
    <w:rsid w:val="00B31684"/>
    <w:rsid w:val="00B31801"/>
    <w:rsid w:val="00B31860"/>
    <w:rsid w:val="00B319B6"/>
    <w:rsid w:val="00B31AB7"/>
    <w:rsid w:val="00B31D57"/>
    <w:rsid w:val="00B31DE4"/>
    <w:rsid w:val="00B31E9C"/>
    <w:rsid w:val="00B32341"/>
    <w:rsid w:val="00B32454"/>
    <w:rsid w:val="00B328FD"/>
    <w:rsid w:val="00B32A84"/>
    <w:rsid w:val="00B32B0B"/>
    <w:rsid w:val="00B32BD9"/>
    <w:rsid w:val="00B32D19"/>
    <w:rsid w:val="00B32DB2"/>
    <w:rsid w:val="00B32EE4"/>
    <w:rsid w:val="00B32FEB"/>
    <w:rsid w:val="00B331F0"/>
    <w:rsid w:val="00B33205"/>
    <w:rsid w:val="00B33252"/>
    <w:rsid w:val="00B332CB"/>
    <w:rsid w:val="00B333C3"/>
    <w:rsid w:val="00B3353D"/>
    <w:rsid w:val="00B3354F"/>
    <w:rsid w:val="00B335B9"/>
    <w:rsid w:val="00B33948"/>
    <w:rsid w:val="00B339F8"/>
    <w:rsid w:val="00B33B2D"/>
    <w:rsid w:val="00B33C28"/>
    <w:rsid w:val="00B33E68"/>
    <w:rsid w:val="00B33F53"/>
    <w:rsid w:val="00B33FD2"/>
    <w:rsid w:val="00B34205"/>
    <w:rsid w:val="00B343A2"/>
    <w:rsid w:val="00B34473"/>
    <w:rsid w:val="00B344DF"/>
    <w:rsid w:val="00B3458E"/>
    <w:rsid w:val="00B346FD"/>
    <w:rsid w:val="00B3472D"/>
    <w:rsid w:val="00B347E5"/>
    <w:rsid w:val="00B34B9C"/>
    <w:rsid w:val="00B34D1A"/>
    <w:rsid w:val="00B34E65"/>
    <w:rsid w:val="00B351EF"/>
    <w:rsid w:val="00B352CC"/>
    <w:rsid w:val="00B353D0"/>
    <w:rsid w:val="00B3541C"/>
    <w:rsid w:val="00B354BC"/>
    <w:rsid w:val="00B355CD"/>
    <w:rsid w:val="00B35629"/>
    <w:rsid w:val="00B356F7"/>
    <w:rsid w:val="00B357D0"/>
    <w:rsid w:val="00B35832"/>
    <w:rsid w:val="00B35877"/>
    <w:rsid w:val="00B358D3"/>
    <w:rsid w:val="00B3592C"/>
    <w:rsid w:val="00B35EDE"/>
    <w:rsid w:val="00B35EF1"/>
    <w:rsid w:val="00B3605B"/>
    <w:rsid w:val="00B36063"/>
    <w:rsid w:val="00B3654C"/>
    <w:rsid w:val="00B367D9"/>
    <w:rsid w:val="00B3680B"/>
    <w:rsid w:val="00B36A32"/>
    <w:rsid w:val="00B36F56"/>
    <w:rsid w:val="00B3710C"/>
    <w:rsid w:val="00B37138"/>
    <w:rsid w:val="00B37160"/>
    <w:rsid w:val="00B3739B"/>
    <w:rsid w:val="00B37441"/>
    <w:rsid w:val="00B375A7"/>
    <w:rsid w:val="00B375C5"/>
    <w:rsid w:val="00B37674"/>
    <w:rsid w:val="00B37AC1"/>
    <w:rsid w:val="00B37D4B"/>
    <w:rsid w:val="00B37E68"/>
    <w:rsid w:val="00B37E7E"/>
    <w:rsid w:val="00B4037F"/>
    <w:rsid w:val="00B403B5"/>
    <w:rsid w:val="00B403FA"/>
    <w:rsid w:val="00B40603"/>
    <w:rsid w:val="00B406F6"/>
    <w:rsid w:val="00B408AA"/>
    <w:rsid w:val="00B408CF"/>
    <w:rsid w:val="00B40A15"/>
    <w:rsid w:val="00B40E83"/>
    <w:rsid w:val="00B41027"/>
    <w:rsid w:val="00B4106F"/>
    <w:rsid w:val="00B41533"/>
    <w:rsid w:val="00B41594"/>
    <w:rsid w:val="00B41660"/>
    <w:rsid w:val="00B417ED"/>
    <w:rsid w:val="00B417F4"/>
    <w:rsid w:val="00B41880"/>
    <w:rsid w:val="00B418AD"/>
    <w:rsid w:val="00B41953"/>
    <w:rsid w:val="00B41A2C"/>
    <w:rsid w:val="00B41A80"/>
    <w:rsid w:val="00B41E19"/>
    <w:rsid w:val="00B41E8E"/>
    <w:rsid w:val="00B41EB1"/>
    <w:rsid w:val="00B41F83"/>
    <w:rsid w:val="00B423A6"/>
    <w:rsid w:val="00B42671"/>
    <w:rsid w:val="00B4281E"/>
    <w:rsid w:val="00B42956"/>
    <w:rsid w:val="00B429C3"/>
    <w:rsid w:val="00B42AA6"/>
    <w:rsid w:val="00B42B90"/>
    <w:rsid w:val="00B42D20"/>
    <w:rsid w:val="00B42DFA"/>
    <w:rsid w:val="00B43013"/>
    <w:rsid w:val="00B43094"/>
    <w:rsid w:val="00B4321C"/>
    <w:rsid w:val="00B4331A"/>
    <w:rsid w:val="00B435B0"/>
    <w:rsid w:val="00B4364C"/>
    <w:rsid w:val="00B437B6"/>
    <w:rsid w:val="00B437C8"/>
    <w:rsid w:val="00B43983"/>
    <w:rsid w:val="00B43CCC"/>
    <w:rsid w:val="00B43DEA"/>
    <w:rsid w:val="00B440A0"/>
    <w:rsid w:val="00B44137"/>
    <w:rsid w:val="00B44656"/>
    <w:rsid w:val="00B448F6"/>
    <w:rsid w:val="00B44904"/>
    <w:rsid w:val="00B44A26"/>
    <w:rsid w:val="00B44A9F"/>
    <w:rsid w:val="00B44AA8"/>
    <w:rsid w:val="00B44AFC"/>
    <w:rsid w:val="00B44B9D"/>
    <w:rsid w:val="00B44D7C"/>
    <w:rsid w:val="00B44D81"/>
    <w:rsid w:val="00B44E47"/>
    <w:rsid w:val="00B4501A"/>
    <w:rsid w:val="00B452E0"/>
    <w:rsid w:val="00B45731"/>
    <w:rsid w:val="00B45742"/>
    <w:rsid w:val="00B4583C"/>
    <w:rsid w:val="00B458D8"/>
    <w:rsid w:val="00B45966"/>
    <w:rsid w:val="00B459D5"/>
    <w:rsid w:val="00B459E2"/>
    <w:rsid w:val="00B45AC3"/>
    <w:rsid w:val="00B45B2C"/>
    <w:rsid w:val="00B45B43"/>
    <w:rsid w:val="00B45BE5"/>
    <w:rsid w:val="00B45CD5"/>
    <w:rsid w:val="00B45DA5"/>
    <w:rsid w:val="00B46087"/>
    <w:rsid w:val="00B46930"/>
    <w:rsid w:val="00B46962"/>
    <w:rsid w:val="00B46A64"/>
    <w:rsid w:val="00B46BBB"/>
    <w:rsid w:val="00B46EB6"/>
    <w:rsid w:val="00B470D1"/>
    <w:rsid w:val="00B4752D"/>
    <w:rsid w:val="00B4789D"/>
    <w:rsid w:val="00B479EA"/>
    <w:rsid w:val="00B47C43"/>
    <w:rsid w:val="00B47E1F"/>
    <w:rsid w:val="00B47E4E"/>
    <w:rsid w:val="00B47EB2"/>
    <w:rsid w:val="00B5013B"/>
    <w:rsid w:val="00B50270"/>
    <w:rsid w:val="00B50440"/>
    <w:rsid w:val="00B5063C"/>
    <w:rsid w:val="00B5068F"/>
    <w:rsid w:val="00B50742"/>
    <w:rsid w:val="00B50963"/>
    <w:rsid w:val="00B50BCE"/>
    <w:rsid w:val="00B50C78"/>
    <w:rsid w:val="00B50C86"/>
    <w:rsid w:val="00B50C9B"/>
    <w:rsid w:val="00B51293"/>
    <w:rsid w:val="00B5143C"/>
    <w:rsid w:val="00B5143E"/>
    <w:rsid w:val="00B5151B"/>
    <w:rsid w:val="00B516BA"/>
    <w:rsid w:val="00B51714"/>
    <w:rsid w:val="00B5171D"/>
    <w:rsid w:val="00B51896"/>
    <w:rsid w:val="00B5199E"/>
    <w:rsid w:val="00B51D2C"/>
    <w:rsid w:val="00B51D5D"/>
    <w:rsid w:val="00B51FB7"/>
    <w:rsid w:val="00B52146"/>
    <w:rsid w:val="00B524E9"/>
    <w:rsid w:val="00B52604"/>
    <w:rsid w:val="00B5271F"/>
    <w:rsid w:val="00B52816"/>
    <w:rsid w:val="00B528E2"/>
    <w:rsid w:val="00B52DCF"/>
    <w:rsid w:val="00B52FDB"/>
    <w:rsid w:val="00B530FC"/>
    <w:rsid w:val="00B533F0"/>
    <w:rsid w:val="00B53404"/>
    <w:rsid w:val="00B53470"/>
    <w:rsid w:val="00B539C4"/>
    <w:rsid w:val="00B53B7F"/>
    <w:rsid w:val="00B53BF7"/>
    <w:rsid w:val="00B53D57"/>
    <w:rsid w:val="00B53ED5"/>
    <w:rsid w:val="00B54033"/>
    <w:rsid w:val="00B54059"/>
    <w:rsid w:val="00B5425D"/>
    <w:rsid w:val="00B542AD"/>
    <w:rsid w:val="00B543EA"/>
    <w:rsid w:val="00B5445B"/>
    <w:rsid w:val="00B545B6"/>
    <w:rsid w:val="00B545EF"/>
    <w:rsid w:val="00B54641"/>
    <w:rsid w:val="00B546DF"/>
    <w:rsid w:val="00B5479B"/>
    <w:rsid w:val="00B547A6"/>
    <w:rsid w:val="00B54970"/>
    <w:rsid w:val="00B549EB"/>
    <w:rsid w:val="00B54BD2"/>
    <w:rsid w:val="00B54BE6"/>
    <w:rsid w:val="00B54C49"/>
    <w:rsid w:val="00B55482"/>
    <w:rsid w:val="00B555D5"/>
    <w:rsid w:val="00B555DF"/>
    <w:rsid w:val="00B55601"/>
    <w:rsid w:val="00B55784"/>
    <w:rsid w:val="00B558C1"/>
    <w:rsid w:val="00B5593A"/>
    <w:rsid w:val="00B55B69"/>
    <w:rsid w:val="00B55D5E"/>
    <w:rsid w:val="00B55D86"/>
    <w:rsid w:val="00B55E13"/>
    <w:rsid w:val="00B55FA8"/>
    <w:rsid w:val="00B560C7"/>
    <w:rsid w:val="00B56147"/>
    <w:rsid w:val="00B56188"/>
    <w:rsid w:val="00B5631E"/>
    <w:rsid w:val="00B568D1"/>
    <w:rsid w:val="00B56979"/>
    <w:rsid w:val="00B56DE5"/>
    <w:rsid w:val="00B56E63"/>
    <w:rsid w:val="00B56E69"/>
    <w:rsid w:val="00B5718F"/>
    <w:rsid w:val="00B5720A"/>
    <w:rsid w:val="00B5728C"/>
    <w:rsid w:val="00B57344"/>
    <w:rsid w:val="00B57543"/>
    <w:rsid w:val="00B5772C"/>
    <w:rsid w:val="00B5781A"/>
    <w:rsid w:val="00B57929"/>
    <w:rsid w:val="00B57941"/>
    <w:rsid w:val="00B57CC1"/>
    <w:rsid w:val="00B57E36"/>
    <w:rsid w:val="00B57F2E"/>
    <w:rsid w:val="00B57FF0"/>
    <w:rsid w:val="00B604D8"/>
    <w:rsid w:val="00B605BF"/>
    <w:rsid w:val="00B6067C"/>
    <w:rsid w:val="00B60787"/>
    <w:rsid w:val="00B60820"/>
    <w:rsid w:val="00B60AA6"/>
    <w:rsid w:val="00B60BDC"/>
    <w:rsid w:val="00B60C0C"/>
    <w:rsid w:val="00B60E03"/>
    <w:rsid w:val="00B60FB4"/>
    <w:rsid w:val="00B61062"/>
    <w:rsid w:val="00B61082"/>
    <w:rsid w:val="00B610C7"/>
    <w:rsid w:val="00B611D3"/>
    <w:rsid w:val="00B61336"/>
    <w:rsid w:val="00B61376"/>
    <w:rsid w:val="00B61692"/>
    <w:rsid w:val="00B619A8"/>
    <w:rsid w:val="00B619DC"/>
    <w:rsid w:val="00B61F13"/>
    <w:rsid w:val="00B621A7"/>
    <w:rsid w:val="00B621EE"/>
    <w:rsid w:val="00B622B0"/>
    <w:rsid w:val="00B624E1"/>
    <w:rsid w:val="00B62500"/>
    <w:rsid w:val="00B6277C"/>
    <w:rsid w:val="00B627BF"/>
    <w:rsid w:val="00B6281C"/>
    <w:rsid w:val="00B6288C"/>
    <w:rsid w:val="00B62A57"/>
    <w:rsid w:val="00B62B1B"/>
    <w:rsid w:val="00B62C8B"/>
    <w:rsid w:val="00B62ED8"/>
    <w:rsid w:val="00B62F49"/>
    <w:rsid w:val="00B63036"/>
    <w:rsid w:val="00B63056"/>
    <w:rsid w:val="00B63398"/>
    <w:rsid w:val="00B635D2"/>
    <w:rsid w:val="00B6365A"/>
    <w:rsid w:val="00B6392E"/>
    <w:rsid w:val="00B63A4E"/>
    <w:rsid w:val="00B63B6F"/>
    <w:rsid w:val="00B63BD8"/>
    <w:rsid w:val="00B63BE5"/>
    <w:rsid w:val="00B63E4F"/>
    <w:rsid w:val="00B63EB0"/>
    <w:rsid w:val="00B64248"/>
    <w:rsid w:val="00B6429B"/>
    <w:rsid w:val="00B64375"/>
    <w:rsid w:val="00B643A6"/>
    <w:rsid w:val="00B644E7"/>
    <w:rsid w:val="00B64521"/>
    <w:rsid w:val="00B64730"/>
    <w:rsid w:val="00B6479D"/>
    <w:rsid w:val="00B647CB"/>
    <w:rsid w:val="00B64C6E"/>
    <w:rsid w:val="00B64FB8"/>
    <w:rsid w:val="00B64FDD"/>
    <w:rsid w:val="00B6514F"/>
    <w:rsid w:val="00B651A8"/>
    <w:rsid w:val="00B656AC"/>
    <w:rsid w:val="00B656CE"/>
    <w:rsid w:val="00B657CD"/>
    <w:rsid w:val="00B657E8"/>
    <w:rsid w:val="00B65A92"/>
    <w:rsid w:val="00B65BD4"/>
    <w:rsid w:val="00B65CCC"/>
    <w:rsid w:val="00B66038"/>
    <w:rsid w:val="00B66AD3"/>
    <w:rsid w:val="00B66B2B"/>
    <w:rsid w:val="00B66F71"/>
    <w:rsid w:val="00B671BA"/>
    <w:rsid w:val="00B675B8"/>
    <w:rsid w:val="00B676C8"/>
    <w:rsid w:val="00B67893"/>
    <w:rsid w:val="00B67A4E"/>
    <w:rsid w:val="00B67B03"/>
    <w:rsid w:val="00B67EE8"/>
    <w:rsid w:val="00B70034"/>
    <w:rsid w:val="00B70080"/>
    <w:rsid w:val="00B70194"/>
    <w:rsid w:val="00B702ED"/>
    <w:rsid w:val="00B70348"/>
    <w:rsid w:val="00B703E0"/>
    <w:rsid w:val="00B705E3"/>
    <w:rsid w:val="00B7083F"/>
    <w:rsid w:val="00B7087B"/>
    <w:rsid w:val="00B70BCC"/>
    <w:rsid w:val="00B70C9B"/>
    <w:rsid w:val="00B70CA1"/>
    <w:rsid w:val="00B70D0C"/>
    <w:rsid w:val="00B70D4C"/>
    <w:rsid w:val="00B70E59"/>
    <w:rsid w:val="00B70F6C"/>
    <w:rsid w:val="00B7108D"/>
    <w:rsid w:val="00B710FD"/>
    <w:rsid w:val="00B711E4"/>
    <w:rsid w:val="00B71225"/>
    <w:rsid w:val="00B713A4"/>
    <w:rsid w:val="00B71497"/>
    <w:rsid w:val="00B7153E"/>
    <w:rsid w:val="00B71B29"/>
    <w:rsid w:val="00B71B7A"/>
    <w:rsid w:val="00B71E27"/>
    <w:rsid w:val="00B71E60"/>
    <w:rsid w:val="00B71EC5"/>
    <w:rsid w:val="00B722EC"/>
    <w:rsid w:val="00B722F8"/>
    <w:rsid w:val="00B725F1"/>
    <w:rsid w:val="00B725FE"/>
    <w:rsid w:val="00B726EB"/>
    <w:rsid w:val="00B72762"/>
    <w:rsid w:val="00B7278A"/>
    <w:rsid w:val="00B72AC6"/>
    <w:rsid w:val="00B72BC7"/>
    <w:rsid w:val="00B72D75"/>
    <w:rsid w:val="00B72DEC"/>
    <w:rsid w:val="00B72E9F"/>
    <w:rsid w:val="00B72F12"/>
    <w:rsid w:val="00B72F57"/>
    <w:rsid w:val="00B730AC"/>
    <w:rsid w:val="00B73114"/>
    <w:rsid w:val="00B73270"/>
    <w:rsid w:val="00B7333C"/>
    <w:rsid w:val="00B733A4"/>
    <w:rsid w:val="00B733D3"/>
    <w:rsid w:val="00B736DF"/>
    <w:rsid w:val="00B73A81"/>
    <w:rsid w:val="00B73AB8"/>
    <w:rsid w:val="00B73B32"/>
    <w:rsid w:val="00B73B3D"/>
    <w:rsid w:val="00B73B5F"/>
    <w:rsid w:val="00B73C09"/>
    <w:rsid w:val="00B73D36"/>
    <w:rsid w:val="00B73F27"/>
    <w:rsid w:val="00B744B1"/>
    <w:rsid w:val="00B744B4"/>
    <w:rsid w:val="00B7480E"/>
    <w:rsid w:val="00B74A8E"/>
    <w:rsid w:val="00B74CE3"/>
    <w:rsid w:val="00B74DEE"/>
    <w:rsid w:val="00B75117"/>
    <w:rsid w:val="00B7531F"/>
    <w:rsid w:val="00B75321"/>
    <w:rsid w:val="00B75458"/>
    <w:rsid w:val="00B7587D"/>
    <w:rsid w:val="00B759C8"/>
    <w:rsid w:val="00B75B68"/>
    <w:rsid w:val="00B75DAB"/>
    <w:rsid w:val="00B75E0D"/>
    <w:rsid w:val="00B75EBF"/>
    <w:rsid w:val="00B7606C"/>
    <w:rsid w:val="00B76085"/>
    <w:rsid w:val="00B76136"/>
    <w:rsid w:val="00B76197"/>
    <w:rsid w:val="00B76336"/>
    <w:rsid w:val="00B7635A"/>
    <w:rsid w:val="00B76403"/>
    <w:rsid w:val="00B766F4"/>
    <w:rsid w:val="00B768BA"/>
    <w:rsid w:val="00B76A0D"/>
    <w:rsid w:val="00B76A29"/>
    <w:rsid w:val="00B76DF9"/>
    <w:rsid w:val="00B76FDD"/>
    <w:rsid w:val="00B772B4"/>
    <w:rsid w:val="00B7749E"/>
    <w:rsid w:val="00B775B6"/>
    <w:rsid w:val="00B7773B"/>
    <w:rsid w:val="00B77A36"/>
    <w:rsid w:val="00B77AC5"/>
    <w:rsid w:val="00B77B0F"/>
    <w:rsid w:val="00B77B73"/>
    <w:rsid w:val="00B77C40"/>
    <w:rsid w:val="00B80051"/>
    <w:rsid w:val="00B80058"/>
    <w:rsid w:val="00B80121"/>
    <w:rsid w:val="00B801EA"/>
    <w:rsid w:val="00B80378"/>
    <w:rsid w:val="00B80440"/>
    <w:rsid w:val="00B80494"/>
    <w:rsid w:val="00B804BA"/>
    <w:rsid w:val="00B804F1"/>
    <w:rsid w:val="00B80579"/>
    <w:rsid w:val="00B806F3"/>
    <w:rsid w:val="00B8070B"/>
    <w:rsid w:val="00B8081F"/>
    <w:rsid w:val="00B809A6"/>
    <w:rsid w:val="00B809BB"/>
    <w:rsid w:val="00B80C56"/>
    <w:rsid w:val="00B80CDD"/>
    <w:rsid w:val="00B80D05"/>
    <w:rsid w:val="00B80D68"/>
    <w:rsid w:val="00B80E5F"/>
    <w:rsid w:val="00B811CD"/>
    <w:rsid w:val="00B8126F"/>
    <w:rsid w:val="00B81373"/>
    <w:rsid w:val="00B813C7"/>
    <w:rsid w:val="00B81446"/>
    <w:rsid w:val="00B81584"/>
    <w:rsid w:val="00B815F8"/>
    <w:rsid w:val="00B81606"/>
    <w:rsid w:val="00B81A86"/>
    <w:rsid w:val="00B81B23"/>
    <w:rsid w:val="00B81B8B"/>
    <w:rsid w:val="00B81DD2"/>
    <w:rsid w:val="00B81E75"/>
    <w:rsid w:val="00B8202A"/>
    <w:rsid w:val="00B820BB"/>
    <w:rsid w:val="00B822FA"/>
    <w:rsid w:val="00B822FD"/>
    <w:rsid w:val="00B82388"/>
    <w:rsid w:val="00B823C0"/>
    <w:rsid w:val="00B823EC"/>
    <w:rsid w:val="00B8278E"/>
    <w:rsid w:val="00B828CE"/>
    <w:rsid w:val="00B82934"/>
    <w:rsid w:val="00B82AC3"/>
    <w:rsid w:val="00B82AF8"/>
    <w:rsid w:val="00B82D97"/>
    <w:rsid w:val="00B82E58"/>
    <w:rsid w:val="00B82F23"/>
    <w:rsid w:val="00B8328F"/>
    <w:rsid w:val="00B833F5"/>
    <w:rsid w:val="00B8348E"/>
    <w:rsid w:val="00B835B9"/>
    <w:rsid w:val="00B836A8"/>
    <w:rsid w:val="00B83775"/>
    <w:rsid w:val="00B838C5"/>
    <w:rsid w:val="00B839D7"/>
    <w:rsid w:val="00B83C5D"/>
    <w:rsid w:val="00B840CF"/>
    <w:rsid w:val="00B8435D"/>
    <w:rsid w:val="00B84676"/>
    <w:rsid w:val="00B846A5"/>
    <w:rsid w:val="00B84719"/>
    <w:rsid w:val="00B84794"/>
    <w:rsid w:val="00B848C3"/>
    <w:rsid w:val="00B848E2"/>
    <w:rsid w:val="00B84935"/>
    <w:rsid w:val="00B849E6"/>
    <w:rsid w:val="00B84BB1"/>
    <w:rsid w:val="00B84BC8"/>
    <w:rsid w:val="00B84BD5"/>
    <w:rsid w:val="00B84C99"/>
    <w:rsid w:val="00B84DBF"/>
    <w:rsid w:val="00B84E59"/>
    <w:rsid w:val="00B85112"/>
    <w:rsid w:val="00B8538F"/>
    <w:rsid w:val="00B853A1"/>
    <w:rsid w:val="00B85439"/>
    <w:rsid w:val="00B855E1"/>
    <w:rsid w:val="00B8584B"/>
    <w:rsid w:val="00B85866"/>
    <w:rsid w:val="00B85B62"/>
    <w:rsid w:val="00B85BE3"/>
    <w:rsid w:val="00B85DE6"/>
    <w:rsid w:val="00B85E43"/>
    <w:rsid w:val="00B85ED7"/>
    <w:rsid w:val="00B85FAA"/>
    <w:rsid w:val="00B86017"/>
    <w:rsid w:val="00B8606C"/>
    <w:rsid w:val="00B86077"/>
    <w:rsid w:val="00B861D3"/>
    <w:rsid w:val="00B8646E"/>
    <w:rsid w:val="00B864A5"/>
    <w:rsid w:val="00B864B7"/>
    <w:rsid w:val="00B86544"/>
    <w:rsid w:val="00B86563"/>
    <w:rsid w:val="00B86599"/>
    <w:rsid w:val="00B865EB"/>
    <w:rsid w:val="00B86637"/>
    <w:rsid w:val="00B86742"/>
    <w:rsid w:val="00B869F2"/>
    <w:rsid w:val="00B86AE3"/>
    <w:rsid w:val="00B86AFB"/>
    <w:rsid w:val="00B86B83"/>
    <w:rsid w:val="00B86C59"/>
    <w:rsid w:val="00B86F7A"/>
    <w:rsid w:val="00B87243"/>
    <w:rsid w:val="00B8727B"/>
    <w:rsid w:val="00B87536"/>
    <w:rsid w:val="00B876C8"/>
    <w:rsid w:val="00B876EC"/>
    <w:rsid w:val="00B877F4"/>
    <w:rsid w:val="00B87953"/>
    <w:rsid w:val="00B879C3"/>
    <w:rsid w:val="00B879FF"/>
    <w:rsid w:val="00B87B5F"/>
    <w:rsid w:val="00B87CB9"/>
    <w:rsid w:val="00B87D50"/>
    <w:rsid w:val="00B87E7E"/>
    <w:rsid w:val="00B87E83"/>
    <w:rsid w:val="00B87EB3"/>
    <w:rsid w:val="00B90345"/>
    <w:rsid w:val="00B9055D"/>
    <w:rsid w:val="00B9057F"/>
    <w:rsid w:val="00B907ED"/>
    <w:rsid w:val="00B9080F"/>
    <w:rsid w:val="00B90865"/>
    <w:rsid w:val="00B9089C"/>
    <w:rsid w:val="00B90B57"/>
    <w:rsid w:val="00B90E96"/>
    <w:rsid w:val="00B90FC7"/>
    <w:rsid w:val="00B91089"/>
    <w:rsid w:val="00B91202"/>
    <w:rsid w:val="00B91227"/>
    <w:rsid w:val="00B912C0"/>
    <w:rsid w:val="00B91312"/>
    <w:rsid w:val="00B91316"/>
    <w:rsid w:val="00B913F4"/>
    <w:rsid w:val="00B914BB"/>
    <w:rsid w:val="00B9154D"/>
    <w:rsid w:val="00B9179F"/>
    <w:rsid w:val="00B919DE"/>
    <w:rsid w:val="00B91B50"/>
    <w:rsid w:val="00B91B62"/>
    <w:rsid w:val="00B91B7B"/>
    <w:rsid w:val="00B91D52"/>
    <w:rsid w:val="00B91DE4"/>
    <w:rsid w:val="00B926A7"/>
    <w:rsid w:val="00B926D4"/>
    <w:rsid w:val="00B929E4"/>
    <w:rsid w:val="00B92BE3"/>
    <w:rsid w:val="00B92CDB"/>
    <w:rsid w:val="00B92DEB"/>
    <w:rsid w:val="00B92E86"/>
    <w:rsid w:val="00B92F43"/>
    <w:rsid w:val="00B930C3"/>
    <w:rsid w:val="00B93226"/>
    <w:rsid w:val="00B93303"/>
    <w:rsid w:val="00B9360A"/>
    <w:rsid w:val="00B936FA"/>
    <w:rsid w:val="00B93717"/>
    <w:rsid w:val="00B937A7"/>
    <w:rsid w:val="00B938F3"/>
    <w:rsid w:val="00B9391B"/>
    <w:rsid w:val="00B93955"/>
    <w:rsid w:val="00B93A02"/>
    <w:rsid w:val="00B93A36"/>
    <w:rsid w:val="00B93A3E"/>
    <w:rsid w:val="00B93A8D"/>
    <w:rsid w:val="00B93C94"/>
    <w:rsid w:val="00B93D11"/>
    <w:rsid w:val="00B93EB5"/>
    <w:rsid w:val="00B93F14"/>
    <w:rsid w:val="00B941E8"/>
    <w:rsid w:val="00B942E0"/>
    <w:rsid w:val="00B9438B"/>
    <w:rsid w:val="00B94823"/>
    <w:rsid w:val="00B94A40"/>
    <w:rsid w:val="00B94AFE"/>
    <w:rsid w:val="00B94BDD"/>
    <w:rsid w:val="00B94BF5"/>
    <w:rsid w:val="00B94C74"/>
    <w:rsid w:val="00B94EA0"/>
    <w:rsid w:val="00B94F36"/>
    <w:rsid w:val="00B94FD0"/>
    <w:rsid w:val="00B95023"/>
    <w:rsid w:val="00B952E6"/>
    <w:rsid w:val="00B95359"/>
    <w:rsid w:val="00B9543D"/>
    <w:rsid w:val="00B9554A"/>
    <w:rsid w:val="00B955F4"/>
    <w:rsid w:val="00B9585E"/>
    <w:rsid w:val="00B95952"/>
    <w:rsid w:val="00B95B26"/>
    <w:rsid w:val="00B95C53"/>
    <w:rsid w:val="00B95E1F"/>
    <w:rsid w:val="00B95E65"/>
    <w:rsid w:val="00B96016"/>
    <w:rsid w:val="00B96050"/>
    <w:rsid w:val="00B96225"/>
    <w:rsid w:val="00B962BB"/>
    <w:rsid w:val="00B9632D"/>
    <w:rsid w:val="00B9633C"/>
    <w:rsid w:val="00B96416"/>
    <w:rsid w:val="00B96570"/>
    <w:rsid w:val="00B965CC"/>
    <w:rsid w:val="00B9677A"/>
    <w:rsid w:val="00B9680E"/>
    <w:rsid w:val="00B96915"/>
    <w:rsid w:val="00B96937"/>
    <w:rsid w:val="00B96B01"/>
    <w:rsid w:val="00B96DE9"/>
    <w:rsid w:val="00B96E5F"/>
    <w:rsid w:val="00B96FB8"/>
    <w:rsid w:val="00B974F2"/>
    <w:rsid w:val="00B977F6"/>
    <w:rsid w:val="00B97822"/>
    <w:rsid w:val="00B978D5"/>
    <w:rsid w:val="00B97960"/>
    <w:rsid w:val="00B97979"/>
    <w:rsid w:val="00B979A8"/>
    <w:rsid w:val="00B979CD"/>
    <w:rsid w:val="00B97A8C"/>
    <w:rsid w:val="00B97C6D"/>
    <w:rsid w:val="00B97D2F"/>
    <w:rsid w:val="00B97EFE"/>
    <w:rsid w:val="00BA00BF"/>
    <w:rsid w:val="00BA017B"/>
    <w:rsid w:val="00BA02E9"/>
    <w:rsid w:val="00BA0317"/>
    <w:rsid w:val="00BA0328"/>
    <w:rsid w:val="00BA033A"/>
    <w:rsid w:val="00BA0452"/>
    <w:rsid w:val="00BA06AC"/>
    <w:rsid w:val="00BA06C8"/>
    <w:rsid w:val="00BA0BBF"/>
    <w:rsid w:val="00BA0C71"/>
    <w:rsid w:val="00BA0F47"/>
    <w:rsid w:val="00BA0FB8"/>
    <w:rsid w:val="00BA1008"/>
    <w:rsid w:val="00BA108C"/>
    <w:rsid w:val="00BA154D"/>
    <w:rsid w:val="00BA155A"/>
    <w:rsid w:val="00BA17F1"/>
    <w:rsid w:val="00BA1929"/>
    <w:rsid w:val="00BA1DA5"/>
    <w:rsid w:val="00BA1DD2"/>
    <w:rsid w:val="00BA2009"/>
    <w:rsid w:val="00BA2019"/>
    <w:rsid w:val="00BA2038"/>
    <w:rsid w:val="00BA213B"/>
    <w:rsid w:val="00BA2177"/>
    <w:rsid w:val="00BA2263"/>
    <w:rsid w:val="00BA236E"/>
    <w:rsid w:val="00BA25CC"/>
    <w:rsid w:val="00BA281C"/>
    <w:rsid w:val="00BA28B5"/>
    <w:rsid w:val="00BA2A53"/>
    <w:rsid w:val="00BA2B1E"/>
    <w:rsid w:val="00BA2D6C"/>
    <w:rsid w:val="00BA2F13"/>
    <w:rsid w:val="00BA2FC3"/>
    <w:rsid w:val="00BA3004"/>
    <w:rsid w:val="00BA3043"/>
    <w:rsid w:val="00BA311F"/>
    <w:rsid w:val="00BA3470"/>
    <w:rsid w:val="00BA3626"/>
    <w:rsid w:val="00BA3755"/>
    <w:rsid w:val="00BA37BA"/>
    <w:rsid w:val="00BA37E4"/>
    <w:rsid w:val="00BA396D"/>
    <w:rsid w:val="00BA39D9"/>
    <w:rsid w:val="00BA3AE0"/>
    <w:rsid w:val="00BA3B66"/>
    <w:rsid w:val="00BA3CEB"/>
    <w:rsid w:val="00BA3D24"/>
    <w:rsid w:val="00BA3D3C"/>
    <w:rsid w:val="00BA41DC"/>
    <w:rsid w:val="00BA44D4"/>
    <w:rsid w:val="00BA44E8"/>
    <w:rsid w:val="00BA4617"/>
    <w:rsid w:val="00BA467D"/>
    <w:rsid w:val="00BA4729"/>
    <w:rsid w:val="00BA49AF"/>
    <w:rsid w:val="00BA4B3A"/>
    <w:rsid w:val="00BA4FD3"/>
    <w:rsid w:val="00BA509A"/>
    <w:rsid w:val="00BA5101"/>
    <w:rsid w:val="00BA51DB"/>
    <w:rsid w:val="00BA5248"/>
    <w:rsid w:val="00BA52E4"/>
    <w:rsid w:val="00BA54B5"/>
    <w:rsid w:val="00BA54D9"/>
    <w:rsid w:val="00BA5511"/>
    <w:rsid w:val="00BA55A0"/>
    <w:rsid w:val="00BA5601"/>
    <w:rsid w:val="00BA5674"/>
    <w:rsid w:val="00BA56A0"/>
    <w:rsid w:val="00BA590D"/>
    <w:rsid w:val="00BA5B45"/>
    <w:rsid w:val="00BA5C6A"/>
    <w:rsid w:val="00BA5E47"/>
    <w:rsid w:val="00BA5F64"/>
    <w:rsid w:val="00BA6134"/>
    <w:rsid w:val="00BA6616"/>
    <w:rsid w:val="00BA6773"/>
    <w:rsid w:val="00BA68B5"/>
    <w:rsid w:val="00BA6935"/>
    <w:rsid w:val="00BA6B28"/>
    <w:rsid w:val="00BA6E94"/>
    <w:rsid w:val="00BA70FB"/>
    <w:rsid w:val="00BA726D"/>
    <w:rsid w:val="00BA737C"/>
    <w:rsid w:val="00BA73F9"/>
    <w:rsid w:val="00BA73FC"/>
    <w:rsid w:val="00BA74D4"/>
    <w:rsid w:val="00BA74FE"/>
    <w:rsid w:val="00BA76E2"/>
    <w:rsid w:val="00BA770E"/>
    <w:rsid w:val="00BA7820"/>
    <w:rsid w:val="00BA786C"/>
    <w:rsid w:val="00BA789F"/>
    <w:rsid w:val="00BA7A66"/>
    <w:rsid w:val="00BA7C2D"/>
    <w:rsid w:val="00BA7D2A"/>
    <w:rsid w:val="00BA7DBB"/>
    <w:rsid w:val="00BA7DC8"/>
    <w:rsid w:val="00BA7ED8"/>
    <w:rsid w:val="00BB0016"/>
    <w:rsid w:val="00BB0210"/>
    <w:rsid w:val="00BB02B1"/>
    <w:rsid w:val="00BB02BE"/>
    <w:rsid w:val="00BB045B"/>
    <w:rsid w:val="00BB06F1"/>
    <w:rsid w:val="00BB0762"/>
    <w:rsid w:val="00BB09A2"/>
    <w:rsid w:val="00BB0D05"/>
    <w:rsid w:val="00BB0D18"/>
    <w:rsid w:val="00BB0D8C"/>
    <w:rsid w:val="00BB0E47"/>
    <w:rsid w:val="00BB0EC5"/>
    <w:rsid w:val="00BB1061"/>
    <w:rsid w:val="00BB12B3"/>
    <w:rsid w:val="00BB1398"/>
    <w:rsid w:val="00BB1445"/>
    <w:rsid w:val="00BB14DB"/>
    <w:rsid w:val="00BB16AD"/>
    <w:rsid w:val="00BB17E2"/>
    <w:rsid w:val="00BB17E5"/>
    <w:rsid w:val="00BB191F"/>
    <w:rsid w:val="00BB1A62"/>
    <w:rsid w:val="00BB1AA4"/>
    <w:rsid w:val="00BB1B3F"/>
    <w:rsid w:val="00BB1C93"/>
    <w:rsid w:val="00BB215B"/>
    <w:rsid w:val="00BB24BA"/>
    <w:rsid w:val="00BB2570"/>
    <w:rsid w:val="00BB257C"/>
    <w:rsid w:val="00BB26A8"/>
    <w:rsid w:val="00BB2712"/>
    <w:rsid w:val="00BB2EBF"/>
    <w:rsid w:val="00BB30E5"/>
    <w:rsid w:val="00BB3145"/>
    <w:rsid w:val="00BB31DD"/>
    <w:rsid w:val="00BB3268"/>
    <w:rsid w:val="00BB3566"/>
    <w:rsid w:val="00BB379D"/>
    <w:rsid w:val="00BB392F"/>
    <w:rsid w:val="00BB3B48"/>
    <w:rsid w:val="00BB3D5E"/>
    <w:rsid w:val="00BB3DB3"/>
    <w:rsid w:val="00BB3F15"/>
    <w:rsid w:val="00BB3FB3"/>
    <w:rsid w:val="00BB4253"/>
    <w:rsid w:val="00BB43B9"/>
    <w:rsid w:val="00BB44F6"/>
    <w:rsid w:val="00BB460C"/>
    <w:rsid w:val="00BB4610"/>
    <w:rsid w:val="00BB46BE"/>
    <w:rsid w:val="00BB494B"/>
    <w:rsid w:val="00BB4A60"/>
    <w:rsid w:val="00BB4C1C"/>
    <w:rsid w:val="00BB4C5A"/>
    <w:rsid w:val="00BB4DD5"/>
    <w:rsid w:val="00BB4E1A"/>
    <w:rsid w:val="00BB4FF2"/>
    <w:rsid w:val="00BB5500"/>
    <w:rsid w:val="00BB56BE"/>
    <w:rsid w:val="00BB5BC6"/>
    <w:rsid w:val="00BB5D7E"/>
    <w:rsid w:val="00BB6084"/>
    <w:rsid w:val="00BB6348"/>
    <w:rsid w:val="00BB6685"/>
    <w:rsid w:val="00BB69C8"/>
    <w:rsid w:val="00BB6A45"/>
    <w:rsid w:val="00BB6A4B"/>
    <w:rsid w:val="00BB6B01"/>
    <w:rsid w:val="00BB6D6C"/>
    <w:rsid w:val="00BB6D9D"/>
    <w:rsid w:val="00BB7182"/>
    <w:rsid w:val="00BB71B4"/>
    <w:rsid w:val="00BB720D"/>
    <w:rsid w:val="00BB736D"/>
    <w:rsid w:val="00BB75D2"/>
    <w:rsid w:val="00BB761B"/>
    <w:rsid w:val="00BB7623"/>
    <w:rsid w:val="00BB783C"/>
    <w:rsid w:val="00BB7882"/>
    <w:rsid w:val="00BB78BB"/>
    <w:rsid w:val="00BB79D1"/>
    <w:rsid w:val="00BB7B5F"/>
    <w:rsid w:val="00BB7C40"/>
    <w:rsid w:val="00BB7C4E"/>
    <w:rsid w:val="00BB7CEC"/>
    <w:rsid w:val="00BB7DA1"/>
    <w:rsid w:val="00BB7EE7"/>
    <w:rsid w:val="00BB7FA9"/>
    <w:rsid w:val="00BC024D"/>
    <w:rsid w:val="00BC0388"/>
    <w:rsid w:val="00BC040A"/>
    <w:rsid w:val="00BC0497"/>
    <w:rsid w:val="00BC06D9"/>
    <w:rsid w:val="00BC07CD"/>
    <w:rsid w:val="00BC07DE"/>
    <w:rsid w:val="00BC07F7"/>
    <w:rsid w:val="00BC091F"/>
    <w:rsid w:val="00BC09B2"/>
    <w:rsid w:val="00BC0AD7"/>
    <w:rsid w:val="00BC0BD8"/>
    <w:rsid w:val="00BC0D21"/>
    <w:rsid w:val="00BC121C"/>
    <w:rsid w:val="00BC16C8"/>
    <w:rsid w:val="00BC17D6"/>
    <w:rsid w:val="00BC19B0"/>
    <w:rsid w:val="00BC1AD5"/>
    <w:rsid w:val="00BC1DF9"/>
    <w:rsid w:val="00BC1E05"/>
    <w:rsid w:val="00BC1F59"/>
    <w:rsid w:val="00BC2077"/>
    <w:rsid w:val="00BC20A8"/>
    <w:rsid w:val="00BC2211"/>
    <w:rsid w:val="00BC2305"/>
    <w:rsid w:val="00BC23EF"/>
    <w:rsid w:val="00BC24DC"/>
    <w:rsid w:val="00BC2539"/>
    <w:rsid w:val="00BC2590"/>
    <w:rsid w:val="00BC25A4"/>
    <w:rsid w:val="00BC28B6"/>
    <w:rsid w:val="00BC2985"/>
    <w:rsid w:val="00BC29F2"/>
    <w:rsid w:val="00BC2ABA"/>
    <w:rsid w:val="00BC2C69"/>
    <w:rsid w:val="00BC2E02"/>
    <w:rsid w:val="00BC2E3D"/>
    <w:rsid w:val="00BC2E3F"/>
    <w:rsid w:val="00BC2E41"/>
    <w:rsid w:val="00BC2F79"/>
    <w:rsid w:val="00BC3149"/>
    <w:rsid w:val="00BC3190"/>
    <w:rsid w:val="00BC31ED"/>
    <w:rsid w:val="00BC3369"/>
    <w:rsid w:val="00BC3398"/>
    <w:rsid w:val="00BC34E7"/>
    <w:rsid w:val="00BC35D4"/>
    <w:rsid w:val="00BC393C"/>
    <w:rsid w:val="00BC3A0F"/>
    <w:rsid w:val="00BC3ABB"/>
    <w:rsid w:val="00BC3B6E"/>
    <w:rsid w:val="00BC3E87"/>
    <w:rsid w:val="00BC3F14"/>
    <w:rsid w:val="00BC3F69"/>
    <w:rsid w:val="00BC425D"/>
    <w:rsid w:val="00BC4375"/>
    <w:rsid w:val="00BC45F3"/>
    <w:rsid w:val="00BC4632"/>
    <w:rsid w:val="00BC463E"/>
    <w:rsid w:val="00BC47DB"/>
    <w:rsid w:val="00BC4A32"/>
    <w:rsid w:val="00BC4AB6"/>
    <w:rsid w:val="00BC4ABD"/>
    <w:rsid w:val="00BC4AF2"/>
    <w:rsid w:val="00BC4CE5"/>
    <w:rsid w:val="00BC4E69"/>
    <w:rsid w:val="00BC4F76"/>
    <w:rsid w:val="00BC5366"/>
    <w:rsid w:val="00BC54FA"/>
    <w:rsid w:val="00BC560E"/>
    <w:rsid w:val="00BC5617"/>
    <w:rsid w:val="00BC5742"/>
    <w:rsid w:val="00BC5826"/>
    <w:rsid w:val="00BC5A2D"/>
    <w:rsid w:val="00BC5AB0"/>
    <w:rsid w:val="00BC5C73"/>
    <w:rsid w:val="00BC5C9D"/>
    <w:rsid w:val="00BC5DD1"/>
    <w:rsid w:val="00BC5EC7"/>
    <w:rsid w:val="00BC5EC8"/>
    <w:rsid w:val="00BC5F18"/>
    <w:rsid w:val="00BC6028"/>
    <w:rsid w:val="00BC609A"/>
    <w:rsid w:val="00BC6183"/>
    <w:rsid w:val="00BC6240"/>
    <w:rsid w:val="00BC63A1"/>
    <w:rsid w:val="00BC66DE"/>
    <w:rsid w:val="00BC66E5"/>
    <w:rsid w:val="00BC6A22"/>
    <w:rsid w:val="00BC6AEA"/>
    <w:rsid w:val="00BC6AF4"/>
    <w:rsid w:val="00BC6BF3"/>
    <w:rsid w:val="00BC6C3A"/>
    <w:rsid w:val="00BC6D18"/>
    <w:rsid w:val="00BC6E47"/>
    <w:rsid w:val="00BC6EEE"/>
    <w:rsid w:val="00BC6FE1"/>
    <w:rsid w:val="00BC70DE"/>
    <w:rsid w:val="00BC71A0"/>
    <w:rsid w:val="00BC726C"/>
    <w:rsid w:val="00BC742B"/>
    <w:rsid w:val="00BC7444"/>
    <w:rsid w:val="00BC7697"/>
    <w:rsid w:val="00BC7754"/>
    <w:rsid w:val="00BC7B6C"/>
    <w:rsid w:val="00BC7CFF"/>
    <w:rsid w:val="00BD02F4"/>
    <w:rsid w:val="00BD03CB"/>
    <w:rsid w:val="00BD06A5"/>
    <w:rsid w:val="00BD06D4"/>
    <w:rsid w:val="00BD0798"/>
    <w:rsid w:val="00BD0826"/>
    <w:rsid w:val="00BD0883"/>
    <w:rsid w:val="00BD08DF"/>
    <w:rsid w:val="00BD0C71"/>
    <w:rsid w:val="00BD0CAE"/>
    <w:rsid w:val="00BD0CC0"/>
    <w:rsid w:val="00BD0E0D"/>
    <w:rsid w:val="00BD109C"/>
    <w:rsid w:val="00BD10E0"/>
    <w:rsid w:val="00BD14E9"/>
    <w:rsid w:val="00BD15E6"/>
    <w:rsid w:val="00BD193D"/>
    <w:rsid w:val="00BD19BC"/>
    <w:rsid w:val="00BD19CE"/>
    <w:rsid w:val="00BD1A80"/>
    <w:rsid w:val="00BD1B19"/>
    <w:rsid w:val="00BD1C95"/>
    <w:rsid w:val="00BD21F1"/>
    <w:rsid w:val="00BD234B"/>
    <w:rsid w:val="00BD259D"/>
    <w:rsid w:val="00BD2623"/>
    <w:rsid w:val="00BD277E"/>
    <w:rsid w:val="00BD28EE"/>
    <w:rsid w:val="00BD2BE3"/>
    <w:rsid w:val="00BD2BFB"/>
    <w:rsid w:val="00BD2D50"/>
    <w:rsid w:val="00BD2D84"/>
    <w:rsid w:val="00BD2E71"/>
    <w:rsid w:val="00BD2F3F"/>
    <w:rsid w:val="00BD3171"/>
    <w:rsid w:val="00BD32F6"/>
    <w:rsid w:val="00BD337D"/>
    <w:rsid w:val="00BD340D"/>
    <w:rsid w:val="00BD341C"/>
    <w:rsid w:val="00BD36F6"/>
    <w:rsid w:val="00BD3854"/>
    <w:rsid w:val="00BD3A2F"/>
    <w:rsid w:val="00BD3AAB"/>
    <w:rsid w:val="00BD41E9"/>
    <w:rsid w:val="00BD425A"/>
    <w:rsid w:val="00BD42A5"/>
    <w:rsid w:val="00BD438C"/>
    <w:rsid w:val="00BD44E4"/>
    <w:rsid w:val="00BD44E6"/>
    <w:rsid w:val="00BD45EB"/>
    <w:rsid w:val="00BD46F1"/>
    <w:rsid w:val="00BD4779"/>
    <w:rsid w:val="00BD479F"/>
    <w:rsid w:val="00BD47CF"/>
    <w:rsid w:val="00BD483D"/>
    <w:rsid w:val="00BD48E0"/>
    <w:rsid w:val="00BD493E"/>
    <w:rsid w:val="00BD49A5"/>
    <w:rsid w:val="00BD4B0E"/>
    <w:rsid w:val="00BD4C97"/>
    <w:rsid w:val="00BD4F28"/>
    <w:rsid w:val="00BD52A3"/>
    <w:rsid w:val="00BD52D3"/>
    <w:rsid w:val="00BD554D"/>
    <w:rsid w:val="00BD58CC"/>
    <w:rsid w:val="00BD5B2E"/>
    <w:rsid w:val="00BD5B47"/>
    <w:rsid w:val="00BD5C3C"/>
    <w:rsid w:val="00BD5CB4"/>
    <w:rsid w:val="00BD5CD9"/>
    <w:rsid w:val="00BD5D44"/>
    <w:rsid w:val="00BD5ED8"/>
    <w:rsid w:val="00BD6118"/>
    <w:rsid w:val="00BD627C"/>
    <w:rsid w:val="00BD6452"/>
    <w:rsid w:val="00BD65B0"/>
    <w:rsid w:val="00BD66DC"/>
    <w:rsid w:val="00BD6855"/>
    <w:rsid w:val="00BD688B"/>
    <w:rsid w:val="00BD6C06"/>
    <w:rsid w:val="00BD6F2E"/>
    <w:rsid w:val="00BD7334"/>
    <w:rsid w:val="00BD74A8"/>
    <w:rsid w:val="00BD7614"/>
    <w:rsid w:val="00BD78AA"/>
    <w:rsid w:val="00BD7A3C"/>
    <w:rsid w:val="00BD7B3E"/>
    <w:rsid w:val="00BD7C41"/>
    <w:rsid w:val="00BD7CBA"/>
    <w:rsid w:val="00BD7E53"/>
    <w:rsid w:val="00BE008B"/>
    <w:rsid w:val="00BE0122"/>
    <w:rsid w:val="00BE028A"/>
    <w:rsid w:val="00BE02F7"/>
    <w:rsid w:val="00BE048B"/>
    <w:rsid w:val="00BE0492"/>
    <w:rsid w:val="00BE07E5"/>
    <w:rsid w:val="00BE0884"/>
    <w:rsid w:val="00BE0B05"/>
    <w:rsid w:val="00BE0D6B"/>
    <w:rsid w:val="00BE0F39"/>
    <w:rsid w:val="00BE1045"/>
    <w:rsid w:val="00BE1119"/>
    <w:rsid w:val="00BE12EE"/>
    <w:rsid w:val="00BE1448"/>
    <w:rsid w:val="00BE1511"/>
    <w:rsid w:val="00BE1B3A"/>
    <w:rsid w:val="00BE2206"/>
    <w:rsid w:val="00BE22E8"/>
    <w:rsid w:val="00BE2382"/>
    <w:rsid w:val="00BE23E9"/>
    <w:rsid w:val="00BE250A"/>
    <w:rsid w:val="00BE25F8"/>
    <w:rsid w:val="00BE27ED"/>
    <w:rsid w:val="00BE2BF9"/>
    <w:rsid w:val="00BE2CEA"/>
    <w:rsid w:val="00BE2EE0"/>
    <w:rsid w:val="00BE2FCE"/>
    <w:rsid w:val="00BE30E3"/>
    <w:rsid w:val="00BE32C3"/>
    <w:rsid w:val="00BE3300"/>
    <w:rsid w:val="00BE38A6"/>
    <w:rsid w:val="00BE38CF"/>
    <w:rsid w:val="00BE3977"/>
    <w:rsid w:val="00BE39B6"/>
    <w:rsid w:val="00BE3AC2"/>
    <w:rsid w:val="00BE3BB5"/>
    <w:rsid w:val="00BE3BDD"/>
    <w:rsid w:val="00BE3DA5"/>
    <w:rsid w:val="00BE3E98"/>
    <w:rsid w:val="00BE3F5F"/>
    <w:rsid w:val="00BE4202"/>
    <w:rsid w:val="00BE42CC"/>
    <w:rsid w:val="00BE4457"/>
    <w:rsid w:val="00BE44A0"/>
    <w:rsid w:val="00BE44CD"/>
    <w:rsid w:val="00BE4526"/>
    <w:rsid w:val="00BE4846"/>
    <w:rsid w:val="00BE48A1"/>
    <w:rsid w:val="00BE4945"/>
    <w:rsid w:val="00BE4A50"/>
    <w:rsid w:val="00BE4A85"/>
    <w:rsid w:val="00BE4D57"/>
    <w:rsid w:val="00BE4DB4"/>
    <w:rsid w:val="00BE4DBA"/>
    <w:rsid w:val="00BE4E6B"/>
    <w:rsid w:val="00BE5025"/>
    <w:rsid w:val="00BE504A"/>
    <w:rsid w:val="00BE5073"/>
    <w:rsid w:val="00BE51C6"/>
    <w:rsid w:val="00BE5229"/>
    <w:rsid w:val="00BE547F"/>
    <w:rsid w:val="00BE558B"/>
    <w:rsid w:val="00BE5638"/>
    <w:rsid w:val="00BE5675"/>
    <w:rsid w:val="00BE5681"/>
    <w:rsid w:val="00BE573A"/>
    <w:rsid w:val="00BE5765"/>
    <w:rsid w:val="00BE5B85"/>
    <w:rsid w:val="00BE5BFC"/>
    <w:rsid w:val="00BE5C39"/>
    <w:rsid w:val="00BE5D2E"/>
    <w:rsid w:val="00BE5D8B"/>
    <w:rsid w:val="00BE5E13"/>
    <w:rsid w:val="00BE5E36"/>
    <w:rsid w:val="00BE5F99"/>
    <w:rsid w:val="00BE5FFE"/>
    <w:rsid w:val="00BE61E5"/>
    <w:rsid w:val="00BE6387"/>
    <w:rsid w:val="00BE63D7"/>
    <w:rsid w:val="00BE659A"/>
    <w:rsid w:val="00BE671F"/>
    <w:rsid w:val="00BE682B"/>
    <w:rsid w:val="00BE68B0"/>
    <w:rsid w:val="00BE698E"/>
    <w:rsid w:val="00BE69EF"/>
    <w:rsid w:val="00BE6B47"/>
    <w:rsid w:val="00BE6C33"/>
    <w:rsid w:val="00BE6C89"/>
    <w:rsid w:val="00BE6CF8"/>
    <w:rsid w:val="00BE6F8F"/>
    <w:rsid w:val="00BE7000"/>
    <w:rsid w:val="00BE70C8"/>
    <w:rsid w:val="00BE7187"/>
    <w:rsid w:val="00BE71C0"/>
    <w:rsid w:val="00BE730E"/>
    <w:rsid w:val="00BE7756"/>
    <w:rsid w:val="00BE78FF"/>
    <w:rsid w:val="00BE7A96"/>
    <w:rsid w:val="00BE7B06"/>
    <w:rsid w:val="00BE7D04"/>
    <w:rsid w:val="00BE7D4D"/>
    <w:rsid w:val="00BE7F49"/>
    <w:rsid w:val="00BF002D"/>
    <w:rsid w:val="00BF033D"/>
    <w:rsid w:val="00BF036D"/>
    <w:rsid w:val="00BF03AE"/>
    <w:rsid w:val="00BF0557"/>
    <w:rsid w:val="00BF0563"/>
    <w:rsid w:val="00BF0597"/>
    <w:rsid w:val="00BF0613"/>
    <w:rsid w:val="00BF06EC"/>
    <w:rsid w:val="00BF078B"/>
    <w:rsid w:val="00BF0A4F"/>
    <w:rsid w:val="00BF0AB9"/>
    <w:rsid w:val="00BF0BEE"/>
    <w:rsid w:val="00BF0D57"/>
    <w:rsid w:val="00BF0EA4"/>
    <w:rsid w:val="00BF0FD3"/>
    <w:rsid w:val="00BF1257"/>
    <w:rsid w:val="00BF12AA"/>
    <w:rsid w:val="00BF1482"/>
    <w:rsid w:val="00BF15D9"/>
    <w:rsid w:val="00BF168E"/>
    <w:rsid w:val="00BF17CD"/>
    <w:rsid w:val="00BF185C"/>
    <w:rsid w:val="00BF189A"/>
    <w:rsid w:val="00BF19FB"/>
    <w:rsid w:val="00BF1CD6"/>
    <w:rsid w:val="00BF1DF4"/>
    <w:rsid w:val="00BF1FAB"/>
    <w:rsid w:val="00BF1FAE"/>
    <w:rsid w:val="00BF204B"/>
    <w:rsid w:val="00BF224C"/>
    <w:rsid w:val="00BF235E"/>
    <w:rsid w:val="00BF249C"/>
    <w:rsid w:val="00BF25A9"/>
    <w:rsid w:val="00BF2609"/>
    <w:rsid w:val="00BF26B3"/>
    <w:rsid w:val="00BF27DC"/>
    <w:rsid w:val="00BF2B85"/>
    <w:rsid w:val="00BF2E81"/>
    <w:rsid w:val="00BF2E87"/>
    <w:rsid w:val="00BF2EC2"/>
    <w:rsid w:val="00BF3004"/>
    <w:rsid w:val="00BF3061"/>
    <w:rsid w:val="00BF31F8"/>
    <w:rsid w:val="00BF346C"/>
    <w:rsid w:val="00BF3583"/>
    <w:rsid w:val="00BF359C"/>
    <w:rsid w:val="00BF36D9"/>
    <w:rsid w:val="00BF37B2"/>
    <w:rsid w:val="00BF37CB"/>
    <w:rsid w:val="00BF3B82"/>
    <w:rsid w:val="00BF3F0E"/>
    <w:rsid w:val="00BF4224"/>
    <w:rsid w:val="00BF460C"/>
    <w:rsid w:val="00BF49E5"/>
    <w:rsid w:val="00BF4C27"/>
    <w:rsid w:val="00BF4C54"/>
    <w:rsid w:val="00BF50BF"/>
    <w:rsid w:val="00BF513C"/>
    <w:rsid w:val="00BF5154"/>
    <w:rsid w:val="00BF51BF"/>
    <w:rsid w:val="00BF5431"/>
    <w:rsid w:val="00BF5457"/>
    <w:rsid w:val="00BF5510"/>
    <w:rsid w:val="00BF59C8"/>
    <w:rsid w:val="00BF59E8"/>
    <w:rsid w:val="00BF5BE8"/>
    <w:rsid w:val="00BF5DDD"/>
    <w:rsid w:val="00BF607A"/>
    <w:rsid w:val="00BF60AD"/>
    <w:rsid w:val="00BF618F"/>
    <w:rsid w:val="00BF62C2"/>
    <w:rsid w:val="00BF62C9"/>
    <w:rsid w:val="00BF673A"/>
    <w:rsid w:val="00BF67CF"/>
    <w:rsid w:val="00BF682E"/>
    <w:rsid w:val="00BF6CB0"/>
    <w:rsid w:val="00BF6D30"/>
    <w:rsid w:val="00BF6F6C"/>
    <w:rsid w:val="00BF6FCB"/>
    <w:rsid w:val="00BF70C1"/>
    <w:rsid w:val="00BF7228"/>
    <w:rsid w:val="00BF72A0"/>
    <w:rsid w:val="00BF739E"/>
    <w:rsid w:val="00BF7427"/>
    <w:rsid w:val="00BF7580"/>
    <w:rsid w:val="00BF7634"/>
    <w:rsid w:val="00BF7787"/>
    <w:rsid w:val="00BF77CC"/>
    <w:rsid w:val="00BF796E"/>
    <w:rsid w:val="00BF7B83"/>
    <w:rsid w:val="00BF7BD0"/>
    <w:rsid w:val="00BF7BE2"/>
    <w:rsid w:val="00BF7CF0"/>
    <w:rsid w:val="00BF7E2D"/>
    <w:rsid w:val="00C00125"/>
    <w:rsid w:val="00C0046A"/>
    <w:rsid w:val="00C00535"/>
    <w:rsid w:val="00C006E1"/>
    <w:rsid w:val="00C00735"/>
    <w:rsid w:val="00C0077E"/>
    <w:rsid w:val="00C00795"/>
    <w:rsid w:val="00C007E2"/>
    <w:rsid w:val="00C00842"/>
    <w:rsid w:val="00C00A5C"/>
    <w:rsid w:val="00C00B30"/>
    <w:rsid w:val="00C00B4C"/>
    <w:rsid w:val="00C00BCB"/>
    <w:rsid w:val="00C00CD6"/>
    <w:rsid w:val="00C00CDA"/>
    <w:rsid w:val="00C00F69"/>
    <w:rsid w:val="00C01043"/>
    <w:rsid w:val="00C01317"/>
    <w:rsid w:val="00C013FE"/>
    <w:rsid w:val="00C01468"/>
    <w:rsid w:val="00C016A7"/>
    <w:rsid w:val="00C017BD"/>
    <w:rsid w:val="00C01821"/>
    <w:rsid w:val="00C01F24"/>
    <w:rsid w:val="00C02464"/>
    <w:rsid w:val="00C025F8"/>
    <w:rsid w:val="00C026BC"/>
    <w:rsid w:val="00C0286C"/>
    <w:rsid w:val="00C0288D"/>
    <w:rsid w:val="00C02AA3"/>
    <w:rsid w:val="00C02AAC"/>
    <w:rsid w:val="00C02AD7"/>
    <w:rsid w:val="00C02C00"/>
    <w:rsid w:val="00C02C0A"/>
    <w:rsid w:val="00C0323C"/>
    <w:rsid w:val="00C03687"/>
    <w:rsid w:val="00C03733"/>
    <w:rsid w:val="00C03A5A"/>
    <w:rsid w:val="00C03AB3"/>
    <w:rsid w:val="00C03AFD"/>
    <w:rsid w:val="00C03C5E"/>
    <w:rsid w:val="00C03CBC"/>
    <w:rsid w:val="00C03DDA"/>
    <w:rsid w:val="00C03E5B"/>
    <w:rsid w:val="00C03F6C"/>
    <w:rsid w:val="00C0412D"/>
    <w:rsid w:val="00C04234"/>
    <w:rsid w:val="00C04342"/>
    <w:rsid w:val="00C043A5"/>
    <w:rsid w:val="00C043D7"/>
    <w:rsid w:val="00C0458D"/>
    <w:rsid w:val="00C0461D"/>
    <w:rsid w:val="00C0485B"/>
    <w:rsid w:val="00C048E2"/>
    <w:rsid w:val="00C049A7"/>
    <w:rsid w:val="00C04B12"/>
    <w:rsid w:val="00C04BD4"/>
    <w:rsid w:val="00C04D64"/>
    <w:rsid w:val="00C04D9F"/>
    <w:rsid w:val="00C04DB0"/>
    <w:rsid w:val="00C05573"/>
    <w:rsid w:val="00C0567D"/>
    <w:rsid w:val="00C05755"/>
    <w:rsid w:val="00C0575E"/>
    <w:rsid w:val="00C057DF"/>
    <w:rsid w:val="00C05838"/>
    <w:rsid w:val="00C0593F"/>
    <w:rsid w:val="00C05ABB"/>
    <w:rsid w:val="00C05B07"/>
    <w:rsid w:val="00C05B34"/>
    <w:rsid w:val="00C05B9C"/>
    <w:rsid w:val="00C05D76"/>
    <w:rsid w:val="00C0611D"/>
    <w:rsid w:val="00C06261"/>
    <w:rsid w:val="00C0682E"/>
    <w:rsid w:val="00C06952"/>
    <w:rsid w:val="00C06A98"/>
    <w:rsid w:val="00C06B4B"/>
    <w:rsid w:val="00C06BBD"/>
    <w:rsid w:val="00C06D41"/>
    <w:rsid w:val="00C06D5F"/>
    <w:rsid w:val="00C0707B"/>
    <w:rsid w:val="00C073E5"/>
    <w:rsid w:val="00C074CE"/>
    <w:rsid w:val="00C07523"/>
    <w:rsid w:val="00C07562"/>
    <w:rsid w:val="00C0758F"/>
    <w:rsid w:val="00C0765B"/>
    <w:rsid w:val="00C076BA"/>
    <w:rsid w:val="00C076F3"/>
    <w:rsid w:val="00C07902"/>
    <w:rsid w:val="00C079A5"/>
    <w:rsid w:val="00C07F04"/>
    <w:rsid w:val="00C100B0"/>
    <w:rsid w:val="00C10188"/>
    <w:rsid w:val="00C101C5"/>
    <w:rsid w:val="00C10251"/>
    <w:rsid w:val="00C102B6"/>
    <w:rsid w:val="00C10330"/>
    <w:rsid w:val="00C10463"/>
    <w:rsid w:val="00C10958"/>
    <w:rsid w:val="00C10BCC"/>
    <w:rsid w:val="00C10D3D"/>
    <w:rsid w:val="00C10DA9"/>
    <w:rsid w:val="00C11591"/>
    <w:rsid w:val="00C117C7"/>
    <w:rsid w:val="00C117CB"/>
    <w:rsid w:val="00C11A68"/>
    <w:rsid w:val="00C11B0F"/>
    <w:rsid w:val="00C11C3A"/>
    <w:rsid w:val="00C11CE6"/>
    <w:rsid w:val="00C1200B"/>
    <w:rsid w:val="00C1233E"/>
    <w:rsid w:val="00C124A6"/>
    <w:rsid w:val="00C1268C"/>
    <w:rsid w:val="00C1273B"/>
    <w:rsid w:val="00C127D7"/>
    <w:rsid w:val="00C129CC"/>
    <w:rsid w:val="00C12A74"/>
    <w:rsid w:val="00C12C14"/>
    <w:rsid w:val="00C12D4C"/>
    <w:rsid w:val="00C132FE"/>
    <w:rsid w:val="00C1336D"/>
    <w:rsid w:val="00C133A3"/>
    <w:rsid w:val="00C133ED"/>
    <w:rsid w:val="00C13588"/>
    <w:rsid w:val="00C13608"/>
    <w:rsid w:val="00C1385A"/>
    <w:rsid w:val="00C13B00"/>
    <w:rsid w:val="00C13B0C"/>
    <w:rsid w:val="00C13BE5"/>
    <w:rsid w:val="00C13D3D"/>
    <w:rsid w:val="00C140E7"/>
    <w:rsid w:val="00C140F2"/>
    <w:rsid w:val="00C1414D"/>
    <w:rsid w:val="00C1419E"/>
    <w:rsid w:val="00C146AC"/>
    <w:rsid w:val="00C146CF"/>
    <w:rsid w:val="00C14A1C"/>
    <w:rsid w:val="00C14A54"/>
    <w:rsid w:val="00C14BBB"/>
    <w:rsid w:val="00C14DE2"/>
    <w:rsid w:val="00C14EAE"/>
    <w:rsid w:val="00C14EC1"/>
    <w:rsid w:val="00C14FD0"/>
    <w:rsid w:val="00C150AE"/>
    <w:rsid w:val="00C152EF"/>
    <w:rsid w:val="00C155B7"/>
    <w:rsid w:val="00C156F2"/>
    <w:rsid w:val="00C1573B"/>
    <w:rsid w:val="00C157BD"/>
    <w:rsid w:val="00C159E8"/>
    <w:rsid w:val="00C15AD1"/>
    <w:rsid w:val="00C15B48"/>
    <w:rsid w:val="00C15BE5"/>
    <w:rsid w:val="00C15D10"/>
    <w:rsid w:val="00C15D87"/>
    <w:rsid w:val="00C164CC"/>
    <w:rsid w:val="00C1679A"/>
    <w:rsid w:val="00C16843"/>
    <w:rsid w:val="00C16A06"/>
    <w:rsid w:val="00C16BDC"/>
    <w:rsid w:val="00C16E33"/>
    <w:rsid w:val="00C16E36"/>
    <w:rsid w:val="00C17225"/>
    <w:rsid w:val="00C17288"/>
    <w:rsid w:val="00C17883"/>
    <w:rsid w:val="00C178A4"/>
    <w:rsid w:val="00C179C7"/>
    <w:rsid w:val="00C17D88"/>
    <w:rsid w:val="00C17FC1"/>
    <w:rsid w:val="00C202A1"/>
    <w:rsid w:val="00C202BF"/>
    <w:rsid w:val="00C203BA"/>
    <w:rsid w:val="00C2046B"/>
    <w:rsid w:val="00C2047F"/>
    <w:rsid w:val="00C20689"/>
    <w:rsid w:val="00C20833"/>
    <w:rsid w:val="00C20BA8"/>
    <w:rsid w:val="00C20BEB"/>
    <w:rsid w:val="00C20FCC"/>
    <w:rsid w:val="00C210D1"/>
    <w:rsid w:val="00C2145D"/>
    <w:rsid w:val="00C21504"/>
    <w:rsid w:val="00C215A8"/>
    <w:rsid w:val="00C215D7"/>
    <w:rsid w:val="00C21907"/>
    <w:rsid w:val="00C21AC9"/>
    <w:rsid w:val="00C21BFF"/>
    <w:rsid w:val="00C21C3F"/>
    <w:rsid w:val="00C21F5C"/>
    <w:rsid w:val="00C22093"/>
    <w:rsid w:val="00C220E5"/>
    <w:rsid w:val="00C221B9"/>
    <w:rsid w:val="00C22501"/>
    <w:rsid w:val="00C22563"/>
    <w:rsid w:val="00C2270C"/>
    <w:rsid w:val="00C228F2"/>
    <w:rsid w:val="00C22979"/>
    <w:rsid w:val="00C22D16"/>
    <w:rsid w:val="00C22D8E"/>
    <w:rsid w:val="00C22E37"/>
    <w:rsid w:val="00C22EA5"/>
    <w:rsid w:val="00C23004"/>
    <w:rsid w:val="00C233A3"/>
    <w:rsid w:val="00C233EA"/>
    <w:rsid w:val="00C2365A"/>
    <w:rsid w:val="00C2390D"/>
    <w:rsid w:val="00C23B57"/>
    <w:rsid w:val="00C23D51"/>
    <w:rsid w:val="00C23DAC"/>
    <w:rsid w:val="00C2402B"/>
    <w:rsid w:val="00C2423A"/>
    <w:rsid w:val="00C242EE"/>
    <w:rsid w:val="00C245A1"/>
    <w:rsid w:val="00C247B1"/>
    <w:rsid w:val="00C247F3"/>
    <w:rsid w:val="00C2487C"/>
    <w:rsid w:val="00C248A2"/>
    <w:rsid w:val="00C24946"/>
    <w:rsid w:val="00C249EA"/>
    <w:rsid w:val="00C24B57"/>
    <w:rsid w:val="00C24BB1"/>
    <w:rsid w:val="00C24C3A"/>
    <w:rsid w:val="00C24FD9"/>
    <w:rsid w:val="00C25229"/>
    <w:rsid w:val="00C252B5"/>
    <w:rsid w:val="00C252C8"/>
    <w:rsid w:val="00C25359"/>
    <w:rsid w:val="00C25666"/>
    <w:rsid w:val="00C25794"/>
    <w:rsid w:val="00C25807"/>
    <w:rsid w:val="00C25970"/>
    <w:rsid w:val="00C25975"/>
    <w:rsid w:val="00C25B6F"/>
    <w:rsid w:val="00C25BCA"/>
    <w:rsid w:val="00C25CF8"/>
    <w:rsid w:val="00C2638D"/>
    <w:rsid w:val="00C264DD"/>
    <w:rsid w:val="00C26560"/>
    <w:rsid w:val="00C266D1"/>
    <w:rsid w:val="00C2692C"/>
    <w:rsid w:val="00C269E8"/>
    <w:rsid w:val="00C26BFA"/>
    <w:rsid w:val="00C26C46"/>
    <w:rsid w:val="00C26E25"/>
    <w:rsid w:val="00C27053"/>
    <w:rsid w:val="00C27322"/>
    <w:rsid w:val="00C273B7"/>
    <w:rsid w:val="00C275FA"/>
    <w:rsid w:val="00C27619"/>
    <w:rsid w:val="00C279E2"/>
    <w:rsid w:val="00C27C49"/>
    <w:rsid w:val="00C27CDE"/>
    <w:rsid w:val="00C27E25"/>
    <w:rsid w:val="00C27E61"/>
    <w:rsid w:val="00C27E7B"/>
    <w:rsid w:val="00C27EC0"/>
    <w:rsid w:val="00C27FD1"/>
    <w:rsid w:val="00C30080"/>
    <w:rsid w:val="00C302A1"/>
    <w:rsid w:val="00C302B0"/>
    <w:rsid w:val="00C3032F"/>
    <w:rsid w:val="00C30343"/>
    <w:rsid w:val="00C3058E"/>
    <w:rsid w:val="00C30684"/>
    <w:rsid w:val="00C30870"/>
    <w:rsid w:val="00C30BEC"/>
    <w:rsid w:val="00C30D85"/>
    <w:rsid w:val="00C31053"/>
    <w:rsid w:val="00C310B7"/>
    <w:rsid w:val="00C31170"/>
    <w:rsid w:val="00C31237"/>
    <w:rsid w:val="00C31270"/>
    <w:rsid w:val="00C312C4"/>
    <w:rsid w:val="00C3149E"/>
    <w:rsid w:val="00C31662"/>
    <w:rsid w:val="00C316EA"/>
    <w:rsid w:val="00C31790"/>
    <w:rsid w:val="00C31A3B"/>
    <w:rsid w:val="00C31AC0"/>
    <w:rsid w:val="00C31CF0"/>
    <w:rsid w:val="00C31DD5"/>
    <w:rsid w:val="00C31DFA"/>
    <w:rsid w:val="00C31E7F"/>
    <w:rsid w:val="00C31E87"/>
    <w:rsid w:val="00C31FA0"/>
    <w:rsid w:val="00C32021"/>
    <w:rsid w:val="00C321BD"/>
    <w:rsid w:val="00C326C7"/>
    <w:rsid w:val="00C329C6"/>
    <w:rsid w:val="00C32A01"/>
    <w:rsid w:val="00C32D32"/>
    <w:rsid w:val="00C32D73"/>
    <w:rsid w:val="00C32D86"/>
    <w:rsid w:val="00C32EFA"/>
    <w:rsid w:val="00C32F22"/>
    <w:rsid w:val="00C32F39"/>
    <w:rsid w:val="00C32F9C"/>
    <w:rsid w:val="00C3300E"/>
    <w:rsid w:val="00C3350B"/>
    <w:rsid w:val="00C3355A"/>
    <w:rsid w:val="00C3355F"/>
    <w:rsid w:val="00C335E7"/>
    <w:rsid w:val="00C33648"/>
    <w:rsid w:val="00C336F9"/>
    <w:rsid w:val="00C338F2"/>
    <w:rsid w:val="00C339E9"/>
    <w:rsid w:val="00C33B83"/>
    <w:rsid w:val="00C33BEA"/>
    <w:rsid w:val="00C33FAF"/>
    <w:rsid w:val="00C34078"/>
    <w:rsid w:val="00C34112"/>
    <w:rsid w:val="00C3427A"/>
    <w:rsid w:val="00C342C0"/>
    <w:rsid w:val="00C34362"/>
    <w:rsid w:val="00C34517"/>
    <w:rsid w:val="00C34840"/>
    <w:rsid w:val="00C34890"/>
    <w:rsid w:val="00C34BB5"/>
    <w:rsid w:val="00C34C54"/>
    <w:rsid w:val="00C34CCB"/>
    <w:rsid w:val="00C34D20"/>
    <w:rsid w:val="00C34D58"/>
    <w:rsid w:val="00C34DE4"/>
    <w:rsid w:val="00C34EC6"/>
    <w:rsid w:val="00C350CD"/>
    <w:rsid w:val="00C352F5"/>
    <w:rsid w:val="00C353CB"/>
    <w:rsid w:val="00C35496"/>
    <w:rsid w:val="00C3550C"/>
    <w:rsid w:val="00C35583"/>
    <w:rsid w:val="00C359BB"/>
    <w:rsid w:val="00C35ACC"/>
    <w:rsid w:val="00C35CB5"/>
    <w:rsid w:val="00C35EA1"/>
    <w:rsid w:val="00C35EE0"/>
    <w:rsid w:val="00C35EF3"/>
    <w:rsid w:val="00C36097"/>
    <w:rsid w:val="00C36107"/>
    <w:rsid w:val="00C3627F"/>
    <w:rsid w:val="00C36299"/>
    <w:rsid w:val="00C36672"/>
    <w:rsid w:val="00C366D7"/>
    <w:rsid w:val="00C36856"/>
    <w:rsid w:val="00C36A85"/>
    <w:rsid w:val="00C36AB1"/>
    <w:rsid w:val="00C36B88"/>
    <w:rsid w:val="00C36C83"/>
    <w:rsid w:val="00C36D1B"/>
    <w:rsid w:val="00C36EA4"/>
    <w:rsid w:val="00C3700F"/>
    <w:rsid w:val="00C3718B"/>
    <w:rsid w:val="00C372D7"/>
    <w:rsid w:val="00C375CC"/>
    <w:rsid w:val="00C375EA"/>
    <w:rsid w:val="00C37615"/>
    <w:rsid w:val="00C3778F"/>
    <w:rsid w:val="00C377C8"/>
    <w:rsid w:val="00C37A41"/>
    <w:rsid w:val="00C37B17"/>
    <w:rsid w:val="00C4002C"/>
    <w:rsid w:val="00C4031F"/>
    <w:rsid w:val="00C4038E"/>
    <w:rsid w:val="00C4051A"/>
    <w:rsid w:val="00C40594"/>
    <w:rsid w:val="00C405DF"/>
    <w:rsid w:val="00C406E4"/>
    <w:rsid w:val="00C4082B"/>
    <w:rsid w:val="00C408EC"/>
    <w:rsid w:val="00C40929"/>
    <w:rsid w:val="00C409FA"/>
    <w:rsid w:val="00C40DAD"/>
    <w:rsid w:val="00C40DE8"/>
    <w:rsid w:val="00C41056"/>
    <w:rsid w:val="00C413FE"/>
    <w:rsid w:val="00C418D8"/>
    <w:rsid w:val="00C418ED"/>
    <w:rsid w:val="00C41922"/>
    <w:rsid w:val="00C41D1E"/>
    <w:rsid w:val="00C41EDA"/>
    <w:rsid w:val="00C42493"/>
    <w:rsid w:val="00C42994"/>
    <w:rsid w:val="00C429C8"/>
    <w:rsid w:val="00C42A36"/>
    <w:rsid w:val="00C42B06"/>
    <w:rsid w:val="00C42B55"/>
    <w:rsid w:val="00C42C5B"/>
    <w:rsid w:val="00C42C7D"/>
    <w:rsid w:val="00C42DBE"/>
    <w:rsid w:val="00C432FC"/>
    <w:rsid w:val="00C4355D"/>
    <w:rsid w:val="00C43CFD"/>
    <w:rsid w:val="00C43F50"/>
    <w:rsid w:val="00C44356"/>
    <w:rsid w:val="00C4435D"/>
    <w:rsid w:val="00C4437F"/>
    <w:rsid w:val="00C443A0"/>
    <w:rsid w:val="00C4445D"/>
    <w:rsid w:val="00C44586"/>
    <w:rsid w:val="00C445B2"/>
    <w:rsid w:val="00C446EF"/>
    <w:rsid w:val="00C4485E"/>
    <w:rsid w:val="00C44B71"/>
    <w:rsid w:val="00C44F8D"/>
    <w:rsid w:val="00C44FB9"/>
    <w:rsid w:val="00C450AC"/>
    <w:rsid w:val="00C451BF"/>
    <w:rsid w:val="00C45697"/>
    <w:rsid w:val="00C456A4"/>
    <w:rsid w:val="00C4580F"/>
    <w:rsid w:val="00C45A34"/>
    <w:rsid w:val="00C45B30"/>
    <w:rsid w:val="00C45B83"/>
    <w:rsid w:val="00C45C8F"/>
    <w:rsid w:val="00C45E47"/>
    <w:rsid w:val="00C460FC"/>
    <w:rsid w:val="00C46175"/>
    <w:rsid w:val="00C46236"/>
    <w:rsid w:val="00C462C5"/>
    <w:rsid w:val="00C462CB"/>
    <w:rsid w:val="00C46300"/>
    <w:rsid w:val="00C463C1"/>
    <w:rsid w:val="00C46495"/>
    <w:rsid w:val="00C4659A"/>
    <w:rsid w:val="00C46680"/>
    <w:rsid w:val="00C466B3"/>
    <w:rsid w:val="00C46901"/>
    <w:rsid w:val="00C46AE9"/>
    <w:rsid w:val="00C46B9B"/>
    <w:rsid w:val="00C46C6E"/>
    <w:rsid w:val="00C46E3E"/>
    <w:rsid w:val="00C470F4"/>
    <w:rsid w:val="00C4716B"/>
    <w:rsid w:val="00C471A2"/>
    <w:rsid w:val="00C471FA"/>
    <w:rsid w:val="00C473B2"/>
    <w:rsid w:val="00C474E6"/>
    <w:rsid w:val="00C4750D"/>
    <w:rsid w:val="00C4771C"/>
    <w:rsid w:val="00C47B87"/>
    <w:rsid w:val="00C47D5C"/>
    <w:rsid w:val="00C47D61"/>
    <w:rsid w:val="00C4F6DE"/>
    <w:rsid w:val="00C50224"/>
    <w:rsid w:val="00C50296"/>
    <w:rsid w:val="00C504D6"/>
    <w:rsid w:val="00C504E0"/>
    <w:rsid w:val="00C504F0"/>
    <w:rsid w:val="00C50568"/>
    <w:rsid w:val="00C5067D"/>
    <w:rsid w:val="00C50803"/>
    <w:rsid w:val="00C50881"/>
    <w:rsid w:val="00C50B0D"/>
    <w:rsid w:val="00C50BF1"/>
    <w:rsid w:val="00C50CD8"/>
    <w:rsid w:val="00C50D1F"/>
    <w:rsid w:val="00C50F36"/>
    <w:rsid w:val="00C50F67"/>
    <w:rsid w:val="00C51023"/>
    <w:rsid w:val="00C510F4"/>
    <w:rsid w:val="00C5116B"/>
    <w:rsid w:val="00C51435"/>
    <w:rsid w:val="00C51485"/>
    <w:rsid w:val="00C51712"/>
    <w:rsid w:val="00C518C8"/>
    <w:rsid w:val="00C51A24"/>
    <w:rsid w:val="00C51C3F"/>
    <w:rsid w:val="00C51F15"/>
    <w:rsid w:val="00C520D8"/>
    <w:rsid w:val="00C5242E"/>
    <w:rsid w:val="00C524D4"/>
    <w:rsid w:val="00C524D5"/>
    <w:rsid w:val="00C525DE"/>
    <w:rsid w:val="00C52638"/>
    <w:rsid w:val="00C52C2C"/>
    <w:rsid w:val="00C52E27"/>
    <w:rsid w:val="00C53009"/>
    <w:rsid w:val="00C53056"/>
    <w:rsid w:val="00C53176"/>
    <w:rsid w:val="00C531F9"/>
    <w:rsid w:val="00C53503"/>
    <w:rsid w:val="00C5354E"/>
    <w:rsid w:val="00C5362E"/>
    <w:rsid w:val="00C536E2"/>
    <w:rsid w:val="00C53859"/>
    <w:rsid w:val="00C5389E"/>
    <w:rsid w:val="00C53939"/>
    <w:rsid w:val="00C53AE0"/>
    <w:rsid w:val="00C53D98"/>
    <w:rsid w:val="00C53E91"/>
    <w:rsid w:val="00C5422A"/>
    <w:rsid w:val="00C544C9"/>
    <w:rsid w:val="00C544F6"/>
    <w:rsid w:val="00C54538"/>
    <w:rsid w:val="00C5467F"/>
    <w:rsid w:val="00C5487D"/>
    <w:rsid w:val="00C54AAD"/>
    <w:rsid w:val="00C54CDD"/>
    <w:rsid w:val="00C5530F"/>
    <w:rsid w:val="00C555B7"/>
    <w:rsid w:val="00C557F5"/>
    <w:rsid w:val="00C559AF"/>
    <w:rsid w:val="00C55A37"/>
    <w:rsid w:val="00C55A75"/>
    <w:rsid w:val="00C55EE0"/>
    <w:rsid w:val="00C55EE9"/>
    <w:rsid w:val="00C55FBA"/>
    <w:rsid w:val="00C56041"/>
    <w:rsid w:val="00C562BD"/>
    <w:rsid w:val="00C5635C"/>
    <w:rsid w:val="00C565CC"/>
    <w:rsid w:val="00C567C0"/>
    <w:rsid w:val="00C56970"/>
    <w:rsid w:val="00C56BBB"/>
    <w:rsid w:val="00C56C7B"/>
    <w:rsid w:val="00C56CE8"/>
    <w:rsid w:val="00C56DBD"/>
    <w:rsid w:val="00C5701C"/>
    <w:rsid w:val="00C570DA"/>
    <w:rsid w:val="00C57198"/>
    <w:rsid w:val="00C574F0"/>
    <w:rsid w:val="00C575AD"/>
    <w:rsid w:val="00C5764F"/>
    <w:rsid w:val="00C57A83"/>
    <w:rsid w:val="00C57A9B"/>
    <w:rsid w:val="00C57B8E"/>
    <w:rsid w:val="00C57D82"/>
    <w:rsid w:val="00C57E60"/>
    <w:rsid w:val="00C57E9C"/>
    <w:rsid w:val="00C57F3D"/>
    <w:rsid w:val="00C57FE3"/>
    <w:rsid w:val="00C5A83B"/>
    <w:rsid w:val="00C602A2"/>
    <w:rsid w:val="00C60314"/>
    <w:rsid w:val="00C603A5"/>
    <w:rsid w:val="00C603A9"/>
    <w:rsid w:val="00C605D2"/>
    <w:rsid w:val="00C606EB"/>
    <w:rsid w:val="00C60860"/>
    <w:rsid w:val="00C60869"/>
    <w:rsid w:val="00C60B9C"/>
    <w:rsid w:val="00C60F08"/>
    <w:rsid w:val="00C60F75"/>
    <w:rsid w:val="00C61159"/>
    <w:rsid w:val="00C613CB"/>
    <w:rsid w:val="00C6177C"/>
    <w:rsid w:val="00C61794"/>
    <w:rsid w:val="00C61856"/>
    <w:rsid w:val="00C61BEF"/>
    <w:rsid w:val="00C61E9E"/>
    <w:rsid w:val="00C61EA8"/>
    <w:rsid w:val="00C61F89"/>
    <w:rsid w:val="00C622BC"/>
    <w:rsid w:val="00C627A2"/>
    <w:rsid w:val="00C627C1"/>
    <w:rsid w:val="00C62A93"/>
    <w:rsid w:val="00C62B71"/>
    <w:rsid w:val="00C62D62"/>
    <w:rsid w:val="00C63460"/>
    <w:rsid w:val="00C63930"/>
    <w:rsid w:val="00C639D1"/>
    <w:rsid w:val="00C64254"/>
    <w:rsid w:val="00C6433F"/>
    <w:rsid w:val="00C643ED"/>
    <w:rsid w:val="00C645A3"/>
    <w:rsid w:val="00C646B6"/>
    <w:rsid w:val="00C648A4"/>
    <w:rsid w:val="00C64BCE"/>
    <w:rsid w:val="00C64C02"/>
    <w:rsid w:val="00C64DCF"/>
    <w:rsid w:val="00C64E86"/>
    <w:rsid w:val="00C64F44"/>
    <w:rsid w:val="00C64FCB"/>
    <w:rsid w:val="00C651F9"/>
    <w:rsid w:val="00C65310"/>
    <w:rsid w:val="00C654D1"/>
    <w:rsid w:val="00C654FD"/>
    <w:rsid w:val="00C65621"/>
    <w:rsid w:val="00C656BB"/>
    <w:rsid w:val="00C6578F"/>
    <w:rsid w:val="00C658DA"/>
    <w:rsid w:val="00C65E09"/>
    <w:rsid w:val="00C65F24"/>
    <w:rsid w:val="00C6615F"/>
    <w:rsid w:val="00C6622C"/>
    <w:rsid w:val="00C662B1"/>
    <w:rsid w:val="00C66585"/>
    <w:rsid w:val="00C666AB"/>
    <w:rsid w:val="00C66BE4"/>
    <w:rsid w:val="00C66C71"/>
    <w:rsid w:val="00C67105"/>
    <w:rsid w:val="00C67166"/>
    <w:rsid w:val="00C6737A"/>
    <w:rsid w:val="00C67572"/>
    <w:rsid w:val="00C6782E"/>
    <w:rsid w:val="00C6785E"/>
    <w:rsid w:val="00C67870"/>
    <w:rsid w:val="00C678A4"/>
    <w:rsid w:val="00C679D0"/>
    <w:rsid w:val="00C67C42"/>
    <w:rsid w:val="00C67C82"/>
    <w:rsid w:val="00C70007"/>
    <w:rsid w:val="00C700F8"/>
    <w:rsid w:val="00C702A6"/>
    <w:rsid w:val="00C70302"/>
    <w:rsid w:val="00C70689"/>
    <w:rsid w:val="00C7087A"/>
    <w:rsid w:val="00C709FA"/>
    <w:rsid w:val="00C70B48"/>
    <w:rsid w:val="00C70DD1"/>
    <w:rsid w:val="00C70F7F"/>
    <w:rsid w:val="00C70F88"/>
    <w:rsid w:val="00C71021"/>
    <w:rsid w:val="00C710B6"/>
    <w:rsid w:val="00C712DF"/>
    <w:rsid w:val="00C71434"/>
    <w:rsid w:val="00C7159E"/>
    <w:rsid w:val="00C7164E"/>
    <w:rsid w:val="00C7199D"/>
    <w:rsid w:val="00C71A8A"/>
    <w:rsid w:val="00C71BAB"/>
    <w:rsid w:val="00C71C8E"/>
    <w:rsid w:val="00C71E3F"/>
    <w:rsid w:val="00C72131"/>
    <w:rsid w:val="00C72159"/>
    <w:rsid w:val="00C722C2"/>
    <w:rsid w:val="00C722EF"/>
    <w:rsid w:val="00C72358"/>
    <w:rsid w:val="00C72395"/>
    <w:rsid w:val="00C726F5"/>
    <w:rsid w:val="00C7272F"/>
    <w:rsid w:val="00C72791"/>
    <w:rsid w:val="00C7284F"/>
    <w:rsid w:val="00C72C48"/>
    <w:rsid w:val="00C72DDC"/>
    <w:rsid w:val="00C72ED1"/>
    <w:rsid w:val="00C730CC"/>
    <w:rsid w:val="00C731A0"/>
    <w:rsid w:val="00C732B2"/>
    <w:rsid w:val="00C732EA"/>
    <w:rsid w:val="00C732F3"/>
    <w:rsid w:val="00C736A3"/>
    <w:rsid w:val="00C73862"/>
    <w:rsid w:val="00C73880"/>
    <w:rsid w:val="00C738F4"/>
    <w:rsid w:val="00C73ABC"/>
    <w:rsid w:val="00C73B32"/>
    <w:rsid w:val="00C73BAA"/>
    <w:rsid w:val="00C73EE5"/>
    <w:rsid w:val="00C73FF4"/>
    <w:rsid w:val="00C74205"/>
    <w:rsid w:val="00C74224"/>
    <w:rsid w:val="00C74563"/>
    <w:rsid w:val="00C747FB"/>
    <w:rsid w:val="00C7483B"/>
    <w:rsid w:val="00C74B08"/>
    <w:rsid w:val="00C74D3B"/>
    <w:rsid w:val="00C74D9C"/>
    <w:rsid w:val="00C74EC3"/>
    <w:rsid w:val="00C74EFF"/>
    <w:rsid w:val="00C74F48"/>
    <w:rsid w:val="00C74F91"/>
    <w:rsid w:val="00C75232"/>
    <w:rsid w:val="00C7561C"/>
    <w:rsid w:val="00C7581C"/>
    <w:rsid w:val="00C75936"/>
    <w:rsid w:val="00C7599C"/>
    <w:rsid w:val="00C75CFB"/>
    <w:rsid w:val="00C75DF5"/>
    <w:rsid w:val="00C75F1B"/>
    <w:rsid w:val="00C7615F"/>
    <w:rsid w:val="00C7632F"/>
    <w:rsid w:val="00C767A6"/>
    <w:rsid w:val="00C767E8"/>
    <w:rsid w:val="00C768E0"/>
    <w:rsid w:val="00C76B96"/>
    <w:rsid w:val="00C77172"/>
    <w:rsid w:val="00C773A7"/>
    <w:rsid w:val="00C7755F"/>
    <w:rsid w:val="00C7778D"/>
    <w:rsid w:val="00C777F6"/>
    <w:rsid w:val="00C77940"/>
    <w:rsid w:val="00C779D3"/>
    <w:rsid w:val="00C77BA2"/>
    <w:rsid w:val="00C77BAE"/>
    <w:rsid w:val="00C77C25"/>
    <w:rsid w:val="00C77C53"/>
    <w:rsid w:val="00C77DB3"/>
    <w:rsid w:val="00C77DE6"/>
    <w:rsid w:val="00C77E95"/>
    <w:rsid w:val="00C77F3F"/>
    <w:rsid w:val="00C77F4B"/>
    <w:rsid w:val="00C77F5B"/>
    <w:rsid w:val="00C800B4"/>
    <w:rsid w:val="00C801A7"/>
    <w:rsid w:val="00C801D5"/>
    <w:rsid w:val="00C8024E"/>
    <w:rsid w:val="00C8029D"/>
    <w:rsid w:val="00C802FF"/>
    <w:rsid w:val="00C8032B"/>
    <w:rsid w:val="00C8060B"/>
    <w:rsid w:val="00C807BA"/>
    <w:rsid w:val="00C8091B"/>
    <w:rsid w:val="00C80A23"/>
    <w:rsid w:val="00C80A5D"/>
    <w:rsid w:val="00C80AA7"/>
    <w:rsid w:val="00C80BCD"/>
    <w:rsid w:val="00C80C26"/>
    <w:rsid w:val="00C80EBB"/>
    <w:rsid w:val="00C80ECD"/>
    <w:rsid w:val="00C81060"/>
    <w:rsid w:val="00C810EE"/>
    <w:rsid w:val="00C81140"/>
    <w:rsid w:val="00C8129B"/>
    <w:rsid w:val="00C816C3"/>
    <w:rsid w:val="00C81883"/>
    <w:rsid w:val="00C8199E"/>
    <w:rsid w:val="00C81A04"/>
    <w:rsid w:val="00C81A10"/>
    <w:rsid w:val="00C81FF6"/>
    <w:rsid w:val="00C823B2"/>
    <w:rsid w:val="00C824EA"/>
    <w:rsid w:val="00C8258E"/>
    <w:rsid w:val="00C825DB"/>
    <w:rsid w:val="00C8275B"/>
    <w:rsid w:val="00C8289B"/>
    <w:rsid w:val="00C82BA5"/>
    <w:rsid w:val="00C82BF0"/>
    <w:rsid w:val="00C82E85"/>
    <w:rsid w:val="00C82F80"/>
    <w:rsid w:val="00C831A7"/>
    <w:rsid w:val="00C83252"/>
    <w:rsid w:val="00C83262"/>
    <w:rsid w:val="00C832BB"/>
    <w:rsid w:val="00C83445"/>
    <w:rsid w:val="00C837E2"/>
    <w:rsid w:val="00C83839"/>
    <w:rsid w:val="00C83875"/>
    <w:rsid w:val="00C83942"/>
    <w:rsid w:val="00C83B1F"/>
    <w:rsid w:val="00C83BB9"/>
    <w:rsid w:val="00C83F04"/>
    <w:rsid w:val="00C83F73"/>
    <w:rsid w:val="00C840DC"/>
    <w:rsid w:val="00C84267"/>
    <w:rsid w:val="00C84306"/>
    <w:rsid w:val="00C84581"/>
    <w:rsid w:val="00C845F8"/>
    <w:rsid w:val="00C84670"/>
    <w:rsid w:val="00C846D4"/>
    <w:rsid w:val="00C8491C"/>
    <w:rsid w:val="00C84BD6"/>
    <w:rsid w:val="00C84C45"/>
    <w:rsid w:val="00C85038"/>
    <w:rsid w:val="00C85197"/>
    <w:rsid w:val="00C851EB"/>
    <w:rsid w:val="00C852F1"/>
    <w:rsid w:val="00C85399"/>
    <w:rsid w:val="00C853C0"/>
    <w:rsid w:val="00C85431"/>
    <w:rsid w:val="00C85465"/>
    <w:rsid w:val="00C8595F"/>
    <w:rsid w:val="00C85C58"/>
    <w:rsid w:val="00C85CA2"/>
    <w:rsid w:val="00C85CFD"/>
    <w:rsid w:val="00C85D4A"/>
    <w:rsid w:val="00C85DB6"/>
    <w:rsid w:val="00C85F05"/>
    <w:rsid w:val="00C85F17"/>
    <w:rsid w:val="00C85FBC"/>
    <w:rsid w:val="00C86066"/>
    <w:rsid w:val="00C860B3"/>
    <w:rsid w:val="00C8651A"/>
    <w:rsid w:val="00C866D2"/>
    <w:rsid w:val="00C866F5"/>
    <w:rsid w:val="00C8676F"/>
    <w:rsid w:val="00C8694A"/>
    <w:rsid w:val="00C871EB"/>
    <w:rsid w:val="00C8724D"/>
    <w:rsid w:val="00C87321"/>
    <w:rsid w:val="00C875B0"/>
    <w:rsid w:val="00C876FC"/>
    <w:rsid w:val="00C87CDE"/>
    <w:rsid w:val="00C87D5B"/>
    <w:rsid w:val="00C87EBC"/>
    <w:rsid w:val="00C90038"/>
    <w:rsid w:val="00C90062"/>
    <w:rsid w:val="00C9012B"/>
    <w:rsid w:val="00C9048F"/>
    <w:rsid w:val="00C906EA"/>
    <w:rsid w:val="00C9075F"/>
    <w:rsid w:val="00C908EE"/>
    <w:rsid w:val="00C909D9"/>
    <w:rsid w:val="00C90A5D"/>
    <w:rsid w:val="00C90A7A"/>
    <w:rsid w:val="00C90AC4"/>
    <w:rsid w:val="00C90E41"/>
    <w:rsid w:val="00C90E84"/>
    <w:rsid w:val="00C91180"/>
    <w:rsid w:val="00C91307"/>
    <w:rsid w:val="00C91729"/>
    <w:rsid w:val="00C91746"/>
    <w:rsid w:val="00C91780"/>
    <w:rsid w:val="00C91872"/>
    <w:rsid w:val="00C919EC"/>
    <w:rsid w:val="00C91B60"/>
    <w:rsid w:val="00C91C14"/>
    <w:rsid w:val="00C91CBA"/>
    <w:rsid w:val="00C91CEF"/>
    <w:rsid w:val="00C91E06"/>
    <w:rsid w:val="00C91F59"/>
    <w:rsid w:val="00C91FED"/>
    <w:rsid w:val="00C920CB"/>
    <w:rsid w:val="00C920EA"/>
    <w:rsid w:val="00C922D2"/>
    <w:rsid w:val="00C92482"/>
    <w:rsid w:val="00C925E6"/>
    <w:rsid w:val="00C92690"/>
    <w:rsid w:val="00C926F6"/>
    <w:rsid w:val="00C92866"/>
    <w:rsid w:val="00C92C11"/>
    <w:rsid w:val="00C92C67"/>
    <w:rsid w:val="00C92DF0"/>
    <w:rsid w:val="00C92EE4"/>
    <w:rsid w:val="00C92F9F"/>
    <w:rsid w:val="00C931C0"/>
    <w:rsid w:val="00C933B1"/>
    <w:rsid w:val="00C934A5"/>
    <w:rsid w:val="00C934C5"/>
    <w:rsid w:val="00C93854"/>
    <w:rsid w:val="00C939E0"/>
    <w:rsid w:val="00C93BC7"/>
    <w:rsid w:val="00C93BF2"/>
    <w:rsid w:val="00C93C01"/>
    <w:rsid w:val="00C93E14"/>
    <w:rsid w:val="00C93E55"/>
    <w:rsid w:val="00C93F14"/>
    <w:rsid w:val="00C93FE7"/>
    <w:rsid w:val="00C940D6"/>
    <w:rsid w:val="00C941D9"/>
    <w:rsid w:val="00C944D8"/>
    <w:rsid w:val="00C9467E"/>
    <w:rsid w:val="00C948F1"/>
    <w:rsid w:val="00C94C0A"/>
    <w:rsid w:val="00C94C43"/>
    <w:rsid w:val="00C94C63"/>
    <w:rsid w:val="00C94D90"/>
    <w:rsid w:val="00C94E22"/>
    <w:rsid w:val="00C94E58"/>
    <w:rsid w:val="00C94EE6"/>
    <w:rsid w:val="00C94F0B"/>
    <w:rsid w:val="00C94F40"/>
    <w:rsid w:val="00C95012"/>
    <w:rsid w:val="00C950F8"/>
    <w:rsid w:val="00C951A4"/>
    <w:rsid w:val="00C952E4"/>
    <w:rsid w:val="00C955C2"/>
    <w:rsid w:val="00C9590F"/>
    <w:rsid w:val="00C95A08"/>
    <w:rsid w:val="00C95B9B"/>
    <w:rsid w:val="00C95DFA"/>
    <w:rsid w:val="00C9602A"/>
    <w:rsid w:val="00C96101"/>
    <w:rsid w:val="00C96350"/>
    <w:rsid w:val="00C9651B"/>
    <w:rsid w:val="00C96577"/>
    <w:rsid w:val="00C96610"/>
    <w:rsid w:val="00C9661D"/>
    <w:rsid w:val="00C966F5"/>
    <w:rsid w:val="00C966F6"/>
    <w:rsid w:val="00C9679D"/>
    <w:rsid w:val="00C96995"/>
    <w:rsid w:val="00C96CAC"/>
    <w:rsid w:val="00C96CCE"/>
    <w:rsid w:val="00C96ED5"/>
    <w:rsid w:val="00C9718E"/>
    <w:rsid w:val="00C9725D"/>
    <w:rsid w:val="00C973AF"/>
    <w:rsid w:val="00C973E6"/>
    <w:rsid w:val="00C9753F"/>
    <w:rsid w:val="00C977C3"/>
    <w:rsid w:val="00C97959"/>
    <w:rsid w:val="00C97988"/>
    <w:rsid w:val="00C97A11"/>
    <w:rsid w:val="00C97A47"/>
    <w:rsid w:val="00C97B49"/>
    <w:rsid w:val="00C97C3C"/>
    <w:rsid w:val="00C97EF6"/>
    <w:rsid w:val="00CA00BC"/>
    <w:rsid w:val="00CA02F1"/>
    <w:rsid w:val="00CA0305"/>
    <w:rsid w:val="00CA0316"/>
    <w:rsid w:val="00CA0375"/>
    <w:rsid w:val="00CA0784"/>
    <w:rsid w:val="00CA087D"/>
    <w:rsid w:val="00CA094E"/>
    <w:rsid w:val="00CA0C46"/>
    <w:rsid w:val="00CA0C56"/>
    <w:rsid w:val="00CA0C5C"/>
    <w:rsid w:val="00CA0C83"/>
    <w:rsid w:val="00CA0DC0"/>
    <w:rsid w:val="00CA0EC2"/>
    <w:rsid w:val="00CA0F50"/>
    <w:rsid w:val="00CA100B"/>
    <w:rsid w:val="00CA113D"/>
    <w:rsid w:val="00CA1281"/>
    <w:rsid w:val="00CA138A"/>
    <w:rsid w:val="00CA1721"/>
    <w:rsid w:val="00CA186C"/>
    <w:rsid w:val="00CA19D9"/>
    <w:rsid w:val="00CA212E"/>
    <w:rsid w:val="00CA2311"/>
    <w:rsid w:val="00CA2363"/>
    <w:rsid w:val="00CA2553"/>
    <w:rsid w:val="00CA28D8"/>
    <w:rsid w:val="00CA2998"/>
    <w:rsid w:val="00CA2B70"/>
    <w:rsid w:val="00CA2B89"/>
    <w:rsid w:val="00CA2BD2"/>
    <w:rsid w:val="00CA2C26"/>
    <w:rsid w:val="00CA2C9F"/>
    <w:rsid w:val="00CA2D98"/>
    <w:rsid w:val="00CA2DB3"/>
    <w:rsid w:val="00CA2EA1"/>
    <w:rsid w:val="00CA2F63"/>
    <w:rsid w:val="00CA2FB2"/>
    <w:rsid w:val="00CA2FDF"/>
    <w:rsid w:val="00CA311D"/>
    <w:rsid w:val="00CA318A"/>
    <w:rsid w:val="00CA318F"/>
    <w:rsid w:val="00CA31C0"/>
    <w:rsid w:val="00CA3220"/>
    <w:rsid w:val="00CA3654"/>
    <w:rsid w:val="00CA367E"/>
    <w:rsid w:val="00CA368F"/>
    <w:rsid w:val="00CA36BE"/>
    <w:rsid w:val="00CA38E6"/>
    <w:rsid w:val="00CA3964"/>
    <w:rsid w:val="00CA3D27"/>
    <w:rsid w:val="00CA3DE3"/>
    <w:rsid w:val="00CA4143"/>
    <w:rsid w:val="00CA427D"/>
    <w:rsid w:val="00CA4453"/>
    <w:rsid w:val="00CA4529"/>
    <w:rsid w:val="00CA4569"/>
    <w:rsid w:val="00CA460C"/>
    <w:rsid w:val="00CA486D"/>
    <w:rsid w:val="00CA4942"/>
    <w:rsid w:val="00CA4A2A"/>
    <w:rsid w:val="00CA4A51"/>
    <w:rsid w:val="00CA4ABD"/>
    <w:rsid w:val="00CA4AD0"/>
    <w:rsid w:val="00CA4C09"/>
    <w:rsid w:val="00CA4E76"/>
    <w:rsid w:val="00CA505C"/>
    <w:rsid w:val="00CA5203"/>
    <w:rsid w:val="00CA52E3"/>
    <w:rsid w:val="00CA5467"/>
    <w:rsid w:val="00CA5599"/>
    <w:rsid w:val="00CA565C"/>
    <w:rsid w:val="00CA58D6"/>
    <w:rsid w:val="00CA598D"/>
    <w:rsid w:val="00CA5A12"/>
    <w:rsid w:val="00CA5FAB"/>
    <w:rsid w:val="00CA6044"/>
    <w:rsid w:val="00CA60C0"/>
    <w:rsid w:val="00CA6271"/>
    <w:rsid w:val="00CA634D"/>
    <w:rsid w:val="00CA67EE"/>
    <w:rsid w:val="00CA680D"/>
    <w:rsid w:val="00CA687A"/>
    <w:rsid w:val="00CA6B26"/>
    <w:rsid w:val="00CA6E85"/>
    <w:rsid w:val="00CA6E92"/>
    <w:rsid w:val="00CA6F03"/>
    <w:rsid w:val="00CA6F4C"/>
    <w:rsid w:val="00CA7036"/>
    <w:rsid w:val="00CA7247"/>
    <w:rsid w:val="00CA7271"/>
    <w:rsid w:val="00CA72DA"/>
    <w:rsid w:val="00CA73D3"/>
    <w:rsid w:val="00CA7683"/>
    <w:rsid w:val="00CA76B3"/>
    <w:rsid w:val="00CA774C"/>
    <w:rsid w:val="00CA77F6"/>
    <w:rsid w:val="00CA797C"/>
    <w:rsid w:val="00CA7A0F"/>
    <w:rsid w:val="00CA7BC8"/>
    <w:rsid w:val="00CA7CF3"/>
    <w:rsid w:val="00CA7DAB"/>
    <w:rsid w:val="00CB0138"/>
    <w:rsid w:val="00CB02A4"/>
    <w:rsid w:val="00CB05C1"/>
    <w:rsid w:val="00CB0779"/>
    <w:rsid w:val="00CB08FA"/>
    <w:rsid w:val="00CB09B5"/>
    <w:rsid w:val="00CB0B56"/>
    <w:rsid w:val="00CB0B65"/>
    <w:rsid w:val="00CB0C9C"/>
    <w:rsid w:val="00CB0CC5"/>
    <w:rsid w:val="00CB0D33"/>
    <w:rsid w:val="00CB0D41"/>
    <w:rsid w:val="00CB0D75"/>
    <w:rsid w:val="00CB1004"/>
    <w:rsid w:val="00CB10AF"/>
    <w:rsid w:val="00CB1122"/>
    <w:rsid w:val="00CB112C"/>
    <w:rsid w:val="00CB11F0"/>
    <w:rsid w:val="00CB1246"/>
    <w:rsid w:val="00CB1341"/>
    <w:rsid w:val="00CB1392"/>
    <w:rsid w:val="00CB13DF"/>
    <w:rsid w:val="00CB13F9"/>
    <w:rsid w:val="00CB146D"/>
    <w:rsid w:val="00CB1642"/>
    <w:rsid w:val="00CB17BA"/>
    <w:rsid w:val="00CB1859"/>
    <w:rsid w:val="00CB1883"/>
    <w:rsid w:val="00CB1969"/>
    <w:rsid w:val="00CB1A68"/>
    <w:rsid w:val="00CB1A95"/>
    <w:rsid w:val="00CB1C6B"/>
    <w:rsid w:val="00CB1CBF"/>
    <w:rsid w:val="00CB1CC6"/>
    <w:rsid w:val="00CB207B"/>
    <w:rsid w:val="00CB294B"/>
    <w:rsid w:val="00CB2A76"/>
    <w:rsid w:val="00CB2BAD"/>
    <w:rsid w:val="00CB2DE4"/>
    <w:rsid w:val="00CB2E0D"/>
    <w:rsid w:val="00CB2EA1"/>
    <w:rsid w:val="00CB2EEE"/>
    <w:rsid w:val="00CB2F86"/>
    <w:rsid w:val="00CB2FD4"/>
    <w:rsid w:val="00CB3360"/>
    <w:rsid w:val="00CB3440"/>
    <w:rsid w:val="00CB368D"/>
    <w:rsid w:val="00CB3A79"/>
    <w:rsid w:val="00CB3B70"/>
    <w:rsid w:val="00CB3C5D"/>
    <w:rsid w:val="00CB3CAC"/>
    <w:rsid w:val="00CB3D94"/>
    <w:rsid w:val="00CB3FDE"/>
    <w:rsid w:val="00CB412E"/>
    <w:rsid w:val="00CB4609"/>
    <w:rsid w:val="00CB47FF"/>
    <w:rsid w:val="00CB4DD5"/>
    <w:rsid w:val="00CB4E92"/>
    <w:rsid w:val="00CB521A"/>
    <w:rsid w:val="00CB5462"/>
    <w:rsid w:val="00CB583E"/>
    <w:rsid w:val="00CB5934"/>
    <w:rsid w:val="00CB5B40"/>
    <w:rsid w:val="00CB5C1D"/>
    <w:rsid w:val="00CB5D44"/>
    <w:rsid w:val="00CB5D87"/>
    <w:rsid w:val="00CB5F47"/>
    <w:rsid w:val="00CB5F7F"/>
    <w:rsid w:val="00CB5F8B"/>
    <w:rsid w:val="00CB5FE9"/>
    <w:rsid w:val="00CB615C"/>
    <w:rsid w:val="00CB61B1"/>
    <w:rsid w:val="00CB62A0"/>
    <w:rsid w:val="00CB62B3"/>
    <w:rsid w:val="00CB667B"/>
    <w:rsid w:val="00CB6738"/>
    <w:rsid w:val="00CB67A7"/>
    <w:rsid w:val="00CB67D6"/>
    <w:rsid w:val="00CB68C4"/>
    <w:rsid w:val="00CB6996"/>
    <w:rsid w:val="00CB69C8"/>
    <w:rsid w:val="00CB6B83"/>
    <w:rsid w:val="00CB6CDE"/>
    <w:rsid w:val="00CB6FCE"/>
    <w:rsid w:val="00CB6FF1"/>
    <w:rsid w:val="00CB70BF"/>
    <w:rsid w:val="00CB71AB"/>
    <w:rsid w:val="00CB75CE"/>
    <w:rsid w:val="00CB7834"/>
    <w:rsid w:val="00CB78AB"/>
    <w:rsid w:val="00CB7C1C"/>
    <w:rsid w:val="00CB7C44"/>
    <w:rsid w:val="00CB7CA4"/>
    <w:rsid w:val="00CB7E99"/>
    <w:rsid w:val="00CC01AB"/>
    <w:rsid w:val="00CC04A6"/>
    <w:rsid w:val="00CC05BF"/>
    <w:rsid w:val="00CC06FF"/>
    <w:rsid w:val="00CC0781"/>
    <w:rsid w:val="00CC07A8"/>
    <w:rsid w:val="00CC0879"/>
    <w:rsid w:val="00CC0CCA"/>
    <w:rsid w:val="00CC0D8E"/>
    <w:rsid w:val="00CC0D90"/>
    <w:rsid w:val="00CC0EE3"/>
    <w:rsid w:val="00CC10E8"/>
    <w:rsid w:val="00CC1218"/>
    <w:rsid w:val="00CC1265"/>
    <w:rsid w:val="00CC148A"/>
    <w:rsid w:val="00CC1542"/>
    <w:rsid w:val="00CC1684"/>
    <w:rsid w:val="00CC1B28"/>
    <w:rsid w:val="00CC1BAB"/>
    <w:rsid w:val="00CC1CD2"/>
    <w:rsid w:val="00CC1E7A"/>
    <w:rsid w:val="00CC201E"/>
    <w:rsid w:val="00CC24C0"/>
    <w:rsid w:val="00CC24FA"/>
    <w:rsid w:val="00CC26F3"/>
    <w:rsid w:val="00CC282D"/>
    <w:rsid w:val="00CC290E"/>
    <w:rsid w:val="00CC2ED9"/>
    <w:rsid w:val="00CC320B"/>
    <w:rsid w:val="00CC3376"/>
    <w:rsid w:val="00CC3414"/>
    <w:rsid w:val="00CC35D4"/>
    <w:rsid w:val="00CC371D"/>
    <w:rsid w:val="00CC3927"/>
    <w:rsid w:val="00CC392E"/>
    <w:rsid w:val="00CC3AA1"/>
    <w:rsid w:val="00CC3BF3"/>
    <w:rsid w:val="00CC3C29"/>
    <w:rsid w:val="00CC42AD"/>
    <w:rsid w:val="00CC447D"/>
    <w:rsid w:val="00CC44BE"/>
    <w:rsid w:val="00CC4826"/>
    <w:rsid w:val="00CC482B"/>
    <w:rsid w:val="00CC4D19"/>
    <w:rsid w:val="00CC50C0"/>
    <w:rsid w:val="00CC51DA"/>
    <w:rsid w:val="00CC56C2"/>
    <w:rsid w:val="00CC58C6"/>
    <w:rsid w:val="00CC59A5"/>
    <w:rsid w:val="00CC5AEB"/>
    <w:rsid w:val="00CC5C32"/>
    <w:rsid w:val="00CC5F44"/>
    <w:rsid w:val="00CC608E"/>
    <w:rsid w:val="00CC640D"/>
    <w:rsid w:val="00CC6466"/>
    <w:rsid w:val="00CC6588"/>
    <w:rsid w:val="00CC6676"/>
    <w:rsid w:val="00CC68C4"/>
    <w:rsid w:val="00CC69FA"/>
    <w:rsid w:val="00CC6A5D"/>
    <w:rsid w:val="00CC6E46"/>
    <w:rsid w:val="00CC6E80"/>
    <w:rsid w:val="00CC7073"/>
    <w:rsid w:val="00CC7133"/>
    <w:rsid w:val="00CC717B"/>
    <w:rsid w:val="00CC7182"/>
    <w:rsid w:val="00CC71D4"/>
    <w:rsid w:val="00CC71DB"/>
    <w:rsid w:val="00CC73BA"/>
    <w:rsid w:val="00CC741C"/>
    <w:rsid w:val="00CC768E"/>
    <w:rsid w:val="00CC79A4"/>
    <w:rsid w:val="00CC7BD9"/>
    <w:rsid w:val="00CC7D49"/>
    <w:rsid w:val="00CC7EFE"/>
    <w:rsid w:val="00CC7F47"/>
    <w:rsid w:val="00CC7FD2"/>
    <w:rsid w:val="00CD0341"/>
    <w:rsid w:val="00CD043B"/>
    <w:rsid w:val="00CD04B6"/>
    <w:rsid w:val="00CD0523"/>
    <w:rsid w:val="00CD0563"/>
    <w:rsid w:val="00CD0602"/>
    <w:rsid w:val="00CD0688"/>
    <w:rsid w:val="00CD0728"/>
    <w:rsid w:val="00CD0781"/>
    <w:rsid w:val="00CD098B"/>
    <w:rsid w:val="00CD0B64"/>
    <w:rsid w:val="00CD0BD6"/>
    <w:rsid w:val="00CD0DDA"/>
    <w:rsid w:val="00CD0E28"/>
    <w:rsid w:val="00CD0F91"/>
    <w:rsid w:val="00CD0FEA"/>
    <w:rsid w:val="00CD1077"/>
    <w:rsid w:val="00CD1128"/>
    <w:rsid w:val="00CD115F"/>
    <w:rsid w:val="00CD1212"/>
    <w:rsid w:val="00CD12E6"/>
    <w:rsid w:val="00CD131A"/>
    <w:rsid w:val="00CD138E"/>
    <w:rsid w:val="00CD1678"/>
    <w:rsid w:val="00CD16A6"/>
    <w:rsid w:val="00CD191D"/>
    <w:rsid w:val="00CD1B5B"/>
    <w:rsid w:val="00CD1E1A"/>
    <w:rsid w:val="00CD1FF3"/>
    <w:rsid w:val="00CD241A"/>
    <w:rsid w:val="00CD2523"/>
    <w:rsid w:val="00CD2636"/>
    <w:rsid w:val="00CD2A37"/>
    <w:rsid w:val="00CD2B15"/>
    <w:rsid w:val="00CD2D78"/>
    <w:rsid w:val="00CD2D9C"/>
    <w:rsid w:val="00CD2F4C"/>
    <w:rsid w:val="00CD318F"/>
    <w:rsid w:val="00CD3592"/>
    <w:rsid w:val="00CD35CB"/>
    <w:rsid w:val="00CD3836"/>
    <w:rsid w:val="00CD3909"/>
    <w:rsid w:val="00CD3A5F"/>
    <w:rsid w:val="00CD3DB7"/>
    <w:rsid w:val="00CD3F18"/>
    <w:rsid w:val="00CD4167"/>
    <w:rsid w:val="00CD44D3"/>
    <w:rsid w:val="00CD4948"/>
    <w:rsid w:val="00CD499D"/>
    <w:rsid w:val="00CD4B92"/>
    <w:rsid w:val="00CD4BB0"/>
    <w:rsid w:val="00CD4BFB"/>
    <w:rsid w:val="00CD4D4F"/>
    <w:rsid w:val="00CD4E16"/>
    <w:rsid w:val="00CD4E89"/>
    <w:rsid w:val="00CD4F3E"/>
    <w:rsid w:val="00CD4F73"/>
    <w:rsid w:val="00CD50E3"/>
    <w:rsid w:val="00CD5126"/>
    <w:rsid w:val="00CD5D42"/>
    <w:rsid w:val="00CD5D79"/>
    <w:rsid w:val="00CD5DF8"/>
    <w:rsid w:val="00CD610C"/>
    <w:rsid w:val="00CD6271"/>
    <w:rsid w:val="00CD63D8"/>
    <w:rsid w:val="00CD6485"/>
    <w:rsid w:val="00CD6539"/>
    <w:rsid w:val="00CD659C"/>
    <w:rsid w:val="00CD65AC"/>
    <w:rsid w:val="00CD66AF"/>
    <w:rsid w:val="00CD672E"/>
    <w:rsid w:val="00CD6739"/>
    <w:rsid w:val="00CD6949"/>
    <w:rsid w:val="00CD6BE0"/>
    <w:rsid w:val="00CD6BE7"/>
    <w:rsid w:val="00CD6CE6"/>
    <w:rsid w:val="00CD71B1"/>
    <w:rsid w:val="00CD741B"/>
    <w:rsid w:val="00CD751F"/>
    <w:rsid w:val="00CD75D5"/>
    <w:rsid w:val="00CD780A"/>
    <w:rsid w:val="00CD799C"/>
    <w:rsid w:val="00CD7C4D"/>
    <w:rsid w:val="00CD7C7E"/>
    <w:rsid w:val="00CD7D17"/>
    <w:rsid w:val="00CD7FB9"/>
    <w:rsid w:val="00CE0204"/>
    <w:rsid w:val="00CE02F3"/>
    <w:rsid w:val="00CE0602"/>
    <w:rsid w:val="00CE06BD"/>
    <w:rsid w:val="00CE070E"/>
    <w:rsid w:val="00CE074E"/>
    <w:rsid w:val="00CE07D6"/>
    <w:rsid w:val="00CE08F4"/>
    <w:rsid w:val="00CE096E"/>
    <w:rsid w:val="00CE0AB4"/>
    <w:rsid w:val="00CE0B92"/>
    <w:rsid w:val="00CE0CA1"/>
    <w:rsid w:val="00CE0EBA"/>
    <w:rsid w:val="00CE11B3"/>
    <w:rsid w:val="00CE12C3"/>
    <w:rsid w:val="00CE12F1"/>
    <w:rsid w:val="00CE1539"/>
    <w:rsid w:val="00CE1E6A"/>
    <w:rsid w:val="00CE1FA0"/>
    <w:rsid w:val="00CE20AB"/>
    <w:rsid w:val="00CE214B"/>
    <w:rsid w:val="00CE21CF"/>
    <w:rsid w:val="00CE221F"/>
    <w:rsid w:val="00CE22DE"/>
    <w:rsid w:val="00CE2419"/>
    <w:rsid w:val="00CE2574"/>
    <w:rsid w:val="00CE2713"/>
    <w:rsid w:val="00CE28F8"/>
    <w:rsid w:val="00CE2963"/>
    <w:rsid w:val="00CE2A4D"/>
    <w:rsid w:val="00CE2A5A"/>
    <w:rsid w:val="00CE2D16"/>
    <w:rsid w:val="00CE2D1D"/>
    <w:rsid w:val="00CE2D9E"/>
    <w:rsid w:val="00CE2DF3"/>
    <w:rsid w:val="00CE2F0D"/>
    <w:rsid w:val="00CE3046"/>
    <w:rsid w:val="00CE31E1"/>
    <w:rsid w:val="00CE340C"/>
    <w:rsid w:val="00CE3441"/>
    <w:rsid w:val="00CE383B"/>
    <w:rsid w:val="00CE39AE"/>
    <w:rsid w:val="00CE39D1"/>
    <w:rsid w:val="00CE3B1F"/>
    <w:rsid w:val="00CE3B4F"/>
    <w:rsid w:val="00CE3C4C"/>
    <w:rsid w:val="00CE3C95"/>
    <w:rsid w:val="00CE3D96"/>
    <w:rsid w:val="00CE3E55"/>
    <w:rsid w:val="00CE3E62"/>
    <w:rsid w:val="00CE40CA"/>
    <w:rsid w:val="00CE42BD"/>
    <w:rsid w:val="00CE43DC"/>
    <w:rsid w:val="00CE4408"/>
    <w:rsid w:val="00CE45A5"/>
    <w:rsid w:val="00CE45A7"/>
    <w:rsid w:val="00CE45CB"/>
    <w:rsid w:val="00CE4661"/>
    <w:rsid w:val="00CE4665"/>
    <w:rsid w:val="00CE4811"/>
    <w:rsid w:val="00CE48E9"/>
    <w:rsid w:val="00CE4B2E"/>
    <w:rsid w:val="00CE4DAA"/>
    <w:rsid w:val="00CE4DD6"/>
    <w:rsid w:val="00CE4F60"/>
    <w:rsid w:val="00CE4F79"/>
    <w:rsid w:val="00CE4F7C"/>
    <w:rsid w:val="00CE528F"/>
    <w:rsid w:val="00CE5559"/>
    <w:rsid w:val="00CE566B"/>
    <w:rsid w:val="00CE56DB"/>
    <w:rsid w:val="00CE5723"/>
    <w:rsid w:val="00CE5A36"/>
    <w:rsid w:val="00CE5D96"/>
    <w:rsid w:val="00CE60D7"/>
    <w:rsid w:val="00CE6336"/>
    <w:rsid w:val="00CE6349"/>
    <w:rsid w:val="00CE6364"/>
    <w:rsid w:val="00CE639B"/>
    <w:rsid w:val="00CE642B"/>
    <w:rsid w:val="00CE64BF"/>
    <w:rsid w:val="00CE6643"/>
    <w:rsid w:val="00CE6D12"/>
    <w:rsid w:val="00CE6D74"/>
    <w:rsid w:val="00CE6D78"/>
    <w:rsid w:val="00CE6FC8"/>
    <w:rsid w:val="00CE7287"/>
    <w:rsid w:val="00CE7325"/>
    <w:rsid w:val="00CE7333"/>
    <w:rsid w:val="00CE768D"/>
    <w:rsid w:val="00CE7873"/>
    <w:rsid w:val="00CE78E2"/>
    <w:rsid w:val="00CE7946"/>
    <w:rsid w:val="00CE7B62"/>
    <w:rsid w:val="00CE7C46"/>
    <w:rsid w:val="00CE7D6D"/>
    <w:rsid w:val="00CE7E11"/>
    <w:rsid w:val="00CF0A35"/>
    <w:rsid w:val="00CF0BC6"/>
    <w:rsid w:val="00CF0C72"/>
    <w:rsid w:val="00CF0CDB"/>
    <w:rsid w:val="00CF0D04"/>
    <w:rsid w:val="00CF0FE5"/>
    <w:rsid w:val="00CF10D4"/>
    <w:rsid w:val="00CF1177"/>
    <w:rsid w:val="00CF1196"/>
    <w:rsid w:val="00CF1395"/>
    <w:rsid w:val="00CF16EB"/>
    <w:rsid w:val="00CF173E"/>
    <w:rsid w:val="00CF1AEE"/>
    <w:rsid w:val="00CF1C29"/>
    <w:rsid w:val="00CF1D64"/>
    <w:rsid w:val="00CF1E00"/>
    <w:rsid w:val="00CF1EB9"/>
    <w:rsid w:val="00CF1FD1"/>
    <w:rsid w:val="00CF2164"/>
    <w:rsid w:val="00CF22DF"/>
    <w:rsid w:val="00CF24A1"/>
    <w:rsid w:val="00CF24F7"/>
    <w:rsid w:val="00CF264C"/>
    <w:rsid w:val="00CF2872"/>
    <w:rsid w:val="00CF28DA"/>
    <w:rsid w:val="00CF2937"/>
    <w:rsid w:val="00CF2959"/>
    <w:rsid w:val="00CF29A6"/>
    <w:rsid w:val="00CF2CCA"/>
    <w:rsid w:val="00CF2D2E"/>
    <w:rsid w:val="00CF2E00"/>
    <w:rsid w:val="00CF2E10"/>
    <w:rsid w:val="00CF2EA2"/>
    <w:rsid w:val="00CF2F64"/>
    <w:rsid w:val="00CF2F81"/>
    <w:rsid w:val="00CF306E"/>
    <w:rsid w:val="00CF31F7"/>
    <w:rsid w:val="00CF3214"/>
    <w:rsid w:val="00CF328E"/>
    <w:rsid w:val="00CF32BE"/>
    <w:rsid w:val="00CF3388"/>
    <w:rsid w:val="00CF33E1"/>
    <w:rsid w:val="00CF347C"/>
    <w:rsid w:val="00CF35C1"/>
    <w:rsid w:val="00CF3880"/>
    <w:rsid w:val="00CF388F"/>
    <w:rsid w:val="00CF38A7"/>
    <w:rsid w:val="00CF38EF"/>
    <w:rsid w:val="00CF396A"/>
    <w:rsid w:val="00CF3A3B"/>
    <w:rsid w:val="00CF3BED"/>
    <w:rsid w:val="00CF3D03"/>
    <w:rsid w:val="00CF3D71"/>
    <w:rsid w:val="00CF3EA1"/>
    <w:rsid w:val="00CF410A"/>
    <w:rsid w:val="00CF41B2"/>
    <w:rsid w:val="00CF424F"/>
    <w:rsid w:val="00CF4270"/>
    <w:rsid w:val="00CF436F"/>
    <w:rsid w:val="00CF45E0"/>
    <w:rsid w:val="00CF4677"/>
    <w:rsid w:val="00CF47D0"/>
    <w:rsid w:val="00CF4A33"/>
    <w:rsid w:val="00CF4A9A"/>
    <w:rsid w:val="00CF50FD"/>
    <w:rsid w:val="00CF52CF"/>
    <w:rsid w:val="00CF52FC"/>
    <w:rsid w:val="00CF5416"/>
    <w:rsid w:val="00CF54C0"/>
    <w:rsid w:val="00CF5651"/>
    <w:rsid w:val="00CF57B3"/>
    <w:rsid w:val="00CF57B7"/>
    <w:rsid w:val="00CF5961"/>
    <w:rsid w:val="00CF5A12"/>
    <w:rsid w:val="00CF5F52"/>
    <w:rsid w:val="00CF604F"/>
    <w:rsid w:val="00CF61D2"/>
    <w:rsid w:val="00CF61D7"/>
    <w:rsid w:val="00CF6320"/>
    <w:rsid w:val="00CF68F1"/>
    <w:rsid w:val="00CF69A6"/>
    <w:rsid w:val="00CF69AF"/>
    <w:rsid w:val="00CF6A3E"/>
    <w:rsid w:val="00CF6C41"/>
    <w:rsid w:val="00CF6CF3"/>
    <w:rsid w:val="00CF6D0F"/>
    <w:rsid w:val="00CF6E16"/>
    <w:rsid w:val="00CF6E64"/>
    <w:rsid w:val="00CF6F4B"/>
    <w:rsid w:val="00CF7029"/>
    <w:rsid w:val="00CF7162"/>
    <w:rsid w:val="00CF7308"/>
    <w:rsid w:val="00CF7468"/>
    <w:rsid w:val="00CF7546"/>
    <w:rsid w:val="00CF756C"/>
    <w:rsid w:val="00CF77CA"/>
    <w:rsid w:val="00CF7806"/>
    <w:rsid w:val="00CF782C"/>
    <w:rsid w:val="00CF78AB"/>
    <w:rsid w:val="00CF79D7"/>
    <w:rsid w:val="00CF7B52"/>
    <w:rsid w:val="00CF7B57"/>
    <w:rsid w:val="00CF7DF6"/>
    <w:rsid w:val="00D00472"/>
    <w:rsid w:val="00D004C2"/>
    <w:rsid w:val="00D00520"/>
    <w:rsid w:val="00D0053B"/>
    <w:rsid w:val="00D00725"/>
    <w:rsid w:val="00D0072D"/>
    <w:rsid w:val="00D007F9"/>
    <w:rsid w:val="00D011EE"/>
    <w:rsid w:val="00D014DD"/>
    <w:rsid w:val="00D014EB"/>
    <w:rsid w:val="00D0150C"/>
    <w:rsid w:val="00D01683"/>
    <w:rsid w:val="00D016CC"/>
    <w:rsid w:val="00D019FD"/>
    <w:rsid w:val="00D01A36"/>
    <w:rsid w:val="00D01A7B"/>
    <w:rsid w:val="00D01C24"/>
    <w:rsid w:val="00D01C39"/>
    <w:rsid w:val="00D01D64"/>
    <w:rsid w:val="00D01FBD"/>
    <w:rsid w:val="00D01FC0"/>
    <w:rsid w:val="00D0207A"/>
    <w:rsid w:val="00D0230A"/>
    <w:rsid w:val="00D0245F"/>
    <w:rsid w:val="00D0284C"/>
    <w:rsid w:val="00D02983"/>
    <w:rsid w:val="00D02A07"/>
    <w:rsid w:val="00D030A0"/>
    <w:rsid w:val="00D032FF"/>
    <w:rsid w:val="00D037E7"/>
    <w:rsid w:val="00D039CC"/>
    <w:rsid w:val="00D03A4E"/>
    <w:rsid w:val="00D03AFD"/>
    <w:rsid w:val="00D03B38"/>
    <w:rsid w:val="00D03FB8"/>
    <w:rsid w:val="00D041E0"/>
    <w:rsid w:val="00D04215"/>
    <w:rsid w:val="00D04424"/>
    <w:rsid w:val="00D0456D"/>
    <w:rsid w:val="00D046AF"/>
    <w:rsid w:val="00D0483F"/>
    <w:rsid w:val="00D04951"/>
    <w:rsid w:val="00D04B2B"/>
    <w:rsid w:val="00D04B7B"/>
    <w:rsid w:val="00D04BDD"/>
    <w:rsid w:val="00D04BE1"/>
    <w:rsid w:val="00D04C1B"/>
    <w:rsid w:val="00D04D01"/>
    <w:rsid w:val="00D04D16"/>
    <w:rsid w:val="00D04D98"/>
    <w:rsid w:val="00D05109"/>
    <w:rsid w:val="00D054D0"/>
    <w:rsid w:val="00D054F1"/>
    <w:rsid w:val="00D05977"/>
    <w:rsid w:val="00D059D5"/>
    <w:rsid w:val="00D05D0A"/>
    <w:rsid w:val="00D05D53"/>
    <w:rsid w:val="00D05DE6"/>
    <w:rsid w:val="00D05ECE"/>
    <w:rsid w:val="00D05FEA"/>
    <w:rsid w:val="00D06063"/>
    <w:rsid w:val="00D06251"/>
    <w:rsid w:val="00D06274"/>
    <w:rsid w:val="00D062DD"/>
    <w:rsid w:val="00D0635C"/>
    <w:rsid w:val="00D0663D"/>
    <w:rsid w:val="00D066FB"/>
    <w:rsid w:val="00D06BA7"/>
    <w:rsid w:val="00D06C4C"/>
    <w:rsid w:val="00D06F69"/>
    <w:rsid w:val="00D07159"/>
    <w:rsid w:val="00D07511"/>
    <w:rsid w:val="00D07572"/>
    <w:rsid w:val="00D0791E"/>
    <w:rsid w:val="00D0794D"/>
    <w:rsid w:val="00D0796D"/>
    <w:rsid w:val="00D07ACB"/>
    <w:rsid w:val="00D07C87"/>
    <w:rsid w:val="00D07E3F"/>
    <w:rsid w:val="00D0F5EE"/>
    <w:rsid w:val="00D1000B"/>
    <w:rsid w:val="00D100B5"/>
    <w:rsid w:val="00D101A7"/>
    <w:rsid w:val="00D1038F"/>
    <w:rsid w:val="00D107D1"/>
    <w:rsid w:val="00D10872"/>
    <w:rsid w:val="00D10933"/>
    <w:rsid w:val="00D10974"/>
    <w:rsid w:val="00D109A0"/>
    <w:rsid w:val="00D10A6D"/>
    <w:rsid w:val="00D10B39"/>
    <w:rsid w:val="00D10C08"/>
    <w:rsid w:val="00D10C61"/>
    <w:rsid w:val="00D10EE3"/>
    <w:rsid w:val="00D1111A"/>
    <w:rsid w:val="00D112AE"/>
    <w:rsid w:val="00D113D7"/>
    <w:rsid w:val="00D11603"/>
    <w:rsid w:val="00D11694"/>
    <w:rsid w:val="00D116CB"/>
    <w:rsid w:val="00D11761"/>
    <w:rsid w:val="00D11A07"/>
    <w:rsid w:val="00D11A2B"/>
    <w:rsid w:val="00D11A79"/>
    <w:rsid w:val="00D11B24"/>
    <w:rsid w:val="00D11DF5"/>
    <w:rsid w:val="00D11EB2"/>
    <w:rsid w:val="00D1218D"/>
    <w:rsid w:val="00D1219F"/>
    <w:rsid w:val="00D1241A"/>
    <w:rsid w:val="00D1264F"/>
    <w:rsid w:val="00D12660"/>
    <w:rsid w:val="00D126B1"/>
    <w:rsid w:val="00D126C1"/>
    <w:rsid w:val="00D126FE"/>
    <w:rsid w:val="00D12910"/>
    <w:rsid w:val="00D12BD2"/>
    <w:rsid w:val="00D12C21"/>
    <w:rsid w:val="00D12FD9"/>
    <w:rsid w:val="00D1307B"/>
    <w:rsid w:val="00D130ED"/>
    <w:rsid w:val="00D13115"/>
    <w:rsid w:val="00D13189"/>
    <w:rsid w:val="00D13292"/>
    <w:rsid w:val="00D13322"/>
    <w:rsid w:val="00D133BD"/>
    <w:rsid w:val="00D134AE"/>
    <w:rsid w:val="00D13594"/>
    <w:rsid w:val="00D135C7"/>
    <w:rsid w:val="00D13719"/>
    <w:rsid w:val="00D13907"/>
    <w:rsid w:val="00D13A49"/>
    <w:rsid w:val="00D13CC8"/>
    <w:rsid w:val="00D13E3D"/>
    <w:rsid w:val="00D14033"/>
    <w:rsid w:val="00D14387"/>
    <w:rsid w:val="00D1440C"/>
    <w:rsid w:val="00D14587"/>
    <w:rsid w:val="00D1470E"/>
    <w:rsid w:val="00D14994"/>
    <w:rsid w:val="00D149B9"/>
    <w:rsid w:val="00D14A5C"/>
    <w:rsid w:val="00D14AED"/>
    <w:rsid w:val="00D14D9D"/>
    <w:rsid w:val="00D14DC4"/>
    <w:rsid w:val="00D14E16"/>
    <w:rsid w:val="00D14E77"/>
    <w:rsid w:val="00D14EAA"/>
    <w:rsid w:val="00D1509E"/>
    <w:rsid w:val="00D150A9"/>
    <w:rsid w:val="00D15113"/>
    <w:rsid w:val="00D15135"/>
    <w:rsid w:val="00D15137"/>
    <w:rsid w:val="00D15249"/>
    <w:rsid w:val="00D15439"/>
    <w:rsid w:val="00D15700"/>
    <w:rsid w:val="00D158C1"/>
    <w:rsid w:val="00D159A6"/>
    <w:rsid w:val="00D15AA5"/>
    <w:rsid w:val="00D16150"/>
    <w:rsid w:val="00D1621A"/>
    <w:rsid w:val="00D1636B"/>
    <w:rsid w:val="00D1648F"/>
    <w:rsid w:val="00D16576"/>
    <w:rsid w:val="00D1689D"/>
    <w:rsid w:val="00D16B7B"/>
    <w:rsid w:val="00D16C5F"/>
    <w:rsid w:val="00D16CAC"/>
    <w:rsid w:val="00D16FE9"/>
    <w:rsid w:val="00D17072"/>
    <w:rsid w:val="00D17075"/>
    <w:rsid w:val="00D170F4"/>
    <w:rsid w:val="00D1728C"/>
    <w:rsid w:val="00D17301"/>
    <w:rsid w:val="00D17424"/>
    <w:rsid w:val="00D1745C"/>
    <w:rsid w:val="00D1750B"/>
    <w:rsid w:val="00D17537"/>
    <w:rsid w:val="00D177E1"/>
    <w:rsid w:val="00D17A5D"/>
    <w:rsid w:val="00D17B38"/>
    <w:rsid w:val="00D17CF2"/>
    <w:rsid w:val="00D17D1A"/>
    <w:rsid w:val="00D17DD6"/>
    <w:rsid w:val="00D17E00"/>
    <w:rsid w:val="00D17E23"/>
    <w:rsid w:val="00D17E48"/>
    <w:rsid w:val="00D17EA8"/>
    <w:rsid w:val="00D17F3C"/>
    <w:rsid w:val="00D20089"/>
    <w:rsid w:val="00D20691"/>
    <w:rsid w:val="00D206B9"/>
    <w:rsid w:val="00D2070C"/>
    <w:rsid w:val="00D2098D"/>
    <w:rsid w:val="00D209FC"/>
    <w:rsid w:val="00D20FC9"/>
    <w:rsid w:val="00D21160"/>
    <w:rsid w:val="00D211A3"/>
    <w:rsid w:val="00D211AA"/>
    <w:rsid w:val="00D213E6"/>
    <w:rsid w:val="00D213F4"/>
    <w:rsid w:val="00D2154E"/>
    <w:rsid w:val="00D21594"/>
    <w:rsid w:val="00D215AA"/>
    <w:rsid w:val="00D218B1"/>
    <w:rsid w:val="00D21B4D"/>
    <w:rsid w:val="00D21B6F"/>
    <w:rsid w:val="00D21C13"/>
    <w:rsid w:val="00D21C9A"/>
    <w:rsid w:val="00D21D23"/>
    <w:rsid w:val="00D21D8C"/>
    <w:rsid w:val="00D21FCE"/>
    <w:rsid w:val="00D220B0"/>
    <w:rsid w:val="00D22359"/>
    <w:rsid w:val="00D226C3"/>
    <w:rsid w:val="00D22700"/>
    <w:rsid w:val="00D229D5"/>
    <w:rsid w:val="00D229D6"/>
    <w:rsid w:val="00D22A93"/>
    <w:rsid w:val="00D22ABC"/>
    <w:rsid w:val="00D22B9F"/>
    <w:rsid w:val="00D22BC0"/>
    <w:rsid w:val="00D22C8C"/>
    <w:rsid w:val="00D22F1D"/>
    <w:rsid w:val="00D231BC"/>
    <w:rsid w:val="00D231D1"/>
    <w:rsid w:val="00D23423"/>
    <w:rsid w:val="00D2345A"/>
    <w:rsid w:val="00D235CB"/>
    <w:rsid w:val="00D23659"/>
    <w:rsid w:val="00D237D9"/>
    <w:rsid w:val="00D23A2B"/>
    <w:rsid w:val="00D23B4B"/>
    <w:rsid w:val="00D23BC6"/>
    <w:rsid w:val="00D2409F"/>
    <w:rsid w:val="00D24404"/>
    <w:rsid w:val="00D247C2"/>
    <w:rsid w:val="00D24993"/>
    <w:rsid w:val="00D24AC3"/>
    <w:rsid w:val="00D24ACF"/>
    <w:rsid w:val="00D24AFF"/>
    <w:rsid w:val="00D24CBA"/>
    <w:rsid w:val="00D24EDD"/>
    <w:rsid w:val="00D2503D"/>
    <w:rsid w:val="00D25167"/>
    <w:rsid w:val="00D2547F"/>
    <w:rsid w:val="00D25669"/>
    <w:rsid w:val="00D256F2"/>
    <w:rsid w:val="00D257BF"/>
    <w:rsid w:val="00D257D5"/>
    <w:rsid w:val="00D25915"/>
    <w:rsid w:val="00D259A8"/>
    <w:rsid w:val="00D25A50"/>
    <w:rsid w:val="00D25AA0"/>
    <w:rsid w:val="00D25AAC"/>
    <w:rsid w:val="00D25AFC"/>
    <w:rsid w:val="00D25B76"/>
    <w:rsid w:val="00D25B8B"/>
    <w:rsid w:val="00D25C37"/>
    <w:rsid w:val="00D25C69"/>
    <w:rsid w:val="00D263B5"/>
    <w:rsid w:val="00D26531"/>
    <w:rsid w:val="00D26799"/>
    <w:rsid w:val="00D26BAC"/>
    <w:rsid w:val="00D26C41"/>
    <w:rsid w:val="00D26D18"/>
    <w:rsid w:val="00D27166"/>
    <w:rsid w:val="00D271AB"/>
    <w:rsid w:val="00D271D5"/>
    <w:rsid w:val="00D2723A"/>
    <w:rsid w:val="00D27404"/>
    <w:rsid w:val="00D2761C"/>
    <w:rsid w:val="00D277EE"/>
    <w:rsid w:val="00D279E8"/>
    <w:rsid w:val="00D27BAA"/>
    <w:rsid w:val="00D27BFD"/>
    <w:rsid w:val="00D3016B"/>
    <w:rsid w:val="00D30240"/>
    <w:rsid w:val="00D3027B"/>
    <w:rsid w:val="00D303A6"/>
    <w:rsid w:val="00D303C9"/>
    <w:rsid w:val="00D304A2"/>
    <w:rsid w:val="00D30576"/>
    <w:rsid w:val="00D3063F"/>
    <w:rsid w:val="00D30695"/>
    <w:rsid w:val="00D30712"/>
    <w:rsid w:val="00D30990"/>
    <w:rsid w:val="00D30B34"/>
    <w:rsid w:val="00D30B6D"/>
    <w:rsid w:val="00D30CEC"/>
    <w:rsid w:val="00D30D45"/>
    <w:rsid w:val="00D30DE6"/>
    <w:rsid w:val="00D30F32"/>
    <w:rsid w:val="00D310D8"/>
    <w:rsid w:val="00D3116E"/>
    <w:rsid w:val="00D314B8"/>
    <w:rsid w:val="00D31670"/>
    <w:rsid w:val="00D3168D"/>
    <w:rsid w:val="00D316BE"/>
    <w:rsid w:val="00D316C9"/>
    <w:rsid w:val="00D31882"/>
    <w:rsid w:val="00D31EBF"/>
    <w:rsid w:val="00D31FBD"/>
    <w:rsid w:val="00D32032"/>
    <w:rsid w:val="00D3204E"/>
    <w:rsid w:val="00D321F1"/>
    <w:rsid w:val="00D32203"/>
    <w:rsid w:val="00D32219"/>
    <w:rsid w:val="00D32244"/>
    <w:rsid w:val="00D3247B"/>
    <w:rsid w:val="00D3252C"/>
    <w:rsid w:val="00D32678"/>
    <w:rsid w:val="00D32854"/>
    <w:rsid w:val="00D32926"/>
    <w:rsid w:val="00D3293E"/>
    <w:rsid w:val="00D3295E"/>
    <w:rsid w:val="00D32C27"/>
    <w:rsid w:val="00D32CFB"/>
    <w:rsid w:val="00D33030"/>
    <w:rsid w:val="00D33033"/>
    <w:rsid w:val="00D3317A"/>
    <w:rsid w:val="00D333E7"/>
    <w:rsid w:val="00D3340C"/>
    <w:rsid w:val="00D334B1"/>
    <w:rsid w:val="00D335D5"/>
    <w:rsid w:val="00D337E7"/>
    <w:rsid w:val="00D337F6"/>
    <w:rsid w:val="00D33AF6"/>
    <w:rsid w:val="00D33D79"/>
    <w:rsid w:val="00D33D8E"/>
    <w:rsid w:val="00D33D9A"/>
    <w:rsid w:val="00D33DEE"/>
    <w:rsid w:val="00D33F69"/>
    <w:rsid w:val="00D34079"/>
    <w:rsid w:val="00D34101"/>
    <w:rsid w:val="00D3417C"/>
    <w:rsid w:val="00D3431F"/>
    <w:rsid w:val="00D34582"/>
    <w:rsid w:val="00D34588"/>
    <w:rsid w:val="00D345DE"/>
    <w:rsid w:val="00D34675"/>
    <w:rsid w:val="00D346A3"/>
    <w:rsid w:val="00D34809"/>
    <w:rsid w:val="00D3489F"/>
    <w:rsid w:val="00D34A17"/>
    <w:rsid w:val="00D34B26"/>
    <w:rsid w:val="00D34CFA"/>
    <w:rsid w:val="00D34EDF"/>
    <w:rsid w:val="00D35158"/>
    <w:rsid w:val="00D3521A"/>
    <w:rsid w:val="00D3522F"/>
    <w:rsid w:val="00D35658"/>
    <w:rsid w:val="00D35743"/>
    <w:rsid w:val="00D35830"/>
    <w:rsid w:val="00D35DBA"/>
    <w:rsid w:val="00D35FAF"/>
    <w:rsid w:val="00D36225"/>
    <w:rsid w:val="00D36407"/>
    <w:rsid w:val="00D36606"/>
    <w:rsid w:val="00D36A73"/>
    <w:rsid w:val="00D36B1A"/>
    <w:rsid w:val="00D36D46"/>
    <w:rsid w:val="00D36DFD"/>
    <w:rsid w:val="00D36E96"/>
    <w:rsid w:val="00D371E9"/>
    <w:rsid w:val="00D37301"/>
    <w:rsid w:val="00D374F6"/>
    <w:rsid w:val="00D375C6"/>
    <w:rsid w:val="00D3761F"/>
    <w:rsid w:val="00D37675"/>
    <w:rsid w:val="00D3785A"/>
    <w:rsid w:val="00D379BA"/>
    <w:rsid w:val="00D37A46"/>
    <w:rsid w:val="00D37B14"/>
    <w:rsid w:val="00D37D23"/>
    <w:rsid w:val="00D37E9D"/>
    <w:rsid w:val="00D37F18"/>
    <w:rsid w:val="00D400FD"/>
    <w:rsid w:val="00D4052B"/>
    <w:rsid w:val="00D40535"/>
    <w:rsid w:val="00D40706"/>
    <w:rsid w:val="00D40BCB"/>
    <w:rsid w:val="00D40E46"/>
    <w:rsid w:val="00D40EB2"/>
    <w:rsid w:val="00D41183"/>
    <w:rsid w:val="00D41391"/>
    <w:rsid w:val="00D41905"/>
    <w:rsid w:val="00D41AA5"/>
    <w:rsid w:val="00D41C09"/>
    <w:rsid w:val="00D41CF7"/>
    <w:rsid w:val="00D41EDF"/>
    <w:rsid w:val="00D41F21"/>
    <w:rsid w:val="00D42362"/>
    <w:rsid w:val="00D42654"/>
    <w:rsid w:val="00D4275D"/>
    <w:rsid w:val="00D428DA"/>
    <w:rsid w:val="00D429C5"/>
    <w:rsid w:val="00D42A43"/>
    <w:rsid w:val="00D42B77"/>
    <w:rsid w:val="00D42CCD"/>
    <w:rsid w:val="00D42D12"/>
    <w:rsid w:val="00D4301F"/>
    <w:rsid w:val="00D433BB"/>
    <w:rsid w:val="00D434AB"/>
    <w:rsid w:val="00D436A2"/>
    <w:rsid w:val="00D436EA"/>
    <w:rsid w:val="00D439F8"/>
    <w:rsid w:val="00D43B25"/>
    <w:rsid w:val="00D43D36"/>
    <w:rsid w:val="00D43DC7"/>
    <w:rsid w:val="00D43E5F"/>
    <w:rsid w:val="00D43F8C"/>
    <w:rsid w:val="00D440D8"/>
    <w:rsid w:val="00D440F0"/>
    <w:rsid w:val="00D44290"/>
    <w:rsid w:val="00D44319"/>
    <w:rsid w:val="00D443A9"/>
    <w:rsid w:val="00D444B0"/>
    <w:rsid w:val="00D4471D"/>
    <w:rsid w:val="00D447ED"/>
    <w:rsid w:val="00D44A28"/>
    <w:rsid w:val="00D44A52"/>
    <w:rsid w:val="00D44AA5"/>
    <w:rsid w:val="00D44AE2"/>
    <w:rsid w:val="00D44BC1"/>
    <w:rsid w:val="00D44CCD"/>
    <w:rsid w:val="00D44D49"/>
    <w:rsid w:val="00D44E6D"/>
    <w:rsid w:val="00D450D1"/>
    <w:rsid w:val="00D450F3"/>
    <w:rsid w:val="00D4517E"/>
    <w:rsid w:val="00D452A3"/>
    <w:rsid w:val="00D45381"/>
    <w:rsid w:val="00D45386"/>
    <w:rsid w:val="00D45564"/>
    <w:rsid w:val="00D456A1"/>
    <w:rsid w:val="00D45775"/>
    <w:rsid w:val="00D457DE"/>
    <w:rsid w:val="00D458C7"/>
    <w:rsid w:val="00D45955"/>
    <w:rsid w:val="00D45AFD"/>
    <w:rsid w:val="00D462B4"/>
    <w:rsid w:val="00D4636E"/>
    <w:rsid w:val="00D46430"/>
    <w:rsid w:val="00D46432"/>
    <w:rsid w:val="00D464C9"/>
    <w:rsid w:val="00D464F1"/>
    <w:rsid w:val="00D466AD"/>
    <w:rsid w:val="00D468A9"/>
    <w:rsid w:val="00D46BA8"/>
    <w:rsid w:val="00D46FEE"/>
    <w:rsid w:val="00D47014"/>
    <w:rsid w:val="00D47074"/>
    <w:rsid w:val="00D470B8"/>
    <w:rsid w:val="00D4713E"/>
    <w:rsid w:val="00D47199"/>
    <w:rsid w:val="00D472E4"/>
    <w:rsid w:val="00D47309"/>
    <w:rsid w:val="00D47398"/>
    <w:rsid w:val="00D475FB"/>
    <w:rsid w:val="00D47712"/>
    <w:rsid w:val="00D47790"/>
    <w:rsid w:val="00D478EA"/>
    <w:rsid w:val="00D47B86"/>
    <w:rsid w:val="00D47E83"/>
    <w:rsid w:val="00D500E4"/>
    <w:rsid w:val="00D50110"/>
    <w:rsid w:val="00D509C0"/>
    <w:rsid w:val="00D50A7B"/>
    <w:rsid w:val="00D50CD6"/>
    <w:rsid w:val="00D50D34"/>
    <w:rsid w:val="00D50F82"/>
    <w:rsid w:val="00D51048"/>
    <w:rsid w:val="00D51441"/>
    <w:rsid w:val="00D514F5"/>
    <w:rsid w:val="00D51598"/>
    <w:rsid w:val="00D51688"/>
    <w:rsid w:val="00D5176B"/>
    <w:rsid w:val="00D51795"/>
    <w:rsid w:val="00D51885"/>
    <w:rsid w:val="00D51A54"/>
    <w:rsid w:val="00D51E0B"/>
    <w:rsid w:val="00D52110"/>
    <w:rsid w:val="00D5222F"/>
    <w:rsid w:val="00D5240D"/>
    <w:rsid w:val="00D52419"/>
    <w:rsid w:val="00D5245B"/>
    <w:rsid w:val="00D52469"/>
    <w:rsid w:val="00D524EF"/>
    <w:rsid w:val="00D52636"/>
    <w:rsid w:val="00D52706"/>
    <w:rsid w:val="00D52736"/>
    <w:rsid w:val="00D528BE"/>
    <w:rsid w:val="00D529D8"/>
    <w:rsid w:val="00D52A4A"/>
    <w:rsid w:val="00D52A85"/>
    <w:rsid w:val="00D52AD7"/>
    <w:rsid w:val="00D52E45"/>
    <w:rsid w:val="00D52E81"/>
    <w:rsid w:val="00D5303F"/>
    <w:rsid w:val="00D531FF"/>
    <w:rsid w:val="00D5320B"/>
    <w:rsid w:val="00D53458"/>
    <w:rsid w:val="00D53486"/>
    <w:rsid w:val="00D5355F"/>
    <w:rsid w:val="00D53601"/>
    <w:rsid w:val="00D538FD"/>
    <w:rsid w:val="00D54309"/>
    <w:rsid w:val="00D54433"/>
    <w:rsid w:val="00D54451"/>
    <w:rsid w:val="00D544AA"/>
    <w:rsid w:val="00D54593"/>
    <w:rsid w:val="00D5472E"/>
    <w:rsid w:val="00D547B6"/>
    <w:rsid w:val="00D54966"/>
    <w:rsid w:val="00D54B04"/>
    <w:rsid w:val="00D54C36"/>
    <w:rsid w:val="00D54C97"/>
    <w:rsid w:val="00D54E28"/>
    <w:rsid w:val="00D55119"/>
    <w:rsid w:val="00D55123"/>
    <w:rsid w:val="00D55157"/>
    <w:rsid w:val="00D55497"/>
    <w:rsid w:val="00D55541"/>
    <w:rsid w:val="00D55BE1"/>
    <w:rsid w:val="00D55C4E"/>
    <w:rsid w:val="00D55F69"/>
    <w:rsid w:val="00D56127"/>
    <w:rsid w:val="00D564D4"/>
    <w:rsid w:val="00D565D7"/>
    <w:rsid w:val="00D56734"/>
    <w:rsid w:val="00D567C6"/>
    <w:rsid w:val="00D56946"/>
    <w:rsid w:val="00D56984"/>
    <w:rsid w:val="00D56A0F"/>
    <w:rsid w:val="00D56A5F"/>
    <w:rsid w:val="00D56B5D"/>
    <w:rsid w:val="00D56F1C"/>
    <w:rsid w:val="00D56F1F"/>
    <w:rsid w:val="00D5705D"/>
    <w:rsid w:val="00D570FC"/>
    <w:rsid w:val="00D5711C"/>
    <w:rsid w:val="00D571C7"/>
    <w:rsid w:val="00D57217"/>
    <w:rsid w:val="00D57236"/>
    <w:rsid w:val="00D572D5"/>
    <w:rsid w:val="00D572D6"/>
    <w:rsid w:val="00D574EB"/>
    <w:rsid w:val="00D5780B"/>
    <w:rsid w:val="00D5786A"/>
    <w:rsid w:val="00D57875"/>
    <w:rsid w:val="00D57C48"/>
    <w:rsid w:val="00D57C87"/>
    <w:rsid w:val="00D57D64"/>
    <w:rsid w:val="00D57E85"/>
    <w:rsid w:val="00D603D1"/>
    <w:rsid w:val="00D604CC"/>
    <w:rsid w:val="00D60764"/>
    <w:rsid w:val="00D60949"/>
    <w:rsid w:val="00D60AE2"/>
    <w:rsid w:val="00D60B01"/>
    <w:rsid w:val="00D60BCD"/>
    <w:rsid w:val="00D60BE0"/>
    <w:rsid w:val="00D60F10"/>
    <w:rsid w:val="00D60F5E"/>
    <w:rsid w:val="00D6104C"/>
    <w:rsid w:val="00D611C8"/>
    <w:rsid w:val="00D611F2"/>
    <w:rsid w:val="00D612A7"/>
    <w:rsid w:val="00D613DE"/>
    <w:rsid w:val="00D614B0"/>
    <w:rsid w:val="00D61568"/>
    <w:rsid w:val="00D615C8"/>
    <w:rsid w:val="00D6178E"/>
    <w:rsid w:val="00D6182C"/>
    <w:rsid w:val="00D6199E"/>
    <w:rsid w:val="00D619E9"/>
    <w:rsid w:val="00D61A19"/>
    <w:rsid w:val="00D61A1F"/>
    <w:rsid w:val="00D61A9C"/>
    <w:rsid w:val="00D61F27"/>
    <w:rsid w:val="00D61F57"/>
    <w:rsid w:val="00D621AC"/>
    <w:rsid w:val="00D6225A"/>
    <w:rsid w:val="00D622A5"/>
    <w:rsid w:val="00D62397"/>
    <w:rsid w:val="00D62579"/>
    <w:rsid w:val="00D6268C"/>
    <w:rsid w:val="00D62753"/>
    <w:rsid w:val="00D62846"/>
    <w:rsid w:val="00D62995"/>
    <w:rsid w:val="00D62C40"/>
    <w:rsid w:val="00D62C7B"/>
    <w:rsid w:val="00D62CD3"/>
    <w:rsid w:val="00D62F55"/>
    <w:rsid w:val="00D6314A"/>
    <w:rsid w:val="00D634EA"/>
    <w:rsid w:val="00D6358B"/>
    <w:rsid w:val="00D635A9"/>
    <w:rsid w:val="00D6362D"/>
    <w:rsid w:val="00D63729"/>
    <w:rsid w:val="00D63759"/>
    <w:rsid w:val="00D637EF"/>
    <w:rsid w:val="00D63810"/>
    <w:rsid w:val="00D638F7"/>
    <w:rsid w:val="00D63A78"/>
    <w:rsid w:val="00D63B20"/>
    <w:rsid w:val="00D63B70"/>
    <w:rsid w:val="00D63E19"/>
    <w:rsid w:val="00D63FA7"/>
    <w:rsid w:val="00D64208"/>
    <w:rsid w:val="00D644DF"/>
    <w:rsid w:val="00D6455B"/>
    <w:rsid w:val="00D64577"/>
    <w:rsid w:val="00D646CE"/>
    <w:rsid w:val="00D64894"/>
    <w:rsid w:val="00D64B5D"/>
    <w:rsid w:val="00D64BA0"/>
    <w:rsid w:val="00D64C93"/>
    <w:rsid w:val="00D65020"/>
    <w:rsid w:val="00D651B4"/>
    <w:rsid w:val="00D652FB"/>
    <w:rsid w:val="00D65324"/>
    <w:rsid w:val="00D65368"/>
    <w:rsid w:val="00D65953"/>
    <w:rsid w:val="00D65DF3"/>
    <w:rsid w:val="00D6628D"/>
    <w:rsid w:val="00D666E1"/>
    <w:rsid w:val="00D66A8C"/>
    <w:rsid w:val="00D66C43"/>
    <w:rsid w:val="00D66DCA"/>
    <w:rsid w:val="00D66E7E"/>
    <w:rsid w:val="00D67221"/>
    <w:rsid w:val="00D6743E"/>
    <w:rsid w:val="00D6748E"/>
    <w:rsid w:val="00D67634"/>
    <w:rsid w:val="00D67679"/>
    <w:rsid w:val="00D67694"/>
    <w:rsid w:val="00D676C7"/>
    <w:rsid w:val="00D67830"/>
    <w:rsid w:val="00D679AE"/>
    <w:rsid w:val="00D67EB0"/>
    <w:rsid w:val="00D703FF"/>
    <w:rsid w:val="00D705BA"/>
    <w:rsid w:val="00D706D3"/>
    <w:rsid w:val="00D70759"/>
    <w:rsid w:val="00D707A5"/>
    <w:rsid w:val="00D70881"/>
    <w:rsid w:val="00D70B6C"/>
    <w:rsid w:val="00D70E1B"/>
    <w:rsid w:val="00D70FD5"/>
    <w:rsid w:val="00D7115B"/>
    <w:rsid w:val="00D71193"/>
    <w:rsid w:val="00D711E6"/>
    <w:rsid w:val="00D71516"/>
    <w:rsid w:val="00D716AF"/>
    <w:rsid w:val="00D717C6"/>
    <w:rsid w:val="00D71887"/>
    <w:rsid w:val="00D71BAE"/>
    <w:rsid w:val="00D71D32"/>
    <w:rsid w:val="00D71DDE"/>
    <w:rsid w:val="00D7200F"/>
    <w:rsid w:val="00D72152"/>
    <w:rsid w:val="00D72508"/>
    <w:rsid w:val="00D72555"/>
    <w:rsid w:val="00D725D8"/>
    <w:rsid w:val="00D72717"/>
    <w:rsid w:val="00D727A8"/>
    <w:rsid w:val="00D72867"/>
    <w:rsid w:val="00D728F6"/>
    <w:rsid w:val="00D72979"/>
    <w:rsid w:val="00D72BE3"/>
    <w:rsid w:val="00D72C2F"/>
    <w:rsid w:val="00D73011"/>
    <w:rsid w:val="00D7304A"/>
    <w:rsid w:val="00D730CB"/>
    <w:rsid w:val="00D7310C"/>
    <w:rsid w:val="00D7319A"/>
    <w:rsid w:val="00D7339C"/>
    <w:rsid w:val="00D733B7"/>
    <w:rsid w:val="00D73410"/>
    <w:rsid w:val="00D735FD"/>
    <w:rsid w:val="00D736A1"/>
    <w:rsid w:val="00D738C9"/>
    <w:rsid w:val="00D739C5"/>
    <w:rsid w:val="00D73D7A"/>
    <w:rsid w:val="00D73DA3"/>
    <w:rsid w:val="00D7410C"/>
    <w:rsid w:val="00D74141"/>
    <w:rsid w:val="00D742CE"/>
    <w:rsid w:val="00D74340"/>
    <w:rsid w:val="00D744DC"/>
    <w:rsid w:val="00D74677"/>
    <w:rsid w:val="00D747D8"/>
    <w:rsid w:val="00D747EA"/>
    <w:rsid w:val="00D74861"/>
    <w:rsid w:val="00D74A10"/>
    <w:rsid w:val="00D74B10"/>
    <w:rsid w:val="00D74BF0"/>
    <w:rsid w:val="00D74BFD"/>
    <w:rsid w:val="00D74C32"/>
    <w:rsid w:val="00D74C5F"/>
    <w:rsid w:val="00D74CF6"/>
    <w:rsid w:val="00D74D9B"/>
    <w:rsid w:val="00D74DE5"/>
    <w:rsid w:val="00D74E89"/>
    <w:rsid w:val="00D74F4C"/>
    <w:rsid w:val="00D750A8"/>
    <w:rsid w:val="00D752E5"/>
    <w:rsid w:val="00D753DB"/>
    <w:rsid w:val="00D753FF"/>
    <w:rsid w:val="00D75428"/>
    <w:rsid w:val="00D75434"/>
    <w:rsid w:val="00D75473"/>
    <w:rsid w:val="00D75548"/>
    <w:rsid w:val="00D7554E"/>
    <w:rsid w:val="00D7568D"/>
    <w:rsid w:val="00D7591A"/>
    <w:rsid w:val="00D75C9C"/>
    <w:rsid w:val="00D75D6A"/>
    <w:rsid w:val="00D75EA0"/>
    <w:rsid w:val="00D75EA3"/>
    <w:rsid w:val="00D75EE6"/>
    <w:rsid w:val="00D7632C"/>
    <w:rsid w:val="00D764F5"/>
    <w:rsid w:val="00D76981"/>
    <w:rsid w:val="00D76B2D"/>
    <w:rsid w:val="00D76CC3"/>
    <w:rsid w:val="00D76D0E"/>
    <w:rsid w:val="00D76E69"/>
    <w:rsid w:val="00D7703B"/>
    <w:rsid w:val="00D7706D"/>
    <w:rsid w:val="00D771DF"/>
    <w:rsid w:val="00D771ED"/>
    <w:rsid w:val="00D77442"/>
    <w:rsid w:val="00D7756C"/>
    <w:rsid w:val="00D7756D"/>
    <w:rsid w:val="00D77842"/>
    <w:rsid w:val="00D7794C"/>
    <w:rsid w:val="00D77BE3"/>
    <w:rsid w:val="00D77C6B"/>
    <w:rsid w:val="00D77D95"/>
    <w:rsid w:val="00D77FDD"/>
    <w:rsid w:val="00D802AF"/>
    <w:rsid w:val="00D804DD"/>
    <w:rsid w:val="00D80B17"/>
    <w:rsid w:val="00D80B77"/>
    <w:rsid w:val="00D80EC0"/>
    <w:rsid w:val="00D80FC3"/>
    <w:rsid w:val="00D8104B"/>
    <w:rsid w:val="00D8148B"/>
    <w:rsid w:val="00D816F6"/>
    <w:rsid w:val="00D8171C"/>
    <w:rsid w:val="00D8172D"/>
    <w:rsid w:val="00D8179E"/>
    <w:rsid w:val="00D817D8"/>
    <w:rsid w:val="00D8185E"/>
    <w:rsid w:val="00D81D4F"/>
    <w:rsid w:val="00D81E61"/>
    <w:rsid w:val="00D82087"/>
    <w:rsid w:val="00D82930"/>
    <w:rsid w:val="00D82947"/>
    <w:rsid w:val="00D829BE"/>
    <w:rsid w:val="00D829E1"/>
    <w:rsid w:val="00D82B20"/>
    <w:rsid w:val="00D82C02"/>
    <w:rsid w:val="00D82C0A"/>
    <w:rsid w:val="00D82D24"/>
    <w:rsid w:val="00D82E9B"/>
    <w:rsid w:val="00D82EA3"/>
    <w:rsid w:val="00D82F10"/>
    <w:rsid w:val="00D82FAD"/>
    <w:rsid w:val="00D8301A"/>
    <w:rsid w:val="00D83079"/>
    <w:rsid w:val="00D830F3"/>
    <w:rsid w:val="00D83316"/>
    <w:rsid w:val="00D8376F"/>
    <w:rsid w:val="00D83ACE"/>
    <w:rsid w:val="00D83CC8"/>
    <w:rsid w:val="00D83DCE"/>
    <w:rsid w:val="00D83EB4"/>
    <w:rsid w:val="00D83EFE"/>
    <w:rsid w:val="00D84090"/>
    <w:rsid w:val="00D843A8"/>
    <w:rsid w:val="00D843D1"/>
    <w:rsid w:val="00D84406"/>
    <w:rsid w:val="00D8461B"/>
    <w:rsid w:val="00D84674"/>
    <w:rsid w:val="00D846F9"/>
    <w:rsid w:val="00D847B6"/>
    <w:rsid w:val="00D847F2"/>
    <w:rsid w:val="00D8480A"/>
    <w:rsid w:val="00D84881"/>
    <w:rsid w:val="00D84B1D"/>
    <w:rsid w:val="00D84C98"/>
    <w:rsid w:val="00D84CFE"/>
    <w:rsid w:val="00D850A4"/>
    <w:rsid w:val="00D85138"/>
    <w:rsid w:val="00D8525E"/>
    <w:rsid w:val="00D8530D"/>
    <w:rsid w:val="00D8546D"/>
    <w:rsid w:val="00D85A1B"/>
    <w:rsid w:val="00D85D10"/>
    <w:rsid w:val="00D85D26"/>
    <w:rsid w:val="00D85E93"/>
    <w:rsid w:val="00D85F0A"/>
    <w:rsid w:val="00D85F91"/>
    <w:rsid w:val="00D862A5"/>
    <w:rsid w:val="00D86345"/>
    <w:rsid w:val="00D863A9"/>
    <w:rsid w:val="00D865B4"/>
    <w:rsid w:val="00D86717"/>
    <w:rsid w:val="00D8687A"/>
    <w:rsid w:val="00D869E9"/>
    <w:rsid w:val="00D86FCB"/>
    <w:rsid w:val="00D870F4"/>
    <w:rsid w:val="00D872EA"/>
    <w:rsid w:val="00D8736E"/>
    <w:rsid w:val="00D87491"/>
    <w:rsid w:val="00D87569"/>
    <w:rsid w:val="00D8759C"/>
    <w:rsid w:val="00D876EB"/>
    <w:rsid w:val="00D87A04"/>
    <w:rsid w:val="00D87C98"/>
    <w:rsid w:val="00D87D6E"/>
    <w:rsid w:val="00D87DA4"/>
    <w:rsid w:val="00D87F8C"/>
    <w:rsid w:val="00D90353"/>
    <w:rsid w:val="00D903D0"/>
    <w:rsid w:val="00D903DC"/>
    <w:rsid w:val="00D904EF"/>
    <w:rsid w:val="00D9058A"/>
    <w:rsid w:val="00D9087C"/>
    <w:rsid w:val="00D9095B"/>
    <w:rsid w:val="00D90B15"/>
    <w:rsid w:val="00D90B7C"/>
    <w:rsid w:val="00D90C9A"/>
    <w:rsid w:val="00D90CAC"/>
    <w:rsid w:val="00D90E18"/>
    <w:rsid w:val="00D9112E"/>
    <w:rsid w:val="00D913AB"/>
    <w:rsid w:val="00D9143E"/>
    <w:rsid w:val="00D91475"/>
    <w:rsid w:val="00D915E3"/>
    <w:rsid w:val="00D9160C"/>
    <w:rsid w:val="00D91702"/>
    <w:rsid w:val="00D91737"/>
    <w:rsid w:val="00D9189A"/>
    <w:rsid w:val="00D9194E"/>
    <w:rsid w:val="00D91AB4"/>
    <w:rsid w:val="00D91C7D"/>
    <w:rsid w:val="00D91EB0"/>
    <w:rsid w:val="00D92363"/>
    <w:rsid w:val="00D923BB"/>
    <w:rsid w:val="00D9245D"/>
    <w:rsid w:val="00D92865"/>
    <w:rsid w:val="00D9293B"/>
    <w:rsid w:val="00D92D2D"/>
    <w:rsid w:val="00D92FD7"/>
    <w:rsid w:val="00D9311F"/>
    <w:rsid w:val="00D93238"/>
    <w:rsid w:val="00D932F3"/>
    <w:rsid w:val="00D9330C"/>
    <w:rsid w:val="00D933F2"/>
    <w:rsid w:val="00D93558"/>
    <w:rsid w:val="00D93827"/>
    <w:rsid w:val="00D938EF"/>
    <w:rsid w:val="00D93A42"/>
    <w:rsid w:val="00D93B63"/>
    <w:rsid w:val="00D93C76"/>
    <w:rsid w:val="00D93EC9"/>
    <w:rsid w:val="00D93F31"/>
    <w:rsid w:val="00D941D6"/>
    <w:rsid w:val="00D94510"/>
    <w:rsid w:val="00D945CF"/>
    <w:rsid w:val="00D94636"/>
    <w:rsid w:val="00D94767"/>
    <w:rsid w:val="00D94797"/>
    <w:rsid w:val="00D94882"/>
    <w:rsid w:val="00D949F7"/>
    <w:rsid w:val="00D94AFC"/>
    <w:rsid w:val="00D94B18"/>
    <w:rsid w:val="00D94C3C"/>
    <w:rsid w:val="00D94C67"/>
    <w:rsid w:val="00D94CED"/>
    <w:rsid w:val="00D94DB9"/>
    <w:rsid w:val="00D9507D"/>
    <w:rsid w:val="00D95741"/>
    <w:rsid w:val="00D95BBF"/>
    <w:rsid w:val="00D95C40"/>
    <w:rsid w:val="00D95DC1"/>
    <w:rsid w:val="00D95EB8"/>
    <w:rsid w:val="00D95F3E"/>
    <w:rsid w:val="00D96157"/>
    <w:rsid w:val="00D9633C"/>
    <w:rsid w:val="00D96631"/>
    <w:rsid w:val="00D9689F"/>
    <w:rsid w:val="00D96BDB"/>
    <w:rsid w:val="00D96CA0"/>
    <w:rsid w:val="00D96CB5"/>
    <w:rsid w:val="00D96D8C"/>
    <w:rsid w:val="00D96F7A"/>
    <w:rsid w:val="00D972B5"/>
    <w:rsid w:val="00D975AF"/>
    <w:rsid w:val="00D975FF"/>
    <w:rsid w:val="00D97788"/>
    <w:rsid w:val="00D97822"/>
    <w:rsid w:val="00D97954"/>
    <w:rsid w:val="00D979C8"/>
    <w:rsid w:val="00D979EF"/>
    <w:rsid w:val="00D97AC6"/>
    <w:rsid w:val="00D97C32"/>
    <w:rsid w:val="00D97DF9"/>
    <w:rsid w:val="00D97EE4"/>
    <w:rsid w:val="00D97EE7"/>
    <w:rsid w:val="00D97F89"/>
    <w:rsid w:val="00DA0107"/>
    <w:rsid w:val="00DA0197"/>
    <w:rsid w:val="00DA0259"/>
    <w:rsid w:val="00DA02F3"/>
    <w:rsid w:val="00DA0353"/>
    <w:rsid w:val="00DA043A"/>
    <w:rsid w:val="00DA06D9"/>
    <w:rsid w:val="00DA0A52"/>
    <w:rsid w:val="00DA0A89"/>
    <w:rsid w:val="00DA0B18"/>
    <w:rsid w:val="00DA0BF5"/>
    <w:rsid w:val="00DA0C1C"/>
    <w:rsid w:val="00DA0D7A"/>
    <w:rsid w:val="00DA0E0C"/>
    <w:rsid w:val="00DA0E6E"/>
    <w:rsid w:val="00DA0E8F"/>
    <w:rsid w:val="00DA1053"/>
    <w:rsid w:val="00DA108F"/>
    <w:rsid w:val="00DA1811"/>
    <w:rsid w:val="00DA195D"/>
    <w:rsid w:val="00DA1C00"/>
    <w:rsid w:val="00DA1D67"/>
    <w:rsid w:val="00DA25E1"/>
    <w:rsid w:val="00DA2A6D"/>
    <w:rsid w:val="00DA2EE4"/>
    <w:rsid w:val="00DA2F9B"/>
    <w:rsid w:val="00DA30A4"/>
    <w:rsid w:val="00DA30E3"/>
    <w:rsid w:val="00DA3198"/>
    <w:rsid w:val="00DA32BB"/>
    <w:rsid w:val="00DA32D0"/>
    <w:rsid w:val="00DA32F6"/>
    <w:rsid w:val="00DA3390"/>
    <w:rsid w:val="00DA39CB"/>
    <w:rsid w:val="00DA3AD3"/>
    <w:rsid w:val="00DA3CDE"/>
    <w:rsid w:val="00DA3D08"/>
    <w:rsid w:val="00DA3E17"/>
    <w:rsid w:val="00DA3E4A"/>
    <w:rsid w:val="00DA4355"/>
    <w:rsid w:val="00DA467C"/>
    <w:rsid w:val="00DA4837"/>
    <w:rsid w:val="00DA4853"/>
    <w:rsid w:val="00DA4B37"/>
    <w:rsid w:val="00DA4BFC"/>
    <w:rsid w:val="00DA4C55"/>
    <w:rsid w:val="00DA4CD3"/>
    <w:rsid w:val="00DA4DD4"/>
    <w:rsid w:val="00DA4E24"/>
    <w:rsid w:val="00DA503B"/>
    <w:rsid w:val="00DA5203"/>
    <w:rsid w:val="00DA5231"/>
    <w:rsid w:val="00DA545A"/>
    <w:rsid w:val="00DA5487"/>
    <w:rsid w:val="00DA5856"/>
    <w:rsid w:val="00DA596A"/>
    <w:rsid w:val="00DA5BF2"/>
    <w:rsid w:val="00DA5DFB"/>
    <w:rsid w:val="00DA5E1D"/>
    <w:rsid w:val="00DA5F04"/>
    <w:rsid w:val="00DA5F5F"/>
    <w:rsid w:val="00DA6084"/>
    <w:rsid w:val="00DA618E"/>
    <w:rsid w:val="00DA6191"/>
    <w:rsid w:val="00DA679D"/>
    <w:rsid w:val="00DA67F9"/>
    <w:rsid w:val="00DA69B2"/>
    <w:rsid w:val="00DA6AC9"/>
    <w:rsid w:val="00DA6B20"/>
    <w:rsid w:val="00DA6B69"/>
    <w:rsid w:val="00DA6BE3"/>
    <w:rsid w:val="00DA704A"/>
    <w:rsid w:val="00DA7282"/>
    <w:rsid w:val="00DA7301"/>
    <w:rsid w:val="00DA73B5"/>
    <w:rsid w:val="00DA74B0"/>
    <w:rsid w:val="00DA780F"/>
    <w:rsid w:val="00DA7A4C"/>
    <w:rsid w:val="00DA7EC6"/>
    <w:rsid w:val="00DA7FCF"/>
    <w:rsid w:val="00DB012A"/>
    <w:rsid w:val="00DB0176"/>
    <w:rsid w:val="00DB01CB"/>
    <w:rsid w:val="00DB01D4"/>
    <w:rsid w:val="00DB02E9"/>
    <w:rsid w:val="00DB0628"/>
    <w:rsid w:val="00DB068A"/>
    <w:rsid w:val="00DB0B0A"/>
    <w:rsid w:val="00DB0D85"/>
    <w:rsid w:val="00DB0E16"/>
    <w:rsid w:val="00DB0EA6"/>
    <w:rsid w:val="00DB0FBF"/>
    <w:rsid w:val="00DB10E0"/>
    <w:rsid w:val="00DB1156"/>
    <w:rsid w:val="00DB1173"/>
    <w:rsid w:val="00DB131E"/>
    <w:rsid w:val="00DB1572"/>
    <w:rsid w:val="00DB15BD"/>
    <w:rsid w:val="00DB15F1"/>
    <w:rsid w:val="00DB16D7"/>
    <w:rsid w:val="00DB194C"/>
    <w:rsid w:val="00DB1A53"/>
    <w:rsid w:val="00DB1B5D"/>
    <w:rsid w:val="00DB1BFE"/>
    <w:rsid w:val="00DB2302"/>
    <w:rsid w:val="00DB2440"/>
    <w:rsid w:val="00DB2660"/>
    <w:rsid w:val="00DB2870"/>
    <w:rsid w:val="00DB291B"/>
    <w:rsid w:val="00DB2C06"/>
    <w:rsid w:val="00DB2C53"/>
    <w:rsid w:val="00DB2D05"/>
    <w:rsid w:val="00DB2F17"/>
    <w:rsid w:val="00DB2F3E"/>
    <w:rsid w:val="00DB2F82"/>
    <w:rsid w:val="00DB2F93"/>
    <w:rsid w:val="00DB3063"/>
    <w:rsid w:val="00DB3118"/>
    <w:rsid w:val="00DB3157"/>
    <w:rsid w:val="00DB3395"/>
    <w:rsid w:val="00DB34AB"/>
    <w:rsid w:val="00DB34DC"/>
    <w:rsid w:val="00DB3560"/>
    <w:rsid w:val="00DB3614"/>
    <w:rsid w:val="00DB36B9"/>
    <w:rsid w:val="00DB38E3"/>
    <w:rsid w:val="00DB3982"/>
    <w:rsid w:val="00DB3A70"/>
    <w:rsid w:val="00DB3AF1"/>
    <w:rsid w:val="00DB3E93"/>
    <w:rsid w:val="00DB406C"/>
    <w:rsid w:val="00DB40DB"/>
    <w:rsid w:val="00DB40E3"/>
    <w:rsid w:val="00DB41A7"/>
    <w:rsid w:val="00DB4229"/>
    <w:rsid w:val="00DB422B"/>
    <w:rsid w:val="00DB42D6"/>
    <w:rsid w:val="00DB43FF"/>
    <w:rsid w:val="00DB44EF"/>
    <w:rsid w:val="00DB44FE"/>
    <w:rsid w:val="00DB4755"/>
    <w:rsid w:val="00DB47B9"/>
    <w:rsid w:val="00DB47DF"/>
    <w:rsid w:val="00DB4858"/>
    <w:rsid w:val="00DB4922"/>
    <w:rsid w:val="00DB4EB4"/>
    <w:rsid w:val="00DB4F82"/>
    <w:rsid w:val="00DB51BD"/>
    <w:rsid w:val="00DB53AC"/>
    <w:rsid w:val="00DB55A1"/>
    <w:rsid w:val="00DB55CE"/>
    <w:rsid w:val="00DB56F0"/>
    <w:rsid w:val="00DB5B19"/>
    <w:rsid w:val="00DB5C9E"/>
    <w:rsid w:val="00DB5D36"/>
    <w:rsid w:val="00DB5DAB"/>
    <w:rsid w:val="00DB5DDD"/>
    <w:rsid w:val="00DB5E5A"/>
    <w:rsid w:val="00DB5F75"/>
    <w:rsid w:val="00DB61D0"/>
    <w:rsid w:val="00DB6230"/>
    <w:rsid w:val="00DB625F"/>
    <w:rsid w:val="00DB627F"/>
    <w:rsid w:val="00DB644B"/>
    <w:rsid w:val="00DB6483"/>
    <w:rsid w:val="00DB66A8"/>
    <w:rsid w:val="00DB67DD"/>
    <w:rsid w:val="00DB6865"/>
    <w:rsid w:val="00DB68FD"/>
    <w:rsid w:val="00DB691A"/>
    <w:rsid w:val="00DB6946"/>
    <w:rsid w:val="00DB6D39"/>
    <w:rsid w:val="00DB708E"/>
    <w:rsid w:val="00DB70D4"/>
    <w:rsid w:val="00DB7156"/>
    <w:rsid w:val="00DB71C0"/>
    <w:rsid w:val="00DB7364"/>
    <w:rsid w:val="00DB7414"/>
    <w:rsid w:val="00DB74CE"/>
    <w:rsid w:val="00DB755C"/>
    <w:rsid w:val="00DB75B8"/>
    <w:rsid w:val="00DB7866"/>
    <w:rsid w:val="00DB78BB"/>
    <w:rsid w:val="00DB7AC7"/>
    <w:rsid w:val="00DB7C51"/>
    <w:rsid w:val="00DB7D6F"/>
    <w:rsid w:val="00DB7D74"/>
    <w:rsid w:val="00DB7DA8"/>
    <w:rsid w:val="00DB7E31"/>
    <w:rsid w:val="00DB7E7E"/>
    <w:rsid w:val="00DB7EC7"/>
    <w:rsid w:val="00DC001F"/>
    <w:rsid w:val="00DC0056"/>
    <w:rsid w:val="00DC00E8"/>
    <w:rsid w:val="00DC01C7"/>
    <w:rsid w:val="00DC0217"/>
    <w:rsid w:val="00DC03B4"/>
    <w:rsid w:val="00DC043E"/>
    <w:rsid w:val="00DC0498"/>
    <w:rsid w:val="00DC054B"/>
    <w:rsid w:val="00DC05AB"/>
    <w:rsid w:val="00DC0902"/>
    <w:rsid w:val="00DC0A96"/>
    <w:rsid w:val="00DC0B14"/>
    <w:rsid w:val="00DC0C30"/>
    <w:rsid w:val="00DC0F10"/>
    <w:rsid w:val="00DC0F8E"/>
    <w:rsid w:val="00DC106B"/>
    <w:rsid w:val="00DC10DE"/>
    <w:rsid w:val="00DC11B1"/>
    <w:rsid w:val="00DC120F"/>
    <w:rsid w:val="00DC12A1"/>
    <w:rsid w:val="00DC130C"/>
    <w:rsid w:val="00DC16D4"/>
    <w:rsid w:val="00DC17BA"/>
    <w:rsid w:val="00DC1988"/>
    <w:rsid w:val="00DC1AA7"/>
    <w:rsid w:val="00DC1BA4"/>
    <w:rsid w:val="00DC1ED3"/>
    <w:rsid w:val="00DC1F15"/>
    <w:rsid w:val="00DC2096"/>
    <w:rsid w:val="00DC22F3"/>
    <w:rsid w:val="00DC2647"/>
    <w:rsid w:val="00DC2658"/>
    <w:rsid w:val="00DC2704"/>
    <w:rsid w:val="00DC2942"/>
    <w:rsid w:val="00DC2A6C"/>
    <w:rsid w:val="00DC2B9E"/>
    <w:rsid w:val="00DC2C53"/>
    <w:rsid w:val="00DC2D34"/>
    <w:rsid w:val="00DC2D6D"/>
    <w:rsid w:val="00DC34CB"/>
    <w:rsid w:val="00DC34D5"/>
    <w:rsid w:val="00DC3A5C"/>
    <w:rsid w:val="00DC3B17"/>
    <w:rsid w:val="00DC3C28"/>
    <w:rsid w:val="00DC3D04"/>
    <w:rsid w:val="00DC4164"/>
    <w:rsid w:val="00DC4262"/>
    <w:rsid w:val="00DC4482"/>
    <w:rsid w:val="00DC457E"/>
    <w:rsid w:val="00DC45EE"/>
    <w:rsid w:val="00DC463B"/>
    <w:rsid w:val="00DC4821"/>
    <w:rsid w:val="00DC49AC"/>
    <w:rsid w:val="00DC4B2A"/>
    <w:rsid w:val="00DC4BC7"/>
    <w:rsid w:val="00DC4EBE"/>
    <w:rsid w:val="00DC5060"/>
    <w:rsid w:val="00DC517A"/>
    <w:rsid w:val="00DC5215"/>
    <w:rsid w:val="00DC52F5"/>
    <w:rsid w:val="00DC5478"/>
    <w:rsid w:val="00DC5505"/>
    <w:rsid w:val="00DC5563"/>
    <w:rsid w:val="00DC558E"/>
    <w:rsid w:val="00DC55B2"/>
    <w:rsid w:val="00DC5686"/>
    <w:rsid w:val="00DC5687"/>
    <w:rsid w:val="00DC5957"/>
    <w:rsid w:val="00DC5BEB"/>
    <w:rsid w:val="00DC5BEE"/>
    <w:rsid w:val="00DC5D8F"/>
    <w:rsid w:val="00DC614D"/>
    <w:rsid w:val="00DC63CB"/>
    <w:rsid w:val="00DC642C"/>
    <w:rsid w:val="00DC6536"/>
    <w:rsid w:val="00DC65C8"/>
    <w:rsid w:val="00DC6668"/>
    <w:rsid w:val="00DC675F"/>
    <w:rsid w:val="00DC692E"/>
    <w:rsid w:val="00DC6A6F"/>
    <w:rsid w:val="00DC6CFA"/>
    <w:rsid w:val="00DC6E25"/>
    <w:rsid w:val="00DC7118"/>
    <w:rsid w:val="00DC7540"/>
    <w:rsid w:val="00DC78A1"/>
    <w:rsid w:val="00DC79E5"/>
    <w:rsid w:val="00DC7A01"/>
    <w:rsid w:val="00DC7CB0"/>
    <w:rsid w:val="00DC7DB2"/>
    <w:rsid w:val="00DD0658"/>
    <w:rsid w:val="00DD091C"/>
    <w:rsid w:val="00DD0A62"/>
    <w:rsid w:val="00DD0C69"/>
    <w:rsid w:val="00DD0CF5"/>
    <w:rsid w:val="00DD0DC5"/>
    <w:rsid w:val="00DD0F51"/>
    <w:rsid w:val="00DD103F"/>
    <w:rsid w:val="00DD1063"/>
    <w:rsid w:val="00DD10FC"/>
    <w:rsid w:val="00DD1322"/>
    <w:rsid w:val="00DD1325"/>
    <w:rsid w:val="00DD15FB"/>
    <w:rsid w:val="00DD1867"/>
    <w:rsid w:val="00DD18AE"/>
    <w:rsid w:val="00DD18CB"/>
    <w:rsid w:val="00DD19A0"/>
    <w:rsid w:val="00DD1AD0"/>
    <w:rsid w:val="00DD1CAC"/>
    <w:rsid w:val="00DD1CE5"/>
    <w:rsid w:val="00DD1CE6"/>
    <w:rsid w:val="00DD1E89"/>
    <w:rsid w:val="00DD2009"/>
    <w:rsid w:val="00DD21DA"/>
    <w:rsid w:val="00DD2584"/>
    <w:rsid w:val="00DD2612"/>
    <w:rsid w:val="00DD265C"/>
    <w:rsid w:val="00DD27E1"/>
    <w:rsid w:val="00DD2864"/>
    <w:rsid w:val="00DD2885"/>
    <w:rsid w:val="00DD2AE0"/>
    <w:rsid w:val="00DD2CF0"/>
    <w:rsid w:val="00DD3180"/>
    <w:rsid w:val="00DD32DB"/>
    <w:rsid w:val="00DD3351"/>
    <w:rsid w:val="00DD34E0"/>
    <w:rsid w:val="00DD3573"/>
    <w:rsid w:val="00DD3703"/>
    <w:rsid w:val="00DD3757"/>
    <w:rsid w:val="00DD3834"/>
    <w:rsid w:val="00DD3904"/>
    <w:rsid w:val="00DD3B85"/>
    <w:rsid w:val="00DD4068"/>
    <w:rsid w:val="00DD4128"/>
    <w:rsid w:val="00DD4223"/>
    <w:rsid w:val="00DD4998"/>
    <w:rsid w:val="00DD4B89"/>
    <w:rsid w:val="00DD4C70"/>
    <w:rsid w:val="00DD4D4C"/>
    <w:rsid w:val="00DD4D71"/>
    <w:rsid w:val="00DD4DAC"/>
    <w:rsid w:val="00DD4E4E"/>
    <w:rsid w:val="00DD4EC6"/>
    <w:rsid w:val="00DD4F1C"/>
    <w:rsid w:val="00DD5440"/>
    <w:rsid w:val="00DD54DD"/>
    <w:rsid w:val="00DD5511"/>
    <w:rsid w:val="00DD55D5"/>
    <w:rsid w:val="00DD57CB"/>
    <w:rsid w:val="00DD5802"/>
    <w:rsid w:val="00DD5825"/>
    <w:rsid w:val="00DD59A9"/>
    <w:rsid w:val="00DD59BB"/>
    <w:rsid w:val="00DD5ADC"/>
    <w:rsid w:val="00DD5B49"/>
    <w:rsid w:val="00DD5D2C"/>
    <w:rsid w:val="00DD5D9B"/>
    <w:rsid w:val="00DD5DE5"/>
    <w:rsid w:val="00DD5F35"/>
    <w:rsid w:val="00DD605D"/>
    <w:rsid w:val="00DD6253"/>
    <w:rsid w:val="00DD6362"/>
    <w:rsid w:val="00DD64A0"/>
    <w:rsid w:val="00DD6525"/>
    <w:rsid w:val="00DD6544"/>
    <w:rsid w:val="00DD6580"/>
    <w:rsid w:val="00DD670C"/>
    <w:rsid w:val="00DD7085"/>
    <w:rsid w:val="00DD7210"/>
    <w:rsid w:val="00DD730D"/>
    <w:rsid w:val="00DD74BA"/>
    <w:rsid w:val="00DD75FD"/>
    <w:rsid w:val="00DD761D"/>
    <w:rsid w:val="00DD775E"/>
    <w:rsid w:val="00DD7E85"/>
    <w:rsid w:val="00DE0061"/>
    <w:rsid w:val="00DE011E"/>
    <w:rsid w:val="00DE020D"/>
    <w:rsid w:val="00DE0238"/>
    <w:rsid w:val="00DE05CF"/>
    <w:rsid w:val="00DE0760"/>
    <w:rsid w:val="00DE0BBA"/>
    <w:rsid w:val="00DE11F7"/>
    <w:rsid w:val="00DE1275"/>
    <w:rsid w:val="00DE1294"/>
    <w:rsid w:val="00DE1512"/>
    <w:rsid w:val="00DE1647"/>
    <w:rsid w:val="00DE1899"/>
    <w:rsid w:val="00DE18A9"/>
    <w:rsid w:val="00DE1AB8"/>
    <w:rsid w:val="00DE1AE9"/>
    <w:rsid w:val="00DE1B9B"/>
    <w:rsid w:val="00DE1BC2"/>
    <w:rsid w:val="00DE1C16"/>
    <w:rsid w:val="00DE1ECF"/>
    <w:rsid w:val="00DE1F87"/>
    <w:rsid w:val="00DE237F"/>
    <w:rsid w:val="00DE23FC"/>
    <w:rsid w:val="00DE25D4"/>
    <w:rsid w:val="00DE275B"/>
    <w:rsid w:val="00DE27BF"/>
    <w:rsid w:val="00DE2B87"/>
    <w:rsid w:val="00DE2BD1"/>
    <w:rsid w:val="00DE2CD0"/>
    <w:rsid w:val="00DE2CE8"/>
    <w:rsid w:val="00DE2D02"/>
    <w:rsid w:val="00DE2DEE"/>
    <w:rsid w:val="00DE308E"/>
    <w:rsid w:val="00DE313C"/>
    <w:rsid w:val="00DE316D"/>
    <w:rsid w:val="00DE31C7"/>
    <w:rsid w:val="00DE34A8"/>
    <w:rsid w:val="00DE353C"/>
    <w:rsid w:val="00DE3613"/>
    <w:rsid w:val="00DE3744"/>
    <w:rsid w:val="00DE388C"/>
    <w:rsid w:val="00DE38FC"/>
    <w:rsid w:val="00DE3987"/>
    <w:rsid w:val="00DE3B74"/>
    <w:rsid w:val="00DE3E23"/>
    <w:rsid w:val="00DE3E86"/>
    <w:rsid w:val="00DE42A8"/>
    <w:rsid w:val="00DE44FE"/>
    <w:rsid w:val="00DE46FA"/>
    <w:rsid w:val="00DE474D"/>
    <w:rsid w:val="00DE486F"/>
    <w:rsid w:val="00DE4A80"/>
    <w:rsid w:val="00DE4B73"/>
    <w:rsid w:val="00DE4CCC"/>
    <w:rsid w:val="00DE4CD8"/>
    <w:rsid w:val="00DE4D02"/>
    <w:rsid w:val="00DE4ED6"/>
    <w:rsid w:val="00DE4F69"/>
    <w:rsid w:val="00DE50B9"/>
    <w:rsid w:val="00DE51D8"/>
    <w:rsid w:val="00DE5443"/>
    <w:rsid w:val="00DE54DF"/>
    <w:rsid w:val="00DE54FA"/>
    <w:rsid w:val="00DE55CC"/>
    <w:rsid w:val="00DE585C"/>
    <w:rsid w:val="00DE5A65"/>
    <w:rsid w:val="00DE5B2C"/>
    <w:rsid w:val="00DE5C1E"/>
    <w:rsid w:val="00DE5CDF"/>
    <w:rsid w:val="00DE5D48"/>
    <w:rsid w:val="00DE5F67"/>
    <w:rsid w:val="00DE5FF3"/>
    <w:rsid w:val="00DE6149"/>
    <w:rsid w:val="00DE648F"/>
    <w:rsid w:val="00DE656D"/>
    <w:rsid w:val="00DE6579"/>
    <w:rsid w:val="00DE657B"/>
    <w:rsid w:val="00DE65B5"/>
    <w:rsid w:val="00DE65C2"/>
    <w:rsid w:val="00DE6629"/>
    <w:rsid w:val="00DE6788"/>
    <w:rsid w:val="00DE67EB"/>
    <w:rsid w:val="00DE67EF"/>
    <w:rsid w:val="00DE68B7"/>
    <w:rsid w:val="00DE68EB"/>
    <w:rsid w:val="00DE69E8"/>
    <w:rsid w:val="00DE6A90"/>
    <w:rsid w:val="00DE6CA3"/>
    <w:rsid w:val="00DE70B2"/>
    <w:rsid w:val="00DE714C"/>
    <w:rsid w:val="00DE71E7"/>
    <w:rsid w:val="00DE742D"/>
    <w:rsid w:val="00DE7508"/>
    <w:rsid w:val="00DE76B7"/>
    <w:rsid w:val="00DE7809"/>
    <w:rsid w:val="00DE7A98"/>
    <w:rsid w:val="00DE7F6C"/>
    <w:rsid w:val="00DF0519"/>
    <w:rsid w:val="00DF0574"/>
    <w:rsid w:val="00DF0627"/>
    <w:rsid w:val="00DF0636"/>
    <w:rsid w:val="00DF0681"/>
    <w:rsid w:val="00DF06C9"/>
    <w:rsid w:val="00DF06CE"/>
    <w:rsid w:val="00DF0CC0"/>
    <w:rsid w:val="00DF0F64"/>
    <w:rsid w:val="00DF10CD"/>
    <w:rsid w:val="00DF1125"/>
    <w:rsid w:val="00DF14A7"/>
    <w:rsid w:val="00DF14DC"/>
    <w:rsid w:val="00DF153B"/>
    <w:rsid w:val="00DF15E2"/>
    <w:rsid w:val="00DF1672"/>
    <w:rsid w:val="00DF178F"/>
    <w:rsid w:val="00DF19A3"/>
    <w:rsid w:val="00DF1C3F"/>
    <w:rsid w:val="00DF1DEE"/>
    <w:rsid w:val="00DF1F90"/>
    <w:rsid w:val="00DF1FB0"/>
    <w:rsid w:val="00DF244A"/>
    <w:rsid w:val="00DF24E5"/>
    <w:rsid w:val="00DF2620"/>
    <w:rsid w:val="00DF2883"/>
    <w:rsid w:val="00DF2910"/>
    <w:rsid w:val="00DF2BBA"/>
    <w:rsid w:val="00DF2C20"/>
    <w:rsid w:val="00DF2CE4"/>
    <w:rsid w:val="00DF2FC2"/>
    <w:rsid w:val="00DF319F"/>
    <w:rsid w:val="00DF3263"/>
    <w:rsid w:val="00DF3271"/>
    <w:rsid w:val="00DF32C9"/>
    <w:rsid w:val="00DF3472"/>
    <w:rsid w:val="00DF3569"/>
    <w:rsid w:val="00DF3824"/>
    <w:rsid w:val="00DF38B6"/>
    <w:rsid w:val="00DF3AAE"/>
    <w:rsid w:val="00DF3B30"/>
    <w:rsid w:val="00DF3B93"/>
    <w:rsid w:val="00DF3BE8"/>
    <w:rsid w:val="00DF3EB8"/>
    <w:rsid w:val="00DF412D"/>
    <w:rsid w:val="00DF4471"/>
    <w:rsid w:val="00DF4571"/>
    <w:rsid w:val="00DF49CB"/>
    <w:rsid w:val="00DF49CF"/>
    <w:rsid w:val="00DF4C96"/>
    <w:rsid w:val="00DF532A"/>
    <w:rsid w:val="00DF5423"/>
    <w:rsid w:val="00DF5454"/>
    <w:rsid w:val="00DF546C"/>
    <w:rsid w:val="00DF55BB"/>
    <w:rsid w:val="00DF55FB"/>
    <w:rsid w:val="00DF5830"/>
    <w:rsid w:val="00DF58EC"/>
    <w:rsid w:val="00DF5922"/>
    <w:rsid w:val="00DF5AFE"/>
    <w:rsid w:val="00DF5C3D"/>
    <w:rsid w:val="00DF5D1E"/>
    <w:rsid w:val="00DF5D32"/>
    <w:rsid w:val="00DF5DC2"/>
    <w:rsid w:val="00DF5DFD"/>
    <w:rsid w:val="00DF615B"/>
    <w:rsid w:val="00DF619B"/>
    <w:rsid w:val="00DF6544"/>
    <w:rsid w:val="00DF65FF"/>
    <w:rsid w:val="00DF667E"/>
    <w:rsid w:val="00DF677B"/>
    <w:rsid w:val="00DF69EB"/>
    <w:rsid w:val="00DF6AB7"/>
    <w:rsid w:val="00DF6C56"/>
    <w:rsid w:val="00DF6C64"/>
    <w:rsid w:val="00DF6D3C"/>
    <w:rsid w:val="00DF6D74"/>
    <w:rsid w:val="00DF6D79"/>
    <w:rsid w:val="00DF6DF1"/>
    <w:rsid w:val="00DF6EA4"/>
    <w:rsid w:val="00DF6F2A"/>
    <w:rsid w:val="00DF738B"/>
    <w:rsid w:val="00DF74F9"/>
    <w:rsid w:val="00DF75AA"/>
    <w:rsid w:val="00DF778F"/>
    <w:rsid w:val="00DF77F6"/>
    <w:rsid w:val="00DF7952"/>
    <w:rsid w:val="00DF7A28"/>
    <w:rsid w:val="00DF7A2D"/>
    <w:rsid w:val="00DF7C47"/>
    <w:rsid w:val="00DF7C62"/>
    <w:rsid w:val="00DF7C89"/>
    <w:rsid w:val="00DF7E69"/>
    <w:rsid w:val="00DF7EA9"/>
    <w:rsid w:val="00DF7FF7"/>
    <w:rsid w:val="00E000C1"/>
    <w:rsid w:val="00E001A9"/>
    <w:rsid w:val="00E0024F"/>
    <w:rsid w:val="00E00319"/>
    <w:rsid w:val="00E0044F"/>
    <w:rsid w:val="00E00473"/>
    <w:rsid w:val="00E00531"/>
    <w:rsid w:val="00E00888"/>
    <w:rsid w:val="00E008A0"/>
    <w:rsid w:val="00E009D0"/>
    <w:rsid w:val="00E00A76"/>
    <w:rsid w:val="00E00B17"/>
    <w:rsid w:val="00E00BD0"/>
    <w:rsid w:val="00E00C5D"/>
    <w:rsid w:val="00E00D42"/>
    <w:rsid w:val="00E01504"/>
    <w:rsid w:val="00E016A1"/>
    <w:rsid w:val="00E018AC"/>
    <w:rsid w:val="00E018E6"/>
    <w:rsid w:val="00E01932"/>
    <w:rsid w:val="00E01976"/>
    <w:rsid w:val="00E01B30"/>
    <w:rsid w:val="00E01D25"/>
    <w:rsid w:val="00E01E23"/>
    <w:rsid w:val="00E01F8C"/>
    <w:rsid w:val="00E0213A"/>
    <w:rsid w:val="00E02199"/>
    <w:rsid w:val="00E02267"/>
    <w:rsid w:val="00E022E2"/>
    <w:rsid w:val="00E02475"/>
    <w:rsid w:val="00E02523"/>
    <w:rsid w:val="00E02586"/>
    <w:rsid w:val="00E02663"/>
    <w:rsid w:val="00E02770"/>
    <w:rsid w:val="00E02889"/>
    <w:rsid w:val="00E028F7"/>
    <w:rsid w:val="00E02B16"/>
    <w:rsid w:val="00E02B45"/>
    <w:rsid w:val="00E02CC6"/>
    <w:rsid w:val="00E02DB9"/>
    <w:rsid w:val="00E02E28"/>
    <w:rsid w:val="00E02ECD"/>
    <w:rsid w:val="00E02F1E"/>
    <w:rsid w:val="00E031E4"/>
    <w:rsid w:val="00E033D2"/>
    <w:rsid w:val="00E03404"/>
    <w:rsid w:val="00E039F5"/>
    <w:rsid w:val="00E03A16"/>
    <w:rsid w:val="00E03D61"/>
    <w:rsid w:val="00E03D6A"/>
    <w:rsid w:val="00E03DF0"/>
    <w:rsid w:val="00E03E37"/>
    <w:rsid w:val="00E03ED5"/>
    <w:rsid w:val="00E040D4"/>
    <w:rsid w:val="00E04334"/>
    <w:rsid w:val="00E044CF"/>
    <w:rsid w:val="00E0456A"/>
    <w:rsid w:val="00E04667"/>
    <w:rsid w:val="00E04732"/>
    <w:rsid w:val="00E048A3"/>
    <w:rsid w:val="00E04A2D"/>
    <w:rsid w:val="00E04B69"/>
    <w:rsid w:val="00E04BD8"/>
    <w:rsid w:val="00E04FEF"/>
    <w:rsid w:val="00E0516D"/>
    <w:rsid w:val="00E05378"/>
    <w:rsid w:val="00E05394"/>
    <w:rsid w:val="00E054E8"/>
    <w:rsid w:val="00E0575F"/>
    <w:rsid w:val="00E05825"/>
    <w:rsid w:val="00E05A39"/>
    <w:rsid w:val="00E05A5D"/>
    <w:rsid w:val="00E05A70"/>
    <w:rsid w:val="00E05AC1"/>
    <w:rsid w:val="00E05BAF"/>
    <w:rsid w:val="00E05D4E"/>
    <w:rsid w:val="00E05E12"/>
    <w:rsid w:val="00E05EA0"/>
    <w:rsid w:val="00E061CE"/>
    <w:rsid w:val="00E0631D"/>
    <w:rsid w:val="00E06412"/>
    <w:rsid w:val="00E06493"/>
    <w:rsid w:val="00E064FF"/>
    <w:rsid w:val="00E06829"/>
    <w:rsid w:val="00E06C9B"/>
    <w:rsid w:val="00E06EBA"/>
    <w:rsid w:val="00E0717D"/>
    <w:rsid w:val="00E07210"/>
    <w:rsid w:val="00E072AD"/>
    <w:rsid w:val="00E073CE"/>
    <w:rsid w:val="00E074A6"/>
    <w:rsid w:val="00E075AD"/>
    <w:rsid w:val="00E076BD"/>
    <w:rsid w:val="00E077E2"/>
    <w:rsid w:val="00E07A5E"/>
    <w:rsid w:val="00E07C1D"/>
    <w:rsid w:val="00E10164"/>
    <w:rsid w:val="00E10434"/>
    <w:rsid w:val="00E1046F"/>
    <w:rsid w:val="00E10490"/>
    <w:rsid w:val="00E104CC"/>
    <w:rsid w:val="00E105C5"/>
    <w:rsid w:val="00E10901"/>
    <w:rsid w:val="00E109BA"/>
    <w:rsid w:val="00E10BED"/>
    <w:rsid w:val="00E10C18"/>
    <w:rsid w:val="00E10C6F"/>
    <w:rsid w:val="00E10F57"/>
    <w:rsid w:val="00E10FD7"/>
    <w:rsid w:val="00E11009"/>
    <w:rsid w:val="00E11207"/>
    <w:rsid w:val="00E1144A"/>
    <w:rsid w:val="00E115D2"/>
    <w:rsid w:val="00E117DE"/>
    <w:rsid w:val="00E11AB4"/>
    <w:rsid w:val="00E12253"/>
    <w:rsid w:val="00E122C9"/>
    <w:rsid w:val="00E1233D"/>
    <w:rsid w:val="00E1250A"/>
    <w:rsid w:val="00E1258B"/>
    <w:rsid w:val="00E125A0"/>
    <w:rsid w:val="00E1280C"/>
    <w:rsid w:val="00E129F9"/>
    <w:rsid w:val="00E12A55"/>
    <w:rsid w:val="00E12BD4"/>
    <w:rsid w:val="00E12C6A"/>
    <w:rsid w:val="00E12CAD"/>
    <w:rsid w:val="00E12DF0"/>
    <w:rsid w:val="00E12EAE"/>
    <w:rsid w:val="00E12F8B"/>
    <w:rsid w:val="00E12FC2"/>
    <w:rsid w:val="00E132B7"/>
    <w:rsid w:val="00E13339"/>
    <w:rsid w:val="00E13374"/>
    <w:rsid w:val="00E133D3"/>
    <w:rsid w:val="00E1351C"/>
    <w:rsid w:val="00E13594"/>
    <w:rsid w:val="00E1366B"/>
    <w:rsid w:val="00E136AD"/>
    <w:rsid w:val="00E13833"/>
    <w:rsid w:val="00E1384F"/>
    <w:rsid w:val="00E138A9"/>
    <w:rsid w:val="00E138EC"/>
    <w:rsid w:val="00E13BA2"/>
    <w:rsid w:val="00E13BDB"/>
    <w:rsid w:val="00E13CBF"/>
    <w:rsid w:val="00E13D44"/>
    <w:rsid w:val="00E13D98"/>
    <w:rsid w:val="00E13FAA"/>
    <w:rsid w:val="00E14198"/>
    <w:rsid w:val="00E1470E"/>
    <w:rsid w:val="00E147F0"/>
    <w:rsid w:val="00E1490B"/>
    <w:rsid w:val="00E14AD6"/>
    <w:rsid w:val="00E14B05"/>
    <w:rsid w:val="00E14C8C"/>
    <w:rsid w:val="00E15034"/>
    <w:rsid w:val="00E150F5"/>
    <w:rsid w:val="00E152CF"/>
    <w:rsid w:val="00E154CB"/>
    <w:rsid w:val="00E158B1"/>
    <w:rsid w:val="00E15B4C"/>
    <w:rsid w:val="00E15DFE"/>
    <w:rsid w:val="00E160D2"/>
    <w:rsid w:val="00E16304"/>
    <w:rsid w:val="00E163C9"/>
    <w:rsid w:val="00E1644F"/>
    <w:rsid w:val="00E164BE"/>
    <w:rsid w:val="00E165F4"/>
    <w:rsid w:val="00E169BB"/>
    <w:rsid w:val="00E16A51"/>
    <w:rsid w:val="00E16B2E"/>
    <w:rsid w:val="00E16B3E"/>
    <w:rsid w:val="00E16D1A"/>
    <w:rsid w:val="00E16D3F"/>
    <w:rsid w:val="00E16F3A"/>
    <w:rsid w:val="00E1746B"/>
    <w:rsid w:val="00E17632"/>
    <w:rsid w:val="00E17667"/>
    <w:rsid w:val="00E1774F"/>
    <w:rsid w:val="00E17851"/>
    <w:rsid w:val="00E178BD"/>
    <w:rsid w:val="00E17B61"/>
    <w:rsid w:val="00E17C3C"/>
    <w:rsid w:val="00E17D0B"/>
    <w:rsid w:val="00E17D44"/>
    <w:rsid w:val="00E17DC5"/>
    <w:rsid w:val="00E17F16"/>
    <w:rsid w:val="00E200E3"/>
    <w:rsid w:val="00E200E7"/>
    <w:rsid w:val="00E2036E"/>
    <w:rsid w:val="00E203C0"/>
    <w:rsid w:val="00E20733"/>
    <w:rsid w:val="00E20A21"/>
    <w:rsid w:val="00E20B59"/>
    <w:rsid w:val="00E20C05"/>
    <w:rsid w:val="00E20D9B"/>
    <w:rsid w:val="00E20E57"/>
    <w:rsid w:val="00E20FDB"/>
    <w:rsid w:val="00E214B5"/>
    <w:rsid w:val="00E215C9"/>
    <w:rsid w:val="00E21713"/>
    <w:rsid w:val="00E217A9"/>
    <w:rsid w:val="00E21817"/>
    <w:rsid w:val="00E218F5"/>
    <w:rsid w:val="00E21908"/>
    <w:rsid w:val="00E219CC"/>
    <w:rsid w:val="00E21ABB"/>
    <w:rsid w:val="00E21C25"/>
    <w:rsid w:val="00E21EAF"/>
    <w:rsid w:val="00E2256D"/>
    <w:rsid w:val="00E2271D"/>
    <w:rsid w:val="00E227D7"/>
    <w:rsid w:val="00E228C1"/>
    <w:rsid w:val="00E22B6D"/>
    <w:rsid w:val="00E22B90"/>
    <w:rsid w:val="00E22BD0"/>
    <w:rsid w:val="00E22BD1"/>
    <w:rsid w:val="00E22BD4"/>
    <w:rsid w:val="00E22CB2"/>
    <w:rsid w:val="00E22D47"/>
    <w:rsid w:val="00E2310A"/>
    <w:rsid w:val="00E231D3"/>
    <w:rsid w:val="00E233A1"/>
    <w:rsid w:val="00E2366C"/>
    <w:rsid w:val="00E2370C"/>
    <w:rsid w:val="00E23714"/>
    <w:rsid w:val="00E237AE"/>
    <w:rsid w:val="00E23A01"/>
    <w:rsid w:val="00E23C61"/>
    <w:rsid w:val="00E23D88"/>
    <w:rsid w:val="00E240EC"/>
    <w:rsid w:val="00E2496A"/>
    <w:rsid w:val="00E24B4B"/>
    <w:rsid w:val="00E24BC4"/>
    <w:rsid w:val="00E24C10"/>
    <w:rsid w:val="00E24C4E"/>
    <w:rsid w:val="00E251F9"/>
    <w:rsid w:val="00E257D3"/>
    <w:rsid w:val="00E2586E"/>
    <w:rsid w:val="00E2591E"/>
    <w:rsid w:val="00E2599D"/>
    <w:rsid w:val="00E259D2"/>
    <w:rsid w:val="00E25AF2"/>
    <w:rsid w:val="00E25BFC"/>
    <w:rsid w:val="00E25C3F"/>
    <w:rsid w:val="00E25C4B"/>
    <w:rsid w:val="00E25D5F"/>
    <w:rsid w:val="00E25E00"/>
    <w:rsid w:val="00E25E88"/>
    <w:rsid w:val="00E2602A"/>
    <w:rsid w:val="00E264F9"/>
    <w:rsid w:val="00E267E8"/>
    <w:rsid w:val="00E268C3"/>
    <w:rsid w:val="00E269AD"/>
    <w:rsid w:val="00E26CE1"/>
    <w:rsid w:val="00E26D6E"/>
    <w:rsid w:val="00E26F98"/>
    <w:rsid w:val="00E2711F"/>
    <w:rsid w:val="00E2729B"/>
    <w:rsid w:val="00E273B1"/>
    <w:rsid w:val="00E27407"/>
    <w:rsid w:val="00E274BF"/>
    <w:rsid w:val="00E2757A"/>
    <w:rsid w:val="00E27991"/>
    <w:rsid w:val="00E2799C"/>
    <w:rsid w:val="00E279C3"/>
    <w:rsid w:val="00E27D2B"/>
    <w:rsid w:val="00E27D84"/>
    <w:rsid w:val="00E301CB"/>
    <w:rsid w:val="00E3050C"/>
    <w:rsid w:val="00E305B0"/>
    <w:rsid w:val="00E305B5"/>
    <w:rsid w:val="00E3063F"/>
    <w:rsid w:val="00E306A6"/>
    <w:rsid w:val="00E307F0"/>
    <w:rsid w:val="00E308D2"/>
    <w:rsid w:val="00E30C3D"/>
    <w:rsid w:val="00E30E75"/>
    <w:rsid w:val="00E310AA"/>
    <w:rsid w:val="00E310D9"/>
    <w:rsid w:val="00E313E0"/>
    <w:rsid w:val="00E3140B"/>
    <w:rsid w:val="00E314DF"/>
    <w:rsid w:val="00E3161E"/>
    <w:rsid w:val="00E3199A"/>
    <w:rsid w:val="00E31DF8"/>
    <w:rsid w:val="00E321BD"/>
    <w:rsid w:val="00E3224D"/>
    <w:rsid w:val="00E322A1"/>
    <w:rsid w:val="00E32383"/>
    <w:rsid w:val="00E3239E"/>
    <w:rsid w:val="00E323B2"/>
    <w:rsid w:val="00E323C0"/>
    <w:rsid w:val="00E324A1"/>
    <w:rsid w:val="00E326A6"/>
    <w:rsid w:val="00E326B3"/>
    <w:rsid w:val="00E32762"/>
    <w:rsid w:val="00E32790"/>
    <w:rsid w:val="00E3287E"/>
    <w:rsid w:val="00E328B5"/>
    <w:rsid w:val="00E328D3"/>
    <w:rsid w:val="00E32995"/>
    <w:rsid w:val="00E32A37"/>
    <w:rsid w:val="00E32B4C"/>
    <w:rsid w:val="00E330A8"/>
    <w:rsid w:val="00E333B1"/>
    <w:rsid w:val="00E333E8"/>
    <w:rsid w:val="00E334BD"/>
    <w:rsid w:val="00E33C73"/>
    <w:rsid w:val="00E33D0F"/>
    <w:rsid w:val="00E33D50"/>
    <w:rsid w:val="00E33D63"/>
    <w:rsid w:val="00E33F81"/>
    <w:rsid w:val="00E343AF"/>
    <w:rsid w:val="00E34A1B"/>
    <w:rsid w:val="00E34BE0"/>
    <w:rsid w:val="00E34C77"/>
    <w:rsid w:val="00E34E14"/>
    <w:rsid w:val="00E34E29"/>
    <w:rsid w:val="00E34EE4"/>
    <w:rsid w:val="00E34F0C"/>
    <w:rsid w:val="00E34FFC"/>
    <w:rsid w:val="00E350AD"/>
    <w:rsid w:val="00E350BC"/>
    <w:rsid w:val="00E3519F"/>
    <w:rsid w:val="00E3531E"/>
    <w:rsid w:val="00E35827"/>
    <w:rsid w:val="00E359A4"/>
    <w:rsid w:val="00E35A1F"/>
    <w:rsid w:val="00E35BAD"/>
    <w:rsid w:val="00E35D94"/>
    <w:rsid w:val="00E35E43"/>
    <w:rsid w:val="00E35F91"/>
    <w:rsid w:val="00E3618D"/>
    <w:rsid w:val="00E361DE"/>
    <w:rsid w:val="00E362AA"/>
    <w:rsid w:val="00E362AC"/>
    <w:rsid w:val="00E36335"/>
    <w:rsid w:val="00E36481"/>
    <w:rsid w:val="00E3648D"/>
    <w:rsid w:val="00E36502"/>
    <w:rsid w:val="00E3666C"/>
    <w:rsid w:val="00E36720"/>
    <w:rsid w:val="00E3679C"/>
    <w:rsid w:val="00E3680D"/>
    <w:rsid w:val="00E3687F"/>
    <w:rsid w:val="00E36897"/>
    <w:rsid w:val="00E36985"/>
    <w:rsid w:val="00E3703B"/>
    <w:rsid w:val="00E371F3"/>
    <w:rsid w:val="00E37346"/>
    <w:rsid w:val="00E373DD"/>
    <w:rsid w:val="00E3755E"/>
    <w:rsid w:val="00E375E1"/>
    <w:rsid w:val="00E376BD"/>
    <w:rsid w:val="00E37966"/>
    <w:rsid w:val="00E37994"/>
    <w:rsid w:val="00E379E5"/>
    <w:rsid w:val="00E37B7B"/>
    <w:rsid w:val="00E37C83"/>
    <w:rsid w:val="00E37DB0"/>
    <w:rsid w:val="00E37E0B"/>
    <w:rsid w:val="00E37EFB"/>
    <w:rsid w:val="00E37FB0"/>
    <w:rsid w:val="00E4019D"/>
    <w:rsid w:val="00E4033D"/>
    <w:rsid w:val="00E40B7D"/>
    <w:rsid w:val="00E40BC0"/>
    <w:rsid w:val="00E40F3A"/>
    <w:rsid w:val="00E40F63"/>
    <w:rsid w:val="00E410E7"/>
    <w:rsid w:val="00E41134"/>
    <w:rsid w:val="00E412B5"/>
    <w:rsid w:val="00E4131A"/>
    <w:rsid w:val="00E41689"/>
    <w:rsid w:val="00E4173C"/>
    <w:rsid w:val="00E4177B"/>
    <w:rsid w:val="00E4178A"/>
    <w:rsid w:val="00E41859"/>
    <w:rsid w:val="00E41A3C"/>
    <w:rsid w:val="00E41BC0"/>
    <w:rsid w:val="00E41EFE"/>
    <w:rsid w:val="00E42033"/>
    <w:rsid w:val="00E420B0"/>
    <w:rsid w:val="00E425E0"/>
    <w:rsid w:val="00E427DD"/>
    <w:rsid w:val="00E42A54"/>
    <w:rsid w:val="00E42A63"/>
    <w:rsid w:val="00E42C01"/>
    <w:rsid w:val="00E42C6D"/>
    <w:rsid w:val="00E42DC1"/>
    <w:rsid w:val="00E4303B"/>
    <w:rsid w:val="00E43158"/>
    <w:rsid w:val="00E431DB"/>
    <w:rsid w:val="00E431FC"/>
    <w:rsid w:val="00E432B7"/>
    <w:rsid w:val="00E433A3"/>
    <w:rsid w:val="00E43578"/>
    <w:rsid w:val="00E43655"/>
    <w:rsid w:val="00E43696"/>
    <w:rsid w:val="00E439E2"/>
    <w:rsid w:val="00E43B76"/>
    <w:rsid w:val="00E43C5A"/>
    <w:rsid w:val="00E43C6C"/>
    <w:rsid w:val="00E43C84"/>
    <w:rsid w:val="00E43C91"/>
    <w:rsid w:val="00E43CB9"/>
    <w:rsid w:val="00E4404D"/>
    <w:rsid w:val="00E44194"/>
    <w:rsid w:val="00E44243"/>
    <w:rsid w:val="00E44562"/>
    <w:rsid w:val="00E446F7"/>
    <w:rsid w:val="00E44746"/>
    <w:rsid w:val="00E447A5"/>
    <w:rsid w:val="00E44837"/>
    <w:rsid w:val="00E448CA"/>
    <w:rsid w:val="00E44A31"/>
    <w:rsid w:val="00E44C91"/>
    <w:rsid w:val="00E44CCC"/>
    <w:rsid w:val="00E44CDE"/>
    <w:rsid w:val="00E44F5F"/>
    <w:rsid w:val="00E4502B"/>
    <w:rsid w:val="00E45378"/>
    <w:rsid w:val="00E45507"/>
    <w:rsid w:val="00E4553F"/>
    <w:rsid w:val="00E455CC"/>
    <w:rsid w:val="00E45713"/>
    <w:rsid w:val="00E45BAC"/>
    <w:rsid w:val="00E45BF7"/>
    <w:rsid w:val="00E45CE5"/>
    <w:rsid w:val="00E45DB3"/>
    <w:rsid w:val="00E45DD6"/>
    <w:rsid w:val="00E45FBF"/>
    <w:rsid w:val="00E460D3"/>
    <w:rsid w:val="00E462B1"/>
    <w:rsid w:val="00E462F9"/>
    <w:rsid w:val="00E4644D"/>
    <w:rsid w:val="00E46579"/>
    <w:rsid w:val="00E466DA"/>
    <w:rsid w:val="00E4683C"/>
    <w:rsid w:val="00E469EA"/>
    <w:rsid w:val="00E46A43"/>
    <w:rsid w:val="00E46A5F"/>
    <w:rsid w:val="00E46B7B"/>
    <w:rsid w:val="00E46C69"/>
    <w:rsid w:val="00E46DBC"/>
    <w:rsid w:val="00E4725E"/>
    <w:rsid w:val="00E47373"/>
    <w:rsid w:val="00E4739A"/>
    <w:rsid w:val="00E47590"/>
    <w:rsid w:val="00E47C89"/>
    <w:rsid w:val="00E47CFC"/>
    <w:rsid w:val="00E47DAA"/>
    <w:rsid w:val="00E47DD7"/>
    <w:rsid w:val="00E47EC0"/>
    <w:rsid w:val="00E47F87"/>
    <w:rsid w:val="00E50068"/>
    <w:rsid w:val="00E504AB"/>
    <w:rsid w:val="00E505EB"/>
    <w:rsid w:val="00E50629"/>
    <w:rsid w:val="00E50780"/>
    <w:rsid w:val="00E507D0"/>
    <w:rsid w:val="00E50858"/>
    <w:rsid w:val="00E508F2"/>
    <w:rsid w:val="00E50B5B"/>
    <w:rsid w:val="00E50BD3"/>
    <w:rsid w:val="00E50DA9"/>
    <w:rsid w:val="00E50EAC"/>
    <w:rsid w:val="00E50F8A"/>
    <w:rsid w:val="00E51192"/>
    <w:rsid w:val="00E5121B"/>
    <w:rsid w:val="00E51231"/>
    <w:rsid w:val="00E512E1"/>
    <w:rsid w:val="00E51332"/>
    <w:rsid w:val="00E5157C"/>
    <w:rsid w:val="00E5197E"/>
    <w:rsid w:val="00E51AA6"/>
    <w:rsid w:val="00E51C45"/>
    <w:rsid w:val="00E51F32"/>
    <w:rsid w:val="00E52023"/>
    <w:rsid w:val="00E52037"/>
    <w:rsid w:val="00E52080"/>
    <w:rsid w:val="00E524AC"/>
    <w:rsid w:val="00E5266D"/>
    <w:rsid w:val="00E526DA"/>
    <w:rsid w:val="00E526FE"/>
    <w:rsid w:val="00E52767"/>
    <w:rsid w:val="00E52BC8"/>
    <w:rsid w:val="00E52D53"/>
    <w:rsid w:val="00E52DAD"/>
    <w:rsid w:val="00E53033"/>
    <w:rsid w:val="00E53145"/>
    <w:rsid w:val="00E5364B"/>
    <w:rsid w:val="00E537D4"/>
    <w:rsid w:val="00E53824"/>
    <w:rsid w:val="00E538A8"/>
    <w:rsid w:val="00E53922"/>
    <w:rsid w:val="00E53AD9"/>
    <w:rsid w:val="00E53B3E"/>
    <w:rsid w:val="00E53B5B"/>
    <w:rsid w:val="00E53CBE"/>
    <w:rsid w:val="00E53CE5"/>
    <w:rsid w:val="00E540D5"/>
    <w:rsid w:val="00E54123"/>
    <w:rsid w:val="00E542C8"/>
    <w:rsid w:val="00E542FC"/>
    <w:rsid w:val="00E5433B"/>
    <w:rsid w:val="00E54379"/>
    <w:rsid w:val="00E544AC"/>
    <w:rsid w:val="00E545F7"/>
    <w:rsid w:val="00E5462A"/>
    <w:rsid w:val="00E5463F"/>
    <w:rsid w:val="00E547D7"/>
    <w:rsid w:val="00E54BE9"/>
    <w:rsid w:val="00E54C15"/>
    <w:rsid w:val="00E54DEF"/>
    <w:rsid w:val="00E54E51"/>
    <w:rsid w:val="00E54F19"/>
    <w:rsid w:val="00E54F7A"/>
    <w:rsid w:val="00E5509F"/>
    <w:rsid w:val="00E55143"/>
    <w:rsid w:val="00E553DB"/>
    <w:rsid w:val="00E555A6"/>
    <w:rsid w:val="00E555B3"/>
    <w:rsid w:val="00E5585F"/>
    <w:rsid w:val="00E55BB1"/>
    <w:rsid w:val="00E55CC1"/>
    <w:rsid w:val="00E55E62"/>
    <w:rsid w:val="00E560BE"/>
    <w:rsid w:val="00E56136"/>
    <w:rsid w:val="00E561F3"/>
    <w:rsid w:val="00E5633A"/>
    <w:rsid w:val="00E56367"/>
    <w:rsid w:val="00E563E8"/>
    <w:rsid w:val="00E565D3"/>
    <w:rsid w:val="00E56644"/>
    <w:rsid w:val="00E5664E"/>
    <w:rsid w:val="00E569AA"/>
    <w:rsid w:val="00E56A8C"/>
    <w:rsid w:val="00E56ABA"/>
    <w:rsid w:val="00E56AF4"/>
    <w:rsid w:val="00E56D1B"/>
    <w:rsid w:val="00E56E3F"/>
    <w:rsid w:val="00E56F4E"/>
    <w:rsid w:val="00E56FC8"/>
    <w:rsid w:val="00E570E9"/>
    <w:rsid w:val="00E57622"/>
    <w:rsid w:val="00E577B5"/>
    <w:rsid w:val="00E5794E"/>
    <w:rsid w:val="00E57AE2"/>
    <w:rsid w:val="00E57B01"/>
    <w:rsid w:val="00E601FD"/>
    <w:rsid w:val="00E602E4"/>
    <w:rsid w:val="00E603A6"/>
    <w:rsid w:val="00E607C5"/>
    <w:rsid w:val="00E60AE6"/>
    <w:rsid w:val="00E60D06"/>
    <w:rsid w:val="00E60FA5"/>
    <w:rsid w:val="00E60FBD"/>
    <w:rsid w:val="00E6122D"/>
    <w:rsid w:val="00E612A9"/>
    <w:rsid w:val="00E612EC"/>
    <w:rsid w:val="00E612FC"/>
    <w:rsid w:val="00E613EC"/>
    <w:rsid w:val="00E61599"/>
    <w:rsid w:val="00E615AB"/>
    <w:rsid w:val="00E615BA"/>
    <w:rsid w:val="00E61705"/>
    <w:rsid w:val="00E61865"/>
    <w:rsid w:val="00E61882"/>
    <w:rsid w:val="00E6188E"/>
    <w:rsid w:val="00E61D03"/>
    <w:rsid w:val="00E6224C"/>
    <w:rsid w:val="00E6236C"/>
    <w:rsid w:val="00E624CF"/>
    <w:rsid w:val="00E624D0"/>
    <w:rsid w:val="00E6251F"/>
    <w:rsid w:val="00E6260A"/>
    <w:rsid w:val="00E62825"/>
    <w:rsid w:val="00E62896"/>
    <w:rsid w:val="00E62943"/>
    <w:rsid w:val="00E62A3C"/>
    <w:rsid w:val="00E62A6E"/>
    <w:rsid w:val="00E62B00"/>
    <w:rsid w:val="00E62B23"/>
    <w:rsid w:val="00E631B3"/>
    <w:rsid w:val="00E6337C"/>
    <w:rsid w:val="00E634D1"/>
    <w:rsid w:val="00E63530"/>
    <w:rsid w:val="00E6355B"/>
    <w:rsid w:val="00E636DE"/>
    <w:rsid w:val="00E6383B"/>
    <w:rsid w:val="00E638C2"/>
    <w:rsid w:val="00E63951"/>
    <w:rsid w:val="00E63A91"/>
    <w:rsid w:val="00E63CAB"/>
    <w:rsid w:val="00E63CEF"/>
    <w:rsid w:val="00E63DD9"/>
    <w:rsid w:val="00E63E41"/>
    <w:rsid w:val="00E640AC"/>
    <w:rsid w:val="00E640D6"/>
    <w:rsid w:val="00E64137"/>
    <w:rsid w:val="00E641BB"/>
    <w:rsid w:val="00E641F4"/>
    <w:rsid w:val="00E64231"/>
    <w:rsid w:val="00E6441B"/>
    <w:rsid w:val="00E64604"/>
    <w:rsid w:val="00E64676"/>
    <w:rsid w:val="00E64755"/>
    <w:rsid w:val="00E64C8B"/>
    <w:rsid w:val="00E64CF4"/>
    <w:rsid w:val="00E650A9"/>
    <w:rsid w:val="00E650E5"/>
    <w:rsid w:val="00E65126"/>
    <w:rsid w:val="00E65129"/>
    <w:rsid w:val="00E651FC"/>
    <w:rsid w:val="00E65261"/>
    <w:rsid w:val="00E6558B"/>
    <w:rsid w:val="00E656CA"/>
    <w:rsid w:val="00E656CE"/>
    <w:rsid w:val="00E65747"/>
    <w:rsid w:val="00E65895"/>
    <w:rsid w:val="00E6595C"/>
    <w:rsid w:val="00E65ADA"/>
    <w:rsid w:val="00E65C6E"/>
    <w:rsid w:val="00E65DC1"/>
    <w:rsid w:val="00E65DD8"/>
    <w:rsid w:val="00E65EA7"/>
    <w:rsid w:val="00E661CA"/>
    <w:rsid w:val="00E661E6"/>
    <w:rsid w:val="00E6621A"/>
    <w:rsid w:val="00E66290"/>
    <w:rsid w:val="00E66772"/>
    <w:rsid w:val="00E667A0"/>
    <w:rsid w:val="00E66819"/>
    <w:rsid w:val="00E6688A"/>
    <w:rsid w:val="00E66959"/>
    <w:rsid w:val="00E66D12"/>
    <w:rsid w:val="00E66D2C"/>
    <w:rsid w:val="00E66DAC"/>
    <w:rsid w:val="00E66EF5"/>
    <w:rsid w:val="00E66F22"/>
    <w:rsid w:val="00E66FE4"/>
    <w:rsid w:val="00E67001"/>
    <w:rsid w:val="00E6703B"/>
    <w:rsid w:val="00E673AB"/>
    <w:rsid w:val="00E6747D"/>
    <w:rsid w:val="00E67539"/>
    <w:rsid w:val="00E67543"/>
    <w:rsid w:val="00E6759D"/>
    <w:rsid w:val="00E6761D"/>
    <w:rsid w:val="00E67640"/>
    <w:rsid w:val="00E67824"/>
    <w:rsid w:val="00E678E2"/>
    <w:rsid w:val="00E67A6A"/>
    <w:rsid w:val="00E67D1D"/>
    <w:rsid w:val="00E67EE5"/>
    <w:rsid w:val="00E7003E"/>
    <w:rsid w:val="00E700B2"/>
    <w:rsid w:val="00E70224"/>
    <w:rsid w:val="00E70413"/>
    <w:rsid w:val="00E70826"/>
    <w:rsid w:val="00E70AB1"/>
    <w:rsid w:val="00E70B3E"/>
    <w:rsid w:val="00E70B89"/>
    <w:rsid w:val="00E70C16"/>
    <w:rsid w:val="00E70C99"/>
    <w:rsid w:val="00E70D22"/>
    <w:rsid w:val="00E70E9D"/>
    <w:rsid w:val="00E70FCD"/>
    <w:rsid w:val="00E71047"/>
    <w:rsid w:val="00E7111D"/>
    <w:rsid w:val="00E711D4"/>
    <w:rsid w:val="00E711FA"/>
    <w:rsid w:val="00E71221"/>
    <w:rsid w:val="00E717A2"/>
    <w:rsid w:val="00E718CB"/>
    <w:rsid w:val="00E719A1"/>
    <w:rsid w:val="00E71B43"/>
    <w:rsid w:val="00E71BC2"/>
    <w:rsid w:val="00E71C18"/>
    <w:rsid w:val="00E71C4C"/>
    <w:rsid w:val="00E71DA9"/>
    <w:rsid w:val="00E71DB6"/>
    <w:rsid w:val="00E72091"/>
    <w:rsid w:val="00E724D1"/>
    <w:rsid w:val="00E72520"/>
    <w:rsid w:val="00E72605"/>
    <w:rsid w:val="00E726D4"/>
    <w:rsid w:val="00E728BF"/>
    <w:rsid w:val="00E72AEA"/>
    <w:rsid w:val="00E72BB2"/>
    <w:rsid w:val="00E72D13"/>
    <w:rsid w:val="00E72DB9"/>
    <w:rsid w:val="00E72F1E"/>
    <w:rsid w:val="00E72F94"/>
    <w:rsid w:val="00E731E6"/>
    <w:rsid w:val="00E7323A"/>
    <w:rsid w:val="00E73251"/>
    <w:rsid w:val="00E732ED"/>
    <w:rsid w:val="00E73354"/>
    <w:rsid w:val="00E733F6"/>
    <w:rsid w:val="00E735B9"/>
    <w:rsid w:val="00E736B5"/>
    <w:rsid w:val="00E73855"/>
    <w:rsid w:val="00E73894"/>
    <w:rsid w:val="00E7389E"/>
    <w:rsid w:val="00E738CE"/>
    <w:rsid w:val="00E73B8F"/>
    <w:rsid w:val="00E73CDF"/>
    <w:rsid w:val="00E73E6D"/>
    <w:rsid w:val="00E74103"/>
    <w:rsid w:val="00E7410D"/>
    <w:rsid w:val="00E74199"/>
    <w:rsid w:val="00E741F7"/>
    <w:rsid w:val="00E74291"/>
    <w:rsid w:val="00E742D4"/>
    <w:rsid w:val="00E74323"/>
    <w:rsid w:val="00E74348"/>
    <w:rsid w:val="00E74479"/>
    <w:rsid w:val="00E74676"/>
    <w:rsid w:val="00E74740"/>
    <w:rsid w:val="00E7480F"/>
    <w:rsid w:val="00E748BB"/>
    <w:rsid w:val="00E74AAE"/>
    <w:rsid w:val="00E74AB9"/>
    <w:rsid w:val="00E74B7A"/>
    <w:rsid w:val="00E74B82"/>
    <w:rsid w:val="00E74D38"/>
    <w:rsid w:val="00E74E15"/>
    <w:rsid w:val="00E752A0"/>
    <w:rsid w:val="00E755DF"/>
    <w:rsid w:val="00E75633"/>
    <w:rsid w:val="00E756C8"/>
    <w:rsid w:val="00E7572D"/>
    <w:rsid w:val="00E75A8B"/>
    <w:rsid w:val="00E75B8C"/>
    <w:rsid w:val="00E761B7"/>
    <w:rsid w:val="00E76B81"/>
    <w:rsid w:val="00E76C3A"/>
    <w:rsid w:val="00E76E66"/>
    <w:rsid w:val="00E76FD5"/>
    <w:rsid w:val="00E7707A"/>
    <w:rsid w:val="00E7710F"/>
    <w:rsid w:val="00E77447"/>
    <w:rsid w:val="00E7763A"/>
    <w:rsid w:val="00E77747"/>
    <w:rsid w:val="00E77847"/>
    <w:rsid w:val="00E77BB2"/>
    <w:rsid w:val="00E77C06"/>
    <w:rsid w:val="00E77F1E"/>
    <w:rsid w:val="00E8009B"/>
    <w:rsid w:val="00E80208"/>
    <w:rsid w:val="00E8028A"/>
    <w:rsid w:val="00E80371"/>
    <w:rsid w:val="00E80395"/>
    <w:rsid w:val="00E8078B"/>
    <w:rsid w:val="00E80A1A"/>
    <w:rsid w:val="00E80A2A"/>
    <w:rsid w:val="00E80A75"/>
    <w:rsid w:val="00E80B15"/>
    <w:rsid w:val="00E80BD6"/>
    <w:rsid w:val="00E80D25"/>
    <w:rsid w:val="00E80D6F"/>
    <w:rsid w:val="00E80F31"/>
    <w:rsid w:val="00E811F0"/>
    <w:rsid w:val="00E812A5"/>
    <w:rsid w:val="00E8147B"/>
    <w:rsid w:val="00E81539"/>
    <w:rsid w:val="00E815F7"/>
    <w:rsid w:val="00E817C8"/>
    <w:rsid w:val="00E81845"/>
    <w:rsid w:val="00E81863"/>
    <w:rsid w:val="00E818CB"/>
    <w:rsid w:val="00E818D8"/>
    <w:rsid w:val="00E818DC"/>
    <w:rsid w:val="00E81B5E"/>
    <w:rsid w:val="00E81BBB"/>
    <w:rsid w:val="00E81D3B"/>
    <w:rsid w:val="00E81D6E"/>
    <w:rsid w:val="00E81DA7"/>
    <w:rsid w:val="00E82049"/>
    <w:rsid w:val="00E821C3"/>
    <w:rsid w:val="00E82239"/>
    <w:rsid w:val="00E8238B"/>
    <w:rsid w:val="00E823DD"/>
    <w:rsid w:val="00E824D7"/>
    <w:rsid w:val="00E82526"/>
    <w:rsid w:val="00E82669"/>
    <w:rsid w:val="00E8275E"/>
    <w:rsid w:val="00E828D2"/>
    <w:rsid w:val="00E82909"/>
    <w:rsid w:val="00E82997"/>
    <w:rsid w:val="00E82A0F"/>
    <w:rsid w:val="00E82B69"/>
    <w:rsid w:val="00E82DCB"/>
    <w:rsid w:val="00E82DCC"/>
    <w:rsid w:val="00E8351A"/>
    <w:rsid w:val="00E8363B"/>
    <w:rsid w:val="00E83969"/>
    <w:rsid w:val="00E83AB6"/>
    <w:rsid w:val="00E83BC5"/>
    <w:rsid w:val="00E83D44"/>
    <w:rsid w:val="00E83E10"/>
    <w:rsid w:val="00E83E29"/>
    <w:rsid w:val="00E83F26"/>
    <w:rsid w:val="00E83F6C"/>
    <w:rsid w:val="00E84201"/>
    <w:rsid w:val="00E8436A"/>
    <w:rsid w:val="00E844BE"/>
    <w:rsid w:val="00E84542"/>
    <w:rsid w:val="00E84EC8"/>
    <w:rsid w:val="00E85022"/>
    <w:rsid w:val="00E8537D"/>
    <w:rsid w:val="00E853B9"/>
    <w:rsid w:val="00E8542B"/>
    <w:rsid w:val="00E85440"/>
    <w:rsid w:val="00E854D1"/>
    <w:rsid w:val="00E8565C"/>
    <w:rsid w:val="00E8585B"/>
    <w:rsid w:val="00E859B2"/>
    <w:rsid w:val="00E85B6D"/>
    <w:rsid w:val="00E85EC8"/>
    <w:rsid w:val="00E85ED7"/>
    <w:rsid w:val="00E85EE3"/>
    <w:rsid w:val="00E85F7A"/>
    <w:rsid w:val="00E860FD"/>
    <w:rsid w:val="00E861A7"/>
    <w:rsid w:val="00E862BA"/>
    <w:rsid w:val="00E863A6"/>
    <w:rsid w:val="00E8657B"/>
    <w:rsid w:val="00E86583"/>
    <w:rsid w:val="00E86588"/>
    <w:rsid w:val="00E867FC"/>
    <w:rsid w:val="00E8689F"/>
    <w:rsid w:val="00E86B1A"/>
    <w:rsid w:val="00E86CDD"/>
    <w:rsid w:val="00E86EA5"/>
    <w:rsid w:val="00E86EAF"/>
    <w:rsid w:val="00E86F0F"/>
    <w:rsid w:val="00E871CB"/>
    <w:rsid w:val="00E8724D"/>
    <w:rsid w:val="00E87693"/>
    <w:rsid w:val="00E876B0"/>
    <w:rsid w:val="00E87798"/>
    <w:rsid w:val="00E878F5"/>
    <w:rsid w:val="00E87901"/>
    <w:rsid w:val="00E8791A"/>
    <w:rsid w:val="00E87943"/>
    <w:rsid w:val="00E879F5"/>
    <w:rsid w:val="00E87ACF"/>
    <w:rsid w:val="00E87B77"/>
    <w:rsid w:val="00E87CCF"/>
    <w:rsid w:val="00E87ED0"/>
    <w:rsid w:val="00E90252"/>
    <w:rsid w:val="00E9034E"/>
    <w:rsid w:val="00E90952"/>
    <w:rsid w:val="00E90BB0"/>
    <w:rsid w:val="00E90CE2"/>
    <w:rsid w:val="00E90D95"/>
    <w:rsid w:val="00E90E38"/>
    <w:rsid w:val="00E90F02"/>
    <w:rsid w:val="00E91067"/>
    <w:rsid w:val="00E9106E"/>
    <w:rsid w:val="00E91112"/>
    <w:rsid w:val="00E91119"/>
    <w:rsid w:val="00E91306"/>
    <w:rsid w:val="00E91366"/>
    <w:rsid w:val="00E915D3"/>
    <w:rsid w:val="00E9171D"/>
    <w:rsid w:val="00E91B77"/>
    <w:rsid w:val="00E91B85"/>
    <w:rsid w:val="00E91D24"/>
    <w:rsid w:val="00E91D33"/>
    <w:rsid w:val="00E91D3A"/>
    <w:rsid w:val="00E91E46"/>
    <w:rsid w:val="00E91F0F"/>
    <w:rsid w:val="00E91F6E"/>
    <w:rsid w:val="00E921F2"/>
    <w:rsid w:val="00E9232D"/>
    <w:rsid w:val="00E92490"/>
    <w:rsid w:val="00E92614"/>
    <w:rsid w:val="00E9273D"/>
    <w:rsid w:val="00E9295E"/>
    <w:rsid w:val="00E92997"/>
    <w:rsid w:val="00E929F5"/>
    <w:rsid w:val="00E92A27"/>
    <w:rsid w:val="00E92D2B"/>
    <w:rsid w:val="00E92EF6"/>
    <w:rsid w:val="00E92F0B"/>
    <w:rsid w:val="00E930DE"/>
    <w:rsid w:val="00E93246"/>
    <w:rsid w:val="00E934F3"/>
    <w:rsid w:val="00E93656"/>
    <w:rsid w:val="00E9383F"/>
    <w:rsid w:val="00E939AD"/>
    <w:rsid w:val="00E93D90"/>
    <w:rsid w:val="00E93E53"/>
    <w:rsid w:val="00E93EBE"/>
    <w:rsid w:val="00E93EF5"/>
    <w:rsid w:val="00E93F63"/>
    <w:rsid w:val="00E9425C"/>
    <w:rsid w:val="00E9445A"/>
    <w:rsid w:val="00E9459B"/>
    <w:rsid w:val="00E94621"/>
    <w:rsid w:val="00E947EF"/>
    <w:rsid w:val="00E9492F"/>
    <w:rsid w:val="00E949C6"/>
    <w:rsid w:val="00E94C8E"/>
    <w:rsid w:val="00E94CF4"/>
    <w:rsid w:val="00E94E65"/>
    <w:rsid w:val="00E9529A"/>
    <w:rsid w:val="00E952AE"/>
    <w:rsid w:val="00E95343"/>
    <w:rsid w:val="00E95440"/>
    <w:rsid w:val="00E954B3"/>
    <w:rsid w:val="00E95513"/>
    <w:rsid w:val="00E95681"/>
    <w:rsid w:val="00E956B2"/>
    <w:rsid w:val="00E95815"/>
    <w:rsid w:val="00E9582B"/>
    <w:rsid w:val="00E95885"/>
    <w:rsid w:val="00E95891"/>
    <w:rsid w:val="00E958B5"/>
    <w:rsid w:val="00E95D8C"/>
    <w:rsid w:val="00E95F7E"/>
    <w:rsid w:val="00E96074"/>
    <w:rsid w:val="00E96087"/>
    <w:rsid w:val="00E960C9"/>
    <w:rsid w:val="00E962B2"/>
    <w:rsid w:val="00E962E2"/>
    <w:rsid w:val="00E96334"/>
    <w:rsid w:val="00E964C7"/>
    <w:rsid w:val="00E96733"/>
    <w:rsid w:val="00E96808"/>
    <w:rsid w:val="00E96841"/>
    <w:rsid w:val="00E96B29"/>
    <w:rsid w:val="00E96B39"/>
    <w:rsid w:val="00E96D4E"/>
    <w:rsid w:val="00E96E89"/>
    <w:rsid w:val="00E96F5C"/>
    <w:rsid w:val="00E971AE"/>
    <w:rsid w:val="00E9758A"/>
    <w:rsid w:val="00E9766E"/>
    <w:rsid w:val="00E97701"/>
    <w:rsid w:val="00E9784C"/>
    <w:rsid w:val="00E97A3E"/>
    <w:rsid w:val="00E97CE9"/>
    <w:rsid w:val="00E97D21"/>
    <w:rsid w:val="00E97EAA"/>
    <w:rsid w:val="00E97FC1"/>
    <w:rsid w:val="00E97FCF"/>
    <w:rsid w:val="00EA01C5"/>
    <w:rsid w:val="00EA025B"/>
    <w:rsid w:val="00EA0473"/>
    <w:rsid w:val="00EA0605"/>
    <w:rsid w:val="00EA06A5"/>
    <w:rsid w:val="00EA06DE"/>
    <w:rsid w:val="00EA07E4"/>
    <w:rsid w:val="00EA0959"/>
    <w:rsid w:val="00EA0AE0"/>
    <w:rsid w:val="00EA0CC4"/>
    <w:rsid w:val="00EA0FEF"/>
    <w:rsid w:val="00EA1018"/>
    <w:rsid w:val="00EA1035"/>
    <w:rsid w:val="00EA143E"/>
    <w:rsid w:val="00EA1488"/>
    <w:rsid w:val="00EA1556"/>
    <w:rsid w:val="00EA1615"/>
    <w:rsid w:val="00EA172E"/>
    <w:rsid w:val="00EA189C"/>
    <w:rsid w:val="00EA1ABC"/>
    <w:rsid w:val="00EA1BB7"/>
    <w:rsid w:val="00EA1C2C"/>
    <w:rsid w:val="00EA1DDB"/>
    <w:rsid w:val="00EA1E6A"/>
    <w:rsid w:val="00EA1F46"/>
    <w:rsid w:val="00EA20B0"/>
    <w:rsid w:val="00EA20BF"/>
    <w:rsid w:val="00EA2135"/>
    <w:rsid w:val="00EA2444"/>
    <w:rsid w:val="00EA249D"/>
    <w:rsid w:val="00EA290E"/>
    <w:rsid w:val="00EA2A23"/>
    <w:rsid w:val="00EA2D82"/>
    <w:rsid w:val="00EA34E7"/>
    <w:rsid w:val="00EA34EA"/>
    <w:rsid w:val="00EA3790"/>
    <w:rsid w:val="00EA3907"/>
    <w:rsid w:val="00EA39B4"/>
    <w:rsid w:val="00EA3B79"/>
    <w:rsid w:val="00EA3FBC"/>
    <w:rsid w:val="00EA3FE8"/>
    <w:rsid w:val="00EA4022"/>
    <w:rsid w:val="00EA4030"/>
    <w:rsid w:val="00EA409E"/>
    <w:rsid w:val="00EA40D1"/>
    <w:rsid w:val="00EA415F"/>
    <w:rsid w:val="00EA42C8"/>
    <w:rsid w:val="00EA4304"/>
    <w:rsid w:val="00EA43A0"/>
    <w:rsid w:val="00EA4481"/>
    <w:rsid w:val="00EA4495"/>
    <w:rsid w:val="00EA4759"/>
    <w:rsid w:val="00EA4833"/>
    <w:rsid w:val="00EA4860"/>
    <w:rsid w:val="00EA488B"/>
    <w:rsid w:val="00EA48D7"/>
    <w:rsid w:val="00EA4AE5"/>
    <w:rsid w:val="00EA4AE8"/>
    <w:rsid w:val="00EA4BA3"/>
    <w:rsid w:val="00EA4D4B"/>
    <w:rsid w:val="00EA4D99"/>
    <w:rsid w:val="00EA4E35"/>
    <w:rsid w:val="00EA4EB8"/>
    <w:rsid w:val="00EA4FC6"/>
    <w:rsid w:val="00EA5098"/>
    <w:rsid w:val="00EA5373"/>
    <w:rsid w:val="00EA54C6"/>
    <w:rsid w:val="00EA54F0"/>
    <w:rsid w:val="00EA5770"/>
    <w:rsid w:val="00EA58AB"/>
    <w:rsid w:val="00EA5A1D"/>
    <w:rsid w:val="00EA5C6C"/>
    <w:rsid w:val="00EA5CFF"/>
    <w:rsid w:val="00EA5DFF"/>
    <w:rsid w:val="00EA5FF2"/>
    <w:rsid w:val="00EA5FFD"/>
    <w:rsid w:val="00EA60AF"/>
    <w:rsid w:val="00EA6145"/>
    <w:rsid w:val="00EA6390"/>
    <w:rsid w:val="00EA63A5"/>
    <w:rsid w:val="00EA64E2"/>
    <w:rsid w:val="00EA650D"/>
    <w:rsid w:val="00EA6526"/>
    <w:rsid w:val="00EA659E"/>
    <w:rsid w:val="00EA66C0"/>
    <w:rsid w:val="00EA672D"/>
    <w:rsid w:val="00EA69B7"/>
    <w:rsid w:val="00EA69F3"/>
    <w:rsid w:val="00EA6F1C"/>
    <w:rsid w:val="00EA6FB6"/>
    <w:rsid w:val="00EA70BC"/>
    <w:rsid w:val="00EA7590"/>
    <w:rsid w:val="00EA770F"/>
    <w:rsid w:val="00EA77A1"/>
    <w:rsid w:val="00EA7AF1"/>
    <w:rsid w:val="00EA7B6D"/>
    <w:rsid w:val="00EA7D5C"/>
    <w:rsid w:val="00EA7D8A"/>
    <w:rsid w:val="00EA7F73"/>
    <w:rsid w:val="00EA7FDA"/>
    <w:rsid w:val="00EB0037"/>
    <w:rsid w:val="00EB00DC"/>
    <w:rsid w:val="00EB01D8"/>
    <w:rsid w:val="00EB02A8"/>
    <w:rsid w:val="00EB0801"/>
    <w:rsid w:val="00EB09BD"/>
    <w:rsid w:val="00EB0B0F"/>
    <w:rsid w:val="00EB0B20"/>
    <w:rsid w:val="00EB0B69"/>
    <w:rsid w:val="00EB0BDD"/>
    <w:rsid w:val="00EB0CDC"/>
    <w:rsid w:val="00EB0DD8"/>
    <w:rsid w:val="00EB0F71"/>
    <w:rsid w:val="00EB10D3"/>
    <w:rsid w:val="00EB1323"/>
    <w:rsid w:val="00EB13A9"/>
    <w:rsid w:val="00EB13C3"/>
    <w:rsid w:val="00EB1500"/>
    <w:rsid w:val="00EB15EB"/>
    <w:rsid w:val="00EB16A7"/>
    <w:rsid w:val="00EB17B2"/>
    <w:rsid w:val="00EB18EC"/>
    <w:rsid w:val="00EB1BC8"/>
    <w:rsid w:val="00EB1C04"/>
    <w:rsid w:val="00EB1E02"/>
    <w:rsid w:val="00EB1EB1"/>
    <w:rsid w:val="00EB2126"/>
    <w:rsid w:val="00EB2139"/>
    <w:rsid w:val="00EB2151"/>
    <w:rsid w:val="00EB2218"/>
    <w:rsid w:val="00EB2230"/>
    <w:rsid w:val="00EB2431"/>
    <w:rsid w:val="00EB2734"/>
    <w:rsid w:val="00EB2881"/>
    <w:rsid w:val="00EB29E7"/>
    <w:rsid w:val="00EB2AC4"/>
    <w:rsid w:val="00EB2B1A"/>
    <w:rsid w:val="00EB2BD4"/>
    <w:rsid w:val="00EB2CAD"/>
    <w:rsid w:val="00EB2CAF"/>
    <w:rsid w:val="00EB2D84"/>
    <w:rsid w:val="00EB33E9"/>
    <w:rsid w:val="00EB365C"/>
    <w:rsid w:val="00EB36EB"/>
    <w:rsid w:val="00EB37CB"/>
    <w:rsid w:val="00EB3AD2"/>
    <w:rsid w:val="00EB3B29"/>
    <w:rsid w:val="00EB3D19"/>
    <w:rsid w:val="00EB3DA1"/>
    <w:rsid w:val="00EB3DA7"/>
    <w:rsid w:val="00EB3EF4"/>
    <w:rsid w:val="00EB3FF1"/>
    <w:rsid w:val="00EB4083"/>
    <w:rsid w:val="00EB41AD"/>
    <w:rsid w:val="00EB4667"/>
    <w:rsid w:val="00EB466C"/>
    <w:rsid w:val="00EB47F7"/>
    <w:rsid w:val="00EB48BC"/>
    <w:rsid w:val="00EB4A81"/>
    <w:rsid w:val="00EB4B55"/>
    <w:rsid w:val="00EB4B5D"/>
    <w:rsid w:val="00EB4C27"/>
    <w:rsid w:val="00EB507E"/>
    <w:rsid w:val="00EB50C4"/>
    <w:rsid w:val="00EB5115"/>
    <w:rsid w:val="00EB518C"/>
    <w:rsid w:val="00EB51B6"/>
    <w:rsid w:val="00EB5204"/>
    <w:rsid w:val="00EB53B6"/>
    <w:rsid w:val="00EB54DD"/>
    <w:rsid w:val="00EB5543"/>
    <w:rsid w:val="00EB55A4"/>
    <w:rsid w:val="00EB55C8"/>
    <w:rsid w:val="00EB574A"/>
    <w:rsid w:val="00EB57C9"/>
    <w:rsid w:val="00EB57CF"/>
    <w:rsid w:val="00EB57DD"/>
    <w:rsid w:val="00EB5964"/>
    <w:rsid w:val="00EB5B71"/>
    <w:rsid w:val="00EB5C1B"/>
    <w:rsid w:val="00EB5CC1"/>
    <w:rsid w:val="00EB5F0C"/>
    <w:rsid w:val="00EB5F83"/>
    <w:rsid w:val="00EB606F"/>
    <w:rsid w:val="00EB63C3"/>
    <w:rsid w:val="00EB64B5"/>
    <w:rsid w:val="00EB64DE"/>
    <w:rsid w:val="00EB64FA"/>
    <w:rsid w:val="00EB65BA"/>
    <w:rsid w:val="00EB65CB"/>
    <w:rsid w:val="00EB67CF"/>
    <w:rsid w:val="00EB6882"/>
    <w:rsid w:val="00EB68A3"/>
    <w:rsid w:val="00EB692F"/>
    <w:rsid w:val="00EB6A6C"/>
    <w:rsid w:val="00EB6B94"/>
    <w:rsid w:val="00EB6C4A"/>
    <w:rsid w:val="00EB6E48"/>
    <w:rsid w:val="00EB70B7"/>
    <w:rsid w:val="00EB72D5"/>
    <w:rsid w:val="00EB73C1"/>
    <w:rsid w:val="00EB7551"/>
    <w:rsid w:val="00EB75A9"/>
    <w:rsid w:val="00EB774E"/>
    <w:rsid w:val="00EB777D"/>
    <w:rsid w:val="00EB77E3"/>
    <w:rsid w:val="00EB7966"/>
    <w:rsid w:val="00EB79CE"/>
    <w:rsid w:val="00EB79D5"/>
    <w:rsid w:val="00EB7A3C"/>
    <w:rsid w:val="00EB7BA5"/>
    <w:rsid w:val="00EB7C1F"/>
    <w:rsid w:val="00EB7D3D"/>
    <w:rsid w:val="00EC032A"/>
    <w:rsid w:val="00EC05EA"/>
    <w:rsid w:val="00EC06FF"/>
    <w:rsid w:val="00EC0A3D"/>
    <w:rsid w:val="00EC0ABF"/>
    <w:rsid w:val="00EC0C06"/>
    <w:rsid w:val="00EC0C57"/>
    <w:rsid w:val="00EC0CB9"/>
    <w:rsid w:val="00EC0DBE"/>
    <w:rsid w:val="00EC104F"/>
    <w:rsid w:val="00EC1228"/>
    <w:rsid w:val="00EC12DF"/>
    <w:rsid w:val="00EC179E"/>
    <w:rsid w:val="00EC1A27"/>
    <w:rsid w:val="00EC1A31"/>
    <w:rsid w:val="00EC1A3F"/>
    <w:rsid w:val="00EC1ADA"/>
    <w:rsid w:val="00EC1BE6"/>
    <w:rsid w:val="00EC1CA6"/>
    <w:rsid w:val="00EC1D65"/>
    <w:rsid w:val="00EC209C"/>
    <w:rsid w:val="00EC20C6"/>
    <w:rsid w:val="00EC2512"/>
    <w:rsid w:val="00EC294A"/>
    <w:rsid w:val="00EC29BB"/>
    <w:rsid w:val="00EC29FA"/>
    <w:rsid w:val="00EC2B53"/>
    <w:rsid w:val="00EC2BB4"/>
    <w:rsid w:val="00EC2C76"/>
    <w:rsid w:val="00EC3066"/>
    <w:rsid w:val="00EC32CA"/>
    <w:rsid w:val="00EC3395"/>
    <w:rsid w:val="00EC34BC"/>
    <w:rsid w:val="00EC35FD"/>
    <w:rsid w:val="00EC3947"/>
    <w:rsid w:val="00EC3966"/>
    <w:rsid w:val="00EC396C"/>
    <w:rsid w:val="00EC3A3B"/>
    <w:rsid w:val="00EC3E89"/>
    <w:rsid w:val="00EC3EE7"/>
    <w:rsid w:val="00EC4117"/>
    <w:rsid w:val="00EC439E"/>
    <w:rsid w:val="00EC43FA"/>
    <w:rsid w:val="00EC44F0"/>
    <w:rsid w:val="00EC4557"/>
    <w:rsid w:val="00EC45C0"/>
    <w:rsid w:val="00EC4662"/>
    <w:rsid w:val="00EC46FD"/>
    <w:rsid w:val="00EC4997"/>
    <w:rsid w:val="00EC4C89"/>
    <w:rsid w:val="00EC50CD"/>
    <w:rsid w:val="00EC50FA"/>
    <w:rsid w:val="00EC51B4"/>
    <w:rsid w:val="00EC53AF"/>
    <w:rsid w:val="00EC540E"/>
    <w:rsid w:val="00EC5449"/>
    <w:rsid w:val="00EC5508"/>
    <w:rsid w:val="00EC5590"/>
    <w:rsid w:val="00EC55D9"/>
    <w:rsid w:val="00EC56C0"/>
    <w:rsid w:val="00EC5A98"/>
    <w:rsid w:val="00EC5C2D"/>
    <w:rsid w:val="00EC5C43"/>
    <w:rsid w:val="00EC5D4B"/>
    <w:rsid w:val="00EC5EE2"/>
    <w:rsid w:val="00EC6287"/>
    <w:rsid w:val="00EC6343"/>
    <w:rsid w:val="00EC643B"/>
    <w:rsid w:val="00EC64B1"/>
    <w:rsid w:val="00EC6681"/>
    <w:rsid w:val="00EC67C4"/>
    <w:rsid w:val="00EC67FC"/>
    <w:rsid w:val="00EC685E"/>
    <w:rsid w:val="00EC6AE2"/>
    <w:rsid w:val="00EC6B25"/>
    <w:rsid w:val="00EC6DE6"/>
    <w:rsid w:val="00EC6E9C"/>
    <w:rsid w:val="00EC6EBB"/>
    <w:rsid w:val="00EC7057"/>
    <w:rsid w:val="00EC70B1"/>
    <w:rsid w:val="00EC7236"/>
    <w:rsid w:val="00EC72EC"/>
    <w:rsid w:val="00EC73B2"/>
    <w:rsid w:val="00EC747F"/>
    <w:rsid w:val="00EC75B0"/>
    <w:rsid w:val="00EC761A"/>
    <w:rsid w:val="00EC778C"/>
    <w:rsid w:val="00EC7BC8"/>
    <w:rsid w:val="00EC7CD0"/>
    <w:rsid w:val="00EC7D20"/>
    <w:rsid w:val="00EC7F65"/>
    <w:rsid w:val="00ED00CA"/>
    <w:rsid w:val="00ED01D5"/>
    <w:rsid w:val="00ED02E7"/>
    <w:rsid w:val="00ED03B1"/>
    <w:rsid w:val="00ED0478"/>
    <w:rsid w:val="00ED0586"/>
    <w:rsid w:val="00ED0635"/>
    <w:rsid w:val="00ED0788"/>
    <w:rsid w:val="00ED0C90"/>
    <w:rsid w:val="00ED0D0F"/>
    <w:rsid w:val="00ED1203"/>
    <w:rsid w:val="00ED12B9"/>
    <w:rsid w:val="00ED14BD"/>
    <w:rsid w:val="00ED14E8"/>
    <w:rsid w:val="00ED15F6"/>
    <w:rsid w:val="00ED160A"/>
    <w:rsid w:val="00ED186B"/>
    <w:rsid w:val="00ED18CF"/>
    <w:rsid w:val="00ED1933"/>
    <w:rsid w:val="00ED1A85"/>
    <w:rsid w:val="00ED1CB6"/>
    <w:rsid w:val="00ED1D1D"/>
    <w:rsid w:val="00ED1ED3"/>
    <w:rsid w:val="00ED1FDE"/>
    <w:rsid w:val="00ED20F2"/>
    <w:rsid w:val="00ED2364"/>
    <w:rsid w:val="00ED243B"/>
    <w:rsid w:val="00ED2552"/>
    <w:rsid w:val="00ED25C9"/>
    <w:rsid w:val="00ED27F7"/>
    <w:rsid w:val="00ED2CA5"/>
    <w:rsid w:val="00ED2CEA"/>
    <w:rsid w:val="00ED2F90"/>
    <w:rsid w:val="00ED3104"/>
    <w:rsid w:val="00ED329C"/>
    <w:rsid w:val="00ED341C"/>
    <w:rsid w:val="00ED3500"/>
    <w:rsid w:val="00ED3684"/>
    <w:rsid w:val="00ED3986"/>
    <w:rsid w:val="00ED3C15"/>
    <w:rsid w:val="00ED3C98"/>
    <w:rsid w:val="00ED40C8"/>
    <w:rsid w:val="00ED421C"/>
    <w:rsid w:val="00ED4272"/>
    <w:rsid w:val="00ED42D3"/>
    <w:rsid w:val="00ED4450"/>
    <w:rsid w:val="00ED4781"/>
    <w:rsid w:val="00ED4825"/>
    <w:rsid w:val="00ED4841"/>
    <w:rsid w:val="00ED4A46"/>
    <w:rsid w:val="00ED4B55"/>
    <w:rsid w:val="00ED4C54"/>
    <w:rsid w:val="00ED4C68"/>
    <w:rsid w:val="00ED4CDC"/>
    <w:rsid w:val="00ED4D9C"/>
    <w:rsid w:val="00ED4E9C"/>
    <w:rsid w:val="00ED4EFF"/>
    <w:rsid w:val="00ED51CF"/>
    <w:rsid w:val="00ED52AC"/>
    <w:rsid w:val="00ED5495"/>
    <w:rsid w:val="00ED558D"/>
    <w:rsid w:val="00ED5955"/>
    <w:rsid w:val="00ED5AA0"/>
    <w:rsid w:val="00ED5CDC"/>
    <w:rsid w:val="00ED5EA3"/>
    <w:rsid w:val="00ED5F5E"/>
    <w:rsid w:val="00ED5FED"/>
    <w:rsid w:val="00ED60F7"/>
    <w:rsid w:val="00ED6535"/>
    <w:rsid w:val="00ED65BD"/>
    <w:rsid w:val="00ED6632"/>
    <w:rsid w:val="00ED6636"/>
    <w:rsid w:val="00ED67CD"/>
    <w:rsid w:val="00ED67D6"/>
    <w:rsid w:val="00ED67E3"/>
    <w:rsid w:val="00ED6838"/>
    <w:rsid w:val="00ED68F9"/>
    <w:rsid w:val="00ED6A70"/>
    <w:rsid w:val="00ED6AD3"/>
    <w:rsid w:val="00ED6CF8"/>
    <w:rsid w:val="00ED7033"/>
    <w:rsid w:val="00ED72F6"/>
    <w:rsid w:val="00ED75C2"/>
    <w:rsid w:val="00ED78B1"/>
    <w:rsid w:val="00ED78CC"/>
    <w:rsid w:val="00ED790D"/>
    <w:rsid w:val="00ED7A61"/>
    <w:rsid w:val="00ED7BDE"/>
    <w:rsid w:val="00ED7DA9"/>
    <w:rsid w:val="00ED7F6B"/>
    <w:rsid w:val="00EE00B4"/>
    <w:rsid w:val="00EE00BC"/>
    <w:rsid w:val="00EE022C"/>
    <w:rsid w:val="00EE0491"/>
    <w:rsid w:val="00EE06EA"/>
    <w:rsid w:val="00EE08A2"/>
    <w:rsid w:val="00EE0937"/>
    <w:rsid w:val="00EE0954"/>
    <w:rsid w:val="00EE0A3B"/>
    <w:rsid w:val="00EE0B40"/>
    <w:rsid w:val="00EE0CE7"/>
    <w:rsid w:val="00EE0D7B"/>
    <w:rsid w:val="00EE1242"/>
    <w:rsid w:val="00EE1270"/>
    <w:rsid w:val="00EE1283"/>
    <w:rsid w:val="00EE12C2"/>
    <w:rsid w:val="00EE12E0"/>
    <w:rsid w:val="00EE1608"/>
    <w:rsid w:val="00EE1659"/>
    <w:rsid w:val="00EE1767"/>
    <w:rsid w:val="00EE1959"/>
    <w:rsid w:val="00EE1B2B"/>
    <w:rsid w:val="00EE1C53"/>
    <w:rsid w:val="00EE1D7B"/>
    <w:rsid w:val="00EE1E34"/>
    <w:rsid w:val="00EE1F8E"/>
    <w:rsid w:val="00EE2128"/>
    <w:rsid w:val="00EE2144"/>
    <w:rsid w:val="00EE22D1"/>
    <w:rsid w:val="00EE24B1"/>
    <w:rsid w:val="00EE2554"/>
    <w:rsid w:val="00EE26A2"/>
    <w:rsid w:val="00EE2737"/>
    <w:rsid w:val="00EE28A7"/>
    <w:rsid w:val="00EE2FE3"/>
    <w:rsid w:val="00EE30A1"/>
    <w:rsid w:val="00EE31D8"/>
    <w:rsid w:val="00EE32F2"/>
    <w:rsid w:val="00EE335D"/>
    <w:rsid w:val="00EE33AF"/>
    <w:rsid w:val="00EE34B7"/>
    <w:rsid w:val="00EE354F"/>
    <w:rsid w:val="00EE389E"/>
    <w:rsid w:val="00EE3AA2"/>
    <w:rsid w:val="00EE3B5C"/>
    <w:rsid w:val="00EE3B85"/>
    <w:rsid w:val="00EE3BCC"/>
    <w:rsid w:val="00EE3C08"/>
    <w:rsid w:val="00EE3CB8"/>
    <w:rsid w:val="00EE3CC5"/>
    <w:rsid w:val="00EE3DBB"/>
    <w:rsid w:val="00EE3F05"/>
    <w:rsid w:val="00EE3FDD"/>
    <w:rsid w:val="00EE3FEE"/>
    <w:rsid w:val="00EE41E1"/>
    <w:rsid w:val="00EE435A"/>
    <w:rsid w:val="00EE44BE"/>
    <w:rsid w:val="00EE46A4"/>
    <w:rsid w:val="00EE4759"/>
    <w:rsid w:val="00EE47C3"/>
    <w:rsid w:val="00EE49F0"/>
    <w:rsid w:val="00EE4A0F"/>
    <w:rsid w:val="00EE4B74"/>
    <w:rsid w:val="00EE4C72"/>
    <w:rsid w:val="00EE4D32"/>
    <w:rsid w:val="00EE4E6C"/>
    <w:rsid w:val="00EE4F9D"/>
    <w:rsid w:val="00EE5200"/>
    <w:rsid w:val="00EE5401"/>
    <w:rsid w:val="00EE5413"/>
    <w:rsid w:val="00EE5414"/>
    <w:rsid w:val="00EE5444"/>
    <w:rsid w:val="00EE578B"/>
    <w:rsid w:val="00EE5838"/>
    <w:rsid w:val="00EE5A8C"/>
    <w:rsid w:val="00EE5AD1"/>
    <w:rsid w:val="00EE5B1F"/>
    <w:rsid w:val="00EE5B4F"/>
    <w:rsid w:val="00EE5B96"/>
    <w:rsid w:val="00EE5C1E"/>
    <w:rsid w:val="00EE5C98"/>
    <w:rsid w:val="00EE5DAD"/>
    <w:rsid w:val="00EE6035"/>
    <w:rsid w:val="00EE6050"/>
    <w:rsid w:val="00EE60B2"/>
    <w:rsid w:val="00EE614A"/>
    <w:rsid w:val="00EE6159"/>
    <w:rsid w:val="00EE62E1"/>
    <w:rsid w:val="00EE665C"/>
    <w:rsid w:val="00EE6719"/>
    <w:rsid w:val="00EE6814"/>
    <w:rsid w:val="00EE6A6E"/>
    <w:rsid w:val="00EE6B56"/>
    <w:rsid w:val="00EE6B57"/>
    <w:rsid w:val="00EE6C1F"/>
    <w:rsid w:val="00EE70E8"/>
    <w:rsid w:val="00EE712B"/>
    <w:rsid w:val="00EE7199"/>
    <w:rsid w:val="00EE726C"/>
    <w:rsid w:val="00EE74C8"/>
    <w:rsid w:val="00EE75AE"/>
    <w:rsid w:val="00EE7929"/>
    <w:rsid w:val="00EE79A9"/>
    <w:rsid w:val="00EE7A4D"/>
    <w:rsid w:val="00EE7C4C"/>
    <w:rsid w:val="00EE7DC6"/>
    <w:rsid w:val="00EE7DDF"/>
    <w:rsid w:val="00EF0168"/>
    <w:rsid w:val="00EF0292"/>
    <w:rsid w:val="00EF06DB"/>
    <w:rsid w:val="00EF0918"/>
    <w:rsid w:val="00EF09F2"/>
    <w:rsid w:val="00EF0A97"/>
    <w:rsid w:val="00EF0ABB"/>
    <w:rsid w:val="00EF0C25"/>
    <w:rsid w:val="00EF0C5E"/>
    <w:rsid w:val="00EF0EB3"/>
    <w:rsid w:val="00EF0F18"/>
    <w:rsid w:val="00EF10E2"/>
    <w:rsid w:val="00EF129B"/>
    <w:rsid w:val="00EF1489"/>
    <w:rsid w:val="00EF14D4"/>
    <w:rsid w:val="00EF15D3"/>
    <w:rsid w:val="00EF1B7E"/>
    <w:rsid w:val="00EF1B94"/>
    <w:rsid w:val="00EF1B99"/>
    <w:rsid w:val="00EF1C99"/>
    <w:rsid w:val="00EF1CAB"/>
    <w:rsid w:val="00EF1D41"/>
    <w:rsid w:val="00EF1D6F"/>
    <w:rsid w:val="00EF1FE7"/>
    <w:rsid w:val="00EF203B"/>
    <w:rsid w:val="00EF2440"/>
    <w:rsid w:val="00EF24A9"/>
    <w:rsid w:val="00EF24AE"/>
    <w:rsid w:val="00EF2A62"/>
    <w:rsid w:val="00EF2B53"/>
    <w:rsid w:val="00EF2E68"/>
    <w:rsid w:val="00EF2F0C"/>
    <w:rsid w:val="00EF2F4C"/>
    <w:rsid w:val="00EF310B"/>
    <w:rsid w:val="00EF311F"/>
    <w:rsid w:val="00EF343E"/>
    <w:rsid w:val="00EF34D7"/>
    <w:rsid w:val="00EF36A2"/>
    <w:rsid w:val="00EF3805"/>
    <w:rsid w:val="00EF3917"/>
    <w:rsid w:val="00EF3AAA"/>
    <w:rsid w:val="00EF3BBF"/>
    <w:rsid w:val="00EF3C46"/>
    <w:rsid w:val="00EF3CB7"/>
    <w:rsid w:val="00EF3EDF"/>
    <w:rsid w:val="00EF3F14"/>
    <w:rsid w:val="00EF3F21"/>
    <w:rsid w:val="00EF3FD3"/>
    <w:rsid w:val="00EF40F2"/>
    <w:rsid w:val="00EF4139"/>
    <w:rsid w:val="00EF441D"/>
    <w:rsid w:val="00EF4832"/>
    <w:rsid w:val="00EF4ADB"/>
    <w:rsid w:val="00EF4C79"/>
    <w:rsid w:val="00EF4EA0"/>
    <w:rsid w:val="00EF5032"/>
    <w:rsid w:val="00EF510B"/>
    <w:rsid w:val="00EF5116"/>
    <w:rsid w:val="00EF5226"/>
    <w:rsid w:val="00EF53F7"/>
    <w:rsid w:val="00EF554E"/>
    <w:rsid w:val="00EF55F7"/>
    <w:rsid w:val="00EF5806"/>
    <w:rsid w:val="00EF580C"/>
    <w:rsid w:val="00EF5878"/>
    <w:rsid w:val="00EF593E"/>
    <w:rsid w:val="00EF5A83"/>
    <w:rsid w:val="00EF5D89"/>
    <w:rsid w:val="00EF5E33"/>
    <w:rsid w:val="00EF5E8F"/>
    <w:rsid w:val="00EF5F71"/>
    <w:rsid w:val="00EF61B8"/>
    <w:rsid w:val="00EF61BE"/>
    <w:rsid w:val="00EF6726"/>
    <w:rsid w:val="00EF6967"/>
    <w:rsid w:val="00EF6978"/>
    <w:rsid w:val="00EF6A68"/>
    <w:rsid w:val="00EF6BC1"/>
    <w:rsid w:val="00EF6D95"/>
    <w:rsid w:val="00EF6F89"/>
    <w:rsid w:val="00EF70F1"/>
    <w:rsid w:val="00EF751D"/>
    <w:rsid w:val="00EF75E0"/>
    <w:rsid w:val="00EF763E"/>
    <w:rsid w:val="00EF769C"/>
    <w:rsid w:val="00EF7778"/>
    <w:rsid w:val="00EF7811"/>
    <w:rsid w:val="00EF7C6E"/>
    <w:rsid w:val="00EF7EA9"/>
    <w:rsid w:val="00EF7F93"/>
    <w:rsid w:val="00F000B4"/>
    <w:rsid w:val="00F0020E"/>
    <w:rsid w:val="00F0047F"/>
    <w:rsid w:val="00F0057E"/>
    <w:rsid w:val="00F006AE"/>
    <w:rsid w:val="00F006BC"/>
    <w:rsid w:val="00F009B0"/>
    <w:rsid w:val="00F00C73"/>
    <w:rsid w:val="00F00CC4"/>
    <w:rsid w:val="00F00E3D"/>
    <w:rsid w:val="00F00F57"/>
    <w:rsid w:val="00F00F67"/>
    <w:rsid w:val="00F00FC6"/>
    <w:rsid w:val="00F00FC8"/>
    <w:rsid w:val="00F0113C"/>
    <w:rsid w:val="00F0119F"/>
    <w:rsid w:val="00F011BD"/>
    <w:rsid w:val="00F011C0"/>
    <w:rsid w:val="00F01457"/>
    <w:rsid w:val="00F01503"/>
    <w:rsid w:val="00F01640"/>
    <w:rsid w:val="00F016CB"/>
    <w:rsid w:val="00F01753"/>
    <w:rsid w:val="00F0175E"/>
    <w:rsid w:val="00F01890"/>
    <w:rsid w:val="00F01987"/>
    <w:rsid w:val="00F01A98"/>
    <w:rsid w:val="00F01B4A"/>
    <w:rsid w:val="00F01E3B"/>
    <w:rsid w:val="00F02114"/>
    <w:rsid w:val="00F021A3"/>
    <w:rsid w:val="00F021FE"/>
    <w:rsid w:val="00F023FE"/>
    <w:rsid w:val="00F02410"/>
    <w:rsid w:val="00F02618"/>
    <w:rsid w:val="00F02A37"/>
    <w:rsid w:val="00F02B84"/>
    <w:rsid w:val="00F02BC7"/>
    <w:rsid w:val="00F02C44"/>
    <w:rsid w:val="00F02DD8"/>
    <w:rsid w:val="00F02E02"/>
    <w:rsid w:val="00F02F60"/>
    <w:rsid w:val="00F02FBF"/>
    <w:rsid w:val="00F03108"/>
    <w:rsid w:val="00F03294"/>
    <w:rsid w:val="00F0337B"/>
    <w:rsid w:val="00F03399"/>
    <w:rsid w:val="00F03450"/>
    <w:rsid w:val="00F03702"/>
    <w:rsid w:val="00F0376E"/>
    <w:rsid w:val="00F038C7"/>
    <w:rsid w:val="00F03AB0"/>
    <w:rsid w:val="00F03CC8"/>
    <w:rsid w:val="00F03DD0"/>
    <w:rsid w:val="00F03E32"/>
    <w:rsid w:val="00F03EDC"/>
    <w:rsid w:val="00F04010"/>
    <w:rsid w:val="00F04213"/>
    <w:rsid w:val="00F04598"/>
    <w:rsid w:val="00F045C9"/>
    <w:rsid w:val="00F0470C"/>
    <w:rsid w:val="00F047E4"/>
    <w:rsid w:val="00F04BF2"/>
    <w:rsid w:val="00F04C82"/>
    <w:rsid w:val="00F04DAE"/>
    <w:rsid w:val="00F04EBB"/>
    <w:rsid w:val="00F04FC4"/>
    <w:rsid w:val="00F05304"/>
    <w:rsid w:val="00F0560D"/>
    <w:rsid w:val="00F05684"/>
    <w:rsid w:val="00F0576C"/>
    <w:rsid w:val="00F057A2"/>
    <w:rsid w:val="00F057BD"/>
    <w:rsid w:val="00F05C6D"/>
    <w:rsid w:val="00F05CEC"/>
    <w:rsid w:val="00F05E1E"/>
    <w:rsid w:val="00F06213"/>
    <w:rsid w:val="00F06273"/>
    <w:rsid w:val="00F06364"/>
    <w:rsid w:val="00F06577"/>
    <w:rsid w:val="00F0691A"/>
    <w:rsid w:val="00F06E19"/>
    <w:rsid w:val="00F06F54"/>
    <w:rsid w:val="00F072E9"/>
    <w:rsid w:val="00F07530"/>
    <w:rsid w:val="00F075EB"/>
    <w:rsid w:val="00F0779B"/>
    <w:rsid w:val="00F07CEE"/>
    <w:rsid w:val="00F07E7C"/>
    <w:rsid w:val="00F07EB8"/>
    <w:rsid w:val="00F07F88"/>
    <w:rsid w:val="00F10353"/>
    <w:rsid w:val="00F10411"/>
    <w:rsid w:val="00F10418"/>
    <w:rsid w:val="00F10463"/>
    <w:rsid w:val="00F10AEA"/>
    <w:rsid w:val="00F10E00"/>
    <w:rsid w:val="00F11013"/>
    <w:rsid w:val="00F11237"/>
    <w:rsid w:val="00F114D7"/>
    <w:rsid w:val="00F114DE"/>
    <w:rsid w:val="00F11569"/>
    <w:rsid w:val="00F115A7"/>
    <w:rsid w:val="00F117AA"/>
    <w:rsid w:val="00F11870"/>
    <w:rsid w:val="00F11A5E"/>
    <w:rsid w:val="00F11C49"/>
    <w:rsid w:val="00F11EEE"/>
    <w:rsid w:val="00F1205D"/>
    <w:rsid w:val="00F12171"/>
    <w:rsid w:val="00F12194"/>
    <w:rsid w:val="00F1228A"/>
    <w:rsid w:val="00F1236D"/>
    <w:rsid w:val="00F12425"/>
    <w:rsid w:val="00F1243D"/>
    <w:rsid w:val="00F12640"/>
    <w:rsid w:val="00F12763"/>
    <w:rsid w:val="00F12852"/>
    <w:rsid w:val="00F12A3A"/>
    <w:rsid w:val="00F12AE3"/>
    <w:rsid w:val="00F12B7D"/>
    <w:rsid w:val="00F12BC4"/>
    <w:rsid w:val="00F12D10"/>
    <w:rsid w:val="00F12E7C"/>
    <w:rsid w:val="00F1308F"/>
    <w:rsid w:val="00F13119"/>
    <w:rsid w:val="00F13409"/>
    <w:rsid w:val="00F13411"/>
    <w:rsid w:val="00F13644"/>
    <w:rsid w:val="00F13719"/>
    <w:rsid w:val="00F13800"/>
    <w:rsid w:val="00F13CD8"/>
    <w:rsid w:val="00F13D39"/>
    <w:rsid w:val="00F13D7A"/>
    <w:rsid w:val="00F13F06"/>
    <w:rsid w:val="00F13F3C"/>
    <w:rsid w:val="00F13F3F"/>
    <w:rsid w:val="00F13F4C"/>
    <w:rsid w:val="00F144EF"/>
    <w:rsid w:val="00F147C8"/>
    <w:rsid w:val="00F14963"/>
    <w:rsid w:val="00F149F5"/>
    <w:rsid w:val="00F14B18"/>
    <w:rsid w:val="00F14B5A"/>
    <w:rsid w:val="00F14D35"/>
    <w:rsid w:val="00F14D8E"/>
    <w:rsid w:val="00F14DCF"/>
    <w:rsid w:val="00F14E7E"/>
    <w:rsid w:val="00F14E9F"/>
    <w:rsid w:val="00F14FDF"/>
    <w:rsid w:val="00F150B0"/>
    <w:rsid w:val="00F151B7"/>
    <w:rsid w:val="00F1545A"/>
    <w:rsid w:val="00F154F7"/>
    <w:rsid w:val="00F155EC"/>
    <w:rsid w:val="00F156D5"/>
    <w:rsid w:val="00F15800"/>
    <w:rsid w:val="00F15841"/>
    <w:rsid w:val="00F15A09"/>
    <w:rsid w:val="00F15D5F"/>
    <w:rsid w:val="00F15E8E"/>
    <w:rsid w:val="00F1622B"/>
    <w:rsid w:val="00F1637D"/>
    <w:rsid w:val="00F16418"/>
    <w:rsid w:val="00F167DA"/>
    <w:rsid w:val="00F16879"/>
    <w:rsid w:val="00F1695D"/>
    <w:rsid w:val="00F16DF1"/>
    <w:rsid w:val="00F16E8F"/>
    <w:rsid w:val="00F1766C"/>
    <w:rsid w:val="00F17876"/>
    <w:rsid w:val="00F1798B"/>
    <w:rsid w:val="00F179F5"/>
    <w:rsid w:val="00F17D7E"/>
    <w:rsid w:val="00F17E4A"/>
    <w:rsid w:val="00F17F8B"/>
    <w:rsid w:val="00F200AC"/>
    <w:rsid w:val="00F20359"/>
    <w:rsid w:val="00F2043A"/>
    <w:rsid w:val="00F20636"/>
    <w:rsid w:val="00F20A73"/>
    <w:rsid w:val="00F20ACB"/>
    <w:rsid w:val="00F20DC7"/>
    <w:rsid w:val="00F20F6D"/>
    <w:rsid w:val="00F2109E"/>
    <w:rsid w:val="00F21140"/>
    <w:rsid w:val="00F214F9"/>
    <w:rsid w:val="00F21587"/>
    <w:rsid w:val="00F21860"/>
    <w:rsid w:val="00F218EB"/>
    <w:rsid w:val="00F21A3A"/>
    <w:rsid w:val="00F21A5A"/>
    <w:rsid w:val="00F21CBC"/>
    <w:rsid w:val="00F21E48"/>
    <w:rsid w:val="00F21FE9"/>
    <w:rsid w:val="00F22277"/>
    <w:rsid w:val="00F2240D"/>
    <w:rsid w:val="00F2245B"/>
    <w:rsid w:val="00F225F0"/>
    <w:rsid w:val="00F2266A"/>
    <w:rsid w:val="00F227E3"/>
    <w:rsid w:val="00F22A4B"/>
    <w:rsid w:val="00F22DDD"/>
    <w:rsid w:val="00F2302B"/>
    <w:rsid w:val="00F2309F"/>
    <w:rsid w:val="00F2324E"/>
    <w:rsid w:val="00F23324"/>
    <w:rsid w:val="00F2348A"/>
    <w:rsid w:val="00F236B7"/>
    <w:rsid w:val="00F2370B"/>
    <w:rsid w:val="00F23887"/>
    <w:rsid w:val="00F23CA0"/>
    <w:rsid w:val="00F23D30"/>
    <w:rsid w:val="00F23F15"/>
    <w:rsid w:val="00F23F98"/>
    <w:rsid w:val="00F23FC1"/>
    <w:rsid w:val="00F2447C"/>
    <w:rsid w:val="00F24963"/>
    <w:rsid w:val="00F24AE0"/>
    <w:rsid w:val="00F24D1D"/>
    <w:rsid w:val="00F24DCF"/>
    <w:rsid w:val="00F24FA6"/>
    <w:rsid w:val="00F24FFD"/>
    <w:rsid w:val="00F2510E"/>
    <w:rsid w:val="00F252F2"/>
    <w:rsid w:val="00F253CB"/>
    <w:rsid w:val="00F2540A"/>
    <w:rsid w:val="00F254CD"/>
    <w:rsid w:val="00F25630"/>
    <w:rsid w:val="00F258BB"/>
    <w:rsid w:val="00F25976"/>
    <w:rsid w:val="00F25ABD"/>
    <w:rsid w:val="00F25EA0"/>
    <w:rsid w:val="00F2612B"/>
    <w:rsid w:val="00F2639B"/>
    <w:rsid w:val="00F2672C"/>
    <w:rsid w:val="00F2686E"/>
    <w:rsid w:val="00F26C37"/>
    <w:rsid w:val="00F26D29"/>
    <w:rsid w:val="00F26D80"/>
    <w:rsid w:val="00F26DE3"/>
    <w:rsid w:val="00F270F7"/>
    <w:rsid w:val="00F271FA"/>
    <w:rsid w:val="00F2750B"/>
    <w:rsid w:val="00F27643"/>
    <w:rsid w:val="00F27712"/>
    <w:rsid w:val="00F27967"/>
    <w:rsid w:val="00F279BE"/>
    <w:rsid w:val="00F27A06"/>
    <w:rsid w:val="00F27B87"/>
    <w:rsid w:val="00F27C19"/>
    <w:rsid w:val="00F27F3B"/>
    <w:rsid w:val="00F30085"/>
    <w:rsid w:val="00F300FA"/>
    <w:rsid w:val="00F30111"/>
    <w:rsid w:val="00F302F3"/>
    <w:rsid w:val="00F30420"/>
    <w:rsid w:val="00F30478"/>
    <w:rsid w:val="00F3069E"/>
    <w:rsid w:val="00F30849"/>
    <w:rsid w:val="00F30850"/>
    <w:rsid w:val="00F30948"/>
    <w:rsid w:val="00F3094B"/>
    <w:rsid w:val="00F30C96"/>
    <w:rsid w:val="00F30CA2"/>
    <w:rsid w:val="00F30E75"/>
    <w:rsid w:val="00F310B0"/>
    <w:rsid w:val="00F311CB"/>
    <w:rsid w:val="00F31284"/>
    <w:rsid w:val="00F3144D"/>
    <w:rsid w:val="00F3145C"/>
    <w:rsid w:val="00F31788"/>
    <w:rsid w:val="00F31807"/>
    <w:rsid w:val="00F318C4"/>
    <w:rsid w:val="00F318F2"/>
    <w:rsid w:val="00F3197D"/>
    <w:rsid w:val="00F31A13"/>
    <w:rsid w:val="00F31B8B"/>
    <w:rsid w:val="00F31FB1"/>
    <w:rsid w:val="00F3201B"/>
    <w:rsid w:val="00F32234"/>
    <w:rsid w:val="00F322EB"/>
    <w:rsid w:val="00F32521"/>
    <w:rsid w:val="00F3261A"/>
    <w:rsid w:val="00F32624"/>
    <w:rsid w:val="00F326D9"/>
    <w:rsid w:val="00F32743"/>
    <w:rsid w:val="00F327F3"/>
    <w:rsid w:val="00F32964"/>
    <w:rsid w:val="00F32B1C"/>
    <w:rsid w:val="00F32EE0"/>
    <w:rsid w:val="00F3336F"/>
    <w:rsid w:val="00F3347F"/>
    <w:rsid w:val="00F33AE8"/>
    <w:rsid w:val="00F33B1E"/>
    <w:rsid w:val="00F33CD1"/>
    <w:rsid w:val="00F33E69"/>
    <w:rsid w:val="00F33F02"/>
    <w:rsid w:val="00F33F4E"/>
    <w:rsid w:val="00F34101"/>
    <w:rsid w:val="00F34188"/>
    <w:rsid w:val="00F346D3"/>
    <w:rsid w:val="00F34C10"/>
    <w:rsid w:val="00F34C36"/>
    <w:rsid w:val="00F34D53"/>
    <w:rsid w:val="00F34D90"/>
    <w:rsid w:val="00F34E1A"/>
    <w:rsid w:val="00F34F16"/>
    <w:rsid w:val="00F34FC4"/>
    <w:rsid w:val="00F35206"/>
    <w:rsid w:val="00F352C1"/>
    <w:rsid w:val="00F3556B"/>
    <w:rsid w:val="00F35616"/>
    <w:rsid w:val="00F3571C"/>
    <w:rsid w:val="00F3586C"/>
    <w:rsid w:val="00F35E4E"/>
    <w:rsid w:val="00F35EB3"/>
    <w:rsid w:val="00F35EB5"/>
    <w:rsid w:val="00F35F3D"/>
    <w:rsid w:val="00F35F97"/>
    <w:rsid w:val="00F360B4"/>
    <w:rsid w:val="00F361B1"/>
    <w:rsid w:val="00F36284"/>
    <w:rsid w:val="00F36608"/>
    <w:rsid w:val="00F3681C"/>
    <w:rsid w:val="00F3685D"/>
    <w:rsid w:val="00F368F1"/>
    <w:rsid w:val="00F369D3"/>
    <w:rsid w:val="00F36AA1"/>
    <w:rsid w:val="00F36EAF"/>
    <w:rsid w:val="00F36FCB"/>
    <w:rsid w:val="00F36FFF"/>
    <w:rsid w:val="00F370F6"/>
    <w:rsid w:val="00F372D5"/>
    <w:rsid w:val="00F372E9"/>
    <w:rsid w:val="00F37382"/>
    <w:rsid w:val="00F3771D"/>
    <w:rsid w:val="00F37768"/>
    <w:rsid w:val="00F37A01"/>
    <w:rsid w:val="00F37E87"/>
    <w:rsid w:val="00F37F7D"/>
    <w:rsid w:val="00F400E7"/>
    <w:rsid w:val="00F40484"/>
    <w:rsid w:val="00F40572"/>
    <w:rsid w:val="00F40738"/>
    <w:rsid w:val="00F408DE"/>
    <w:rsid w:val="00F40955"/>
    <w:rsid w:val="00F4097D"/>
    <w:rsid w:val="00F40CEF"/>
    <w:rsid w:val="00F40D55"/>
    <w:rsid w:val="00F40FC2"/>
    <w:rsid w:val="00F41347"/>
    <w:rsid w:val="00F413D4"/>
    <w:rsid w:val="00F41555"/>
    <w:rsid w:val="00F41935"/>
    <w:rsid w:val="00F41973"/>
    <w:rsid w:val="00F41990"/>
    <w:rsid w:val="00F41ADC"/>
    <w:rsid w:val="00F41C82"/>
    <w:rsid w:val="00F41D68"/>
    <w:rsid w:val="00F41E12"/>
    <w:rsid w:val="00F41E30"/>
    <w:rsid w:val="00F41EA8"/>
    <w:rsid w:val="00F420CC"/>
    <w:rsid w:val="00F42257"/>
    <w:rsid w:val="00F422CF"/>
    <w:rsid w:val="00F423B5"/>
    <w:rsid w:val="00F423F0"/>
    <w:rsid w:val="00F42747"/>
    <w:rsid w:val="00F429B9"/>
    <w:rsid w:val="00F42A3E"/>
    <w:rsid w:val="00F42C98"/>
    <w:rsid w:val="00F42E8C"/>
    <w:rsid w:val="00F4349B"/>
    <w:rsid w:val="00F4352D"/>
    <w:rsid w:val="00F435A5"/>
    <w:rsid w:val="00F435EB"/>
    <w:rsid w:val="00F4396C"/>
    <w:rsid w:val="00F43B9B"/>
    <w:rsid w:val="00F43EB0"/>
    <w:rsid w:val="00F43ED9"/>
    <w:rsid w:val="00F441A5"/>
    <w:rsid w:val="00F441B0"/>
    <w:rsid w:val="00F44370"/>
    <w:rsid w:val="00F444BD"/>
    <w:rsid w:val="00F44771"/>
    <w:rsid w:val="00F4486E"/>
    <w:rsid w:val="00F448DC"/>
    <w:rsid w:val="00F44A1D"/>
    <w:rsid w:val="00F44CDA"/>
    <w:rsid w:val="00F44E2B"/>
    <w:rsid w:val="00F44ED5"/>
    <w:rsid w:val="00F44F63"/>
    <w:rsid w:val="00F451B9"/>
    <w:rsid w:val="00F451D4"/>
    <w:rsid w:val="00F452C3"/>
    <w:rsid w:val="00F4579E"/>
    <w:rsid w:val="00F45845"/>
    <w:rsid w:val="00F4598E"/>
    <w:rsid w:val="00F45AAA"/>
    <w:rsid w:val="00F45B07"/>
    <w:rsid w:val="00F45C33"/>
    <w:rsid w:val="00F45F86"/>
    <w:rsid w:val="00F460A0"/>
    <w:rsid w:val="00F460BA"/>
    <w:rsid w:val="00F46261"/>
    <w:rsid w:val="00F46353"/>
    <w:rsid w:val="00F464F8"/>
    <w:rsid w:val="00F46AEB"/>
    <w:rsid w:val="00F46BAA"/>
    <w:rsid w:val="00F46C91"/>
    <w:rsid w:val="00F46CDB"/>
    <w:rsid w:val="00F46E94"/>
    <w:rsid w:val="00F46F5D"/>
    <w:rsid w:val="00F46F6F"/>
    <w:rsid w:val="00F47021"/>
    <w:rsid w:val="00F47022"/>
    <w:rsid w:val="00F4730D"/>
    <w:rsid w:val="00F47506"/>
    <w:rsid w:val="00F4787A"/>
    <w:rsid w:val="00F47DC5"/>
    <w:rsid w:val="00F500E7"/>
    <w:rsid w:val="00F500FF"/>
    <w:rsid w:val="00F50106"/>
    <w:rsid w:val="00F5010A"/>
    <w:rsid w:val="00F5043C"/>
    <w:rsid w:val="00F50461"/>
    <w:rsid w:val="00F50751"/>
    <w:rsid w:val="00F5084F"/>
    <w:rsid w:val="00F50960"/>
    <w:rsid w:val="00F50A77"/>
    <w:rsid w:val="00F50A86"/>
    <w:rsid w:val="00F50AE5"/>
    <w:rsid w:val="00F50BC0"/>
    <w:rsid w:val="00F50E1B"/>
    <w:rsid w:val="00F50E68"/>
    <w:rsid w:val="00F50EA8"/>
    <w:rsid w:val="00F50F9F"/>
    <w:rsid w:val="00F50FAA"/>
    <w:rsid w:val="00F50FCF"/>
    <w:rsid w:val="00F51253"/>
    <w:rsid w:val="00F512D3"/>
    <w:rsid w:val="00F5140C"/>
    <w:rsid w:val="00F51443"/>
    <w:rsid w:val="00F51528"/>
    <w:rsid w:val="00F518CA"/>
    <w:rsid w:val="00F51979"/>
    <w:rsid w:val="00F51C31"/>
    <w:rsid w:val="00F51E1B"/>
    <w:rsid w:val="00F51E95"/>
    <w:rsid w:val="00F51F1D"/>
    <w:rsid w:val="00F522A9"/>
    <w:rsid w:val="00F52396"/>
    <w:rsid w:val="00F5251A"/>
    <w:rsid w:val="00F52669"/>
    <w:rsid w:val="00F5266A"/>
    <w:rsid w:val="00F5268A"/>
    <w:rsid w:val="00F527CF"/>
    <w:rsid w:val="00F5299A"/>
    <w:rsid w:val="00F52A10"/>
    <w:rsid w:val="00F52A52"/>
    <w:rsid w:val="00F52AD1"/>
    <w:rsid w:val="00F52AF6"/>
    <w:rsid w:val="00F52C51"/>
    <w:rsid w:val="00F52DF9"/>
    <w:rsid w:val="00F52E55"/>
    <w:rsid w:val="00F52EA1"/>
    <w:rsid w:val="00F52EDF"/>
    <w:rsid w:val="00F53126"/>
    <w:rsid w:val="00F5312A"/>
    <w:rsid w:val="00F53166"/>
    <w:rsid w:val="00F53177"/>
    <w:rsid w:val="00F5360C"/>
    <w:rsid w:val="00F537BE"/>
    <w:rsid w:val="00F53872"/>
    <w:rsid w:val="00F53932"/>
    <w:rsid w:val="00F53B35"/>
    <w:rsid w:val="00F53B4E"/>
    <w:rsid w:val="00F53C50"/>
    <w:rsid w:val="00F53C98"/>
    <w:rsid w:val="00F53DA2"/>
    <w:rsid w:val="00F53DCC"/>
    <w:rsid w:val="00F53DCF"/>
    <w:rsid w:val="00F53EA9"/>
    <w:rsid w:val="00F5410D"/>
    <w:rsid w:val="00F54144"/>
    <w:rsid w:val="00F54368"/>
    <w:rsid w:val="00F5451C"/>
    <w:rsid w:val="00F54739"/>
    <w:rsid w:val="00F5476E"/>
    <w:rsid w:val="00F547AB"/>
    <w:rsid w:val="00F54AFB"/>
    <w:rsid w:val="00F54D46"/>
    <w:rsid w:val="00F54E2A"/>
    <w:rsid w:val="00F54E2B"/>
    <w:rsid w:val="00F550A3"/>
    <w:rsid w:val="00F5535B"/>
    <w:rsid w:val="00F553CC"/>
    <w:rsid w:val="00F5561B"/>
    <w:rsid w:val="00F5580E"/>
    <w:rsid w:val="00F55A1F"/>
    <w:rsid w:val="00F55B37"/>
    <w:rsid w:val="00F55D2D"/>
    <w:rsid w:val="00F55DD0"/>
    <w:rsid w:val="00F55FA6"/>
    <w:rsid w:val="00F5635F"/>
    <w:rsid w:val="00F5650D"/>
    <w:rsid w:val="00F5669C"/>
    <w:rsid w:val="00F569BF"/>
    <w:rsid w:val="00F56A5F"/>
    <w:rsid w:val="00F56A95"/>
    <w:rsid w:val="00F56B1B"/>
    <w:rsid w:val="00F56CDB"/>
    <w:rsid w:val="00F56E31"/>
    <w:rsid w:val="00F5733E"/>
    <w:rsid w:val="00F57586"/>
    <w:rsid w:val="00F575B2"/>
    <w:rsid w:val="00F57BF3"/>
    <w:rsid w:val="00F57D88"/>
    <w:rsid w:val="00F57E5C"/>
    <w:rsid w:val="00F60218"/>
    <w:rsid w:val="00F604A0"/>
    <w:rsid w:val="00F60695"/>
    <w:rsid w:val="00F606F1"/>
    <w:rsid w:val="00F6087E"/>
    <w:rsid w:val="00F610AC"/>
    <w:rsid w:val="00F611B0"/>
    <w:rsid w:val="00F6127E"/>
    <w:rsid w:val="00F61303"/>
    <w:rsid w:val="00F613F2"/>
    <w:rsid w:val="00F6156F"/>
    <w:rsid w:val="00F617BD"/>
    <w:rsid w:val="00F61BD7"/>
    <w:rsid w:val="00F61F7A"/>
    <w:rsid w:val="00F62138"/>
    <w:rsid w:val="00F622B0"/>
    <w:rsid w:val="00F62445"/>
    <w:rsid w:val="00F6273D"/>
    <w:rsid w:val="00F62965"/>
    <w:rsid w:val="00F62992"/>
    <w:rsid w:val="00F62BB3"/>
    <w:rsid w:val="00F62C6E"/>
    <w:rsid w:val="00F62D17"/>
    <w:rsid w:val="00F62D88"/>
    <w:rsid w:val="00F62DD3"/>
    <w:rsid w:val="00F62E06"/>
    <w:rsid w:val="00F62E9C"/>
    <w:rsid w:val="00F62F49"/>
    <w:rsid w:val="00F63078"/>
    <w:rsid w:val="00F631C6"/>
    <w:rsid w:val="00F63346"/>
    <w:rsid w:val="00F633BF"/>
    <w:rsid w:val="00F6345D"/>
    <w:rsid w:val="00F63575"/>
    <w:rsid w:val="00F6371A"/>
    <w:rsid w:val="00F639FD"/>
    <w:rsid w:val="00F63A8C"/>
    <w:rsid w:val="00F63B2D"/>
    <w:rsid w:val="00F63B82"/>
    <w:rsid w:val="00F63B96"/>
    <w:rsid w:val="00F63C1F"/>
    <w:rsid w:val="00F63E34"/>
    <w:rsid w:val="00F64014"/>
    <w:rsid w:val="00F64040"/>
    <w:rsid w:val="00F6409B"/>
    <w:rsid w:val="00F640D9"/>
    <w:rsid w:val="00F642C1"/>
    <w:rsid w:val="00F64332"/>
    <w:rsid w:val="00F643A7"/>
    <w:rsid w:val="00F6448F"/>
    <w:rsid w:val="00F644A6"/>
    <w:rsid w:val="00F645BF"/>
    <w:rsid w:val="00F6464F"/>
    <w:rsid w:val="00F6467A"/>
    <w:rsid w:val="00F646C1"/>
    <w:rsid w:val="00F646D1"/>
    <w:rsid w:val="00F646FF"/>
    <w:rsid w:val="00F6487C"/>
    <w:rsid w:val="00F6492B"/>
    <w:rsid w:val="00F64ABC"/>
    <w:rsid w:val="00F64B59"/>
    <w:rsid w:val="00F64DBB"/>
    <w:rsid w:val="00F64DF0"/>
    <w:rsid w:val="00F64ED0"/>
    <w:rsid w:val="00F65037"/>
    <w:rsid w:val="00F650C5"/>
    <w:rsid w:val="00F651C0"/>
    <w:rsid w:val="00F65719"/>
    <w:rsid w:val="00F657E6"/>
    <w:rsid w:val="00F658E4"/>
    <w:rsid w:val="00F6597E"/>
    <w:rsid w:val="00F65DDD"/>
    <w:rsid w:val="00F66095"/>
    <w:rsid w:val="00F661AD"/>
    <w:rsid w:val="00F66262"/>
    <w:rsid w:val="00F66266"/>
    <w:rsid w:val="00F66425"/>
    <w:rsid w:val="00F664CD"/>
    <w:rsid w:val="00F66783"/>
    <w:rsid w:val="00F6692A"/>
    <w:rsid w:val="00F66AEF"/>
    <w:rsid w:val="00F66B04"/>
    <w:rsid w:val="00F66CF8"/>
    <w:rsid w:val="00F66F8F"/>
    <w:rsid w:val="00F67234"/>
    <w:rsid w:val="00F6754C"/>
    <w:rsid w:val="00F675B5"/>
    <w:rsid w:val="00F67791"/>
    <w:rsid w:val="00F67902"/>
    <w:rsid w:val="00F67B50"/>
    <w:rsid w:val="00F67BDA"/>
    <w:rsid w:val="00F67DC8"/>
    <w:rsid w:val="00F67F15"/>
    <w:rsid w:val="00F700AE"/>
    <w:rsid w:val="00F7014A"/>
    <w:rsid w:val="00F701E6"/>
    <w:rsid w:val="00F70203"/>
    <w:rsid w:val="00F70323"/>
    <w:rsid w:val="00F70380"/>
    <w:rsid w:val="00F70383"/>
    <w:rsid w:val="00F70394"/>
    <w:rsid w:val="00F70618"/>
    <w:rsid w:val="00F7073C"/>
    <w:rsid w:val="00F70958"/>
    <w:rsid w:val="00F7099D"/>
    <w:rsid w:val="00F70A06"/>
    <w:rsid w:val="00F70B7A"/>
    <w:rsid w:val="00F70D9E"/>
    <w:rsid w:val="00F70EA2"/>
    <w:rsid w:val="00F70F19"/>
    <w:rsid w:val="00F70F25"/>
    <w:rsid w:val="00F71206"/>
    <w:rsid w:val="00F714ED"/>
    <w:rsid w:val="00F715FE"/>
    <w:rsid w:val="00F71608"/>
    <w:rsid w:val="00F717FF"/>
    <w:rsid w:val="00F71B55"/>
    <w:rsid w:val="00F71E68"/>
    <w:rsid w:val="00F71EBD"/>
    <w:rsid w:val="00F71FB7"/>
    <w:rsid w:val="00F72043"/>
    <w:rsid w:val="00F72331"/>
    <w:rsid w:val="00F72342"/>
    <w:rsid w:val="00F724BA"/>
    <w:rsid w:val="00F725D6"/>
    <w:rsid w:val="00F727A4"/>
    <w:rsid w:val="00F727EB"/>
    <w:rsid w:val="00F72922"/>
    <w:rsid w:val="00F72CA2"/>
    <w:rsid w:val="00F72D2B"/>
    <w:rsid w:val="00F72FB3"/>
    <w:rsid w:val="00F73187"/>
    <w:rsid w:val="00F732FB"/>
    <w:rsid w:val="00F73320"/>
    <w:rsid w:val="00F73413"/>
    <w:rsid w:val="00F737EC"/>
    <w:rsid w:val="00F738F4"/>
    <w:rsid w:val="00F73A42"/>
    <w:rsid w:val="00F73C53"/>
    <w:rsid w:val="00F73D5D"/>
    <w:rsid w:val="00F73DBA"/>
    <w:rsid w:val="00F73DE5"/>
    <w:rsid w:val="00F74071"/>
    <w:rsid w:val="00F7438B"/>
    <w:rsid w:val="00F743A1"/>
    <w:rsid w:val="00F744D9"/>
    <w:rsid w:val="00F745A0"/>
    <w:rsid w:val="00F74713"/>
    <w:rsid w:val="00F74909"/>
    <w:rsid w:val="00F74A2F"/>
    <w:rsid w:val="00F74B97"/>
    <w:rsid w:val="00F74CF2"/>
    <w:rsid w:val="00F751FF"/>
    <w:rsid w:val="00F75232"/>
    <w:rsid w:val="00F75363"/>
    <w:rsid w:val="00F75622"/>
    <w:rsid w:val="00F75798"/>
    <w:rsid w:val="00F758DA"/>
    <w:rsid w:val="00F759F6"/>
    <w:rsid w:val="00F75A09"/>
    <w:rsid w:val="00F75C1D"/>
    <w:rsid w:val="00F76CFA"/>
    <w:rsid w:val="00F76D86"/>
    <w:rsid w:val="00F77011"/>
    <w:rsid w:val="00F771C5"/>
    <w:rsid w:val="00F773F3"/>
    <w:rsid w:val="00F77400"/>
    <w:rsid w:val="00F77531"/>
    <w:rsid w:val="00F77555"/>
    <w:rsid w:val="00F77591"/>
    <w:rsid w:val="00F778B6"/>
    <w:rsid w:val="00F77998"/>
    <w:rsid w:val="00F779E6"/>
    <w:rsid w:val="00F77DB9"/>
    <w:rsid w:val="00F77E75"/>
    <w:rsid w:val="00F80358"/>
    <w:rsid w:val="00F80596"/>
    <w:rsid w:val="00F806DD"/>
    <w:rsid w:val="00F80C88"/>
    <w:rsid w:val="00F80F16"/>
    <w:rsid w:val="00F80F9E"/>
    <w:rsid w:val="00F81173"/>
    <w:rsid w:val="00F81453"/>
    <w:rsid w:val="00F81495"/>
    <w:rsid w:val="00F81532"/>
    <w:rsid w:val="00F81666"/>
    <w:rsid w:val="00F81996"/>
    <w:rsid w:val="00F819C5"/>
    <w:rsid w:val="00F819CA"/>
    <w:rsid w:val="00F81C6F"/>
    <w:rsid w:val="00F81CBA"/>
    <w:rsid w:val="00F81DCD"/>
    <w:rsid w:val="00F81F5F"/>
    <w:rsid w:val="00F82093"/>
    <w:rsid w:val="00F820C2"/>
    <w:rsid w:val="00F821A7"/>
    <w:rsid w:val="00F82310"/>
    <w:rsid w:val="00F82337"/>
    <w:rsid w:val="00F823CA"/>
    <w:rsid w:val="00F826EA"/>
    <w:rsid w:val="00F82832"/>
    <w:rsid w:val="00F828E8"/>
    <w:rsid w:val="00F82C5E"/>
    <w:rsid w:val="00F82CEA"/>
    <w:rsid w:val="00F82D36"/>
    <w:rsid w:val="00F82D55"/>
    <w:rsid w:val="00F83484"/>
    <w:rsid w:val="00F836AC"/>
    <w:rsid w:val="00F838F6"/>
    <w:rsid w:val="00F83A01"/>
    <w:rsid w:val="00F84050"/>
    <w:rsid w:val="00F8410D"/>
    <w:rsid w:val="00F844A8"/>
    <w:rsid w:val="00F8459C"/>
    <w:rsid w:val="00F84642"/>
    <w:rsid w:val="00F84735"/>
    <w:rsid w:val="00F8493A"/>
    <w:rsid w:val="00F84A64"/>
    <w:rsid w:val="00F84AE8"/>
    <w:rsid w:val="00F84B1F"/>
    <w:rsid w:val="00F84E3D"/>
    <w:rsid w:val="00F84E65"/>
    <w:rsid w:val="00F84EFF"/>
    <w:rsid w:val="00F84FE0"/>
    <w:rsid w:val="00F8507D"/>
    <w:rsid w:val="00F852D5"/>
    <w:rsid w:val="00F855CB"/>
    <w:rsid w:val="00F857F8"/>
    <w:rsid w:val="00F8595D"/>
    <w:rsid w:val="00F859E7"/>
    <w:rsid w:val="00F85B6E"/>
    <w:rsid w:val="00F85BAA"/>
    <w:rsid w:val="00F8601E"/>
    <w:rsid w:val="00F8602C"/>
    <w:rsid w:val="00F861D4"/>
    <w:rsid w:val="00F861D6"/>
    <w:rsid w:val="00F86636"/>
    <w:rsid w:val="00F86874"/>
    <w:rsid w:val="00F8698F"/>
    <w:rsid w:val="00F86AFA"/>
    <w:rsid w:val="00F86CE7"/>
    <w:rsid w:val="00F87019"/>
    <w:rsid w:val="00F870EE"/>
    <w:rsid w:val="00F870EF"/>
    <w:rsid w:val="00F871D9"/>
    <w:rsid w:val="00F876D7"/>
    <w:rsid w:val="00F877EF"/>
    <w:rsid w:val="00F879BB"/>
    <w:rsid w:val="00F879C7"/>
    <w:rsid w:val="00F87A3D"/>
    <w:rsid w:val="00F87B12"/>
    <w:rsid w:val="00F87EA7"/>
    <w:rsid w:val="00F9002C"/>
    <w:rsid w:val="00F900D1"/>
    <w:rsid w:val="00F9024D"/>
    <w:rsid w:val="00F90270"/>
    <w:rsid w:val="00F905E9"/>
    <w:rsid w:val="00F90A7E"/>
    <w:rsid w:val="00F90F99"/>
    <w:rsid w:val="00F910D2"/>
    <w:rsid w:val="00F91312"/>
    <w:rsid w:val="00F9137E"/>
    <w:rsid w:val="00F9156B"/>
    <w:rsid w:val="00F91596"/>
    <w:rsid w:val="00F918BD"/>
    <w:rsid w:val="00F91A9C"/>
    <w:rsid w:val="00F91B86"/>
    <w:rsid w:val="00F91C0A"/>
    <w:rsid w:val="00F91CF3"/>
    <w:rsid w:val="00F91D91"/>
    <w:rsid w:val="00F91E45"/>
    <w:rsid w:val="00F91EDB"/>
    <w:rsid w:val="00F91EF5"/>
    <w:rsid w:val="00F91F35"/>
    <w:rsid w:val="00F9204B"/>
    <w:rsid w:val="00F920CE"/>
    <w:rsid w:val="00F9235D"/>
    <w:rsid w:val="00F92492"/>
    <w:rsid w:val="00F92633"/>
    <w:rsid w:val="00F929AA"/>
    <w:rsid w:val="00F92A22"/>
    <w:rsid w:val="00F92B01"/>
    <w:rsid w:val="00F92C08"/>
    <w:rsid w:val="00F92D8D"/>
    <w:rsid w:val="00F92E63"/>
    <w:rsid w:val="00F92EC3"/>
    <w:rsid w:val="00F92F3F"/>
    <w:rsid w:val="00F934E2"/>
    <w:rsid w:val="00F9377A"/>
    <w:rsid w:val="00F939B2"/>
    <w:rsid w:val="00F93C15"/>
    <w:rsid w:val="00F93E1F"/>
    <w:rsid w:val="00F93EBF"/>
    <w:rsid w:val="00F94122"/>
    <w:rsid w:val="00F9418E"/>
    <w:rsid w:val="00F942CD"/>
    <w:rsid w:val="00F944FB"/>
    <w:rsid w:val="00F948FB"/>
    <w:rsid w:val="00F94A72"/>
    <w:rsid w:val="00F94AE1"/>
    <w:rsid w:val="00F94C98"/>
    <w:rsid w:val="00F94DFF"/>
    <w:rsid w:val="00F94E45"/>
    <w:rsid w:val="00F9500E"/>
    <w:rsid w:val="00F9519F"/>
    <w:rsid w:val="00F953CB"/>
    <w:rsid w:val="00F95629"/>
    <w:rsid w:val="00F956A1"/>
    <w:rsid w:val="00F957C2"/>
    <w:rsid w:val="00F95A4A"/>
    <w:rsid w:val="00F95B1C"/>
    <w:rsid w:val="00F95BE6"/>
    <w:rsid w:val="00F95EF6"/>
    <w:rsid w:val="00F9607D"/>
    <w:rsid w:val="00F963ED"/>
    <w:rsid w:val="00F963F2"/>
    <w:rsid w:val="00F96492"/>
    <w:rsid w:val="00F965FF"/>
    <w:rsid w:val="00F96721"/>
    <w:rsid w:val="00F9682B"/>
    <w:rsid w:val="00F968E5"/>
    <w:rsid w:val="00F968F6"/>
    <w:rsid w:val="00F96930"/>
    <w:rsid w:val="00F96BA7"/>
    <w:rsid w:val="00F96BF7"/>
    <w:rsid w:val="00F96C66"/>
    <w:rsid w:val="00F96F6A"/>
    <w:rsid w:val="00F971CE"/>
    <w:rsid w:val="00F972A6"/>
    <w:rsid w:val="00F972F7"/>
    <w:rsid w:val="00F97C2E"/>
    <w:rsid w:val="00F97CB6"/>
    <w:rsid w:val="00F97CF2"/>
    <w:rsid w:val="00F97E2B"/>
    <w:rsid w:val="00F97ED9"/>
    <w:rsid w:val="00FA0005"/>
    <w:rsid w:val="00FA00A2"/>
    <w:rsid w:val="00FA07F0"/>
    <w:rsid w:val="00FA0903"/>
    <w:rsid w:val="00FA0926"/>
    <w:rsid w:val="00FA0B7F"/>
    <w:rsid w:val="00FA0BF8"/>
    <w:rsid w:val="00FA0CF6"/>
    <w:rsid w:val="00FA0D1E"/>
    <w:rsid w:val="00FA0FC0"/>
    <w:rsid w:val="00FA0FD3"/>
    <w:rsid w:val="00FA1404"/>
    <w:rsid w:val="00FA166C"/>
    <w:rsid w:val="00FA178E"/>
    <w:rsid w:val="00FA198B"/>
    <w:rsid w:val="00FA1A19"/>
    <w:rsid w:val="00FA1BFC"/>
    <w:rsid w:val="00FA1C3E"/>
    <w:rsid w:val="00FA1DF1"/>
    <w:rsid w:val="00FA1F00"/>
    <w:rsid w:val="00FA1F62"/>
    <w:rsid w:val="00FA1FA6"/>
    <w:rsid w:val="00FA1FA8"/>
    <w:rsid w:val="00FA2022"/>
    <w:rsid w:val="00FA2066"/>
    <w:rsid w:val="00FA23EE"/>
    <w:rsid w:val="00FA25AC"/>
    <w:rsid w:val="00FA2796"/>
    <w:rsid w:val="00FA27BF"/>
    <w:rsid w:val="00FA2DB9"/>
    <w:rsid w:val="00FA2E6D"/>
    <w:rsid w:val="00FA3175"/>
    <w:rsid w:val="00FA330B"/>
    <w:rsid w:val="00FA3375"/>
    <w:rsid w:val="00FA3496"/>
    <w:rsid w:val="00FA353D"/>
    <w:rsid w:val="00FA36C1"/>
    <w:rsid w:val="00FA3861"/>
    <w:rsid w:val="00FA3A94"/>
    <w:rsid w:val="00FA3D8F"/>
    <w:rsid w:val="00FA4084"/>
    <w:rsid w:val="00FA41A1"/>
    <w:rsid w:val="00FA43DD"/>
    <w:rsid w:val="00FA4467"/>
    <w:rsid w:val="00FA4475"/>
    <w:rsid w:val="00FA4618"/>
    <w:rsid w:val="00FA461B"/>
    <w:rsid w:val="00FA48A4"/>
    <w:rsid w:val="00FA48B7"/>
    <w:rsid w:val="00FA4A44"/>
    <w:rsid w:val="00FA4A6B"/>
    <w:rsid w:val="00FA4B95"/>
    <w:rsid w:val="00FA4C8B"/>
    <w:rsid w:val="00FA4D55"/>
    <w:rsid w:val="00FA4DE5"/>
    <w:rsid w:val="00FA4EC1"/>
    <w:rsid w:val="00FA4F95"/>
    <w:rsid w:val="00FA50D7"/>
    <w:rsid w:val="00FA50F8"/>
    <w:rsid w:val="00FA5188"/>
    <w:rsid w:val="00FA52A7"/>
    <w:rsid w:val="00FA5336"/>
    <w:rsid w:val="00FA5600"/>
    <w:rsid w:val="00FA588D"/>
    <w:rsid w:val="00FA58A6"/>
    <w:rsid w:val="00FA5945"/>
    <w:rsid w:val="00FA5B57"/>
    <w:rsid w:val="00FA5BE0"/>
    <w:rsid w:val="00FA5DC3"/>
    <w:rsid w:val="00FA5F76"/>
    <w:rsid w:val="00FA614C"/>
    <w:rsid w:val="00FA6180"/>
    <w:rsid w:val="00FA62B5"/>
    <w:rsid w:val="00FA63BC"/>
    <w:rsid w:val="00FA63BE"/>
    <w:rsid w:val="00FA63C7"/>
    <w:rsid w:val="00FA64A8"/>
    <w:rsid w:val="00FA64F5"/>
    <w:rsid w:val="00FA6938"/>
    <w:rsid w:val="00FA695A"/>
    <w:rsid w:val="00FA6A25"/>
    <w:rsid w:val="00FA6B70"/>
    <w:rsid w:val="00FA6DA6"/>
    <w:rsid w:val="00FA6FBC"/>
    <w:rsid w:val="00FA71D9"/>
    <w:rsid w:val="00FA7242"/>
    <w:rsid w:val="00FA7399"/>
    <w:rsid w:val="00FA767B"/>
    <w:rsid w:val="00FA76C4"/>
    <w:rsid w:val="00FA76FB"/>
    <w:rsid w:val="00FA780E"/>
    <w:rsid w:val="00FA7A3E"/>
    <w:rsid w:val="00FA7C5C"/>
    <w:rsid w:val="00FA7DCD"/>
    <w:rsid w:val="00FA7E72"/>
    <w:rsid w:val="00FA7EBB"/>
    <w:rsid w:val="00FB003D"/>
    <w:rsid w:val="00FB00E0"/>
    <w:rsid w:val="00FB02E0"/>
    <w:rsid w:val="00FB030B"/>
    <w:rsid w:val="00FB0363"/>
    <w:rsid w:val="00FB044B"/>
    <w:rsid w:val="00FB0574"/>
    <w:rsid w:val="00FB07C1"/>
    <w:rsid w:val="00FB07F6"/>
    <w:rsid w:val="00FB09CF"/>
    <w:rsid w:val="00FB0B1C"/>
    <w:rsid w:val="00FB0B68"/>
    <w:rsid w:val="00FB0B88"/>
    <w:rsid w:val="00FB0C48"/>
    <w:rsid w:val="00FB0D35"/>
    <w:rsid w:val="00FB0D40"/>
    <w:rsid w:val="00FB0ED5"/>
    <w:rsid w:val="00FB1072"/>
    <w:rsid w:val="00FB13D4"/>
    <w:rsid w:val="00FB1464"/>
    <w:rsid w:val="00FB15CF"/>
    <w:rsid w:val="00FB176B"/>
    <w:rsid w:val="00FB1852"/>
    <w:rsid w:val="00FB18B2"/>
    <w:rsid w:val="00FB1B2E"/>
    <w:rsid w:val="00FB1BFB"/>
    <w:rsid w:val="00FB1DE7"/>
    <w:rsid w:val="00FB1F45"/>
    <w:rsid w:val="00FB1FA2"/>
    <w:rsid w:val="00FB2006"/>
    <w:rsid w:val="00FB2173"/>
    <w:rsid w:val="00FB2454"/>
    <w:rsid w:val="00FB2634"/>
    <w:rsid w:val="00FB2657"/>
    <w:rsid w:val="00FB2B32"/>
    <w:rsid w:val="00FB2C12"/>
    <w:rsid w:val="00FB2C71"/>
    <w:rsid w:val="00FB2D53"/>
    <w:rsid w:val="00FB2F5A"/>
    <w:rsid w:val="00FB2F5C"/>
    <w:rsid w:val="00FB2F75"/>
    <w:rsid w:val="00FB3309"/>
    <w:rsid w:val="00FB36A1"/>
    <w:rsid w:val="00FB3716"/>
    <w:rsid w:val="00FB390E"/>
    <w:rsid w:val="00FB3965"/>
    <w:rsid w:val="00FB39CD"/>
    <w:rsid w:val="00FB3AB7"/>
    <w:rsid w:val="00FB3B39"/>
    <w:rsid w:val="00FB3B53"/>
    <w:rsid w:val="00FB3B5E"/>
    <w:rsid w:val="00FB3CD9"/>
    <w:rsid w:val="00FB3E8B"/>
    <w:rsid w:val="00FB3EDF"/>
    <w:rsid w:val="00FB421A"/>
    <w:rsid w:val="00FB44C1"/>
    <w:rsid w:val="00FB460A"/>
    <w:rsid w:val="00FB478F"/>
    <w:rsid w:val="00FB4A28"/>
    <w:rsid w:val="00FB4B31"/>
    <w:rsid w:val="00FB4B38"/>
    <w:rsid w:val="00FB4ED3"/>
    <w:rsid w:val="00FB4EF5"/>
    <w:rsid w:val="00FB4FC4"/>
    <w:rsid w:val="00FB5049"/>
    <w:rsid w:val="00FB5109"/>
    <w:rsid w:val="00FB5142"/>
    <w:rsid w:val="00FB524A"/>
    <w:rsid w:val="00FB5257"/>
    <w:rsid w:val="00FB52F7"/>
    <w:rsid w:val="00FB551D"/>
    <w:rsid w:val="00FB5700"/>
    <w:rsid w:val="00FB5863"/>
    <w:rsid w:val="00FB5A43"/>
    <w:rsid w:val="00FB5A4C"/>
    <w:rsid w:val="00FB5AE8"/>
    <w:rsid w:val="00FB5AFA"/>
    <w:rsid w:val="00FB5BD7"/>
    <w:rsid w:val="00FB5D67"/>
    <w:rsid w:val="00FB5DE8"/>
    <w:rsid w:val="00FB5EB1"/>
    <w:rsid w:val="00FB62AE"/>
    <w:rsid w:val="00FB62B7"/>
    <w:rsid w:val="00FB67D9"/>
    <w:rsid w:val="00FB6A6B"/>
    <w:rsid w:val="00FB6BC0"/>
    <w:rsid w:val="00FB6C7F"/>
    <w:rsid w:val="00FB6D28"/>
    <w:rsid w:val="00FB7206"/>
    <w:rsid w:val="00FB723A"/>
    <w:rsid w:val="00FB7436"/>
    <w:rsid w:val="00FB7875"/>
    <w:rsid w:val="00FB78DA"/>
    <w:rsid w:val="00FB790E"/>
    <w:rsid w:val="00FB791D"/>
    <w:rsid w:val="00FB793A"/>
    <w:rsid w:val="00FB799B"/>
    <w:rsid w:val="00FB7BC7"/>
    <w:rsid w:val="00FB7CFC"/>
    <w:rsid w:val="00FB7F34"/>
    <w:rsid w:val="00FC000C"/>
    <w:rsid w:val="00FC0153"/>
    <w:rsid w:val="00FC0241"/>
    <w:rsid w:val="00FC03F4"/>
    <w:rsid w:val="00FC0556"/>
    <w:rsid w:val="00FC07BB"/>
    <w:rsid w:val="00FC09C4"/>
    <w:rsid w:val="00FC0A18"/>
    <w:rsid w:val="00FC0A4F"/>
    <w:rsid w:val="00FC0B95"/>
    <w:rsid w:val="00FC0CBD"/>
    <w:rsid w:val="00FC0EB5"/>
    <w:rsid w:val="00FC1054"/>
    <w:rsid w:val="00FC11AF"/>
    <w:rsid w:val="00FC1334"/>
    <w:rsid w:val="00FC15EF"/>
    <w:rsid w:val="00FC1775"/>
    <w:rsid w:val="00FC17DA"/>
    <w:rsid w:val="00FC1EE2"/>
    <w:rsid w:val="00FC2158"/>
    <w:rsid w:val="00FC237F"/>
    <w:rsid w:val="00FC2649"/>
    <w:rsid w:val="00FC2929"/>
    <w:rsid w:val="00FC293D"/>
    <w:rsid w:val="00FC2991"/>
    <w:rsid w:val="00FC2A34"/>
    <w:rsid w:val="00FC2C50"/>
    <w:rsid w:val="00FC2CD0"/>
    <w:rsid w:val="00FC2CD8"/>
    <w:rsid w:val="00FC30AC"/>
    <w:rsid w:val="00FC3178"/>
    <w:rsid w:val="00FC32BC"/>
    <w:rsid w:val="00FC330C"/>
    <w:rsid w:val="00FC36E4"/>
    <w:rsid w:val="00FC399F"/>
    <w:rsid w:val="00FC3A2B"/>
    <w:rsid w:val="00FC3B7A"/>
    <w:rsid w:val="00FC3CD9"/>
    <w:rsid w:val="00FC3DE0"/>
    <w:rsid w:val="00FC3F71"/>
    <w:rsid w:val="00FC42B6"/>
    <w:rsid w:val="00FC42F0"/>
    <w:rsid w:val="00FC430C"/>
    <w:rsid w:val="00FC4408"/>
    <w:rsid w:val="00FC441B"/>
    <w:rsid w:val="00FC44B7"/>
    <w:rsid w:val="00FC46AB"/>
    <w:rsid w:val="00FC4743"/>
    <w:rsid w:val="00FC4A34"/>
    <w:rsid w:val="00FC4BFA"/>
    <w:rsid w:val="00FC4C05"/>
    <w:rsid w:val="00FC4C6B"/>
    <w:rsid w:val="00FC4F91"/>
    <w:rsid w:val="00FC4F9B"/>
    <w:rsid w:val="00FC50B8"/>
    <w:rsid w:val="00FC53A2"/>
    <w:rsid w:val="00FC53D5"/>
    <w:rsid w:val="00FC54A2"/>
    <w:rsid w:val="00FC54ED"/>
    <w:rsid w:val="00FC57CB"/>
    <w:rsid w:val="00FC5C9A"/>
    <w:rsid w:val="00FC5D5D"/>
    <w:rsid w:val="00FC6074"/>
    <w:rsid w:val="00FC617A"/>
    <w:rsid w:val="00FC6211"/>
    <w:rsid w:val="00FC6214"/>
    <w:rsid w:val="00FC624F"/>
    <w:rsid w:val="00FC6506"/>
    <w:rsid w:val="00FC65B8"/>
    <w:rsid w:val="00FC67A7"/>
    <w:rsid w:val="00FC680F"/>
    <w:rsid w:val="00FC6AD2"/>
    <w:rsid w:val="00FC6B06"/>
    <w:rsid w:val="00FC6B5B"/>
    <w:rsid w:val="00FC6BCD"/>
    <w:rsid w:val="00FC6BEA"/>
    <w:rsid w:val="00FC6DFD"/>
    <w:rsid w:val="00FC6E71"/>
    <w:rsid w:val="00FC6ECF"/>
    <w:rsid w:val="00FC75BF"/>
    <w:rsid w:val="00FC76FA"/>
    <w:rsid w:val="00FC7A17"/>
    <w:rsid w:val="00FC7CE9"/>
    <w:rsid w:val="00FC7DC9"/>
    <w:rsid w:val="00FC7E67"/>
    <w:rsid w:val="00FD0080"/>
    <w:rsid w:val="00FD0138"/>
    <w:rsid w:val="00FD0193"/>
    <w:rsid w:val="00FD028D"/>
    <w:rsid w:val="00FD02B5"/>
    <w:rsid w:val="00FD05EB"/>
    <w:rsid w:val="00FD06BC"/>
    <w:rsid w:val="00FD0742"/>
    <w:rsid w:val="00FD0751"/>
    <w:rsid w:val="00FD0769"/>
    <w:rsid w:val="00FD07E4"/>
    <w:rsid w:val="00FD07F6"/>
    <w:rsid w:val="00FD0C26"/>
    <w:rsid w:val="00FD0F0B"/>
    <w:rsid w:val="00FD107F"/>
    <w:rsid w:val="00FD115F"/>
    <w:rsid w:val="00FD11AA"/>
    <w:rsid w:val="00FD1465"/>
    <w:rsid w:val="00FD1516"/>
    <w:rsid w:val="00FD17F3"/>
    <w:rsid w:val="00FD1A21"/>
    <w:rsid w:val="00FD1D9E"/>
    <w:rsid w:val="00FD1F64"/>
    <w:rsid w:val="00FD22D1"/>
    <w:rsid w:val="00FD23A0"/>
    <w:rsid w:val="00FD2468"/>
    <w:rsid w:val="00FD28FF"/>
    <w:rsid w:val="00FD29B3"/>
    <w:rsid w:val="00FD2A96"/>
    <w:rsid w:val="00FD2BDC"/>
    <w:rsid w:val="00FD2F4A"/>
    <w:rsid w:val="00FD2F65"/>
    <w:rsid w:val="00FD315A"/>
    <w:rsid w:val="00FD3192"/>
    <w:rsid w:val="00FD3595"/>
    <w:rsid w:val="00FD36F0"/>
    <w:rsid w:val="00FD37BE"/>
    <w:rsid w:val="00FD391B"/>
    <w:rsid w:val="00FD3A3B"/>
    <w:rsid w:val="00FD3C2B"/>
    <w:rsid w:val="00FD3C69"/>
    <w:rsid w:val="00FD3C74"/>
    <w:rsid w:val="00FD3E3D"/>
    <w:rsid w:val="00FD3E43"/>
    <w:rsid w:val="00FD3F78"/>
    <w:rsid w:val="00FD4382"/>
    <w:rsid w:val="00FD4550"/>
    <w:rsid w:val="00FD4592"/>
    <w:rsid w:val="00FD462A"/>
    <w:rsid w:val="00FD4A54"/>
    <w:rsid w:val="00FD4C10"/>
    <w:rsid w:val="00FD4CD5"/>
    <w:rsid w:val="00FD504E"/>
    <w:rsid w:val="00FD50EF"/>
    <w:rsid w:val="00FD5195"/>
    <w:rsid w:val="00FD51D5"/>
    <w:rsid w:val="00FD55C8"/>
    <w:rsid w:val="00FD571F"/>
    <w:rsid w:val="00FD5725"/>
    <w:rsid w:val="00FD5BF8"/>
    <w:rsid w:val="00FD5C2F"/>
    <w:rsid w:val="00FD6272"/>
    <w:rsid w:val="00FD65CD"/>
    <w:rsid w:val="00FD663B"/>
    <w:rsid w:val="00FD688F"/>
    <w:rsid w:val="00FD6895"/>
    <w:rsid w:val="00FD6994"/>
    <w:rsid w:val="00FD6B26"/>
    <w:rsid w:val="00FD6B37"/>
    <w:rsid w:val="00FD6C3C"/>
    <w:rsid w:val="00FD6D28"/>
    <w:rsid w:val="00FD7131"/>
    <w:rsid w:val="00FD714B"/>
    <w:rsid w:val="00FD721A"/>
    <w:rsid w:val="00FD7315"/>
    <w:rsid w:val="00FD751B"/>
    <w:rsid w:val="00FD75D9"/>
    <w:rsid w:val="00FD76B1"/>
    <w:rsid w:val="00FD77D7"/>
    <w:rsid w:val="00FD77F5"/>
    <w:rsid w:val="00FD7904"/>
    <w:rsid w:val="00FD797E"/>
    <w:rsid w:val="00FD79D3"/>
    <w:rsid w:val="00FD79D4"/>
    <w:rsid w:val="00FD7B95"/>
    <w:rsid w:val="00FD7C5F"/>
    <w:rsid w:val="00FD7D6F"/>
    <w:rsid w:val="00FE0091"/>
    <w:rsid w:val="00FE0153"/>
    <w:rsid w:val="00FE03BA"/>
    <w:rsid w:val="00FE06E3"/>
    <w:rsid w:val="00FE0709"/>
    <w:rsid w:val="00FE07AB"/>
    <w:rsid w:val="00FE0813"/>
    <w:rsid w:val="00FE0880"/>
    <w:rsid w:val="00FE08BA"/>
    <w:rsid w:val="00FE094C"/>
    <w:rsid w:val="00FE0A0B"/>
    <w:rsid w:val="00FE0A76"/>
    <w:rsid w:val="00FE0AD0"/>
    <w:rsid w:val="00FE0DE6"/>
    <w:rsid w:val="00FE0FEE"/>
    <w:rsid w:val="00FE11C8"/>
    <w:rsid w:val="00FE12E7"/>
    <w:rsid w:val="00FE135A"/>
    <w:rsid w:val="00FE1687"/>
    <w:rsid w:val="00FE16EA"/>
    <w:rsid w:val="00FE1796"/>
    <w:rsid w:val="00FE17C1"/>
    <w:rsid w:val="00FE18D2"/>
    <w:rsid w:val="00FE196A"/>
    <w:rsid w:val="00FE1A47"/>
    <w:rsid w:val="00FE1B06"/>
    <w:rsid w:val="00FE1D2D"/>
    <w:rsid w:val="00FE1D63"/>
    <w:rsid w:val="00FE1DB4"/>
    <w:rsid w:val="00FE1DBB"/>
    <w:rsid w:val="00FE1EBA"/>
    <w:rsid w:val="00FE1FA6"/>
    <w:rsid w:val="00FE203E"/>
    <w:rsid w:val="00FE2043"/>
    <w:rsid w:val="00FE2164"/>
    <w:rsid w:val="00FE22CA"/>
    <w:rsid w:val="00FE2339"/>
    <w:rsid w:val="00FE24AF"/>
    <w:rsid w:val="00FE24EE"/>
    <w:rsid w:val="00FE295C"/>
    <w:rsid w:val="00FE2962"/>
    <w:rsid w:val="00FE2F09"/>
    <w:rsid w:val="00FE2FD5"/>
    <w:rsid w:val="00FE2FF7"/>
    <w:rsid w:val="00FE31B9"/>
    <w:rsid w:val="00FE334F"/>
    <w:rsid w:val="00FE3433"/>
    <w:rsid w:val="00FE34E2"/>
    <w:rsid w:val="00FE37D7"/>
    <w:rsid w:val="00FE37E6"/>
    <w:rsid w:val="00FE3BD4"/>
    <w:rsid w:val="00FE3C34"/>
    <w:rsid w:val="00FE3D3E"/>
    <w:rsid w:val="00FE42CB"/>
    <w:rsid w:val="00FE43DA"/>
    <w:rsid w:val="00FE4458"/>
    <w:rsid w:val="00FE4593"/>
    <w:rsid w:val="00FE485B"/>
    <w:rsid w:val="00FE4A29"/>
    <w:rsid w:val="00FE4AFA"/>
    <w:rsid w:val="00FE4E56"/>
    <w:rsid w:val="00FE4EA8"/>
    <w:rsid w:val="00FE4F51"/>
    <w:rsid w:val="00FE4F8C"/>
    <w:rsid w:val="00FE5101"/>
    <w:rsid w:val="00FE5162"/>
    <w:rsid w:val="00FE52FE"/>
    <w:rsid w:val="00FE5344"/>
    <w:rsid w:val="00FE534D"/>
    <w:rsid w:val="00FE536B"/>
    <w:rsid w:val="00FE53CB"/>
    <w:rsid w:val="00FE5906"/>
    <w:rsid w:val="00FE5B5F"/>
    <w:rsid w:val="00FE5BAE"/>
    <w:rsid w:val="00FE5DC2"/>
    <w:rsid w:val="00FE5F06"/>
    <w:rsid w:val="00FE5FA0"/>
    <w:rsid w:val="00FE5FB8"/>
    <w:rsid w:val="00FE5FC4"/>
    <w:rsid w:val="00FE6020"/>
    <w:rsid w:val="00FE6036"/>
    <w:rsid w:val="00FE630D"/>
    <w:rsid w:val="00FE6344"/>
    <w:rsid w:val="00FE642B"/>
    <w:rsid w:val="00FE6534"/>
    <w:rsid w:val="00FE6583"/>
    <w:rsid w:val="00FE65B1"/>
    <w:rsid w:val="00FE6636"/>
    <w:rsid w:val="00FE6733"/>
    <w:rsid w:val="00FE6827"/>
    <w:rsid w:val="00FE6857"/>
    <w:rsid w:val="00FE6890"/>
    <w:rsid w:val="00FE6D04"/>
    <w:rsid w:val="00FE6D24"/>
    <w:rsid w:val="00FE6E5E"/>
    <w:rsid w:val="00FE6FC4"/>
    <w:rsid w:val="00FE72A4"/>
    <w:rsid w:val="00FE736A"/>
    <w:rsid w:val="00FE73C2"/>
    <w:rsid w:val="00FE74A4"/>
    <w:rsid w:val="00FE753F"/>
    <w:rsid w:val="00FE75F8"/>
    <w:rsid w:val="00FE7652"/>
    <w:rsid w:val="00FE78B5"/>
    <w:rsid w:val="00FE78D2"/>
    <w:rsid w:val="00FE7A64"/>
    <w:rsid w:val="00FE7B5E"/>
    <w:rsid w:val="00FE7BC2"/>
    <w:rsid w:val="00FF012D"/>
    <w:rsid w:val="00FF01BA"/>
    <w:rsid w:val="00FF0434"/>
    <w:rsid w:val="00FF04B3"/>
    <w:rsid w:val="00FF0608"/>
    <w:rsid w:val="00FF06CC"/>
    <w:rsid w:val="00FF0DA4"/>
    <w:rsid w:val="00FF0EA1"/>
    <w:rsid w:val="00FF0F51"/>
    <w:rsid w:val="00FF0F67"/>
    <w:rsid w:val="00FF1481"/>
    <w:rsid w:val="00FF170C"/>
    <w:rsid w:val="00FF197F"/>
    <w:rsid w:val="00FF1A11"/>
    <w:rsid w:val="00FF1DFE"/>
    <w:rsid w:val="00FF1E2B"/>
    <w:rsid w:val="00FF1F33"/>
    <w:rsid w:val="00FF1FCA"/>
    <w:rsid w:val="00FF2013"/>
    <w:rsid w:val="00FF2016"/>
    <w:rsid w:val="00FF20FA"/>
    <w:rsid w:val="00FF2127"/>
    <w:rsid w:val="00FF2210"/>
    <w:rsid w:val="00FF2583"/>
    <w:rsid w:val="00FF26B3"/>
    <w:rsid w:val="00FF26C4"/>
    <w:rsid w:val="00FF26E0"/>
    <w:rsid w:val="00FF26ED"/>
    <w:rsid w:val="00FF27A5"/>
    <w:rsid w:val="00FF27B5"/>
    <w:rsid w:val="00FF2860"/>
    <w:rsid w:val="00FF2A60"/>
    <w:rsid w:val="00FF2F1F"/>
    <w:rsid w:val="00FF30C4"/>
    <w:rsid w:val="00FF30DB"/>
    <w:rsid w:val="00FF30FC"/>
    <w:rsid w:val="00FF3285"/>
    <w:rsid w:val="00FF332E"/>
    <w:rsid w:val="00FF3334"/>
    <w:rsid w:val="00FF33B0"/>
    <w:rsid w:val="00FF365A"/>
    <w:rsid w:val="00FF3749"/>
    <w:rsid w:val="00FF3A0A"/>
    <w:rsid w:val="00FF401C"/>
    <w:rsid w:val="00FF40BF"/>
    <w:rsid w:val="00FF43D2"/>
    <w:rsid w:val="00FF44B9"/>
    <w:rsid w:val="00FF4739"/>
    <w:rsid w:val="00FF4798"/>
    <w:rsid w:val="00FF48AA"/>
    <w:rsid w:val="00FF490C"/>
    <w:rsid w:val="00FF49BA"/>
    <w:rsid w:val="00FF4A08"/>
    <w:rsid w:val="00FF4ABC"/>
    <w:rsid w:val="00FF4B2F"/>
    <w:rsid w:val="00FF4DD9"/>
    <w:rsid w:val="00FF4E31"/>
    <w:rsid w:val="00FF5202"/>
    <w:rsid w:val="00FF5278"/>
    <w:rsid w:val="00FF538C"/>
    <w:rsid w:val="00FF55F2"/>
    <w:rsid w:val="00FF5846"/>
    <w:rsid w:val="00FF59F8"/>
    <w:rsid w:val="00FF5BC2"/>
    <w:rsid w:val="00FF5E3C"/>
    <w:rsid w:val="00FF5F10"/>
    <w:rsid w:val="00FF5F48"/>
    <w:rsid w:val="00FF6157"/>
    <w:rsid w:val="00FF6314"/>
    <w:rsid w:val="00FF642B"/>
    <w:rsid w:val="00FF644C"/>
    <w:rsid w:val="00FF669A"/>
    <w:rsid w:val="00FF66B4"/>
    <w:rsid w:val="00FF68FA"/>
    <w:rsid w:val="00FF69EA"/>
    <w:rsid w:val="00FF6C5E"/>
    <w:rsid w:val="00FF6E41"/>
    <w:rsid w:val="00FF6F41"/>
    <w:rsid w:val="00FF6F88"/>
    <w:rsid w:val="00FF6F8F"/>
    <w:rsid w:val="00FF7072"/>
    <w:rsid w:val="00FF7194"/>
    <w:rsid w:val="00FF744C"/>
    <w:rsid w:val="00FF751E"/>
    <w:rsid w:val="00FF7B9D"/>
    <w:rsid w:val="00FF7EB4"/>
    <w:rsid w:val="00FF7EEC"/>
    <w:rsid w:val="00FF7F35"/>
    <w:rsid w:val="00FF7F9B"/>
    <w:rsid w:val="00FF7FF5"/>
    <w:rsid w:val="01068490"/>
    <w:rsid w:val="010AEA1E"/>
    <w:rsid w:val="010F32F6"/>
    <w:rsid w:val="010FFEE0"/>
    <w:rsid w:val="011D6165"/>
    <w:rsid w:val="011F0975"/>
    <w:rsid w:val="012A13B5"/>
    <w:rsid w:val="0132008F"/>
    <w:rsid w:val="0139BF72"/>
    <w:rsid w:val="014DCC42"/>
    <w:rsid w:val="016E97E3"/>
    <w:rsid w:val="0192E719"/>
    <w:rsid w:val="01E4D344"/>
    <w:rsid w:val="01EA62DD"/>
    <w:rsid w:val="020D84BD"/>
    <w:rsid w:val="02193732"/>
    <w:rsid w:val="021EDEFD"/>
    <w:rsid w:val="02333CDD"/>
    <w:rsid w:val="0234239D"/>
    <w:rsid w:val="0278658B"/>
    <w:rsid w:val="028002F4"/>
    <w:rsid w:val="02847675"/>
    <w:rsid w:val="029F8678"/>
    <w:rsid w:val="02A8ABA7"/>
    <w:rsid w:val="02E9E00D"/>
    <w:rsid w:val="02EECC25"/>
    <w:rsid w:val="02F27E54"/>
    <w:rsid w:val="0300B551"/>
    <w:rsid w:val="030CCE5D"/>
    <w:rsid w:val="033DBBF2"/>
    <w:rsid w:val="03669F28"/>
    <w:rsid w:val="0375B3B7"/>
    <w:rsid w:val="041A20B3"/>
    <w:rsid w:val="043CACD7"/>
    <w:rsid w:val="04473B54"/>
    <w:rsid w:val="04822462"/>
    <w:rsid w:val="0497638C"/>
    <w:rsid w:val="0499A2C0"/>
    <w:rsid w:val="04A3851E"/>
    <w:rsid w:val="04A517C6"/>
    <w:rsid w:val="04B1B373"/>
    <w:rsid w:val="04B58242"/>
    <w:rsid w:val="04B78669"/>
    <w:rsid w:val="04CFFDF8"/>
    <w:rsid w:val="04D9CA41"/>
    <w:rsid w:val="04F52555"/>
    <w:rsid w:val="04F5C691"/>
    <w:rsid w:val="0508473E"/>
    <w:rsid w:val="0511E330"/>
    <w:rsid w:val="05241C17"/>
    <w:rsid w:val="053F8BB4"/>
    <w:rsid w:val="05471CB9"/>
    <w:rsid w:val="0552D99A"/>
    <w:rsid w:val="057B4F28"/>
    <w:rsid w:val="0589F882"/>
    <w:rsid w:val="05B18024"/>
    <w:rsid w:val="05B68F90"/>
    <w:rsid w:val="05C8DE93"/>
    <w:rsid w:val="0605CFF4"/>
    <w:rsid w:val="0632E4DB"/>
    <w:rsid w:val="0636D018"/>
    <w:rsid w:val="063ED408"/>
    <w:rsid w:val="064CE488"/>
    <w:rsid w:val="0664EE5A"/>
    <w:rsid w:val="066E03EC"/>
    <w:rsid w:val="06BE0919"/>
    <w:rsid w:val="06DA4423"/>
    <w:rsid w:val="06FC6DB4"/>
    <w:rsid w:val="0704D6ED"/>
    <w:rsid w:val="071EC3E4"/>
    <w:rsid w:val="072DAC9D"/>
    <w:rsid w:val="077BD648"/>
    <w:rsid w:val="0798557F"/>
    <w:rsid w:val="0798EEEA"/>
    <w:rsid w:val="07AAEE15"/>
    <w:rsid w:val="07BF5B95"/>
    <w:rsid w:val="07D0A46D"/>
    <w:rsid w:val="07D527BA"/>
    <w:rsid w:val="07DFD5CF"/>
    <w:rsid w:val="07EB786C"/>
    <w:rsid w:val="07EBD33A"/>
    <w:rsid w:val="07F3107F"/>
    <w:rsid w:val="080F34A1"/>
    <w:rsid w:val="0814C199"/>
    <w:rsid w:val="0817250C"/>
    <w:rsid w:val="0825D046"/>
    <w:rsid w:val="083CD671"/>
    <w:rsid w:val="08470948"/>
    <w:rsid w:val="084CD04F"/>
    <w:rsid w:val="08528B48"/>
    <w:rsid w:val="08A048BA"/>
    <w:rsid w:val="08AE399B"/>
    <w:rsid w:val="08BFAF6F"/>
    <w:rsid w:val="08E9DD71"/>
    <w:rsid w:val="08EF34BE"/>
    <w:rsid w:val="08F112BE"/>
    <w:rsid w:val="08FA5ABF"/>
    <w:rsid w:val="08FE0233"/>
    <w:rsid w:val="0913D0C2"/>
    <w:rsid w:val="09236824"/>
    <w:rsid w:val="095BE418"/>
    <w:rsid w:val="09777846"/>
    <w:rsid w:val="09952BA5"/>
    <w:rsid w:val="099F2C39"/>
    <w:rsid w:val="09A06F0A"/>
    <w:rsid w:val="09C4359C"/>
    <w:rsid w:val="09CE16CB"/>
    <w:rsid w:val="09DF1165"/>
    <w:rsid w:val="09F3A0EF"/>
    <w:rsid w:val="09F74E0B"/>
    <w:rsid w:val="0A17DB04"/>
    <w:rsid w:val="0A1A53CC"/>
    <w:rsid w:val="0A1C9F2E"/>
    <w:rsid w:val="0A381DE3"/>
    <w:rsid w:val="0A4D8335"/>
    <w:rsid w:val="0A504A29"/>
    <w:rsid w:val="0A60A8EC"/>
    <w:rsid w:val="0A7325B1"/>
    <w:rsid w:val="0A7E098A"/>
    <w:rsid w:val="0A7E924D"/>
    <w:rsid w:val="0A954597"/>
    <w:rsid w:val="0ABE8619"/>
    <w:rsid w:val="0ADEC705"/>
    <w:rsid w:val="0AED656F"/>
    <w:rsid w:val="0AEE70F4"/>
    <w:rsid w:val="0AF5BEF7"/>
    <w:rsid w:val="0AF82A80"/>
    <w:rsid w:val="0B189E1F"/>
    <w:rsid w:val="0B37B601"/>
    <w:rsid w:val="0B3FBEC2"/>
    <w:rsid w:val="0B7C6AFF"/>
    <w:rsid w:val="0B7E0527"/>
    <w:rsid w:val="0B86467D"/>
    <w:rsid w:val="0B878E1A"/>
    <w:rsid w:val="0B9BEA7F"/>
    <w:rsid w:val="0BC67CA4"/>
    <w:rsid w:val="0BC78F43"/>
    <w:rsid w:val="0BCE68D2"/>
    <w:rsid w:val="0BDEF589"/>
    <w:rsid w:val="0BF8D7B2"/>
    <w:rsid w:val="0C114AC8"/>
    <w:rsid w:val="0C16C0E3"/>
    <w:rsid w:val="0C1EDF10"/>
    <w:rsid w:val="0C27CA23"/>
    <w:rsid w:val="0C49AB20"/>
    <w:rsid w:val="0C6EE46A"/>
    <w:rsid w:val="0C9B2D3C"/>
    <w:rsid w:val="0C9D485F"/>
    <w:rsid w:val="0CA72F5C"/>
    <w:rsid w:val="0CBCA865"/>
    <w:rsid w:val="0CD6F34D"/>
    <w:rsid w:val="0CF2AFC9"/>
    <w:rsid w:val="0CF5D99A"/>
    <w:rsid w:val="0CF9720C"/>
    <w:rsid w:val="0D0B9AF7"/>
    <w:rsid w:val="0D2976A4"/>
    <w:rsid w:val="0D42620A"/>
    <w:rsid w:val="0D47C05A"/>
    <w:rsid w:val="0D69C290"/>
    <w:rsid w:val="0DA11B5C"/>
    <w:rsid w:val="0DBEB845"/>
    <w:rsid w:val="0DCF3AA8"/>
    <w:rsid w:val="0DE0C426"/>
    <w:rsid w:val="0E0D7C3F"/>
    <w:rsid w:val="0E0F4739"/>
    <w:rsid w:val="0E472366"/>
    <w:rsid w:val="0E5916EC"/>
    <w:rsid w:val="0E916B6A"/>
    <w:rsid w:val="0EB315FA"/>
    <w:rsid w:val="0EBF6FA6"/>
    <w:rsid w:val="0EEA205C"/>
    <w:rsid w:val="0EEF1AA0"/>
    <w:rsid w:val="0F0056B9"/>
    <w:rsid w:val="0F12AF38"/>
    <w:rsid w:val="0F134ABE"/>
    <w:rsid w:val="0F1B5778"/>
    <w:rsid w:val="0F3EFFC1"/>
    <w:rsid w:val="0F400420"/>
    <w:rsid w:val="0F5C6DEA"/>
    <w:rsid w:val="0F6820E8"/>
    <w:rsid w:val="0F8B8901"/>
    <w:rsid w:val="0F8C4526"/>
    <w:rsid w:val="0FCB9007"/>
    <w:rsid w:val="0FD498A2"/>
    <w:rsid w:val="0FD527E5"/>
    <w:rsid w:val="0FDFC50A"/>
    <w:rsid w:val="0FE075B0"/>
    <w:rsid w:val="0FEF89B0"/>
    <w:rsid w:val="1023CAA1"/>
    <w:rsid w:val="102FBF09"/>
    <w:rsid w:val="10370F89"/>
    <w:rsid w:val="1048B35F"/>
    <w:rsid w:val="1087585E"/>
    <w:rsid w:val="109FF252"/>
    <w:rsid w:val="10B2A1E2"/>
    <w:rsid w:val="10B7CC77"/>
    <w:rsid w:val="10BE34A0"/>
    <w:rsid w:val="10C6F60C"/>
    <w:rsid w:val="10D6456F"/>
    <w:rsid w:val="10E46135"/>
    <w:rsid w:val="10FA7B1D"/>
    <w:rsid w:val="110B8C4E"/>
    <w:rsid w:val="1113457E"/>
    <w:rsid w:val="11246474"/>
    <w:rsid w:val="1131B819"/>
    <w:rsid w:val="1135BE4F"/>
    <w:rsid w:val="11390B40"/>
    <w:rsid w:val="1146C1DE"/>
    <w:rsid w:val="115CBE37"/>
    <w:rsid w:val="1183F3AD"/>
    <w:rsid w:val="11866CBB"/>
    <w:rsid w:val="118925AE"/>
    <w:rsid w:val="11E801E6"/>
    <w:rsid w:val="11F0EE18"/>
    <w:rsid w:val="1212BC10"/>
    <w:rsid w:val="121A3816"/>
    <w:rsid w:val="122A41BA"/>
    <w:rsid w:val="124AEB80"/>
    <w:rsid w:val="126C9F1C"/>
    <w:rsid w:val="127A613D"/>
    <w:rsid w:val="1293A63F"/>
    <w:rsid w:val="12DCC5E9"/>
    <w:rsid w:val="12EAC174"/>
    <w:rsid w:val="12EAE34B"/>
    <w:rsid w:val="1340496F"/>
    <w:rsid w:val="134E62E7"/>
    <w:rsid w:val="135B9D87"/>
    <w:rsid w:val="1396A39D"/>
    <w:rsid w:val="1396E135"/>
    <w:rsid w:val="13ABB2BD"/>
    <w:rsid w:val="13AD505C"/>
    <w:rsid w:val="13B41445"/>
    <w:rsid w:val="13C8C304"/>
    <w:rsid w:val="13D96C74"/>
    <w:rsid w:val="13D9DFE6"/>
    <w:rsid w:val="13E6BBE1"/>
    <w:rsid w:val="13E9500B"/>
    <w:rsid w:val="140E713F"/>
    <w:rsid w:val="1433A485"/>
    <w:rsid w:val="14646BFC"/>
    <w:rsid w:val="147F42CD"/>
    <w:rsid w:val="149586E3"/>
    <w:rsid w:val="14C5BB05"/>
    <w:rsid w:val="14D2D870"/>
    <w:rsid w:val="14F01707"/>
    <w:rsid w:val="150C8996"/>
    <w:rsid w:val="150EE605"/>
    <w:rsid w:val="151060B0"/>
    <w:rsid w:val="151FE98F"/>
    <w:rsid w:val="15326762"/>
    <w:rsid w:val="15375292"/>
    <w:rsid w:val="156865D5"/>
    <w:rsid w:val="156CA494"/>
    <w:rsid w:val="15702E43"/>
    <w:rsid w:val="1570F553"/>
    <w:rsid w:val="15AD1F43"/>
    <w:rsid w:val="15D175D2"/>
    <w:rsid w:val="15EA8FB0"/>
    <w:rsid w:val="15F79EC4"/>
    <w:rsid w:val="1641A9F2"/>
    <w:rsid w:val="165CFA2C"/>
    <w:rsid w:val="168F0B70"/>
    <w:rsid w:val="16B5AD80"/>
    <w:rsid w:val="16C3D897"/>
    <w:rsid w:val="16E9BE62"/>
    <w:rsid w:val="17053446"/>
    <w:rsid w:val="170E6888"/>
    <w:rsid w:val="171B314D"/>
    <w:rsid w:val="1750B552"/>
    <w:rsid w:val="1776635C"/>
    <w:rsid w:val="1784F485"/>
    <w:rsid w:val="17A911C6"/>
    <w:rsid w:val="17AFDB23"/>
    <w:rsid w:val="17D75C02"/>
    <w:rsid w:val="17ECC154"/>
    <w:rsid w:val="18133C73"/>
    <w:rsid w:val="1843712D"/>
    <w:rsid w:val="18470ECD"/>
    <w:rsid w:val="184B5724"/>
    <w:rsid w:val="18572E51"/>
    <w:rsid w:val="186D5DDB"/>
    <w:rsid w:val="186E5419"/>
    <w:rsid w:val="18732BB5"/>
    <w:rsid w:val="188C2E4B"/>
    <w:rsid w:val="18929C35"/>
    <w:rsid w:val="18BF3F6B"/>
    <w:rsid w:val="18CF8946"/>
    <w:rsid w:val="18E23C11"/>
    <w:rsid w:val="18EE2900"/>
    <w:rsid w:val="18FFC095"/>
    <w:rsid w:val="1902E40E"/>
    <w:rsid w:val="1905942A"/>
    <w:rsid w:val="1932F106"/>
    <w:rsid w:val="197C4D8A"/>
    <w:rsid w:val="19AF8C4C"/>
    <w:rsid w:val="19C21D38"/>
    <w:rsid w:val="19CBD267"/>
    <w:rsid w:val="19DDF2FA"/>
    <w:rsid w:val="19E02430"/>
    <w:rsid w:val="19F41A05"/>
    <w:rsid w:val="1A010545"/>
    <w:rsid w:val="1A11159B"/>
    <w:rsid w:val="1A11AD13"/>
    <w:rsid w:val="1A3F176E"/>
    <w:rsid w:val="1A69A15F"/>
    <w:rsid w:val="1A7F1266"/>
    <w:rsid w:val="1A87A80F"/>
    <w:rsid w:val="1AC6F40F"/>
    <w:rsid w:val="1AE4F438"/>
    <w:rsid w:val="1B11DF4B"/>
    <w:rsid w:val="1B13D340"/>
    <w:rsid w:val="1B1B9B14"/>
    <w:rsid w:val="1B1D373F"/>
    <w:rsid w:val="1B28CDD2"/>
    <w:rsid w:val="1B3D1402"/>
    <w:rsid w:val="1B50EE69"/>
    <w:rsid w:val="1B5BAABB"/>
    <w:rsid w:val="1B5DED99"/>
    <w:rsid w:val="1B7D2D8B"/>
    <w:rsid w:val="1B8DFEAE"/>
    <w:rsid w:val="1B98CCD8"/>
    <w:rsid w:val="1B9F0FB7"/>
    <w:rsid w:val="1BE775D5"/>
    <w:rsid w:val="1BE8BA1A"/>
    <w:rsid w:val="1BF2A36D"/>
    <w:rsid w:val="1C0585AA"/>
    <w:rsid w:val="1C0A2BDA"/>
    <w:rsid w:val="1C24A4A5"/>
    <w:rsid w:val="1C26D365"/>
    <w:rsid w:val="1C2B4408"/>
    <w:rsid w:val="1C37123E"/>
    <w:rsid w:val="1C408E39"/>
    <w:rsid w:val="1C512031"/>
    <w:rsid w:val="1C83B69F"/>
    <w:rsid w:val="1C8C0A1E"/>
    <w:rsid w:val="1CA76687"/>
    <w:rsid w:val="1CB84848"/>
    <w:rsid w:val="1CBD2C62"/>
    <w:rsid w:val="1CE6DD6C"/>
    <w:rsid w:val="1CEBD4EC"/>
    <w:rsid w:val="1D229BDA"/>
    <w:rsid w:val="1D32795D"/>
    <w:rsid w:val="1D3B80AD"/>
    <w:rsid w:val="1D40AC43"/>
    <w:rsid w:val="1D44E6EA"/>
    <w:rsid w:val="1D6CAA2F"/>
    <w:rsid w:val="1D83DE93"/>
    <w:rsid w:val="1D8D97A7"/>
    <w:rsid w:val="1D96C326"/>
    <w:rsid w:val="1DA5FC3B"/>
    <w:rsid w:val="1DB1786A"/>
    <w:rsid w:val="1DB2F312"/>
    <w:rsid w:val="1DC81C13"/>
    <w:rsid w:val="1DDCB669"/>
    <w:rsid w:val="1DE72163"/>
    <w:rsid w:val="1DF64822"/>
    <w:rsid w:val="1E047B1C"/>
    <w:rsid w:val="1E19879B"/>
    <w:rsid w:val="1E1AC15A"/>
    <w:rsid w:val="1E24A8A2"/>
    <w:rsid w:val="1E387E9F"/>
    <w:rsid w:val="1E412DAE"/>
    <w:rsid w:val="1E43D1C5"/>
    <w:rsid w:val="1E4F5957"/>
    <w:rsid w:val="1E774FBA"/>
    <w:rsid w:val="1EC760B7"/>
    <w:rsid w:val="1F0146F5"/>
    <w:rsid w:val="1F206C56"/>
    <w:rsid w:val="1F2BDA24"/>
    <w:rsid w:val="1F2EA4A7"/>
    <w:rsid w:val="1F4AB4D1"/>
    <w:rsid w:val="1F53F6FC"/>
    <w:rsid w:val="1F5F42F7"/>
    <w:rsid w:val="1F6BF1D2"/>
    <w:rsid w:val="1F8B653C"/>
    <w:rsid w:val="1F90546A"/>
    <w:rsid w:val="1FA776CF"/>
    <w:rsid w:val="1FAF4616"/>
    <w:rsid w:val="1FC41D32"/>
    <w:rsid w:val="1FCD3E9D"/>
    <w:rsid w:val="1FD41E4A"/>
    <w:rsid w:val="1FDB76AB"/>
    <w:rsid w:val="1FE1E6EB"/>
    <w:rsid w:val="203A72E1"/>
    <w:rsid w:val="2058DF48"/>
    <w:rsid w:val="20607DA9"/>
    <w:rsid w:val="206124D0"/>
    <w:rsid w:val="2072C6B7"/>
    <w:rsid w:val="20823B94"/>
    <w:rsid w:val="20A758F4"/>
    <w:rsid w:val="20B07EF6"/>
    <w:rsid w:val="21085E58"/>
    <w:rsid w:val="21318E6A"/>
    <w:rsid w:val="215D3921"/>
    <w:rsid w:val="218E0965"/>
    <w:rsid w:val="219251B4"/>
    <w:rsid w:val="219A86AE"/>
    <w:rsid w:val="21BFF2CE"/>
    <w:rsid w:val="21C46924"/>
    <w:rsid w:val="21D6155D"/>
    <w:rsid w:val="21EFA239"/>
    <w:rsid w:val="21F5C404"/>
    <w:rsid w:val="2210747E"/>
    <w:rsid w:val="221557BE"/>
    <w:rsid w:val="22218B56"/>
    <w:rsid w:val="222B9AF9"/>
    <w:rsid w:val="2289E97F"/>
    <w:rsid w:val="22A0547F"/>
    <w:rsid w:val="22AF6921"/>
    <w:rsid w:val="22C4CA07"/>
    <w:rsid w:val="22D2B53A"/>
    <w:rsid w:val="22DB43D5"/>
    <w:rsid w:val="22E23829"/>
    <w:rsid w:val="22E3D154"/>
    <w:rsid w:val="22F80956"/>
    <w:rsid w:val="23152676"/>
    <w:rsid w:val="232DDF90"/>
    <w:rsid w:val="234802A4"/>
    <w:rsid w:val="235047A6"/>
    <w:rsid w:val="2353AC0B"/>
    <w:rsid w:val="235577DF"/>
    <w:rsid w:val="2379137D"/>
    <w:rsid w:val="23A156FE"/>
    <w:rsid w:val="23B7B4DD"/>
    <w:rsid w:val="23C1F8C4"/>
    <w:rsid w:val="23C5A62E"/>
    <w:rsid w:val="23CA5236"/>
    <w:rsid w:val="23CC03A1"/>
    <w:rsid w:val="23CE905A"/>
    <w:rsid w:val="23EBC16E"/>
    <w:rsid w:val="23EF0F7D"/>
    <w:rsid w:val="23F523E8"/>
    <w:rsid w:val="23F57FCD"/>
    <w:rsid w:val="24174EA5"/>
    <w:rsid w:val="2419ABA9"/>
    <w:rsid w:val="24208240"/>
    <w:rsid w:val="24292113"/>
    <w:rsid w:val="24358D03"/>
    <w:rsid w:val="245F8C71"/>
    <w:rsid w:val="24679D0C"/>
    <w:rsid w:val="246C6249"/>
    <w:rsid w:val="2470DD2F"/>
    <w:rsid w:val="24750064"/>
    <w:rsid w:val="247F8227"/>
    <w:rsid w:val="24822434"/>
    <w:rsid w:val="248D4A03"/>
    <w:rsid w:val="24952015"/>
    <w:rsid w:val="24D9EE17"/>
    <w:rsid w:val="2511EE18"/>
    <w:rsid w:val="2525BFAD"/>
    <w:rsid w:val="2549724F"/>
    <w:rsid w:val="256ED174"/>
    <w:rsid w:val="257C0067"/>
    <w:rsid w:val="259C459A"/>
    <w:rsid w:val="25A161CE"/>
    <w:rsid w:val="25A56BF8"/>
    <w:rsid w:val="25D27484"/>
    <w:rsid w:val="25D81474"/>
    <w:rsid w:val="25FF9456"/>
    <w:rsid w:val="2607B169"/>
    <w:rsid w:val="2607F647"/>
    <w:rsid w:val="2622E213"/>
    <w:rsid w:val="262F15EF"/>
    <w:rsid w:val="26327D25"/>
    <w:rsid w:val="26338429"/>
    <w:rsid w:val="26529982"/>
    <w:rsid w:val="26620DF1"/>
    <w:rsid w:val="26692775"/>
    <w:rsid w:val="2683B2C6"/>
    <w:rsid w:val="26A4FA35"/>
    <w:rsid w:val="26BC6439"/>
    <w:rsid w:val="26D87C83"/>
    <w:rsid w:val="26DD1FB7"/>
    <w:rsid w:val="26E9E014"/>
    <w:rsid w:val="26F91A5D"/>
    <w:rsid w:val="26FFA87D"/>
    <w:rsid w:val="2713D073"/>
    <w:rsid w:val="27145A8A"/>
    <w:rsid w:val="27305595"/>
    <w:rsid w:val="27763CA4"/>
    <w:rsid w:val="27D3BC83"/>
    <w:rsid w:val="27EA110B"/>
    <w:rsid w:val="27EBDF99"/>
    <w:rsid w:val="27F8BF31"/>
    <w:rsid w:val="281DE1F3"/>
    <w:rsid w:val="28732CF4"/>
    <w:rsid w:val="288A6346"/>
    <w:rsid w:val="28D91221"/>
    <w:rsid w:val="28DC1101"/>
    <w:rsid w:val="28FC1B43"/>
    <w:rsid w:val="28FF12AF"/>
    <w:rsid w:val="29048FFB"/>
    <w:rsid w:val="290C30CD"/>
    <w:rsid w:val="29522D7A"/>
    <w:rsid w:val="296CE402"/>
    <w:rsid w:val="2985E16C"/>
    <w:rsid w:val="2986FC22"/>
    <w:rsid w:val="298D3C5E"/>
    <w:rsid w:val="298DA953"/>
    <w:rsid w:val="298F5A94"/>
    <w:rsid w:val="298F9F54"/>
    <w:rsid w:val="298FCF56"/>
    <w:rsid w:val="29A4B989"/>
    <w:rsid w:val="29A9935C"/>
    <w:rsid w:val="29C98F44"/>
    <w:rsid w:val="29CB5632"/>
    <w:rsid w:val="29EBC430"/>
    <w:rsid w:val="29F15DDD"/>
    <w:rsid w:val="29FF5A2D"/>
    <w:rsid w:val="2A33FCAD"/>
    <w:rsid w:val="2A35BEB8"/>
    <w:rsid w:val="2A366CCD"/>
    <w:rsid w:val="2A4BAE57"/>
    <w:rsid w:val="2A684864"/>
    <w:rsid w:val="2A7FC2D6"/>
    <w:rsid w:val="2A8B5532"/>
    <w:rsid w:val="2ACC4177"/>
    <w:rsid w:val="2ADBC86B"/>
    <w:rsid w:val="2AF61533"/>
    <w:rsid w:val="2B023E19"/>
    <w:rsid w:val="2B086858"/>
    <w:rsid w:val="2B280315"/>
    <w:rsid w:val="2B3E0AEF"/>
    <w:rsid w:val="2B4D3AE9"/>
    <w:rsid w:val="2B550860"/>
    <w:rsid w:val="2B5C0A49"/>
    <w:rsid w:val="2B5FD26D"/>
    <w:rsid w:val="2B922A0A"/>
    <w:rsid w:val="2B9478AD"/>
    <w:rsid w:val="2B99377F"/>
    <w:rsid w:val="2BB62E95"/>
    <w:rsid w:val="2BDE8B49"/>
    <w:rsid w:val="2BEBA017"/>
    <w:rsid w:val="2BFA9B02"/>
    <w:rsid w:val="2C055EFB"/>
    <w:rsid w:val="2C40504F"/>
    <w:rsid w:val="2C4450DF"/>
    <w:rsid w:val="2C49C714"/>
    <w:rsid w:val="2C4CB3A5"/>
    <w:rsid w:val="2C6CE46F"/>
    <w:rsid w:val="2C7262B8"/>
    <w:rsid w:val="2CB14D22"/>
    <w:rsid w:val="2D01FC5F"/>
    <w:rsid w:val="2D10A416"/>
    <w:rsid w:val="2D115596"/>
    <w:rsid w:val="2D1C71D1"/>
    <w:rsid w:val="2D53EDAC"/>
    <w:rsid w:val="2D541A48"/>
    <w:rsid w:val="2D5B2F83"/>
    <w:rsid w:val="2D5F956C"/>
    <w:rsid w:val="2D6A35CC"/>
    <w:rsid w:val="2D7B62C5"/>
    <w:rsid w:val="2DADA1BF"/>
    <w:rsid w:val="2DB5E16B"/>
    <w:rsid w:val="2DC1F02C"/>
    <w:rsid w:val="2DE2022F"/>
    <w:rsid w:val="2DF3E515"/>
    <w:rsid w:val="2E204447"/>
    <w:rsid w:val="2E620264"/>
    <w:rsid w:val="2E6D2B69"/>
    <w:rsid w:val="2E7C2177"/>
    <w:rsid w:val="2E7DCEC8"/>
    <w:rsid w:val="2E856C5D"/>
    <w:rsid w:val="2EBBAC5B"/>
    <w:rsid w:val="2ED332B1"/>
    <w:rsid w:val="2EF68C0E"/>
    <w:rsid w:val="2EF6D74F"/>
    <w:rsid w:val="2F0644A1"/>
    <w:rsid w:val="2F23B5DE"/>
    <w:rsid w:val="2F28B776"/>
    <w:rsid w:val="2F564A2D"/>
    <w:rsid w:val="2F57C1F4"/>
    <w:rsid w:val="2F59B866"/>
    <w:rsid w:val="2F5D435C"/>
    <w:rsid w:val="2F956B3D"/>
    <w:rsid w:val="2F9EDBDE"/>
    <w:rsid w:val="2FA7926C"/>
    <w:rsid w:val="2FD99507"/>
    <w:rsid w:val="2FDDBF82"/>
    <w:rsid w:val="2FF4A632"/>
    <w:rsid w:val="2FFE832A"/>
    <w:rsid w:val="30141687"/>
    <w:rsid w:val="3059671C"/>
    <w:rsid w:val="3071C2BF"/>
    <w:rsid w:val="308B7DC0"/>
    <w:rsid w:val="309BAB14"/>
    <w:rsid w:val="30AFCFB0"/>
    <w:rsid w:val="30DE40FD"/>
    <w:rsid w:val="30DFC41B"/>
    <w:rsid w:val="30EB148B"/>
    <w:rsid w:val="30EDF9AB"/>
    <w:rsid w:val="3134FA2E"/>
    <w:rsid w:val="315A8DE2"/>
    <w:rsid w:val="31643011"/>
    <w:rsid w:val="317C0BAD"/>
    <w:rsid w:val="317F51FE"/>
    <w:rsid w:val="318F0A3A"/>
    <w:rsid w:val="319CD4EC"/>
    <w:rsid w:val="31ABE3D5"/>
    <w:rsid w:val="32043A4C"/>
    <w:rsid w:val="32082827"/>
    <w:rsid w:val="322C95E9"/>
    <w:rsid w:val="322F2570"/>
    <w:rsid w:val="323B22C4"/>
    <w:rsid w:val="324AB922"/>
    <w:rsid w:val="325E9BAF"/>
    <w:rsid w:val="32D362E0"/>
    <w:rsid w:val="32D42328"/>
    <w:rsid w:val="32E90339"/>
    <w:rsid w:val="32FBEA46"/>
    <w:rsid w:val="32FFAE19"/>
    <w:rsid w:val="330613CB"/>
    <w:rsid w:val="330CD8A8"/>
    <w:rsid w:val="33150838"/>
    <w:rsid w:val="331BA6F4"/>
    <w:rsid w:val="3321A6F1"/>
    <w:rsid w:val="335EAE32"/>
    <w:rsid w:val="3368F64E"/>
    <w:rsid w:val="33904620"/>
    <w:rsid w:val="33953D5B"/>
    <w:rsid w:val="33A1DCC3"/>
    <w:rsid w:val="33A55B73"/>
    <w:rsid w:val="33C15042"/>
    <w:rsid w:val="33C3A81F"/>
    <w:rsid w:val="33C55A41"/>
    <w:rsid w:val="33CA853C"/>
    <w:rsid w:val="33D97B03"/>
    <w:rsid w:val="33E471D7"/>
    <w:rsid w:val="33EBE4EA"/>
    <w:rsid w:val="33F5841B"/>
    <w:rsid w:val="340F5D69"/>
    <w:rsid w:val="340F80A9"/>
    <w:rsid w:val="341EEECE"/>
    <w:rsid w:val="3439531E"/>
    <w:rsid w:val="344DEFB5"/>
    <w:rsid w:val="344EA598"/>
    <w:rsid w:val="346DC242"/>
    <w:rsid w:val="348336A8"/>
    <w:rsid w:val="34B2E417"/>
    <w:rsid w:val="34BEA6A3"/>
    <w:rsid w:val="34CB82B9"/>
    <w:rsid w:val="34D3A6FF"/>
    <w:rsid w:val="35001085"/>
    <w:rsid w:val="3508249C"/>
    <w:rsid w:val="3515673A"/>
    <w:rsid w:val="3523B0D3"/>
    <w:rsid w:val="3525652C"/>
    <w:rsid w:val="352C5972"/>
    <w:rsid w:val="35661C67"/>
    <w:rsid w:val="356E15B0"/>
    <w:rsid w:val="3576304D"/>
    <w:rsid w:val="358C206A"/>
    <w:rsid w:val="35A59848"/>
    <w:rsid w:val="35BBAC04"/>
    <w:rsid w:val="35CA2DF0"/>
    <w:rsid w:val="35E18B55"/>
    <w:rsid w:val="35E661EA"/>
    <w:rsid w:val="35F58E3F"/>
    <w:rsid w:val="3602523A"/>
    <w:rsid w:val="3616A471"/>
    <w:rsid w:val="3616F732"/>
    <w:rsid w:val="363630C3"/>
    <w:rsid w:val="3644A8BF"/>
    <w:rsid w:val="365026CA"/>
    <w:rsid w:val="3657FCED"/>
    <w:rsid w:val="3661D1AB"/>
    <w:rsid w:val="366C9D00"/>
    <w:rsid w:val="3686B1D0"/>
    <w:rsid w:val="368C7445"/>
    <w:rsid w:val="368F680D"/>
    <w:rsid w:val="369CD249"/>
    <w:rsid w:val="36A413D5"/>
    <w:rsid w:val="36A4F8D8"/>
    <w:rsid w:val="36AA44C7"/>
    <w:rsid w:val="36BF8134"/>
    <w:rsid w:val="36D6B5C9"/>
    <w:rsid w:val="36FA1309"/>
    <w:rsid w:val="370B1106"/>
    <w:rsid w:val="372AEC5A"/>
    <w:rsid w:val="375837FE"/>
    <w:rsid w:val="377EB1AD"/>
    <w:rsid w:val="377FCACE"/>
    <w:rsid w:val="378CBF8F"/>
    <w:rsid w:val="37950E33"/>
    <w:rsid w:val="37A323C2"/>
    <w:rsid w:val="37DB510B"/>
    <w:rsid w:val="37FB1821"/>
    <w:rsid w:val="3823D33F"/>
    <w:rsid w:val="385C13E5"/>
    <w:rsid w:val="387ABB96"/>
    <w:rsid w:val="389181CB"/>
    <w:rsid w:val="3898A5D9"/>
    <w:rsid w:val="3899F902"/>
    <w:rsid w:val="38B50A04"/>
    <w:rsid w:val="38C6025D"/>
    <w:rsid w:val="38F394E0"/>
    <w:rsid w:val="390FE23D"/>
    <w:rsid w:val="39273153"/>
    <w:rsid w:val="3955B4F2"/>
    <w:rsid w:val="39619889"/>
    <w:rsid w:val="3961E722"/>
    <w:rsid w:val="396AE63D"/>
    <w:rsid w:val="396E4C39"/>
    <w:rsid w:val="3983C731"/>
    <w:rsid w:val="39848535"/>
    <w:rsid w:val="39968D7E"/>
    <w:rsid w:val="39A014DE"/>
    <w:rsid w:val="39D9A845"/>
    <w:rsid w:val="39DB5F28"/>
    <w:rsid w:val="39EB7693"/>
    <w:rsid w:val="3A0A417C"/>
    <w:rsid w:val="3A13765D"/>
    <w:rsid w:val="3A15C999"/>
    <w:rsid w:val="3A1BC2E8"/>
    <w:rsid w:val="3A2348CA"/>
    <w:rsid w:val="3A55569C"/>
    <w:rsid w:val="3A910773"/>
    <w:rsid w:val="3A9FBFC2"/>
    <w:rsid w:val="3AB13DBD"/>
    <w:rsid w:val="3AE3A504"/>
    <w:rsid w:val="3B1D6DB4"/>
    <w:rsid w:val="3B243CD9"/>
    <w:rsid w:val="3B259A02"/>
    <w:rsid w:val="3B2A6892"/>
    <w:rsid w:val="3B344383"/>
    <w:rsid w:val="3B37F069"/>
    <w:rsid w:val="3B430E1C"/>
    <w:rsid w:val="3B499966"/>
    <w:rsid w:val="3B558F07"/>
    <w:rsid w:val="3B61BDE9"/>
    <w:rsid w:val="3B9898EF"/>
    <w:rsid w:val="3BA93945"/>
    <w:rsid w:val="3BD05567"/>
    <w:rsid w:val="3BD89468"/>
    <w:rsid w:val="3BE2FF17"/>
    <w:rsid w:val="3C03BE4F"/>
    <w:rsid w:val="3C0D055F"/>
    <w:rsid w:val="3C1B2E72"/>
    <w:rsid w:val="3C547235"/>
    <w:rsid w:val="3C54CEBF"/>
    <w:rsid w:val="3C5BA293"/>
    <w:rsid w:val="3C65F816"/>
    <w:rsid w:val="3C68CD21"/>
    <w:rsid w:val="3C6E6724"/>
    <w:rsid w:val="3C708042"/>
    <w:rsid w:val="3C834CAF"/>
    <w:rsid w:val="3C9E9CDC"/>
    <w:rsid w:val="3CB5AD28"/>
    <w:rsid w:val="3CD58495"/>
    <w:rsid w:val="3D10FB62"/>
    <w:rsid w:val="3D3528E0"/>
    <w:rsid w:val="3D3A4B38"/>
    <w:rsid w:val="3D4A061F"/>
    <w:rsid w:val="3D4D902A"/>
    <w:rsid w:val="3D4DF902"/>
    <w:rsid w:val="3D60EFC6"/>
    <w:rsid w:val="3D898FDD"/>
    <w:rsid w:val="3D9F6651"/>
    <w:rsid w:val="3DC92759"/>
    <w:rsid w:val="3DE16454"/>
    <w:rsid w:val="3DF18D8F"/>
    <w:rsid w:val="3E002036"/>
    <w:rsid w:val="3E03D524"/>
    <w:rsid w:val="3E0537D4"/>
    <w:rsid w:val="3E170225"/>
    <w:rsid w:val="3E304952"/>
    <w:rsid w:val="3E4045BB"/>
    <w:rsid w:val="3E71C634"/>
    <w:rsid w:val="3E75FDDB"/>
    <w:rsid w:val="3E86EF13"/>
    <w:rsid w:val="3E9CD7B9"/>
    <w:rsid w:val="3EA5FD1E"/>
    <w:rsid w:val="3EBBFEBC"/>
    <w:rsid w:val="3ED608D4"/>
    <w:rsid w:val="3ED88CED"/>
    <w:rsid w:val="3EDCA75E"/>
    <w:rsid w:val="3EE1C85B"/>
    <w:rsid w:val="3EEA88E3"/>
    <w:rsid w:val="3EF0B721"/>
    <w:rsid w:val="3EF516B8"/>
    <w:rsid w:val="3F06B6B8"/>
    <w:rsid w:val="3F2A64FF"/>
    <w:rsid w:val="3F2B2104"/>
    <w:rsid w:val="3F437117"/>
    <w:rsid w:val="3F832848"/>
    <w:rsid w:val="3F917ECD"/>
    <w:rsid w:val="3FBD5D96"/>
    <w:rsid w:val="3FC16D64"/>
    <w:rsid w:val="3FCA7D81"/>
    <w:rsid w:val="3FCC7AC6"/>
    <w:rsid w:val="3FDEA37C"/>
    <w:rsid w:val="3FE24D7D"/>
    <w:rsid w:val="3FEC38A1"/>
    <w:rsid w:val="3FFB0577"/>
    <w:rsid w:val="4005507C"/>
    <w:rsid w:val="4016D945"/>
    <w:rsid w:val="40520CF7"/>
    <w:rsid w:val="4055C08A"/>
    <w:rsid w:val="405E0A8C"/>
    <w:rsid w:val="40640CCA"/>
    <w:rsid w:val="408DD309"/>
    <w:rsid w:val="4092DEA1"/>
    <w:rsid w:val="40DBD2E0"/>
    <w:rsid w:val="40EAB209"/>
    <w:rsid w:val="4105056B"/>
    <w:rsid w:val="41057111"/>
    <w:rsid w:val="4110F2AB"/>
    <w:rsid w:val="411A4AE0"/>
    <w:rsid w:val="411B3025"/>
    <w:rsid w:val="4140F89B"/>
    <w:rsid w:val="415AEB08"/>
    <w:rsid w:val="415F8DB6"/>
    <w:rsid w:val="41851465"/>
    <w:rsid w:val="418931B2"/>
    <w:rsid w:val="41B52310"/>
    <w:rsid w:val="41BBDD1F"/>
    <w:rsid w:val="41C9EA36"/>
    <w:rsid w:val="41D702F3"/>
    <w:rsid w:val="41DCB954"/>
    <w:rsid w:val="41DD96C6"/>
    <w:rsid w:val="41EC4FC3"/>
    <w:rsid w:val="41FDFF5E"/>
    <w:rsid w:val="420D5782"/>
    <w:rsid w:val="420E2B84"/>
    <w:rsid w:val="421CD9A8"/>
    <w:rsid w:val="421CDF89"/>
    <w:rsid w:val="421F6276"/>
    <w:rsid w:val="4220BD39"/>
    <w:rsid w:val="422763CE"/>
    <w:rsid w:val="422B737E"/>
    <w:rsid w:val="42473AB8"/>
    <w:rsid w:val="424B37A6"/>
    <w:rsid w:val="42520D7F"/>
    <w:rsid w:val="42550C58"/>
    <w:rsid w:val="426D433F"/>
    <w:rsid w:val="427D9069"/>
    <w:rsid w:val="4289E030"/>
    <w:rsid w:val="42B498D8"/>
    <w:rsid w:val="42BD467B"/>
    <w:rsid w:val="42C2D658"/>
    <w:rsid w:val="42E87D90"/>
    <w:rsid w:val="4316AF63"/>
    <w:rsid w:val="4322D16D"/>
    <w:rsid w:val="4351B1C9"/>
    <w:rsid w:val="43839B73"/>
    <w:rsid w:val="438CF5CA"/>
    <w:rsid w:val="43918D1F"/>
    <w:rsid w:val="439D34E1"/>
    <w:rsid w:val="43BD3FE2"/>
    <w:rsid w:val="43D75B59"/>
    <w:rsid w:val="43D89941"/>
    <w:rsid w:val="43EB06B2"/>
    <w:rsid w:val="43EB5913"/>
    <w:rsid w:val="44007991"/>
    <w:rsid w:val="44813019"/>
    <w:rsid w:val="4493145B"/>
    <w:rsid w:val="449628BA"/>
    <w:rsid w:val="44CBE067"/>
    <w:rsid w:val="44CBF32D"/>
    <w:rsid w:val="44EBDD6D"/>
    <w:rsid w:val="450C1E1B"/>
    <w:rsid w:val="452807A4"/>
    <w:rsid w:val="453E4D2D"/>
    <w:rsid w:val="456D636C"/>
    <w:rsid w:val="45A22AC0"/>
    <w:rsid w:val="45D2D7C3"/>
    <w:rsid w:val="45D486AA"/>
    <w:rsid w:val="45F20D2C"/>
    <w:rsid w:val="45FEDF61"/>
    <w:rsid w:val="46201C82"/>
    <w:rsid w:val="4620CB67"/>
    <w:rsid w:val="4654A4F1"/>
    <w:rsid w:val="46554176"/>
    <w:rsid w:val="465B75F1"/>
    <w:rsid w:val="466210F5"/>
    <w:rsid w:val="4676D026"/>
    <w:rsid w:val="469BB0AC"/>
    <w:rsid w:val="46ADDC4F"/>
    <w:rsid w:val="46C7E3F8"/>
    <w:rsid w:val="46D12CB4"/>
    <w:rsid w:val="4700A29C"/>
    <w:rsid w:val="4704530C"/>
    <w:rsid w:val="4705DF08"/>
    <w:rsid w:val="470FCA43"/>
    <w:rsid w:val="471DEB09"/>
    <w:rsid w:val="474EE2EF"/>
    <w:rsid w:val="4788E42F"/>
    <w:rsid w:val="479105B9"/>
    <w:rsid w:val="479800A2"/>
    <w:rsid w:val="47A1FFC1"/>
    <w:rsid w:val="47C16ED7"/>
    <w:rsid w:val="47E0ACBE"/>
    <w:rsid w:val="47F44DD4"/>
    <w:rsid w:val="482CAAA5"/>
    <w:rsid w:val="4831269C"/>
    <w:rsid w:val="486F9719"/>
    <w:rsid w:val="489577F2"/>
    <w:rsid w:val="48981725"/>
    <w:rsid w:val="48A87313"/>
    <w:rsid w:val="48B27566"/>
    <w:rsid w:val="48D549BA"/>
    <w:rsid w:val="48DF8847"/>
    <w:rsid w:val="48E1BE94"/>
    <w:rsid w:val="48F09479"/>
    <w:rsid w:val="48FDA53E"/>
    <w:rsid w:val="4906318C"/>
    <w:rsid w:val="491E442D"/>
    <w:rsid w:val="4961CA20"/>
    <w:rsid w:val="497CE30F"/>
    <w:rsid w:val="498CBD20"/>
    <w:rsid w:val="498FDB28"/>
    <w:rsid w:val="49960B6C"/>
    <w:rsid w:val="499E4631"/>
    <w:rsid w:val="49A7D688"/>
    <w:rsid w:val="49C5F821"/>
    <w:rsid w:val="49C7F5E5"/>
    <w:rsid w:val="49D29D95"/>
    <w:rsid w:val="49DEB0B1"/>
    <w:rsid w:val="49DF3506"/>
    <w:rsid w:val="49F39245"/>
    <w:rsid w:val="49F7D2D5"/>
    <w:rsid w:val="4A0E78DC"/>
    <w:rsid w:val="4A0EB674"/>
    <w:rsid w:val="4A11B9D2"/>
    <w:rsid w:val="4A151FEC"/>
    <w:rsid w:val="4A15AD6B"/>
    <w:rsid w:val="4A23CE55"/>
    <w:rsid w:val="4A5D933A"/>
    <w:rsid w:val="4A5DF7CE"/>
    <w:rsid w:val="4A5EDB97"/>
    <w:rsid w:val="4A5F36C2"/>
    <w:rsid w:val="4A743A1B"/>
    <w:rsid w:val="4A76B07E"/>
    <w:rsid w:val="4A808FC6"/>
    <w:rsid w:val="4A9717BF"/>
    <w:rsid w:val="4AAA8139"/>
    <w:rsid w:val="4AB03E84"/>
    <w:rsid w:val="4ABF2C14"/>
    <w:rsid w:val="4ABF8CAB"/>
    <w:rsid w:val="4AC46971"/>
    <w:rsid w:val="4AFA7E11"/>
    <w:rsid w:val="4AFA8B2F"/>
    <w:rsid w:val="4AFFA324"/>
    <w:rsid w:val="4B6F54D9"/>
    <w:rsid w:val="4B6F812B"/>
    <w:rsid w:val="4B7CDE97"/>
    <w:rsid w:val="4BAB0FD3"/>
    <w:rsid w:val="4BABA7EF"/>
    <w:rsid w:val="4BC446AA"/>
    <w:rsid w:val="4BE10AE0"/>
    <w:rsid w:val="4BE8FD7D"/>
    <w:rsid w:val="4BF444E9"/>
    <w:rsid w:val="4C018379"/>
    <w:rsid w:val="4C10DF23"/>
    <w:rsid w:val="4C211AAB"/>
    <w:rsid w:val="4C4EBC18"/>
    <w:rsid w:val="4C50FCBD"/>
    <w:rsid w:val="4C62414B"/>
    <w:rsid w:val="4C65E162"/>
    <w:rsid w:val="4C9B1F06"/>
    <w:rsid w:val="4CB3D617"/>
    <w:rsid w:val="4CBBE416"/>
    <w:rsid w:val="4CC4ADB5"/>
    <w:rsid w:val="4CC4E9C7"/>
    <w:rsid w:val="4CDCB4F2"/>
    <w:rsid w:val="4CDFCB9B"/>
    <w:rsid w:val="4CE3245C"/>
    <w:rsid w:val="4CE66952"/>
    <w:rsid w:val="4CECEAD8"/>
    <w:rsid w:val="4CF763F1"/>
    <w:rsid w:val="4D005894"/>
    <w:rsid w:val="4D40A42B"/>
    <w:rsid w:val="4D473B2A"/>
    <w:rsid w:val="4D5322DB"/>
    <w:rsid w:val="4D54EDAF"/>
    <w:rsid w:val="4D6F8886"/>
    <w:rsid w:val="4D73CED2"/>
    <w:rsid w:val="4D787C46"/>
    <w:rsid w:val="4D7B6154"/>
    <w:rsid w:val="4D942AED"/>
    <w:rsid w:val="4DE21F41"/>
    <w:rsid w:val="4DF19844"/>
    <w:rsid w:val="4E0A64B7"/>
    <w:rsid w:val="4E6B4258"/>
    <w:rsid w:val="4E83BE0A"/>
    <w:rsid w:val="4E996944"/>
    <w:rsid w:val="4EBA751D"/>
    <w:rsid w:val="4ED96751"/>
    <w:rsid w:val="4EEC4F7B"/>
    <w:rsid w:val="4EF33B30"/>
    <w:rsid w:val="4F3F73EF"/>
    <w:rsid w:val="4F64BA71"/>
    <w:rsid w:val="4F8BC3F7"/>
    <w:rsid w:val="4F92ADCF"/>
    <w:rsid w:val="4F9919FB"/>
    <w:rsid w:val="4F9B80D3"/>
    <w:rsid w:val="4FA7E411"/>
    <w:rsid w:val="4FBA0128"/>
    <w:rsid w:val="4FC08D45"/>
    <w:rsid w:val="4FC808E9"/>
    <w:rsid w:val="4FD7B0F2"/>
    <w:rsid w:val="4FD95E2F"/>
    <w:rsid w:val="4FDB6F77"/>
    <w:rsid w:val="4FF3FC4A"/>
    <w:rsid w:val="500022A1"/>
    <w:rsid w:val="50231819"/>
    <w:rsid w:val="50398AB1"/>
    <w:rsid w:val="5039B5E2"/>
    <w:rsid w:val="5042D8DE"/>
    <w:rsid w:val="504A4F99"/>
    <w:rsid w:val="504DDEDB"/>
    <w:rsid w:val="5059BC77"/>
    <w:rsid w:val="505CEC94"/>
    <w:rsid w:val="5099CEDC"/>
    <w:rsid w:val="50A9826E"/>
    <w:rsid w:val="50D2729E"/>
    <w:rsid w:val="50D6B292"/>
    <w:rsid w:val="50DBE75F"/>
    <w:rsid w:val="50E29CF7"/>
    <w:rsid w:val="50E2FD18"/>
    <w:rsid w:val="50E8C6F6"/>
    <w:rsid w:val="50ED4E66"/>
    <w:rsid w:val="50EF08A3"/>
    <w:rsid w:val="50F1150B"/>
    <w:rsid w:val="50F402AE"/>
    <w:rsid w:val="50FCB2E9"/>
    <w:rsid w:val="50FDDFEE"/>
    <w:rsid w:val="515C5DA6"/>
    <w:rsid w:val="51645F99"/>
    <w:rsid w:val="516D1C07"/>
    <w:rsid w:val="517279D2"/>
    <w:rsid w:val="518BAE60"/>
    <w:rsid w:val="51994DCC"/>
    <w:rsid w:val="51AE6614"/>
    <w:rsid w:val="51AF5586"/>
    <w:rsid w:val="51B6B6B6"/>
    <w:rsid w:val="51C577E0"/>
    <w:rsid w:val="51D21826"/>
    <w:rsid w:val="51D98A87"/>
    <w:rsid w:val="51DA93E1"/>
    <w:rsid w:val="51E2B169"/>
    <w:rsid w:val="51EEE80E"/>
    <w:rsid w:val="51FD753A"/>
    <w:rsid w:val="5207094B"/>
    <w:rsid w:val="521BA19D"/>
    <w:rsid w:val="521CC2E2"/>
    <w:rsid w:val="52261262"/>
    <w:rsid w:val="5235F7AA"/>
    <w:rsid w:val="52421C7F"/>
    <w:rsid w:val="524B4298"/>
    <w:rsid w:val="525E3A79"/>
    <w:rsid w:val="525FDCF3"/>
    <w:rsid w:val="52854B94"/>
    <w:rsid w:val="528A4133"/>
    <w:rsid w:val="52BC4092"/>
    <w:rsid w:val="52C1A9D4"/>
    <w:rsid w:val="52F82E07"/>
    <w:rsid w:val="53109240"/>
    <w:rsid w:val="533B4EE6"/>
    <w:rsid w:val="534366B1"/>
    <w:rsid w:val="5343F759"/>
    <w:rsid w:val="53440FBB"/>
    <w:rsid w:val="5393609E"/>
    <w:rsid w:val="539CC8FA"/>
    <w:rsid w:val="53C7110F"/>
    <w:rsid w:val="53F45475"/>
    <w:rsid w:val="542BEAA9"/>
    <w:rsid w:val="545029A1"/>
    <w:rsid w:val="545BDF81"/>
    <w:rsid w:val="548B3AF1"/>
    <w:rsid w:val="54A7C394"/>
    <w:rsid w:val="54ABA1D0"/>
    <w:rsid w:val="54CB4FB5"/>
    <w:rsid w:val="54CF4CA7"/>
    <w:rsid w:val="54D0C9BB"/>
    <w:rsid w:val="54F3665C"/>
    <w:rsid w:val="54F3F541"/>
    <w:rsid w:val="5511EAFD"/>
    <w:rsid w:val="55563A0B"/>
    <w:rsid w:val="5571A9A5"/>
    <w:rsid w:val="55778E31"/>
    <w:rsid w:val="5583F977"/>
    <w:rsid w:val="55BE33BA"/>
    <w:rsid w:val="55EFA9C0"/>
    <w:rsid w:val="560AC653"/>
    <w:rsid w:val="56156DDF"/>
    <w:rsid w:val="561A35D8"/>
    <w:rsid w:val="56540496"/>
    <w:rsid w:val="566510FB"/>
    <w:rsid w:val="56777584"/>
    <w:rsid w:val="5678DAA4"/>
    <w:rsid w:val="56831B12"/>
    <w:rsid w:val="568CE584"/>
    <w:rsid w:val="56A775AB"/>
    <w:rsid w:val="56C958AC"/>
    <w:rsid w:val="56DC18E2"/>
    <w:rsid w:val="56E50C50"/>
    <w:rsid w:val="56EE4C2C"/>
    <w:rsid w:val="570F474B"/>
    <w:rsid w:val="571C9EB4"/>
    <w:rsid w:val="571EE885"/>
    <w:rsid w:val="572CD63B"/>
    <w:rsid w:val="572E2FB6"/>
    <w:rsid w:val="576FA67A"/>
    <w:rsid w:val="5771395D"/>
    <w:rsid w:val="577E9F7A"/>
    <w:rsid w:val="577F46E8"/>
    <w:rsid w:val="5787F44A"/>
    <w:rsid w:val="578C039D"/>
    <w:rsid w:val="578E3805"/>
    <w:rsid w:val="5799429A"/>
    <w:rsid w:val="57A45208"/>
    <w:rsid w:val="57BBEBAA"/>
    <w:rsid w:val="57BF5155"/>
    <w:rsid w:val="57BFCECB"/>
    <w:rsid w:val="57DA840D"/>
    <w:rsid w:val="57E85D60"/>
    <w:rsid w:val="57EE200D"/>
    <w:rsid w:val="580C9BD4"/>
    <w:rsid w:val="58186E90"/>
    <w:rsid w:val="584A1BEA"/>
    <w:rsid w:val="5853DAAD"/>
    <w:rsid w:val="5885523B"/>
    <w:rsid w:val="589621F4"/>
    <w:rsid w:val="58E98B94"/>
    <w:rsid w:val="58F757D8"/>
    <w:rsid w:val="590B98A6"/>
    <w:rsid w:val="59123014"/>
    <w:rsid w:val="592BDF14"/>
    <w:rsid w:val="593E044D"/>
    <w:rsid w:val="594F2B1D"/>
    <w:rsid w:val="595E479E"/>
    <w:rsid w:val="596E0C6E"/>
    <w:rsid w:val="597C72A6"/>
    <w:rsid w:val="59830BD4"/>
    <w:rsid w:val="59877163"/>
    <w:rsid w:val="59A1CE2D"/>
    <w:rsid w:val="59A441B0"/>
    <w:rsid w:val="59A7C7A6"/>
    <w:rsid w:val="59D3C87C"/>
    <w:rsid w:val="5A1124C6"/>
    <w:rsid w:val="5A1147EE"/>
    <w:rsid w:val="5A20AC83"/>
    <w:rsid w:val="5A2D96DA"/>
    <w:rsid w:val="5A3A4B6A"/>
    <w:rsid w:val="5A3ED77C"/>
    <w:rsid w:val="5A3EF444"/>
    <w:rsid w:val="5A437BB4"/>
    <w:rsid w:val="5A98D280"/>
    <w:rsid w:val="5AA64B1E"/>
    <w:rsid w:val="5B07D096"/>
    <w:rsid w:val="5B1A1B42"/>
    <w:rsid w:val="5B1F3E9E"/>
    <w:rsid w:val="5B4370FE"/>
    <w:rsid w:val="5B66ED4F"/>
    <w:rsid w:val="5B6D5839"/>
    <w:rsid w:val="5B7AA9C1"/>
    <w:rsid w:val="5B8310C2"/>
    <w:rsid w:val="5B84060F"/>
    <w:rsid w:val="5B90EC98"/>
    <w:rsid w:val="5BCFF201"/>
    <w:rsid w:val="5BD92E31"/>
    <w:rsid w:val="5BDF2C3D"/>
    <w:rsid w:val="5BFD4233"/>
    <w:rsid w:val="5BFFD6EE"/>
    <w:rsid w:val="5C11B965"/>
    <w:rsid w:val="5C38F95F"/>
    <w:rsid w:val="5C3A431B"/>
    <w:rsid w:val="5C4359E0"/>
    <w:rsid w:val="5C63D926"/>
    <w:rsid w:val="5C86BDCC"/>
    <w:rsid w:val="5CB838AA"/>
    <w:rsid w:val="5CC4FEA3"/>
    <w:rsid w:val="5CECA260"/>
    <w:rsid w:val="5CF8A6D9"/>
    <w:rsid w:val="5D0C45AB"/>
    <w:rsid w:val="5D709A67"/>
    <w:rsid w:val="5D731A68"/>
    <w:rsid w:val="5D7CE932"/>
    <w:rsid w:val="5D8DF3E9"/>
    <w:rsid w:val="5D96B50D"/>
    <w:rsid w:val="5D994B4A"/>
    <w:rsid w:val="5D9B2598"/>
    <w:rsid w:val="5DBE26AD"/>
    <w:rsid w:val="5DCDDE35"/>
    <w:rsid w:val="5DD1481C"/>
    <w:rsid w:val="5DDAD93F"/>
    <w:rsid w:val="5DEA819C"/>
    <w:rsid w:val="5DED5B2D"/>
    <w:rsid w:val="5E17E47D"/>
    <w:rsid w:val="5E2BCDD9"/>
    <w:rsid w:val="5E3529CA"/>
    <w:rsid w:val="5E36FA36"/>
    <w:rsid w:val="5E54090B"/>
    <w:rsid w:val="5E6190CA"/>
    <w:rsid w:val="5E72F10A"/>
    <w:rsid w:val="5E733681"/>
    <w:rsid w:val="5E999598"/>
    <w:rsid w:val="5E9BC7AB"/>
    <w:rsid w:val="5EA90BE1"/>
    <w:rsid w:val="5EBAB184"/>
    <w:rsid w:val="5EC2DB78"/>
    <w:rsid w:val="5ECC7779"/>
    <w:rsid w:val="5ED7B21C"/>
    <w:rsid w:val="5EF508F0"/>
    <w:rsid w:val="5F0A2E5B"/>
    <w:rsid w:val="5F145A45"/>
    <w:rsid w:val="5F1EC8F7"/>
    <w:rsid w:val="5F52B86B"/>
    <w:rsid w:val="5F6C30C4"/>
    <w:rsid w:val="5F7EB9D0"/>
    <w:rsid w:val="5F8312E9"/>
    <w:rsid w:val="5FC70461"/>
    <w:rsid w:val="5FD5A2DF"/>
    <w:rsid w:val="6009FBF5"/>
    <w:rsid w:val="6024EBB2"/>
    <w:rsid w:val="60532F88"/>
    <w:rsid w:val="60560A78"/>
    <w:rsid w:val="60668DCC"/>
    <w:rsid w:val="60741A6A"/>
    <w:rsid w:val="60A70CDC"/>
    <w:rsid w:val="60ABF07B"/>
    <w:rsid w:val="60B06B1E"/>
    <w:rsid w:val="60DCE84E"/>
    <w:rsid w:val="610FF1C6"/>
    <w:rsid w:val="6125C455"/>
    <w:rsid w:val="612F500A"/>
    <w:rsid w:val="61526C7F"/>
    <w:rsid w:val="61547C02"/>
    <w:rsid w:val="615A211C"/>
    <w:rsid w:val="615B78DD"/>
    <w:rsid w:val="61638188"/>
    <w:rsid w:val="6175AC03"/>
    <w:rsid w:val="6177F9B5"/>
    <w:rsid w:val="617EBE2C"/>
    <w:rsid w:val="618FCD1A"/>
    <w:rsid w:val="61A99F23"/>
    <w:rsid w:val="61B1A32B"/>
    <w:rsid w:val="61D1D7D9"/>
    <w:rsid w:val="61DC0EFA"/>
    <w:rsid w:val="61DCBF04"/>
    <w:rsid w:val="62061261"/>
    <w:rsid w:val="620A4BB3"/>
    <w:rsid w:val="621802BF"/>
    <w:rsid w:val="621F8C8F"/>
    <w:rsid w:val="6224158B"/>
    <w:rsid w:val="6233797A"/>
    <w:rsid w:val="62562C0A"/>
    <w:rsid w:val="625C525F"/>
    <w:rsid w:val="62683FBD"/>
    <w:rsid w:val="627BBC25"/>
    <w:rsid w:val="62844CD0"/>
    <w:rsid w:val="628D15B5"/>
    <w:rsid w:val="6292D414"/>
    <w:rsid w:val="62A11EA0"/>
    <w:rsid w:val="62A7ADE3"/>
    <w:rsid w:val="62B16096"/>
    <w:rsid w:val="62BFDA2C"/>
    <w:rsid w:val="62C61972"/>
    <w:rsid w:val="62E444DB"/>
    <w:rsid w:val="62F38B45"/>
    <w:rsid w:val="6370696B"/>
    <w:rsid w:val="637ECB81"/>
    <w:rsid w:val="639313D1"/>
    <w:rsid w:val="63A9D830"/>
    <w:rsid w:val="63BE1E81"/>
    <w:rsid w:val="63EC1822"/>
    <w:rsid w:val="6405374E"/>
    <w:rsid w:val="641252F8"/>
    <w:rsid w:val="642FFDA8"/>
    <w:rsid w:val="6432F961"/>
    <w:rsid w:val="643BE55A"/>
    <w:rsid w:val="643CC1A7"/>
    <w:rsid w:val="644D9A30"/>
    <w:rsid w:val="6461F755"/>
    <w:rsid w:val="6469123C"/>
    <w:rsid w:val="647A1263"/>
    <w:rsid w:val="6481DA07"/>
    <w:rsid w:val="649B65F9"/>
    <w:rsid w:val="649D0A6A"/>
    <w:rsid w:val="64C21510"/>
    <w:rsid w:val="64D772F2"/>
    <w:rsid w:val="64D820B7"/>
    <w:rsid w:val="64FCFE86"/>
    <w:rsid w:val="650438CE"/>
    <w:rsid w:val="650F64BB"/>
    <w:rsid w:val="65115DCC"/>
    <w:rsid w:val="65165B2B"/>
    <w:rsid w:val="6517D3B0"/>
    <w:rsid w:val="6540A9F2"/>
    <w:rsid w:val="654D7DCA"/>
    <w:rsid w:val="655AD191"/>
    <w:rsid w:val="656269E5"/>
    <w:rsid w:val="65646223"/>
    <w:rsid w:val="6574C263"/>
    <w:rsid w:val="65784044"/>
    <w:rsid w:val="65A9AEF2"/>
    <w:rsid w:val="65ACE646"/>
    <w:rsid w:val="65BA59E5"/>
    <w:rsid w:val="65D98AE2"/>
    <w:rsid w:val="65F3644C"/>
    <w:rsid w:val="65F59930"/>
    <w:rsid w:val="663A0EDD"/>
    <w:rsid w:val="6640B777"/>
    <w:rsid w:val="6641C9D8"/>
    <w:rsid w:val="6654F716"/>
    <w:rsid w:val="667D48AF"/>
    <w:rsid w:val="66832FC0"/>
    <w:rsid w:val="66A1D5D1"/>
    <w:rsid w:val="66AD35F7"/>
    <w:rsid w:val="66AE4764"/>
    <w:rsid w:val="66C40C73"/>
    <w:rsid w:val="66D127A6"/>
    <w:rsid w:val="66D96EC2"/>
    <w:rsid w:val="66E3E238"/>
    <w:rsid w:val="672279F0"/>
    <w:rsid w:val="67232F16"/>
    <w:rsid w:val="67418661"/>
    <w:rsid w:val="676856BA"/>
    <w:rsid w:val="678F4AC2"/>
    <w:rsid w:val="679763E3"/>
    <w:rsid w:val="67A28CA2"/>
    <w:rsid w:val="67E02CC3"/>
    <w:rsid w:val="68000B94"/>
    <w:rsid w:val="684E3EA6"/>
    <w:rsid w:val="684FB57B"/>
    <w:rsid w:val="68799637"/>
    <w:rsid w:val="687E65E4"/>
    <w:rsid w:val="688CAD4C"/>
    <w:rsid w:val="68A45A28"/>
    <w:rsid w:val="68C261F0"/>
    <w:rsid w:val="68D528DC"/>
    <w:rsid w:val="68E2EC58"/>
    <w:rsid w:val="68E3A7D1"/>
    <w:rsid w:val="68ED4BA4"/>
    <w:rsid w:val="68FD3AB5"/>
    <w:rsid w:val="69041621"/>
    <w:rsid w:val="694791BD"/>
    <w:rsid w:val="696B6054"/>
    <w:rsid w:val="69735478"/>
    <w:rsid w:val="69991EBC"/>
    <w:rsid w:val="69A0E294"/>
    <w:rsid w:val="69CBCEF9"/>
    <w:rsid w:val="69F4E028"/>
    <w:rsid w:val="69FB9BFD"/>
    <w:rsid w:val="69FFC2E5"/>
    <w:rsid w:val="6A15330B"/>
    <w:rsid w:val="6A46DB5D"/>
    <w:rsid w:val="6A552482"/>
    <w:rsid w:val="6A6EFB3E"/>
    <w:rsid w:val="6A983D0F"/>
    <w:rsid w:val="6AB6DC5A"/>
    <w:rsid w:val="6AC0C899"/>
    <w:rsid w:val="6AC9EFD8"/>
    <w:rsid w:val="6AE35C33"/>
    <w:rsid w:val="6AF46A3A"/>
    <w:rsid w:val="6B013305"/>
    <w:rsid w:val="6B016850"/>
    <w:rsid w:val="6B0A7BA1"/>
    <w:rsid w:val="6B0EC032"/>
    <w:rsid w:val="6B208D18"/>
    <w:rsid w:val="6B310EBC"/>
    <w:rsid w:val="6B3693E6"/>
    <w:rsid w:val="6B40B458"/>
    <w:rsid w:val="6B55167A"/>
    <w:rsid w:val="6B66CBE1"/>
    <w:rsid w:val="6B7CE3AF"/>
    <w:rsid w:val="6B8AF9A5"/>
    <w:rsid w:val="6BA78B70"/>
    <w:rsid w:val="6BAB0A25"/>
    <w:rsid w:val="6BDA5F08"/>
    <w:rsid w:val="6BFCCBD8"/>
    <w:rsid w:val="6C0F7A88"/>
    <w:rsid w:val="6C1393AD"/>
    <w:rsid w:val="6C3039F4"/>
    <w:rsid w:val="6C3AABF3"/>
    <w:rsid w:val="6C3FC4D1"/>
    <w:rsid w:val="6C5FA87E"/>
    <w:rsid w:val="6C681A09"/>
    <w:rsid w:val="6C6E9D51"/>
    <w:rsid w:val="6C88FFB4"/>
    <w:rsid w:val="6CD81491"/>
    <w:rsid w:val="6CE8BC94"/>
    <w:rsid w:val="6CF3C7E3"/>
    <w:rsid w:val="6D140AFE"/>
    <w:rsid w:val="6D1E2553"/>
    <w:rsid w:val="6D26E3F2"/>
    <w:rsid w:val="6D2EB2B6"/>
    <w:rsid w:val="6D2F96DC"/>
    <w:rsid w:val="6D4097A7"/>
    <w:rsid w:val="6DBBE2CA"/>
    <w:rsid w:val="6DBE074E"/>
    <w:rsid w:val="6DF85AAB"/>
    <w:rsid w:val="6E409EB3"/>
    <w:rsid w:val="6E4157CA"/>
    <w:rsid w:val="6E7F2140"/>
    <w:rsid w:val="6E800867"/>
    <w:rsid w:val="6E8C0309"/>
    <w:rsid w:val="6EB64193"/>
    <w:rsid w:val="6EC5509A"/>
    <w:rsid w:val="6EDA6F87"/>
    <w:rsid w:val="6EE8CEBB"/>
    <w:rsid w:val="6EF11CE1"/>
    <w:rsid w:val="6EFA9CAA"/>
    <w:rsid w:val="6F0897CE"/>
    <w:rsid w:val="6F192AAF"/>
    <w:rsid w:val="6F2414BB"/>
    <w:rsid w:val="6F3CDD7C"/>
    <w:rsid w:val="6F42B4EB"/>
    <w:rsid w:val="6F5511B1"/>
    <w:rsid w:val="6F68CDBC"/>
    <w:rsid w:val="6F74427E"/>
    <w:rsid w:val="6F90A968"/>
    <w:rsid w:val="6FA655E1"/>
    <w:rsid w:val="6FCF8AEA"/>
    <w:rsid w:val="6FF96FFC"/>
    <w:rsid w:val="6FFA7769"/>
    <w:rsid w:val="70262CE0"/>
    <w:rsid w:val="7029D1EC"/>
    <w:rsid w:val="703AE664"/>
    <w:rsid w:val="70446A6F"/>
    <w:rsid w:val="70469F53"/>
    <w:rsid w:val="7046C7CB"/>
    <w:rsid w:val="704B2C31"/>
    <w:rsid w:val="7069261F"/>
    <w:rsid w:val="708E2208"/>
    <w:rsid w:val="70973F93"/>
    <w:rsid w:val="70ADD2F4"/>
    <w:rsid w:val="70DDD2C5"/>
    <w:rsid w:val="70DDFEDA"/>
    <w:rsid w:val="70F2784A"/>
    <w:rsid w:val="70F360CC"/>
    <w:rsid w:val="70F8FC05"/>
    <w:rsid w:val="710601A7"/>
    <w:rsid w:val="71104B95"/>
    <w:rsid w:val="711B8125"/>
    <w:rsid w:val="712F81BC"/>
    <w:rsid w:val="7133EB5B"/>
    <w:rsid w:val="713B663D"/>
    <w:rsid w:val="713CC404"/>
    <w:rsid w:val="71474045"/>
    <w:rsid w:val="7147D067"/>
    <w:rsid w:val="715435FA"/>
    <w:rsid w:val="7158BD01"/>
    <w:rsid w:val="7162797A"/>
    <w:rsid w:val="71BCC08B"/>
    <w:rsid w:val="71D4B9F8"/>
    <w:rsid w:val="71EF4889"/>
    <w:rsid w:val="71F048C5"/>
    <w:rsid w:val="71F9FFDE"/>
    <w:rsid w:val="71FE8948"/>
    <w:rsid w:val="72005805"/>
    <w:rsid w:val="720AD4CA"/>
    <w:rsid w:val="720B0AF0"/>
    <w:rsid w:val="722371A7"/>
    <w:rsid w:val="72247117"/>
    <w:rsid w:val="72393BC7"/>
    <w:rsid w:val="724264F6"/>
    <w:rsid w:val="7244E3DA"/>
    <w:rsid w:val="724E1446"/>
    <w:rsid w:val="7299B9DB"/>
    <w:rsid w:val="72A91D01"/>
    <w:rsid w:val="72D5EBBA"/>
    <w:rsid w:val="72DF46C9"/>
    <w:rsid w:val="72F2F200"/>
    <w:rsid w:val="72F4777C"/>
    <w:rsid w:val="72F61F21"/>
    <w:rsid w:val="72F68E2F"/>
    <w:rsid w:val="7310FEEF"/>
    <w:rsid w:val="7316C591"/>
    <w:rsid w:val="73177D4C"/>
    <w:rsid w:val="731865A3"/>
    <w:rsid w:val="7321F2E3"/>
    <w:rsid w:val="7323F08A"/>
    <w:rsid w:val="7388BB1E"/>
    <w:rsid w:val="739D4FE0"/>
    <w:rsid w:val="73A2D3D4"/>
    <w:rsid w:val="73A6A52B"/>
    <w:rsid w:val="73E4D8D1"/>
    <w:rsid w:val="73F98B3F"/>
    <w:rsid w:val="73FB0153"/>
    <w:rsid w:val="7412AF53"/>
    <w:rsid w:val="742414B6"/>
    <w:rsid w:val="7424DB88"/>
    <w:rsid w:val="742B2AEE"/>
    <w:rsid w:val="742DB165"/>
    <w:rsid w:val="7435C12E"/>
    <w:rsid w:val="7441273E"/>
    <w:rsid w:val="74428CFE"/>
    <w:rsid w:val="7442A5C6"/>
    <w:rsid w:val="74454E50"/>
    <w:rsid w:val="745A33A0"/>
    <w:rsid w:val="7461504B"/>
    <w:rsid w:val="7463B0AA"/>
    <w:rsid w:val="746DDB72"/>
    <w:rsid w:val="747BF252"/>
    <w:rsid w:val="747F6DE7"/>
    <w:rsid w:val="74E893DA"/>
    <w:rsid w:val="750C5ABA"/>
    <w:rsid w:val="7514F0F5"/>
    <w:rsid w:val="751C97CD"/>
    <w:rsid w:val="7535DB2A"/>
    <w:rsid w:val="75389331"/>
    <w:rsid w:val="7546D568"/>
    <w:rsid w:val="754C8FE0"/>
    <w:rsid w:val="754CA492"/>
    <w:rsid w:val="7580D739"/>
    <w:rsid w:val="75AC3E90"/>
    <w:rsid w:val="75AEF9DC"/>
    <w:rsid w:val="75C9A39D"/>
    <w:rsid w:val="75D77A61"/>
    <w:rsid w:val="75DD15F5"/>
    <w:rsid w:val="75F932D9"/>
    <w:rsid w:val="761D49C2"/>
    <w:rsid w:val="765601E2"/>
    <w:rsid w:val="76A43175"/>
    <w:rsid w:val="76A9D2B1"/>
    <w:rsid w:val="76BE46A2"/>
    <w:rsid w:val="76CBB1EC"/>
    <w:rsid w:val="76DB1618"/>
    <w:rsid w:val="76F49240"/>
    <w:rsid w:val="7708BA28"/>
    <w:rsid w:val="7709354A"/>
    <w:rsid w:val="7716970C"/>
    <w:rsid w:val="7748CEFD"/>
    <w:rsid w:val="775BCBA3"/>
    <w:rsid w:val="7771EF71"/>
    <w:rsid w:val="77738EAB"/>
    <w:rsid w:val="777A778B"/>
    <w:rsid w:val="778627C7"/>
    <w:rsid w:val="778C0400"/>
    <w:rsid w:val="779268D2"/>
    <w:rsid w:val="77BE6A04"/>
    <w:rsid w:val="77C70AA9"/>
    <w:rsid w:val="77E3E64E"/>
    <w:rsid w:val="77E7A874"/>
    <w:rsid w:val="77EE50C0"/>
    <w:rsid w:val="78137709"/>
    <w:rsid w:val="78251E41"/>
    <w:rsid w:val="78424691"/>
    <w:rsid w:val="785BCD2E"/>
    <w:rsid w:val="78838E63"/>
    <w:rsid w:val="7888F26B"/>
    <w:rsid w:val="7893179F"/>
    <w:rsid w:val="78A32219"/>
    <w:rsid w:val="78BFC779"/>
    <w:rsid w:val="78DF81A5"/>
    <w:rsid w:val="78F63DE4"/>
    <w:rsid w:val="7909AC07"/>
    <w:rsid w:val="792072D2"/>
    <w:rsid w:val="7930FFD9"/>
    <w:rsid w:val="79492FAB"/>
    <w:rsid w:val="7955FA9C"/>
    <w:rsid w:val="798BEC72"/>
    <w:rsid w:val="798F6968"/>
    <w:rsid w:val="7996F2DC"/>
    <w:rsid w:val="799BD297"/>
    <w:rsid w:val="79B365CD"/>
    <w:rsid w:val="79B677A5"/>
    <w:rsid w:val="79D3D907"/>
    <w:rsid w:val="79DB3533"/>
    <w:rsid w:val="79E765CA"/>
    <w:rsid w:val="79EC149E"/>
    <w:rsid w:val="7A0FD22E"/>
    <w:rsid w:val="7A23C94C"/>
    <w:rsid w:val="7A35A394"/>
    <w:rsid w:val="7A4616D1"/>
    <w:rsid w:val="7A493B6F"/>
    <w:rsid w:val="7A74A787"/>
    <w:rsid w:val="7AA07825"/>
    <w:rsid w:val="7AA3C2F7"/>
    <w:rsid w:val="7AA66C97"/>
    <w:rsid w:val="7AAE5B73"/>
    <w:rsid w:val="7AC61131"/>
    <w:rsid w:val="7AD334EC"/>
    <w:rsid w:val="7AE59E88"/>
    <w:rsid w:val="7AF36F9E"/>
    <w:rsid w:val="7AF4E861"/>
    <w:rsid w:val="7B1420B2"/>
    <w:rsid w:val="7B2CD7D5"/>
    <w:rsid w:val="7B5F19E5"/>
    <w:rsid w:val="7B6187ED"/>
    <w:rsid w:val="7BAE56F1"/>
    <w:rsid w:val="7BF0BA99"/>
    <w:rsid w:val="7C0130C9"/>
    <w:rsid w:val="7C0A64E2"/>
    <w:rsid w:val="7C0E2766"/>
    <w:rsid w:val="7C1077E8"/>
    <w:rsid w:val="7C291B2E"/>
    <w:rsid w:val="7C30ECA2"/>
    <w:rsid w:val="7C3B4CCF"/>
    <w:rsid w:val="7C4F9194"/>
    <w:rsid w:val="7C78F309"/>
    <w:rsid w:val="7C85BE03"/>
    <w:rsid w:val="7C96A286"/>
    <w:rsid w:val="7CB256DE"/>
    <w:rsid w:val="7CBE2D9C"/>
    <w:rsid w:val="7CE57027"/>
    <w:rsid w:val="7CECD3EB"/>
    <w:rsid w:val="7CF0CBA7"/>
    <w:rsid w:val="7D116B12"/>
    <w:rsid w:val="7D24B65B"/>
    <w:rsid w:val="7D50DF66"/>
    <w:rsid w:val="7D581C97"/>
    <w:rsid w:val="7D609082"/>
    <w:rsid w:val="7D73C442"/>
    <w:rsid w:val="7D77BBB5"/>
    <w:rsid w:val="7D794931"/>
    <w:rsid w:val="7D8E945A"/>
    <w:rsid w:val="7D96445D"/>
    <w:rsid w:val="7D9B17AB"/>
    <w:rsid w:val="7DB413F8"/>
    <w:rsid w:val="7DFAB5A5"/>
    <w:rsid w:val="7E05BDC5"/>
    <w:rsid w:val="7E438EDC"/>
    <w:rsid w:val="7E544BE7"/>
    <w:rsid w:val="7E8FDB60"/>
    <w:rsid w:val="7E9C7FBF"/>
    <w:rsid w:val="7F00B65F"/>
    <w:rsid w:val="7F09E89B"/>
    <w:rsid w:val="7F1699E9"/>
    <w:rsid w:val="7F4238D8"/>
    <w:rsid w:val="7F5A0918"/>
    <w:rsid w:val="7F6384F1"/>
    <w:rsid w:val="7F7B7A61"/>
    <w:rsid w:val="7F8713D6"/>
    <w:rsid w:val="7F8C17B8"/>
    <w:rsid w:val="7F91A563"/>
    <w:rsid w:val="7FE09A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AB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qFormat="1"/>
    <w:lsdException w:name="annotation text" w:semiHidden="1" w:uiPriority="99"/>
    <w:lsdException w:name="header" w:semiHidden="1" w:unhideWhenUsed="1"/>
    <w:lsdException w:name="footer" w:semiHidden="1" w:uiPriority="99"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uiPriority="99" w:unhideWhenUsed="1"/>
    <w:lsdException w:name="annotation reference" w:semiHidden="1" w:uiPriority="99"/>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lsdException w:name="toa heading" w:semiHidden="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lsdException w:name="Signature" w:semiHidden="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uiPriority="99"/>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E23D88"/>
    <w:rPr>
      <w:kern w:val="18"/>
    </w:rPr>
  </w:style>
  <w:style w:type="paragraph" w:styleId="Heading1">
    <w:name w:val="heading 1"/>
    <w:basedOn w:val="HeadingBase"/>
    <w:next w:val="Normal"/>
    <w:link w:val="Heading1Char"/>
    <w:qFormat/>
    <w:rsid w:val="0069352C"/>
    <w:pPr>
      <w:keepNext/>
      <w:spacing w:before="600"/>
      <w:outlineLvl w:val="0"/>
    </w:pPr>
    <w:rPr>
      <w:rFonts w:cs="Arial"/>
      <w:color w:val="142147"/>
      <w:kern w:val="32"/>
      <w:sz w:val="56"/>
      <w:szCs w:val="36"/>
    </w:rPr>
  </w:style>
  <w:style w:type="paragraph" w:styleId="Heading2">
    <w:name w:val="heading 2"/>
    <w:basedOn w:val="Normal"/>
    <w:next w:val="Normal"/>
    <w:link w:val="Heading2Char"/>
    <w:qFormat/>
    <w:rsid w:val="0069352C"/>
    <w:pPr>
      <w:keepNext/>
      <w:spacing w:before="360" w:after="240"/>
      <w:outlineLvl w:val="1"/>
    </w:pPr>
    <w:rPr>
      <w:rFonts w:ascii="Georgia" w:hAnsi="Georgia" w:cs="Arial"/>
      <w:iCs/>
      <w:color w:val="701F4C"/>
      <w:kern w:val="32"/>
      <w:sz w:val="40"/>
      <w:szCs w:val="28"/>
      <w:shd w:val="clear" w:color="auto" w:fill="FFFFFF"/>
    </w:rPr>
  </w:style>
  <w:style w:type="paragraph" w:styleId="Heading3">
    <w:name w:val="heading 3"/>
    <w:basedOn w:val="Normal"/>
    <w:next w:val="Normal"/>
    <w:link w:val="Heading3Char"/>
    <w:qFormat/>
    <w:rsid w:val="00610D05"/>
    <w:pPr>
      <w:keepNext/>
      <w:spacing w:before="320"/>
      <w:outlineLvl w:val="2"/>
    </w:pPr>
    <w:rPr>
      <w:rFonts w:ascii="Georgia" w:hAnsi="Georgia" w:cs="Arial"/>
      <w:color w:val="142147" w:themeColor="accent1"/>
      <w:kern w:val="32"/>
      <w:sz w:val="32"/>
      <w:szCs w:val="26"/>
    </w:rPr>
  </w:style>
  <w:style w:type="paragraph" w:styleId="Heading4">
    <w:name w:val="heading 4"/>
    <w:basedOn w:val="Normal"/>
    <w:next w:val="Normal"/>
    <w:link w:val="Heading4Char"/>
    <w:qFormat/>
    <w:rsid w:val="00955633"/>
    <w:pPr>
      <w:keepNext/>
      <w:spacing w:before="280"/>
      <w:outlineLvl w:val="3"/>
    </w:pPr>
    <w:rPr>
      <w:rFonts w:ascii="Georgia" w:eastAsiaTheme="minorEastAsia" w:hAnsi="Georgia" w:cs="Arial"/>
      <w:color w:val="701F4D" w:themeColor="accent2"/>
      <w:kern w:val="32"/>
      <w:sz w:val="29"/>
      <w:szCs w:val="26"/>
    </w:rPr>
  </w:style>
  <w:style w:type="paragraph" w:styleId="Heading5">
    <w:name w:val="heading 5"/>
    <w:basedOn w:val="Normal"/>
    <w:next w:val="Normal"/>
    <w:link w:val="Heading5Char"/>
    <w:qFormat/>
    <w:rsid w:val="00EB09BD"/>
    <w:pPr>
      <w:keepNext/>
      <w:spacing w:before="240" w:after="60"/>
      <w:outlineLvl w:val="4"/>
    </w:pPr>
    <w:rPr>
      <w:rFonts w:asciiTheme="majorHAnsi" w:hAnsiTheme="majorHAnsi" w:cs="Arial"/>
      <w:iCs/>
      <w:color w:val="142147" w:themeColor="accent1"/>
      <w:kern w:val="32"/>
      <w:sz w:val="28"/>
      <w:szCs w:val="36"/>
    </w:rPr>
  </w:style>
  <w:style w:type="paragraph" w:styleId="Heading6">
    <w:name w:val="heading 6"/>
    <w:basedOn w:val="Normal"/>
    <w:next w:val="Normal"/>
    <w:link w:val="Heading6Char"/>
    <w:qFormat/>
    <w:rsid w:val="00955633"/>
    <w:pPr>
      <w:keepNext/>
      <w:spacing w:before="180" w:after="0"/>
      <w:outlineLvl w:val="5"/>
    </w:pPr>
    <w:rPr>
      <w:rFonts w:ascii="Calibri Light" w:hAnsi="Calibri Light" w:cs="Arial"/>
      <w:b/>
      <w:kern w:val="32"/>
      <w:sz w:val="24"/>
    </w:rPr>
  </w:style>
  <w:style w:type="paragraph" w:styleId="Heading7">
    <w:name w:val="heading 7"/>
    <w:basedOn w:val="HeadingBase"/>
    <w:next w:val="Normal"/>
    <w:qFormat/>
    <w:rsid w:val="00035989"/>
    <w:pPr>
      <w:keepNext/>
      <w:outlineLvl w:val="6"/>
    </w:pPr>
    <w:rPr>
      <w:rFonts w:asciiTheme="minorHAnsi" w:hAnsiTheme="minorHAnsi"/>
      <w:b/>
      <w:color w:val="auto"/>
      <w:sz w:val="22"/>
      <w:szCs w:val="24"/>
    </w:rPr>
  </w:style>
  <w:style w:type="paragraph" w:styleId="Heading8">
    <w:name w:val="heading 8"/>
    <w:basedOn w:val="HeadingBase"/>
    <w:next w:val="Normal"/>
    <w:link w:val="Heading8Char"/>
    <w:qFormat/>
    <w:rsid w:val="00D2761C"/>
    <w:pPr>
      <w:outlineLvl w:val="7"/>
    </w:pPr>
    <w:rPr>
      <w:rFonts w:asciiTheme="minorHAnsi" w:hAnsiTheme="minorHAnsi"/>
      <w:b/>
      <w:iCs/>
      <w:color w:val="5F5F5F" w:themeColor="text2"/>
      <w:sz w:val="22"/>
      <w:szCs w:val="24"/>
    </w:rPr>
  </w:style>
  <w:style w:type="paragraph" w:styleId="Heading9">
    <w:name w:val="heading 9"/>
    <w:basedOn w:val="HeadingBase"/>
    <w:next w:val="Normal"/>
    <w:qFormat/>
    <w:rsid w:val="00D2761C"/>
    <w:pPr>
      <w:outlineLvl w:val="8"/>
    </w:pPr>
    <w:rPr>
      <w:rFonts w:asciiTheme="minorHAnsi" w:hAnsiTheme="minorHAnsi" w:cs="Arial"/>
      <w:i/>
      <w:color w:val="5F5F5F"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link w:val="HeadingBaseChar"/>
    <w:rsid w:val="00D2761C"/>
    <w:rPr>
      <w:rFonts w:ascii="Georgia" w:hAnsi="Georgia"/>
      <w:color w:val="142147" w:themeColor="accent1"/>
      <w:sz w:val="64"/>
    </w:rPr>
  </w:style>
  <w:style w:type="paragraph" w:customStyle="1" w:styleId="SingleParagraph">
    <w:name w:val="Single Paragraph"/>
    <w:basedOn w:val="Normal"/>
    <w:rsid w:val="005E30AF"/>
    <w:pPr>
      <w:spacing w:before="0" w:after="0"/>
    </w:pPr>
  </w:style>
  <w:style w:type="character" w:styleId="Hyperlink">
    <w:name w:val="Hyperlink"/>
    <w:basedOn w:val="DefaultParagraphFont"/>
    <w:rsid w:val="009E2381"/>
    <w:rPr>
      <w:color w:val="142147" w:themeColor="accent1"/>
      <w:u w:val="single"/>
    </w:rPr>
  </w:style>
  <w:style w:type="paragraph" w:customStyle="1" w:styleId="Non-ChapterHeading">
    <w:name w:val="Non-Chapter Heading"/>
    <w:basedOn w:val="HeadingBase"/>
    <w:next w:val="Normal"/>
    <w:rsid w:val="00D2761C"/>
    <w:pPr>
      <w:pageBreakBefore/>
      <w:spacing w:before="360" w:after="360"/>
    </w:pPr>
    <w:rPr>
      <w:i/>
      <w:sz w:val="56"/>
      <w:szCs w:val="38"/>
    </w:rPr>
  </w:style>
  <w:style w:type="character" w:styleId="PageNumber">
    <w:name w:val="page number"/>
    <w:basedOn w:val="DefaultParagraphFont"/>
    <w:rsid w:val="00D2761C"/>
    <w:rPr>
      <w:rFonts w:ascii="Arial" w:hAnsi="Arial"/>
      <w:sz w:val="18"/>
    </w:rPr>
  </w:style>
  <w:style w:type="paragraph" w:styleId="EndnoteText">
    <w:name w:val="endnote text"/>
    <w:basedOn w:val="Normal"/>
    <w:link w:val="EndnoteTextChar"/>
    <w:unhideWhenUsed/>
    <w:rsid w:val="00D2761C"/>
    <w:pPr>
      <w:spacing w:before="0" w:after="0"/>
    </w:pPr>
    <w:rPr>
      <w:sz w:val="20"/>
      <w:szCs w:val="20"/>
    </w:rPr>
  </w:style>
  <w:style w:type="paragraph" w:customStyle="1" w:styleId="Bullet">
    <w:name w:val="Bullet"/>
    <w:aliases w:val="b,Body,b + line,b1,level 1,Bullet + line"/>
    <w:basedOn w:val="Normal"/>
    <w:link w:val="BulletChar"/>
    <w:qFormat/>
    <w:rsid w:val="00991EBC"/>
    <w:pPr>
      <w:keepLines/>
      <w:numPr>
        <w:numId w:val="7"/>
      </w:numPr>
      <w:tabs>
        <w:tab w:val="left" w:pos="567"/>
      </w:tabs>
      <w:spacing w:before="0"/>
    </w:pPr>
  </w:style>
  <w:style w:type="paragraph" w:customStyle="1" w:styleId="Dash">
    <w:name w:val="Dash"/>
    <w:basedOn w:val="Normal"/>
    <w:link w:val="DashChar"/>
    <w:qFormat/>
    <w:rsid w:val="0069352C"/>
    <w:pPr>
      <w:numPr>
        <w:ilvl w:val="1"/>
        <w:numId w:val="7"/>
      </w:numPr>
      <w:tabs>
        <w:tab w:val="left" w:pos="1134"/>
      </w:tabs>
      <w:spacing w:before="0"/>
    </w:pPr>
  </w:style>
  <w:style w:type="paragraph" w:customStyle="1" w:styleId="DoubleDot">
    <w:name w:val="Double Dot"/>
    <w:basedOn w:val="Normal"/>
    <w:qFormat/>
    <w:rsid w:val="00D2761C"/>
    <w:pPr>
      <w:numPr>
        <w:ilvl w:val="2"/>
        <w:numId w:val="7"/>
      </w:numPr>
      <w:tabs>
        <w:tab w:val="left" w:pos="1701"/>
      </w:tabs>
    </w:pPr>
  </w:style>
  <w:style w:type="paragraph" w:customStyle="1" w:styleId="NumberedList1">
    <w:name w:val="Numbered List 1"/>
    <w:basedOn w:val="Normal"/>
    <w:rsid w:val="00D2761C"/>
  </w:style>
  <w:style w:type="paragraph" w:customStyle="1" w:styleId="NumberedList11">
    <w:name w:val="Numbered List 1.1"/>
    <w:basedOn w:val="Normal"/>
    <w:rsid w:val="00D2761C"/>
  </w:style>
  <w:style w:type="paragraph" w:customStyle="1" w:styleId="NumberedList111">
    <w:name w:val="Numbered List 1.1.1"/>
    <w:basedOn w:val="Normal"/>
    <w:rsid w:val="00D2761C"/>
  </w:style>
  <w:style w:type="paragraph" w:customStyle="1" w:styleId="AlphaParagraph">
    <w:name w:val="Alpha Paragraph"/>
    <w:basedOn w:val="Normal"/>
    <w:uiPriority w:val="1"/>
    <w:unhideWhenUsed/>
    <w:rsid w:val="00D2761C"/>
    <w:pPr>
      <w:numPr>
        <w:numId w:val="2"/>
      </w:numPr>
    </w:pPr>
  </w:style>
  <w:style w:type="paragraph" w:customStyle="1" w:styleId="AppendixHeading">
    <w:name w:val="Appendix Heading"/>
    <w:basedOn w:val="Heading1"/>
    <w:next w:val="Normal"/>
    <w:rsid w:val="00D2761C"/>
    <w:rPr>
      <w:sz w:val="38"/>
      <w:szCs w:val="38"/>
    </w:rPr>
  </w:style>
  <w:style w:type="character" w:customStyle="1" w:styleId="FramedFooter">
    <w:name w:val="Framed Footer"/>
    <w:semiHidden/>
    <w:rsid w:val="00D2761C"/>
    <w:rPr>
      <w:rFonts w:ascii="Arial" w:hAnsi="Arial"/>
      <w:color w:val="000080"/>
      <w:sz w:val="18"/>
      <w:szCs w:val="18"/>
    </w:rPr>
  </w:style>
  <w:style w:type="paragraph" w:customStyle="1" w:styleId="BoxHeading1">
    <w:name w:val="Box Heading 1"/>
    <w:basedOn w:val="HeadingBase"/>
    <w:next w:val="BoxText"/>
    <w:rsid w:val="00991EBC"/>
    <w:pPr>
      <w:keepNext/>
    </w:pPr>
    <w:rPr>
      <w:i/>
      <w:color w:val="auto"/>
      <w:sz w:val="28"/>
    </w:rPr>
  </w:style>
  <w:style w:type="paragraph" w:customStyle="1" w:styleId="BoxText">
    <w:name w:val="Box Text"/>
    <w:basedOn w:val="Normal"/>
    <w:rsid w:val="00D2761C"/>
  </w:style>
  <w:style w:type="paragraph" w:customStyle="1" w:styleId="NumberedParagraph111">
    <w:name w:val="Numbered Paragraph 1.1.1"/>
    <w:basedOn w:val="NumberedParagraph11"/>
    <w:qFormat/>
    <w:rsid w:val="00D2761C"/>
    <w:pPr>
      <w:numPr>
        <w:ilvl w:val="2"/>
      </w:numPr>
    </w:pPr>
  </w:style>
  <w:style w:type="paragraph" w:customStyle="1" w:styleId="Notealpha">
    <w:name w:val="Note alpha"/>
    <w:basedOn w:val="Note"/>
    <w:rsid w:val="00D2761C"/>
    <w:pPr>
      <w:numPr>
        <w:numId w:val="3"/>
      </w:numPr>
      <w:spacing w:after="120"/>
      <w:ind w:left="709" w:hanging="709"/>
    </w:pPr>
    <w:rPr>
      <w:szCs w:val="16"/>
    </w:rPr>
  </w:style>
  <w:style w:type="paragraph" w:customStyle="1" w:styleId="ChartGraphic">
    <w:name w:val="Chart Graphic"/>
    <w:basedOn w:val="Normal"/>
    <w:next w:val="Normal"/>
    <w:rsid w:val="00D2761C"/>
    <w:pPr>
      <w:spacing w:after="20"/>
      <w:jc w:val="center"/>
    </w:pPr>
  </w:style>
  <w:style w:type="paragraph" w:customStyle="1" w:styleId="ChartHeading1">
    <w:name w:val="Chart Heading 1"/>
    <w:basedOn w:val="Normal"/>
    <w:next w:val="ChartGraphic"/>
    <w:rsid w:val="00D2761C"/>
    <w:pPr>
      <w:keepNext/>
      <w:spacing w:before="240" w:after="60"/>
      <w:outlineLvl w:val="2"/>
    </w:pPr>
    <w:rPr>
      <w:rFonts w:asciiTheme="majorHAnsi" w:hAnsiTheme="majorHAnsi" w:cs="Arial"/>
      <w:color w:val="142147"/>
      <w:kern w:val="32"/>
      <w:sz w:val="26"/>
      <w:szCs w:val="26"/>
    </w:rPr>
  </w:style>
  <w:style w:type="paragraph" w:customStyle="1" w:styleId="Note">
    <w:name w:val="Note"/>
    <w:basedOn w:val="Normal"/>
    <w:next w:val="Normal"/>
    <w:rsid w:val="00C32EFA"/>
    <w:pPr>
      <w:spacing w:before="40" w:after="60"/>
      <w:ind w:left="709" w:hanging="709"/>
      <w:contextualSpacing/>
    </w:pPr>
    <w:rPr>
      <w:rFonts w:asciiTheme="minorHAnsi" w:hAnsiTheme="minorHAnsi"/>
      <w:sz w:val="18"/>
    </w:rPr>
  </w:style>
  <w:style w:type="paragraph" w:customStyle="1" w:styleId="ChartHeading2">
    <w:name w:val="Chart Heading 2"/>
    <w:basedOn w:val="Normal"/>
    <w:next w:val="ChartGraphic"/>
    <w:rsid w:val="00D2761C"/>
    <w:pPr>
      <w:keepNext/>
      <w:spacing w:before="60"/>
    </w:pPr>
    <w:rPr>
      <w:rFonts w:asciiTheme="minorHAnsi" w:hAnsiTheme="minorHAnsi"/>
      <w:b/>
      <w:bCs/>
      <w:color w:val="142147"/>
      <w:szCs w:val="20"/>
    </w:rPr>
  </w:style>
  <w:style w:type="paragraph" w:customStyle="1" w:styleId="Classification">
    <w:name w:val="Classification"/>
    <w:basedOn w:val="HeadingBase"/>
    <w:next w:val="Footer"/>
    <w:unhideWhenUsed/>
    <w:rsid w:val="00D2761C"/>
    <w:pPr>
      <w:jc w:val="center"/>
    </w:pPr>
    <w:rPr>
      <w:b/>
      <w:smallCaps/>
    </w:rPr>
  </w:style>
  <w:style w:type="paragraph" w:styleId="Footer">
    <w:name w:val="footer"/>
    <w:basedOn w:val="HeadingBase"/>
    <w:link w:val="FooterChar"/>
    <w:uiPriority w:val="99"/>
    <w:rsid w:val="00D2761C"/>
    <w:pPr>
      <w:tabs>
        <w:tab w:val="left" w:pos="0"/>
        <w:tab w:val="right" w:pos="9639"/>
      </w:tabs>
      <w:jc w:val="center"/>
    </w:pPr>
    <w:rPr>
      <w:color w:val="701F4D" w:themeColor="accent2"/>
      <w:sz w:val="22"/>
    </w:rPr>
  </w:style>
  <w:style w:type="paragraph" w:customStyle="1" w:styleId="ContentsHeading">
    <w:name w:val="Contents Heading"/>
    <w:basedOn w:val="HeadingBase"/>
    <w:next w:val="Normal"/>
    <w:rsid w:val="00D2761C"/>
    <w:pPr>
      <w:spacing w:before="360" w:after="600"/>
      <w:outlineLvl w:val="0"/>
    </w:pPr>
    <w:rPr>
      <w:i/>
      <w:sz w:val="56"/>
      <w:szCs w:val="38"/>
    </w:rPr>
  </w:style>
  <w:style w:type="paragraph" w:customStyle="1" w:styleId="CoverTitleMain">
    <w:name w:val="Cover Title Main"/>
    <w:basedOn w:val="HeadingBase"/>
    <w:next w:val="Normal"/>
    <w:rsid w:val="00D2761C"/>
    <w:pPr>
      <w:spacing w:before="9600" w:after="240"/>
      <w:ind w:right="2268"/>
      <w:contextualSpacing/>
      <w:outlineLvl w:val="0"/>
    </w:pPr>
    <w:rPr>
      <w:kern w:val="32"/>
      <w:sz w:val="60"/>
      <w:szCs w:val="52"/>
    </w:rPr>
  </w:style>
  <w:style w:type="paragraph" w:customStyle="1" w:styleId="CoverTitleSub">
    <w:name w:val="Cover Title Sub"/>
    <w:basedOn w:val="HeadingBase"/>
    <w:rsid w:val="00D2761C"/>
    <w:pPr>
      <w:spacing w:after="600"/>
      <w:contextualSpacing/>
    </w:pPr>
    <w:rPr>
      <w:sz w:val="36"/>
      <w:szCs w:val="36"/>
    </w:rPr>
  </w:style>
  <w:style w:type="paragraph" w:customStyle="1" w:styleId="FooterCentered">
    <w:name w:val="Footer Centered"/>
    <w:basedOn w:val="Footer"/>
    <w:rsid w:val="00D2761C"/>
  </w:style>
  <w:style w:type="paragraph" w:customStyle="1" w:styleId="FooterEven">
    <w:name w:val="Footer Even"/>
    <w:basedOn w:val="Footer"/>
    <w:rsid w:val="00D2761C"/>
  </w:style>
  <w:style w:type="paragraph" w:customStyle="1" w:styleId="FooterOdd">
    <w:name w:val="Footer Odd"/>
    <w:basedOn w:val="Footer"/>
    <w:rsid w:val="00D2761C"/>
    <w:pPr>
      <w:jc w:val="right"/>
    </w:pPr>
  </w:style>
  <w:style w:type="character" w:customStyle="1" w:styleId="FramedHeader">
    <w:name w:val="Framed Header"/>
    <w:basedOn w:val="DefaultParagraphFont"/>
    <w:semiHidden/>
    <w:rsid w:val="00D2761C"/>
    <w:rPr>
      <w:rFonts w:ascii="Arial" w:hAnsi="Arial"/>
      <w:dstrike w:val="0"/>
      <w:color w:val="000080"/>
      <w:sz w:val="18"/>
      <w:szCs w:val="18"/>
      <w:vertAlign w:val="baseline"/>
    </w:rPr>
  </w:style>
  <w:style w:type="character" w:styleId="IntenseEmphasis">
    <w:name w:val="Intense Emphasis"/>
    <w:basedOn w:val="DefaultParagraphFont"/>
    <w:uiPriority w:val="21"/>
    <w:semiHidden/>
    <w:qFormat/>
    <w:rsid w:val="00D2761C"/>
    <w:rPr>
      <w:b/>
      <w:i/>
      <w:iCs/>
      <w:color w:val="auto"/>
    </w:rPr>
  </w:style>
  <w:style w:type="paragraph" w:styleId="Header">
    <w:name w:val="header"/>
    <w:basedOn w:val="HeadingBase"/>
    <w:link w:val="HeaderChar"/>
    <w:unhideWhenUsed/>
    <w:rsid w:val="00D2761C"/>
    <w:rPr>
      <w:sz w:val="22"/>
    </w:rPr>
  </w:style>
  <w:style w:type="paragraph" w:customStyle="1" w:styleId="HeaderEven">
    <w:name w:val="Header Even"/>
    <w:basedOn w:val="Header"/>
    <w:rsid w:val="00D2761C"/>
    <w:pPr>
      <w:jc w:val="right"/>
    </w:pPr>
  </w:style>
  <w:style w:type="paragraph" w:customStyle="1" w:styleId="HeaderOdd">
    <w:name w:val="Header Odd"/>
    <w:basedOn w:val="Header"/>
    <w:rsid w:val="00D2761C"/>
  </w:style>
  <w:style w:type="paragraph" w:styleId="NormalIndent">
    <w:name w:val="Normal Indent"/>
    <w:basedOn w:val="Normal"/>
    <w:rsid w:val="004B6636"/>
    <w:pPr>
      <w:spacing w:before="0"/>
      <w:ind w:left="284"/>
    </w:pPr>
    <w:rPr>
      <w:kern w:val="16"/>
    </w:rPr>
  </w:style>
  <w:style w:type="paragraph" w:styleId="IntenseQuote">
    <w:name w:val="Intense Quote"/>
    <w:basedOn w:val="Normal"/>
    <w:next w:val="Normal"/>
    <w:link w:val="IntenseQuoteChar"/>
    <w:unhideWhenUsed/>
    <w:qFormat/>
    <w:rsid w:val="00D2761C"/>
    <w:pPr>
      <w:pBdr>
        <w:top w:val="single" w:sz="4" w:space="10" w:color="142147" w:themeColor="accent1"/>
        <w:bottom w:val="single" w:sz="4" w:space="10" w:color="142147" w:themeColor="accent1"/>
      </w:pBdr>
      <w:spacing w:before="360" w:after="360"/>
      <w:ind w:left="862" w:right="862"/>
      <w:jc w:val="center"/>
    </w:pPr>
    <w:rPr>
      <w:rFonts w:asciiTheme="majorHAnsi" w:hAnsiTheme="majorHAnsi"/>
      <w:i/>
      <w:iCs/>
      <w:color w:val="142147" w:themeColor="accent1"/>
    </w:rPr>
  </w:style>
  <w:style w:type="character" w:customStyle="1" w:styleId="IntenseQuoteChar">
    <w:name w:val="Intense Quote Char"/>
    <w:basedOn w:val="DefaultParagraphFont"/>
    <w:link w:val="IntenseQuote"/>
    <w:rsid w:val="00D2761C"/>
    <w:rPr>
      <w:rFonts w:asciiTheme="majorHAnsi" w:hAnsiTheme="majorHAnsi"/>
      <w:i/>
      <w:iCs/>
      <w:color w:val="142147" w:themeColor="accent1"/>
    </w:rPr>
  </w:style>
  <w:style w:type="table" w:styleId="ListTable4-Accent1">
    <w:name w:val="List Table 4 Accent 1"/>
    <w:basedOn w:val="TableNormal"/>
    <w:uiPriority w:val="49"/>
    <w:rsid w:val="00D2761C"/>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tblBorders>
    </w:tblPr>
    <w:tblStylePr w:type="firstRow">
      <w:rPr>
        <w:b w:val="0"/>
        <w:bCs/>
        <w:color w:val="FFFFFF" w:themeColor="background1"/>
      </w:rPr>
      <w:tblPr/>
      <w:tcPr>
        <w:tcBorders>
          <w:top w:val="single" w:sz="4" w:space="0" w:color="142147" w:themeColor="accent1"/>
          <w:left w:val="single" w:sz="4" w:space="0" w:color="142147" w:themeColor="accent1"/>
          <w:bottom w:val="single" w:sz="4" w:space="0" w:color="142147" w:themeColor="accent1"/>
          <w:right w:val="single" w:sz="4" w:space="0" w:color="142147" w:themeColor="accent1"/>
          <w:insideH w:val="nil"/>
        </w:tcBorders>
        <w:shd w:val="clear" w:color="auto" w:fill="142147" w:themeFill="accent1"/>
      </w:tcPr>
    </w:tblStylePr>
    <w:tblStylePr w:type="lastRow">
      <w:rPr>
        <w:b w:val="0"/>
        <w:bCs/>
      </w:rPr>
      <w:tblPr/>
      <w:tcPr>
        <w:tcBorders>
          <w:top w:val="double" w:sz="4" w:space="0" w:color="3A5EC7" w:themeColor="accent1" w:themeTint="99"/>
        </w:tcBorders>
      </w:tcPr>
    </w:tblStylePr>
    <w:tblStylePr w:type="firstCol">
      <w:rPr>
        <w:b w:val="0"/>
        <w:bCs/>
      </w:rPr>
    </w:tblStylePr>
    <w:tblStylePr w:type="lastCol">
      <w:rPr>
        <w:b w:val="0"/>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paragraph" w:customStyle="1" w:styleId="TableHeaderCellCentred">
    <w:name w:val="Table Header Cell Centred"/>
    <w:basedOn w:val="TableHeaderCellLeft"/>
    <w:rsid w:val="00D2761C"/>
    <w:pPr>
      <w:jc w:val="center"/>
    </w:pPr>
    <w:rPr>
      <w:rFonts w:asciiTheme="minorHAnsi" w:hAnsiTheme="minorHAnsi"/>
    </w:rPr>
  </w:style>
  <w:style w:type="paragraph" w:customStyle="1" w:styleId="TableHeaderCellLeft">
    <w:name w:val="Table Header Cell Left"/>
    <w:basedOn w:val="Normal"/>
    <w:rsid w:val="00D2761C"/>
    <w:pPr>
      <w:spacing w:before="60" w:after="60"/>
    </w:pPr>
    <w:rPr>
      <w:rFonts w:asciiTheme="majorHAnsi" w:hAnsiTheme="majorHAnsi"/>
      <w:sz w:val="20"/>
      <w:szCs w:val="18"/>
    </w:rPr>
  </w:style>
  <w:style w:type="paragraph" w:customStyle="1" w:styleId="TableHeaderCellRight">
    <w:name w:val="Table Header Cell Right"/>
    <w:basedOn w:val="TableHeaderCellLeft"/>
    <w:rsid w:val="00D2761C"/>
    <w:pPr>
      <w:jc w:val="right"/>
    </w:pPr>
  </w:style>
  <w:style w:type="paragraph" w:customStyle="1" w:styleId="TableGraphic">
    <w:name w:val="Table Graphic"/>
    <w:basedOn w:val="HeadingBase"/>
    <w:next w:val="Normal"/>
    <w:uiPriority w:val="99"/>
    <w:rsid w:val="00D2761C"/>
    <w:pPr>
      <w:spacing w:after="40"/>
      <w:ind w:right="-113"/>
    </w:pPr>
  </w:style>
  <w:style w:type="paragraph" w:customStyle="1" w:styleId="TableHeading1">
    <w:name w:val="Table Heading 1"/>
    <w:basedOn w:val="Normal"/>
    <w:next w:val="TableGraphic"/>
    <w:rsid w:val="00D2761C"/>
    <w:pPr>
      <w:keepNext/>
      <w:spacing w:before="240" w:after="60"/>
      <w:outlineLvl w:val="2"/>
    </w:pPr>
    <w:rPr>
      <w:rFonts w:asciiTheme="majorHAnsi" w:hAnsiTheme="majorHAnsi" w:cs="Arial"/>
      <w:color w:val="142147"/>
      <w:kern w:val="32"/>
      <w:sz w:val="26"/>
      <w:szCs w:val="26"/>
    </w:rPr>
  </w:style>
  <w:style w:type="paragraph" w:customStyle="1" w:styleId="TableHeading1continued">
    <w:name w:val="Table Heading 1 continued"/>
    <w:basedOn w:val="TableHeading1"/>
    <w:next w:val="TableGraphic"/>
    <w:rsid w:val="00D2761C"/>
    <w:pPr>
      <w:spacing w:after="20"/>
    </w:pPr>
  </w:style>
  <w:style w:type="paragraph" w:customStyle="1" w:styleId="TableHeading2">
    <w:name w:val="Table Heading 2"/>
    <w:basedOn w:val="Normal"/>
    <w:next w:val="TableGraphic"/>
    <w:rsid w:val="00D2761C"/>
    <w:pPr>
      <w:keepNext/>
      <w:spacing w:before="60"/>
    </w:pPr>
    <w:rPr>
      <w:rFonts w:asciiTheme="minorHAnsi" w:hAnsiTheme="minorHAnsi"/>
      <w:b/>
      <w:color w:val="142147"/>
      <w:szCs w:val="20"/>
    </w:rPr>
  </w:style>
  <w:style w:type="paragraph" w:customStyle="1" w:styleId="TableBodyCellCentered">
    <w:name w:val="Table Body Cell Centered"/>
    <w:basedOn w:val="Normal"/>
    <w:rsid w:val="00D2761C"/>
    <w:pPr>
      <w:spacing w:before="0"/>
      <w:jc w:val="center"/>
    </w:pPr>
    <w:rPr>
      <w:rFonts w:asciiTheme="minorHAnsi" w:hAnsiTheme="minorHAnsi"/>
      <w:color w:val="000000"/>
      <w:szCs w:val="18"/>
    </w:rPr>
  </w:style>
  <w:style w:type="paragraph" w:customStyle="1" w:styleId="TableBodyCellLeftIndented">
    <w:name w:val="Table Body Cell Left Indented"/>
    <w:basedOn w:val="Normal"/>
    <w:rsid w:val="00D2761C"/>
    <w:pPr>
      <w:spacing w:before="0"/>
      <w:ind w:left="284"/>
    </w:pPr>
    <w:rPr>
      <w:rFonts w:asciiTheme="minorHAnsi" w:hAnsiTheme="minorHAnsi"/>
      <w:color w:val="000000"/>
      <w:szCs w:val="18"/>
    </w:rPr>
  </w:style>
  <w:style w:type="paragraph" w:customStyle="1" w:styleId="TableBodyCellLeft">
    <w:name w:val="Table Body Cell Left"/>
    <w:basedOn w:val="Normal"/>
    <w:rsid w:val="00D2761C"/>
    <w:pPr>
      <w:spacing w:before="20" w:after="20"/>
    </w:pPr>
    <w:rPr>
      <w:rFonts w:asciiTheme="minorHAnsi" w:hAnsiTheme="minorHAnsi"/>
      <w:sz w:val="20"/>
      <w:szCs w:val="18"/>
    </w:rPr>
  </w:style>
  <w:style w:type="paragraph" w:customStyle="1" w:styleId="TableBodyCellRight">
    <w:name w:val="Table Body Cell Right"/>
    <w:basedOn w:val="Normal"/>
    <w:rsid w:val="00D2761C"/>
    <w:pPr>
      <w:spacing w:before="0"/>
      <w:jc w:val="right"/>
    </w:pPr>
    <w:rPr>
      <w:rFonts w:asciiTheme="minorHAnsi" w:hAnsiTheme="minorHAnsi"/>
      <w:color w:val="000000"/>
      <w:szCs w:val="18"/>
    </w:rPr>
  </w:style>
  <w:style w:type="paragraph" w:styleId="TOC1">
    <w:name w:val="toc 1"/>
    <w:basedOn w:val="HeadingBase"/>
    <w:next w:val="Normal"/>
    <w:uiPriority w:val="39"/>
    <w:rsid w:val="006A3F90"/>
    <w:pPr>
      <w:keepNext/>
      <w:tabs>
        <w:tab w:val="right" w:leader="dot" w:pos="9639"/>
      </w:tabs>
      <w:ind w:right="1134"/>
    </w:pPr>
    <w:rPr>
      <w:sz w:val="24"/>
    </w:rPr>
  </w:style>
  <w:style w:type="paragraph" w:styleId="TOC2">
    <w:name w:val="toc 2"/>
    <w:basedOn w:val="Normal"/>
    <w:next w:val="Normal"/>
    <w:uiPriority w:val="39"/>
    <w:rsid w:val="008861C6"/>
    <w:pPr>
      <w:tabs>
        <w:tab w:val="right" w:leader="dot" w:pos="9639"/>
      </w:tabs>
      <w:spacing w:before="60" w:after="60"/>
      <w:ind w:left="284" w:right="1134"/>
    </w:pPr>
    <w:rPr>
      <w:rFonts w:ascii="Arial" w:hAnsi="Arial"/>
      <w:color w:val="701F4D" w:themeColor="accent2"/>
      <w:sz w:val="20"/>
      <w:szCs w:val="20"/>
    </w:rPr>
  </w:style>
  <w:style w:type="paragraph" w:styleId="TOC3">
    <w:name w:val="toc 3"/>
    <w:basedOn w:val="Normal"/>
    <w:next w:val="Normal"/>
    <w:rsid w:val="00D2761C"/>
    <w:pPr>
      <w:tabs>
        <w:tab w:val="right" w:pos="7700"/>
      </w:tabs>
      <w:spacing w:before="20" w:after="0"/>
      <w:ind w:left="284" w:right="851"/>
    </w:pPr>
  </w:style>
  <w:style w:type="paragraph" w:styleId="TOC4">
    <w:name w:val="toc 4"/>
    <w:basedOn w:val="Normal"/>
    <w:next w:val="Normal"/>
    <w:unhideWhenUsed/>
    <w:rsid w:val="00D2761C"/>
    <w:pPr>
      <w:tabs>
        <w:tab w:val="right" w:pos="7700"/>
      </w:tabs>
      <w:spacing w:after="0"/>
      <w:ind w:left="284" w:right="851"/>
    </w:pPr>
  </w:style>
  <w:style w:type="table" w:styleId="GridTable1Light-Accent2">
    <w:name w:val="Grid Table 1 Light Accent 2"/>
    <w:basedOn w:val="TableNormal"/>
    <w:uiPriority w:val="46"/>
    <w:rsid w:val="00D2761C"/>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insideV w:val="single" w:sz="4" w:space="0" w:color="701F4D" w:themeColor="accent2"/>
      </w:tblBorders>
    </w:tblPr>
    <w:tblStylePr w:type="firstRow">
      <w:rPr>
        <w:b w:val="0"/>
        <w:bCs/>
      </w:rPr>
      <w:tblPr/>
      <w:tcPr>
        <w:tcBorders>
          <w:bottom w:val="single" w:sz="12" w:space="0" w:color="701F4D" w:themeColor="accent2"/>
        </w:tcBorders>
      </w:tcPr>
    </w:tblStylePr>
    <w:tblStylePr w:type="lastRow">
      <w:rPr>
        <w:b w:val="0"/>
        <w:bCs/>
      </w:rPr>
      <w:tblPr/>
      <w:tcPr>
        <w:tcBorders>
          <w:top w:val="double" w:sz="2" w:space="0" w:color="701F4D" w:themeColor="accent2"/>
        </w:tcBorders>
      </w:tcPr>
    </w:tblStylePr>
    <w:tblStylePr w:type="firstCol">
      <w:rPr>
        <w:b w:val="0"/>
        <w:bCs/>
      </w:rPr>
    </w:tblStylePr>
    <w:tblStylePr w:type="lastCol">
      <w:rPr>
        <w:b w:val="0"/>
        <w:bCs/>
      </w:rPr>
    </w:tblStylePr>
  </w:style>
  <w:style w:type="paragraph" w:customStyle="1" w:styleId="NumberedParagraph1">
    <w:name w:val="Numbered Paragraph 1"/>
    <w:basedOn w:val="Normal"/>
    <w:rsid w:val="00D2761C"/>
    <w:pPr>
      <w:numPr>
        <w:numId w:val="6"/>
      </w:numPr>
    </w:pPr>
  </w:style>
  <w:style w:type="paragraph" w:customStyle="1" w:styleId="BoxBullet">
    <w:name w:val="Box Bullet"/>
    <w:basedOn w:val="Bullet"/>
    <w:rsid w:val="00D2761C"/>
    <w:pPr>
      <w:numPr>
        <w:numId w:val="4"/>
      </w:numPr>
      <w:spacing w:before="60" w:after="60"/>
    </w:pPr>
  </w:style>
  <w:style w:type="paragraph" w:customStyle="1" w:styleId="BoxDash">
    <w:name w:val="Box Dash"/>
    <w:basedOn w:val="BoxBullet"/>
    <w:rsid w:val="00D2761C"/>
    <w:pPr>
      <w:numPr>
        <w:ilvl w:val="1"/>
      </w:numPr>
      <w:tabs>
        <w:tab w:val="clear" w:pos="567"/>
        <w:tab w:val="left" w:pos="1134"/>
      </w:tabs>
    </w:pPr>
  </w:style>
  <w:style w:type="paragraph" w:customStyle="1" w:styleId="BoxDoubleDot">
    <w:name w:val="Box Double Dot"/>
    <w:basedOn w:val="BoxDash"/>
    <w:rsid w:val="00D2761C"/>
    <w:pPr>
      <w:numPr>
        <w:ilvl w:val="2"/>
      </w:numPr>
    </w:pPr>
  </w:style>
  <w:style w:type="character" w:customStyle="1" w:styleId="EndnoteTextChar">
    <w:name w:val="Endnote Text Char"/>
    <w:basedOn w:val="DefaultParagraphFont"/>
    <w:link w:val="EndnoteText"/>
    <w:rsid w:val="00D2761C"/>
    <w:rPr>
      <w:sz w:val="20"/>
      <w:szCs w:val="20"/>
    </w:rPr>
  </w:style>
  <w:style w:type="paragraph" w:styleId="List2">
    <w:name w:val="List 2"/>
    <w:basedOn w:val="Normal"/>
    <w:semiHidden/>
    <w:rsid w:val="00D2761C"/>
    <w:pPr>
      <w:ind w:left="566" w:hanging="283"/>
      <w:contextualSpacing/>
    </w:pPr>
  </w:style>
  <w:style w:type="paragraph" w:customStyle="1" w:styleId="CoverDate">
    <w:name w:val="Cover Date"/>
    <w:basedOn w:val="CoverTitleSub"/>
    <w:rsid w:val="0099171D"/>
    <w:rPr>
      <w:color w:val="701F4D" w:themeColor="accent2"/>
    </w:rPr>
  </w:style>
  <w:style w:type="character" w:styleId="FootnoteReference">
    <w:name w:val="footnote reference"/>
    <w:basedOn w:val="DefaultParagraphFont"/>
    <w:uiPriority w:val="99"/>
    <w:unhideWhenUsed/>
    <w:rsid w:val="00254A4B"/>
    <w:rPr>
      <w:sz w:val="20"/>
      <w:szCs w:val="20"/>
      <w:vertAlign w:val="superscript"/>
    </w:rPr>
  </w:style>
  <w:style w:type="paragraph" w:styleId="FootnoteText">
    <w:name w:val="footnote text"/>
    <w:basedOn w:val="Normal"/>
    <w:link w:val="FootnoteTextChar"/>
    <w:uiPriority w:val="99"/>
    <w:unhideWhenUsed/>
    <w:qFormat/>
    <w:rsid w:val="00A65360"/>
    <w:pPr>
      <w:keepLines/>
      <w:tabs>
        <w:tab w:val="left" w:pos="567"/>
      </w:tabs>
      <w:spacing w:before="60" w:after="0"/>
      <w:ind w:left="567" w:hanging="567"/>
    </w:pPr>
    <w:rPr>
      <w:kern w:val="16"/>
      <w:sz w:val="19"/>
      <w:szCs w:val="18"/>
    </w:rPr>
  </w:style>
  <w:style w:type="table" w:styleId="TableContemporary">
    <w:name w:val="Table Contemporary"/>
    <w:basedOn w:val="TableNormal"/>
    <w:rsid w:val="00D2761C"/>
    <w:pPr>
      <w:spacing w:after="240" w:line="300" w:lineRule="exact"/>
      <w:jc w:val="both"/>
    </w:pPr>
    <w:tblPr>
      <w:tblStyleRowBandSize w:val="1"/>
      <w:tblBorders>
        <w:insideH w:val="single" w:sz="18" w:space="0" w:color="FFFFFF"/>
        <w:insideV w:val="single" w:sz="18" w:space="0" w:color="FFFFFF"/>
      </w:tblBorders>
    </w:tblPr>
    <w:tblStylePr w:type="firstRow">
      <w:rPr>
        <w:b w:val="0"/>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TextLeftBullet">
    <w:name w:val="Table Text Left Bullet"/>
    <w:basedOn w:val="Bullet"/>
    <w:qFormat/>
    <w:rsid w:val="00EE60B2"/>
    <w:pPr>
      <w:spacing w:before="30" w:after="80"/>
      <w:contextualSpacing/>
    </w:pPr>
  </w:style>
  <w:style w:type="paragraph" w:customStyle="1" w:styleId="Graphic">
    <w:name w:val="Graphic"/>
    <w:basedOn w:val="Normal"/>
    <w:rsid w:val="00D2761C"/>
    <w:pPr>
      <w:spacing w:after="0"/>
      <w:jc w:val="center"/>
    </w:pPr>
  </w:style>
  <w:style w:type="character" w:styleId="EndnoteReference">
    <w:name w:val="endnote reference"/>
    <w:basedOn w:val="DefaultParagraphFont"/>
    <w:unhideWhenUsed/>
    <w:rsid w:val="00D2761C"/>
    <w:rPr>
      <w:vertAlign w:val="superscript"/>
    </w:rPr>
  </w:style>
  <w:style w:type="table" w:styleId="PlainTable5">
    <w:name w:val="Plain Table 5"/>
    <w:basedOn w:val="TableNormal"/>
    <w:uiPriority w:val="45"/>
    <w:rsid w:val="00D2761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2761C"/>
    <w:tblPr>
      <w:tblStyleRowBandSize w:val="1"/>
      <w:tblStyleColBandSize w:val="1"/>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omannumeral">
    <w:name w:val="Roman numeral"/>
    <w:basedOn w:val="Normal"/>
    <w:uiPriority w:val="1"/>
    <w:unhideWhenUsed/>
    <w:rsid w:val="00D2761C"/>
    <w:pPr>
      <w:numPr>
        <w:numId w:val="5"/>
      </w:numPr>
    </w:pPr>
  </w:style>
  <w:style w:type="paragraph" w:styleId="BalloonText">
    <w:name w:val="Balloon Text"/>
    <w:basedOn w:val="Normal"/>
    <w:link w:val="BalloonTextChar"/>
    <w:rsid w:val="00D2761C"/>
    <w:pPr>
      <w:spacing w:after="0"/>
    </w:pPr>
    <w:rPr>
      <w:rFonts w:ascii="Tahoma" w:hAnsi="Tahoma" w:cs="Tahoma"/>
      <w:sz w:val="16"/>
      <w:szCs w:val="16"/>
    </w:rPr>
  </w:style>
  <w:style w:type="character" w:customStyle="1" w:styleId="BalloonTextChar">
    <w:name w:val="Balloon Text Char"/>
    <w:basedOn w:val="DefaultParagraphFont"/>
    <w:link w:val="BalloonText"/>
    <w:rsid w:val="00D2761C"/>
    <w:rPr>
      <w:rFonts w:ascii="Tahoma" w:hAnsi="Tahoma" w:cs="Tahoma"/>
      <w:sz w:val="16"/>
      <w:szCs w:val="16"/>
    </w:rPr>
  </w:style>
  <w:style w:type="table" w:styleId="TableGrid">
    <w:name w:val="Table Grid"/>
    <w:basedOn w:val="TableNormal"/>
    <w:rsid w:val="00D27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2761C"/>
    <w:tblPr>
      <w:tblStyleRowBandSize w:val="1"/>
      <w:tblStyleColBandSize w:val="1"/>
    </w:tblPr>
    <w:tblStylePr w:type="firstRow">
      <w:rPr>
        <w:b w:val="0"/>
        <w:bCs/>
        <w:caps/>
      </w:rPr>
      <w:tblPr/>
      <w:tcPr>
        <w:tcBorders>
          <w:bottom w:val="single" w:sz="4" w:space="0" w:color="7F7F7F" w:themeColor="text1" w:themeTint="80"/>
        </w:tcBorders>
      </w:tcPr>
    </w:tblStylePr>
    <w:tblStylePr w:type="lastRow">
      <w:rPr>
        <w:b w:val="0"/>
        <w:bCs/>
        <w:caps/>
      </w:rPr>
      <w:tblPr/>
      <w:tcPr>
        <w:tcBorders>
          <w:top w:val="nil"/>
        </w:tcBorders>
      </w:tcPr>
    </w:tblStylePr>
    <w:tblStylePr w:type="firstCol">
      <w:rPr>
        <w:b w:val="0"/>
        <w:bCs/>
        <w:caps/>
      </w:rPr>
      <w:tblPr/>
      <w:tcPr>
        <w:tcBorders>
          <w:right w:val="single" w:sz="4" w:space="0" w:color="7F7F7F" w:themeColor="text1" w:themeTint="80"/>
        </w:tcBorders>
      </w:tcPr>
    </w:tblStylePr>
    <w:tblStylePr w:type="lastCol">
      <w:rPr>
        <w:b w:val="0"/>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umberedParagraph11">
    <w:name w:val="Numbered Paragraph 1.1"/>
    <w:basedOn w:val="Bullet"/>
    <w:qFormat/>
    <w:rsid w:val="00D2761C"/>
    <w:pPr>
      <w:numPr>
        <w:ilvl w:val="1"/>
        <w:numId w:val="6"/>
      </w:numPr>
    </w:pPr>
  </w:style>
  <w:style w:type="paragraph" w:customStyle="1" w:styleId="NumberedParagraphalpha">
    <w:name w:val="Numbered Paragraph alpha"/>
    <w:basedOn w:val="Dash"/>
    <w:qFormat/>
    <w:rsid w:val="001B3385"/>
    <w:pPr>
      <w:numPr>
        <w:ilvl w:val="3"/>
        <w:numId w:val="6"/>
      </w:numPr>
      <w:tabs>
        <w:tab w:val="clear" w:pos="1134"/>
      </w:tabs>
    </w:pPr>
  </w:style>
  <w:style w:type="paragraph" w:customStyle="1" w:styleId="NumberedParagraphnumbers">
    <w:name w:val="Numbered Paragraph numbers"/>
    <w:basedOn w:val="DoubleDot"/>
    <w:qFormat/>
    <w:rsid w:val="00D2761C"/>
    <w:pPr>
      <w:numPr>
        <w:ilvl w:val="4"/>
        <w:numId w:val="6"/>
      </w:numPr>
    </w:pPr>
  </w:style>
  <w:style w:type="paragraph" w:customStyle="1" w:styleId="NumberedParagraphroman">
    <w:name w:val="Numbered Paragraph roman"/>
    <w:basedOn w:val="Normal"/>
    <w:qFormat/>
    <w:rsid w:val="001B3385"/>
    <w:pPr>
      <w:numPr>
        <w:ilvl w:val="5"/>
        <w:numId w:val="6"/>
      </w:numPr>
      <w:ind w:left="1701"/>
    </w:pPr>
  </w:style>
  <w:style w:type="table" w:styleId="PlainTable2">
    <w:name w:val="Plain Table 2"/>
    <w:basedOn w:val="TableNormal"/>
    <w:uiPriority w:val="42"/>
    <w:rsid w:val="00D2761C"/>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276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val="0"/>
        <w:bCs/>
      </w:rPr>
      <w:tblPr/>
      <w:tcPr>
        <w:tcBorders>
          <w:bottom w:val="single" w:sz="12" w:space="0" w:color="666666" w:themeColor="text1" w:themeTint="99"/>
        </w:tcBorders>
      </w:tcPr>
    </w:tblStylePr>
    <w:tblStylePr w:type="lastRow">
      <w:rPr>
        <w:b w:val="0"/>
        <w:bCs/>
      </w:rPr>
      <w:tblPr/>
      <w:tcPr>
        <w:tcBorders>
          <w:top w:val="double" w:sz="2" w:space="0" w:color="666666" w:themeColor="text1" w:themeTint="99"/>
        </w:tcBorders>
      </w:tcPr>
    </w:tblStylePr>
    <w:tblStylePr w:type="firstCol">
      <w:rPr>
        <w:b w:val="0"/>
        <w:bCs/>
      </w:rPr>
    </w:tblStylePr>
    <w:tblStylePr w:type="lastCol">
      <w:rPr>
        <w:b w:val="0"/>
        <w:bCs/>
      </w:rPr>
    </w:tblStylePr>
  </w:style>
  <w:style w:type="table" w:styleId="GridTable1Light-Accent1">
    <w:name w:val="Grid Table 1 Light Accent 1"/>
    <w:basedOn w:val="TableNormal"/>
    <w:uiPriority w:val="46"/>
    <w:rsid w:val="00D2761C"/>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insideV w:val="single" w:sz="4" w:space="0" w:color="142147" w:themeColor="accent1"/>
      </w:tblBorders>
    </w:tblPr>
    <w:tblStylePr w:type="firstRow">
      <w:rPr>
        <w:b w:val="0"/>
        <w:bCs/>
      </w:rPr>
      <w:tblPr/>
      <w:tcPr>
        <w:tcBorders>
          <w:bottom w:val="single" w:sz="12" w:space="0" w:color="142147" w:themeColor="accent1"/>
        </w:tcBorders>
      </w:tcPr>
    </w:tblStylePr>
    <w:tblStylePr w:type="lastRow">
      <w:rPr>
        <w:b w:val="0"/>
        <w:bCs/>
      </w:rPr>
      <w:tblPr/>
      <w:tcPr>
        <w:tcBorders>
          <w:top w:val="double" w:sz="2" w:space="0" w:color="142147" w:themeColor="accent1"/>
        </w:tcBorders>
      </w:tcPr>
    </w:tblStylePr>
    <w:tblStylePr w:type="firstCol">
      <w:rPr>
        <w:b w:val="0"/>
        <w:bCs/>
      </w:rPr>
    </w:tblStylePr>
    <w:tblStylePr w:type="lastCol">
      <w:rPr>
        <w:b w:val="0"/>
        <w:bCs/>
      </w:rPr>
    </w:tblStylePr>
  </w:style>
  <w:style w:type="paragraph" w:styleId="ListParagraph">
    <w:name w:val="List Paragraph"/>
    <w:basedOn w:val="Normal"/>
    <w:link w:val="ListParagraphChar"/>
    <w:uiPriority w:val="99"/>
    <w:rsid w:val="00D2761C"/>
    <w:pPr>
      <w:ind w:left="720"/>
      <w:contextualSpacing/>
    </w:pPr>
  </w:style>
  <w:style w:type="paragraph" w:styleId="Quote">
    <w:name w:val="Quote"/>
    <w:basedOn w:val="Normal"/>
    <w:next w:val="Normal"/>
    <w:link w:val="QuoteChar"/>
    <w:qFormat/>
    <w:rsid w:val="004B6636"/>
    <w:pPr>
      <w:ind w:left="567" w:right="567"/>
    </w:pPr>
    <w:rPr>
      <w:iCs/>
      <w:color w:val="000000" w:themeColor="text1"/>
    </w:rPr>
  </w:style>
  <w:style w:type="character" w:customStyle="1" w:styleId="QuoteChar">
    <w:name w:val="Quote Char"/>
    <w:basedOn w:val="DefaultParagraphFont"/>
    <w:link w:val="Quote"/>
    <w:rsid w:val="004B6636"/>
    <w:rPr>
      <w:iCs/>
      <w:color w:val="000000" w:themeColor="text1"/>
      <w:kern w:val="18"/>
    </w:rPr>
  </w:style>
  <w:style w:type="character" w:styleId="FollowedHyperlink">
    <w:name w:val="FollowedHyperlink"/>
    <w:basedOn w:val="DefaultParagraphFont"/>
    <w:semiHidden/>
    <w:rsid w:val="00D2761C"/>
    <w:rPr>
      <w:color w:val="844D9E" w:themeColor="followedHyperlink"/>
      <w:u w:val="single"/>
    </w:rPr>
  </w:style>
  <w:style w:type="numbering" w:customStyle="1" w:styleId="ChartandTableFootnoteAlphaList">
    <w:name w:val="ChartandTableFootnoteAlphaList"/>
    <w:uiPriority w:val="99"/>
    <w:rsid w:val="00D2761C"/>
    <w:pPr>
      <w:numPr>
        <w:numId w:val="18"/>
      </w:numPr>
    </w:pPr>
  </w:style>
  <w:style w:type="table" w:styleId="PlainTable1">
    <w:name w:val="Plain Table 1"/>
    <w:basedOn w:val="TableNormal"/>
    <w:uiPriority w:val="41"/>
    <w:rsid w:val="00D2761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r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276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D2761C"/>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insideH w:val="single" w:sz="4" w:space="0" w:color="D4C2A8" w:themeColor="accent3"/>
        <w:insideV w:val="single" w:sz="4" w:space="0" w:color="D4C2A8" w:themeColor="accent3"/>
      </w:tblBorders>
    </w:tblPr>
    <w:tblStylePr w:type="firstRow">
      <w:rPr>
        <w:b/>
        <w:bCs/>
      </w:rPr>
      <w:tblPr/>
      <w:tcPr>
        <w:tcBorders>
          <w:bottom w:val="single" w:sz="12" w:space="0" w:color="D4C2A8" w:themeColor="accent3"/>
        </w:tcBorders>
      </w:tcPr>
    </w:tblStylePr>
    <w:tblStylePr w:type="lastRow">
      <w:rPr>
        <w:b/>
        <w:bCs/>
      </w:rPr>
      <w:tblPr/>
      <w:tcPr>
        <w:tcBorders>
          <w:top w:val="double" w:sz="2" w:space="0" w:color="D4C2A8" w:themeColor="accent3"/>
        </w:tcBorders>
      </w:tcPr>
    </w:tblStylePr>
    <w:tblStylePr w:type="firstCol">
      <w:rPr>
        <w:b/>
        <w:bCs/>
      </w:rPr>
    </w:tblStylePr>
    <w:tblStylePr w:type="lastCol">
      <w:rPr>
        <w:b/>
        <w:bCs/>
      </w:rPr>
    </w:tblStylePr>
  </w:style>
  <w:style w:type="table" w:styleId="GridTable2">
    <w:name w:val="Grid Table 2"/>
    <w:basedOn w:val="TableNormal"/>
    <w:uiPriority w:val="47"/>
    <w:rsid w:val="00D2761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2761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val="0"/>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val="0"/>
        <w:bCs/>
      </w:rPr>
      <w:tblPr/>
      <w:tcPr>
        <w:tcBorders>
          <w:top w:val="double" w:sz="4" w:space="0" w:color="000000" w:themeColor="text1"/>
        </w:tcBorders>
      </w:tcPr>
    </w:tblStylePr>
    <w:tblStylePr w:type="firstCol">
      <w:rPr>
        <w:b w:val="0"/>
        <w:bCs/>
      </w:rPr>
    </w:tblStylePr>
    <w:tblStylePr w:type="lastCol">
      <w:rPr>
        <w:b w:val="0"/>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61C"/>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insideV w:val="single" w:sz="4" w:space="0" w:color="142147" w:themeColor="accent1"/>
      </w:tblBorders>
    </w:tblPr>
    <w:tblStylePr w:type="firstRow">
      <w:rPr>
        <w:b w:val="0"/>
        <w:bCs/>
        <w:color w:val="FFFFFF" w:themeColor="background1"/>
      </w:rPr>
      <w:tblPr/>
      <w:tcPr>
        <w:tcBorders>
          <w:top w:val="single" w:sz="4" w:space="0" w:color="142147" w:themeColor="accent1"/>
          <w:left w:val="single" w:sz="4" w:space="0" w:color="142147" w:themeColor="accent1"/>
          <w:bottom w:val="single" w:sz="4" w:space="0" w:color="142147" w:themeColor="accent1"/>
          <w:right w:val="single" w:sz="4" w:space="0" w:color="142147" w:themeColor="accent1"/>
          <w:insideH w:val="nil"/>
          <w:insideV w:val="nil"/>
        </w:tcBorders>
        <w:shd w:val="clear" w:color="auto" w:fill="142147" w:themeFill="accent1"/>
      </w:tcPr>
    </w:tblStylePr>
    <w:tblStylePr w:type="lastRow">
      <w:rPr>
        <w:b w:val="0"/>
        <w:bCs/>
      </w:rPr>
      <w:tblPr/>
      <w:tcPr>
        <w:tcBorders>
          <w:top w:val="double" w:sz="4" w:space="0" w:color="142147" w:themeColor="accent1"/>
        </w:tcBorders>
      </w:tcPr>
    </w:tblStylePr>
    <w:tblStylePr w:type="firstCol">
      <w:rPr>
        <w:b w:val="0"/>
        <w:bCs/>
      </w:rPr>
    </w:tblStylePr>
    <w:tblStylePr w:type="lastCol">
      <w:rPr>
        <w:b w:val="0"/>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table" w:styleId="GridTable4-Accent2">
    <w:name w:val="Grid Table 4 Accent 2"/>
    <w:basedOn w:val="TableNormal"/>
    <w:uiPriority w:val="49"/>
    <w:rsid w:val="00D2761C"/>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insideV w:val="single" w:sz="4" w:space="0" w:color="701F4D" w:themeColor="accent2"/>
      </w:tblBorders>
    </w:tblPr>
    <w:tblStylePr w:type="firstRow">
      <w:rPr>
        <w:b w:val="0"/>
        <w:bCs/>
        <w:color w:val="FFFFFF" w:themeColor="background1"/>
      </w:rPr>
      <w:tblPr/>
      <w:tcPr>
        <w:tcBorders>
          <w:top w:val="single" w:sz="4" w:space="0" w:color="701F4D" w:themeColor="accent2"/>
          <w:left w:val="single" w:sz="4" w:space="0" w:color="701F4D" w:themeColor="accent2"/>
          <w:bottom w:val="single" w:sz="4" w:space="0" w:color="701F4D" w:themeColor="accent2"/>
          <w:right w:val="single" w:sz="4" w:space="0" w:color="701F4D" w:themeColor="accent2"/>
          <w:insideH w:val="nil"/>
          <w:insideV w:val="nil"/>
        </w:tcBorders>
        <w:shd w:val="clear" w:color="auto" w:fill="701F4D" w:themeFill="accent2"/>
      </w:tcPr>
    </w:tblStylePr>
    <w:tblStylePr w:type="lastRow">
      <w:rPr>
        <w:b w:val="0"/>
        <w:bCs/>
      </w:rPr>
      <w:tblPr/>
      <w:tcPr>
        <w:tcBorders>
          <w:top w:val="double" w:sz="4" w:space="0" w:color="701F4D" w:themeColor="accent2"/>
        </w:tcBorders>
      </w:tcPr>
    </w:tblStylePr>
    <w:tblStylePr w:type="firstCol">
      <w:rPr>
        <w:b w:val="0"/>
        <w:bCs/>
      </w:rPr>
    </w:tblStylePr>
    <w:tblStylePr w:type="lastCol">
      <w:rPr>
        <w:b w:val="0"/>
        <w:bCs/>
      </w:rPr>
    </w:tblStylePr>
    <w:tblStylePr w:type="band1Vert">
      <w:tblPr/>
      <w:tcPr>
        <w:shd w:val="clear" w:color="auto" w:fill="EFC5DC" w:themeFill="accent2" w:themeFillTint="33"/>
      </w:tcPr>
    </w:tblStylePr>
    <w:tblStylePr w:type="band1Horz">
      <w:tblPr/>
      <w:tcPr>
        <w:shd w:val="clear" w:color="auto" w:fill="EFC5DC" w:themeFill="accent2" w:themeFillTint="33"/>
      </w:tcPr>
    </w:tblStylePr>
  </w:style>
  <w:style w:type="table" w:styleId="GridTable4-Accent3">
    <w:name w:val="Grid Table 4 Accent 3"/>
    <w:basedOn w:val="TableNormal"/>
    <w:uiPriority w:val="49"/>
    <w:rsid w:val="00D2761C"/>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insideH w:val="single" w:sz="4" w:space="0" w:color="D4C2A8" w:themeColor="accent3"/>
        <w:insideV w:val="single" w:sz="4" w:space="0" w:color="D4C2A8" w:themeColor="accent3"/>
      </w:tblBorders>
    </w:tblPr>
    <w:tblStylePr w:type="firstRow">
      <w:rPr>
        <w:b w:val="0"/>
        <w:bCs/>
        <w:color w:val="FFFFFF" w:themeColor="background1"/>
      </w:rPr>
      <w:tblPr/>
      <w:tcPr>
        <w:tcBorders>
          <w:top w:val="single" w:sz="4" w:space="0" w:color="D4C2A8" w:themeColor="accent3"/>
          <w:left w:val="single" w:sz="4" w:space="0" w:color="D4C2A8" w:themeColor="accent3"/>
          <w:bottom w:val="single" w:sz="4" w:space="0" w:color="D4C2A8" w:themeColor="accent3"/>
          <w:right w:val="single" w:sz="4" w:space="0" w:color="D4C2A8" w:themeColor="accent3"/>
          <w:insideH w:val="nil"/>
          <w:insideV w:val="nil"/>
        </w:tcBorders>
        <w:shd w:val="clear" w:color="auto" w:fill="D4C2A8" w:themeFill="accent3"/>
      </w:tcPr>
    </w:tblStylePr>
    <w:tblStylePr w:type="lastRow">
      <w:rPr>
        <w:b w:val="0"/>
        <w:bCs/>
      </w:rPr>
      <w:tblPr/>
      <w:tcPr>
        <w:tcBorders>
          <w:top w:val="double" w:sz="4" w:space="0" w:color="D4C2A8" w:themeColor="accent3"/>
        </w:tcBorders>
      </w:tcPr>
    </w:tblStylePr>
    <w:tblStylePr w:type="firstCol">
      <w:rPr>
        <w:b w:val="0"/>
        <w:bCs/>
      </w:rPr>
    </w:tblStylePr>
    <w:tblStylePr w:type="lastCol">
      <w:rPr>
        <w:b w:val="0"/>
        <w:bCs/>
      </w:rPr>
    </w:tblStylePr>
    <w:tblStylePr w:type="band1Vert">
      <w:tblPr/>
      <w:tcPr>
        <w:shd w:val="clear" w:color="auto" w:fill="F6F2ED" w:themeFill="accent3" w:themeFillTint="33"/>
      </w:tcPr>
    </w:tblStylePr>
    <w:tblStylePr w:type="band1Horz">
      <w:tblPr/>
      <w:tcPr>
        <w:shd w:val="clear" w:color="auto" w:fill="F6F2ED" w:themeFill="accent3" w:themeFillTint="33"/>
      </w:tcPr>
    </w:tblStylePr>
  </w:style>
  <w:style w:type="table" w:styleId="GridTable4-Accent4">
    <w:name w:val="Grid Table 4 Accent 4"/>
    <w:basedOn w:val="TableNormal"/>
    <w:uiPriority w:val="49"/>
    <w:rsid w:val="00D2761C"/>
    <w:tblPr>
      <w:tblStyleRowBandSize w:val="1"/>
      <w:tblStyleColBandSize w:val="1"/>
      <w:tblBorders>
        <w:top w:val="single" w:sz="4" w:space="0" w:color="8565C5" w:themeColor="accent4" w:themeTint="99"/>
        <w:left w:val="single" w:sz="4" w:space="0" w:color="8565C5" w:themeColor="accent4" w:themeTint="99"/>
        <w:bottom w:val="single" w:sz="4" w:space="0" w:color="8565C5" w:themeColor="accent4" w:themeTint="99"/>
        <w:right w:val="single" w:sz="4" w:space="0" w:color="8565C5" w:themeColor="accent4" w:themeTint="99"/>
        <w:insideH w:val="single" w:sz="4" w:space="0" w:color="8565C5" w:themeColor="accent4" w:themeTint="99"/>
        <w:insideV w:val="single" w:sz="4" w:space="0" w:color="8565C5" w:themeColor="accent4" w:themeTint="99"/>
      </w:tblBorders>
    </w:tblPr>
    <w:tblStylePr w:type="firstRow">
      <w:rPr>
        <w:b w:val="0"/>
        <w:bCs/>
        <w:color w:val="000000" w:themeColor="text1"/>
      </w:rPr>
      <w:tblPr/>
      <w:tcPr>
        <w:tcBorders>
          <w:top w:val="single" w:sz="4" w:space="0" w:color="432B73" w:themeColor="accent4"/>
          <w:left w:val="single" w:sz="4" w:space="0" w:color="432B73" w:themeColor="accent4"/>
          <w:bottom w:val="single" w:sz="4" w:space="0" w:color="432B73" w:themeColor="accent4"/>
          <w:right w:val="single" w:sz="4" w:space="0" w:color="432B73" w:themeColor="accent4"/>
          <w:insideH w:val="nil"/>
          <w:insideV w:val="nil"/>
        </w:tcBorders>
        <w:shd w:val="clear" w:color="auto" w:fill="432B73" w:themeFill="accent4"/>
      </w:tcPr>
    </w:tblStylePr>
    <w:tblStylePr w:type="lastRow">
      <w:rPr>
        <w:b w:val="0"/>
        <w:bCs/>
      </w:rPr>
      <w:tblPr/>
      <w:tcPr>
        <w:tcBorders>
          <w:top w:val="double" w:sz="4" w:space="0" w:color="432B73" w:themeColor="accent4"/>
        </w:tcBorders>
      </w:tcPr>
    </w:tblStylePr>
    <w:tblStylePr w:type="firstCol">
      <w:rPr>
        <w:b w:val="0"/>
        <w:bCs/>
      </w:rPr>
    </w:tblStylePr>
    <w:tblStylePr w:type="lastCol">
      <w:rPr>
        <w:b w:val="0"/>
        <w:bCs/>
      </w:rPr>
    </w:tblStylePr>
    <w:tblStylePr w:type="band1Vert">
      <w:tblPr/>
      <w:tcPr>
        <w:shd w:val="clear" w:color="auto" w:fill="D6CBEB" w:themeFill="accent4" w:themeFillTint="33"/>
      </w:tcPr>
    </w:tblStylePr>
    <w:tblStylePr w:type="band1Horz">
      <w:tblPr/>
      <w:tcPr>
        <w:shd w:val="clear" w:color="auto" w:fill="D6CBEB" w:themeFill="accent4" w:themeFillTint="33"/>
      </w:tcPr>
    </w:tblStylePr>
  </w:style>
  <w:style w:type="table" w:styleId="GridTable4-Accent5">
    <w:name w:val="Grid Table 4 Accent 5"/>
    <w:basedOn w:val="TableNormal"/>
    <w:uiPriority w:val="49"/>
    <w:rsid w:val="00D2761C"/>
    <w:tblPr>
      <w:tblStyleRowBandSize w:val="1"/>
      <w:tblStyleColBandSize w:val="1"/>
      <w:tblBorders>
        <w:top w:val="single" w:sz="4" w:space="0" w:color="A2CDEA" w:themeColor="accent5" w:themeTint="99"/>
        <w:left w:val="single" w:sz="4" w:space="0" w:color="A2CDEA" w:themeColor="accent5" w:themeTint="99"/>
        <w:bottom w:val="single" w:sz="4" w:space="0" w:color="A2CDEA" w:themeColor="accent5" w:themeTint="99"/>
        <w:right w:val="single" w:sz="4" w:space="0" w:color="A2CDEA" w:themeColor="accent5" w:themeTint="99"/>
        <w:insideH w:val="single" w:sz="4" w:space="0" w:color="A2CDEA" w:themeColor="accent5" w:themeTint="99"/>
        <w:insideV w:val="single" w:sz="4" w:space="0" w:color="A2CDEA" w:themeColor="accent5" w:themeTint="99"/>
      </w:tblBorders>
    </w:tblPr>
    <w:tblStylePr w:type="firstRow">
      <w:rPr>
        <w:b w:val="0"/>
        <w:bCs/>
        <w:color w:val="000000" w:themeColor="text1"/>
      </w:rPr>
      <w:tblPr/>
      <w:tcPr>
        <w:tcBorders>
          <w:top w:val="single" w:sz="4" w:space="0" w:color="65ACDC" w:themeColor="accent5"/>
          <w:left w:val="single" w:sz="4" w:space="0" w:color="65ACDC" w:themeColor="accent5"/>
          <w:bottom w:val="single" w:sz="4" w:space="0" w:color="65ACDC" w:themeColor="accent5"/>
          <w:right w:val="single" w:sz="4" w:space="0" w:color="65ACDC" w:themeColor="accent5"/>
          <w:insideH w:val="nil"/>
          <w:insideV w:val="nil"/>
        </w:tcBorders>
        <w:shd w:val="clear" w:color="auto" w:fill="65ACDC" w:themeFill="accent5"/>
      </w:tcPr>
    </w:tblStylePr>
    <w:tblStylePr w:type="lastRow">
      <w:rPr>
        <w:b w:val="0"/>
        <w:bCs/>
      </w:rPr>
      <w:tblPr/>
      <w:tcPr>
        <w:tcBorders>
          <w:top w:val="double" w:sz="4" w:space="0" w:color="65ACDC" w:themeColor="accent5"/>
        </w:tcBorders>
      </w:tcPr>
    </w:tblStylePr>
    <w:tblStylePr w:type="firstCol">
      <w:rPr>
        <w:b w:val="0"/>
        <w:bCs/>
      </w:rPr>
    </w:tblStylePr>
    <w:tblStylePr w:type="lastCol">
      <w:rPr>
        <w:b w:val="0"/>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table" w:styleId="GridTable4-Accent6">
    <w:name w:val="Grid Table 4 Accent 6"/>
    <w:basedOn w:val="TableNormal"/>
    <w:uiPriority w:val="49"/>
    <w:rsid w:val="00D2761C"/>
    <w:tblPr>
      <w:tblStyleRowBandSize w:val="1"/>
      <w:tblStyleColBandSize w:val="1"/>
      <w:tblBorders>
        <w:top w:val="single" w:sz="4" w:space="0" w:color="C6C5E5" w:themeColor="accent6" w:themeTint="99"/>
        <w:left w:val="single" w:sz="4" w:space="0" w:color="C6C5E5" w:themeColor="accent6" w:themeTint="99"/>
        <w:bottom w:val="single" w:sz="4" w:space="0" w:color="C6C5E5" w:themeColor="accent6" w:themeTint="99"/>
        <w:right w:val="single" w:sz="4" w:space="0" w:color="C6C5E5" w:themeColor="accent6" w:themeTint="99"/>
        <w:insideH w:val="single" w:sz="4" w:space="0" w:color="C6C5E5" w:themeColor="accent6" w:themeTint="99"/>
        <w:insideV w:val="single" w:sz="4" w:space="0" w:color="C6C5E5" w:themeColor="accent6" w:themeTint="99"/>
      </w:tblBorders>
    </w:tblPr>
    <w:tblStylePr w:type="firstRow">
      <w:rPr>
        <w:b w:val="0"/>
        <w:bCs/>
        <w:color w:val="auto"/>
      </w:rPr>
      <w:tblPr/>
      <w:tcPr>
        <w:tcBorders>
          <w:top w:val="single" w:sz="4" w:space="0" w:color="A2A0D5" w:themeColor="accent6"/>
          <w:left w:val="single" w:sz="4" w:space="0" w:color="A2A0D5" w:themeColor="accent6"/>
          <w:bottom w:val="single" w:sz="4" w:space="0" w:color="A2A0D5" w:themeColor="accent6"/>
          <w:right w:val="single" w:sz="4" w:space="0" w:color="A2A0D5" w:themeColor="accent6"/>
          <w:insideH w:val="nil"/>
          <w:insideV w:val="nil"/>
        </w:tcBorders>
        <w:shd w:val="clear" w:color="auto" w:fill="A2A0D5" w:themeFill="accent6"/>
      </w:tcPr>
    </w:tblStylePr>
    <w:tblStylePr w:type="lastRow">
      <w:rPr>
        <w:b w:val="0"/>
        <w:bCs/>
      </w:rPr>
      <w:tblPr/>
      <w:tcPr>
        <w:tcBorders>
          <w:top w:val="double" w:sz="4" w:space="0" w:color="A2A0D5" w:themeColor="accent6"/>
        </w:tcBorders>
      </w:tcPr>
    </w:tblStylePr>
    <w:tblStylePr w:type="firstCol">
      <w:rPr>
        <w:b w:val="0"/>
        <w:bCs/>
      </w:rPr>
    </w:tblStylePr>
    <w:tblStylePr w:type="lastCol">
      <w:rPr>
        <w:b w:val="0"/>
        <w:bCs/>
      </w:rPr>
    </w:tblStylePr>
    <w:tblStylePr w:type="band1Vert">
      <w:tblPr/>
      <w:tcPr>
        <w:shd w:val="clear" w:color="auto" w:fill="ECEBF6" w:themeFill="accent6" w:themeFillTint="33"/>
      </w:tcPr>
    </w:tblStylePr>
    <w:tblStylePr w:type="band1Horz">
      <w:tblPr/>
      <w:tcPr>
        <w:shd w:val="clear" w:color="auto" w:fill="ECEBF6" w:themeFill="accent6" w:themeFillTint="33"/>
      </w:tcPr>
    </w:tblStylePr>
  </w:style>
  <w:style w:type="table" w:styleId="GridTable5Dark">
    <w:name w:val="Grid Table 5 Dark"/>
    <w:basedOn w:val="TableNormal"/>
    <w:uiPriority w:val="50"/>
    <w:rsid w:val="00D276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6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C9EC"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2147" w:themeFill="accent1"/>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2147"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2147" w:themeFill="accent1"/>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2147" w:themeFill="accent1"/>
      </w:tcPr>
    </w:tblStylePr>
    <w:tblStylePr w:type="band1Vert">
      <w:tblPr/>
      <w:tcPr>
        <w:shd w:val="clear" w:color="auto" w:fill="7C94DA" w:themeFill="accent1" w:themeFillTint="66"/>
      </w:tcPr>
    </w:tblStylePr>
    <w:tblStylePr w:type="band1Horz">
      <w:tblPr/>
      <w:tcPr>
        <w:shd w:val="clear" w:color="auto" w:fill="7C94DA" w:themeFill="accent1" w:themeFillTint="66"/>
      </w:tcPr>
    </w:tblStylePr>
  </w:style>
  <w:style w:type="table" w:styleId="GridTable5Dark-Accent2">
    <w:name w:val="Grid Table 5 Dark Accent 2"/>
    <w:basedOn w:val="TableNormal"/>
    <w:uiPriority w:val="50"/>
    <w:rsid w:val="00D276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C5DC" w:themeFill="accent2"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1F4D" w:themeFill="accent2"/>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1F4D" w:themeFill="accent2"/>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1F4D" w:themeFill="accent2"/>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1F4D" w:themeFill="accent2"/>
      </w:tcPr>
    </w:tblStylePr>
    <w:tblStylePr w:type="band1Vert">
      <w:tblPr/>
      <w:tcPr>
        <w:shd w:val="clear" w:color="auto" w:fill="DF8BBA" w:themeFill="accent2" w:themeFillTint="66"/>
      </w:tcPr>
    </w:tblStylePr>
    <w:tblStylePr w:type="band1Horz">
      <w:tblPr/>
      <w:tcPr>
        <w:shd w:val="clear" w:color="auto" w:fill="DF8BBA" w:themeFill="accent2" w:themeFillTint="66"/>
      </w:tcPr>
    </w:tblStylePr>
  </w:style>
  <w:style w:type="table" w:styleId="GridTable5Dark-Accent3">
    <w:name w:val="Grid Table 5 Dark Accent 3"/>
    <w:basedOn w:val="TableNormal"/>
    <w:uiPriority w:val="50"/>
    <w:rsid w:val="00D276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2ED" w:themeFill="accent3"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C2A8" w:themeFill="accent3"/>
      </w:tcPr>
    </w:tblStylePr>
    <w:tblStylePr w:type="lastRow">
      <w:rPr>
        <w:b w:val="0"/>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C2A8" w:themeFill="accent3"/>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C2A8" w:themeFill="accent3"/>
      </w:tcPr>
    </w:tblStylePr>
    <w:tblStylePr w:type="lastCol">
      <w:rPr>
        <w:b w:val="0"/>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C2A8" w:themeFill="accent3"/>
      </w:tcPr>
    </w:tblStylePr>
    <w:tblStylePr w:type="band1Vert">
      <w:tblPr/>
      <w:tcPr>
        <w:shd w:val="clear" w:color="auto" w:fill="EDE6DC" w:themeFill="accent3" w:themeFillTint="66"/>
      </w:tcPr>
    </w:tblStylePr>
    <w:tblStylePr w:type="band1Horz">
      <w:tblPr/>
      <w:tcPr>
        <w:shd w:val="clear" w:color="auto" w:fill="EDE6DC" w:themeFill="accent3" w:themeFillTint="66"/>
      </w:tcPr>
    </w:tblStylePr>
  </w:style>
  <w:style w:type="table" w:styleId="GridTable5Dark-Accent4">
    <w:name w:val="Grid Table 5 Dark Accent 4"/>
    <w:basedOn w:val="TableNormal"/>
    <w:uiPriority w:val="50"/>
    <w:rsid w:val="00D276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CBEB" w:themeFill="accent4" w:themeFillTint="33"/>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2B73" w:themeFill="accent4"/>
      </w:tcPr>
    </w:tblStylePr>
    <w:tblStylePr w:type="lastRow">
      <w:rPr>
        <w:b w:val="0"/>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2B73" w:themeFill="accent4"/>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2B73" w:themeFill="accent4"/>
      </w:tcPr>
    </w:tblStylePr>
    <w:tblStylePr w:type="lastCol">
      <w:rPr>
        <w:b w:val="0"/>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2B73" w:themeFill="accent4"/>
      </w:tcPr>
    </w:tblStylePr>
    <w:tblStylePr w:type="band1Vert">
      <w:tblPr/>
      <w:tcPr>
        <w:shd w:val="clear" w:color="auto" w:fill="AD98D8" w:themeFill="accent4" w:themeFillTint="66"/>
      </w:tcPr>
    </w:tblStylePr>
    <w:tblStylePr w:type="band1Horz">
      <w:tblPr/>
      <w:tcPr>
        <w:shd w:val="clear" w:color="auto" w:fill="AD98D8" w:themeFill="accent4" w:themeFillTint="66"/>
      </w:tcPr>
    </w:tblStylePr>
  </w:style>
  <w:style w:type="table" w:styleId="GridTable5Dark-Accent5">
    <w:name w:val="Grid Table 5 Dark Accent 5"/>
    <w:basedOn w:val="TableNormal"/>
    <w:uiPriority w:val="50"/>
    <w:rsid w:val="00D276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F8" w:themeFill="accent5" w:themeFillTint="33"/>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ACDC" w:themeFill="accent5"/>
      </w:tcPr>
    </w:tblStylePr>
    <w:tblStylePr w:type="lastRow">
      <w:rPr>
        <w:b w:val="0"/>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ACDC" w:themeFill="accent5"/>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ACDC" w:themeFill="accent5"/>
      </w:tcPr>
    </w:tblStylePr>
    <w:tblStylePr w:type="lastCol">
      <w:rPr>
        <w:b w:val="0"/>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ACDC" w:themeFill="accent5"/>
      </w:tcPr>
    </w:tblStylePr>
    <w:tblStylePr w:type="band1Vert">
      <w:tblPr/>
      <w:tcPr>
        <w:shd w:val="clear" w:color="auto" w:fill="C1DDF1" w:themeFill="accent5" w:themeFillTint="66"/>
      </w:tcPr>
    </w:tblStylePr>
    <w:tblStylePr w:type="band1Horz">
      <w:tblPr/>
      <w:tcPr>
        <w:shd w:val="clear" w:color="auto" w:fill="C1DDF1" w:themeFill="accent5" w:themeFillTint="66"/>
      </w:tcPr>
    </w:tblStylePr>
  </w:style>
  <w:style w:type="table" w:styleId="GridTable5Dark-Accent6">
    <w:name w:val="Grid Table 5 Dark Accent 6"/>
    <w:basedOn w:val="TableNormal"/>
    <w:uiPriority w:val="50"/>
    <w:rsid w:val="00D276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BF6" w:themeFill="accent6" w:themeFillTint="33"/>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A0D5" w:themeFill="accent6"/>
      </w:tcPr>
    </w:tblStylePr>
    <w:tblStylePr w:type="lastRow">
      <w:rPr>
        <w:b w:val="0"/>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A0D5" w:themeFill="accent6"/>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A0D5" w:themeFill="accent6"/>
      </w:tcPr>
    </w:tblStylePr>
    <w:tblStylePr w:type="lastCol">
      <w:rPr>
        <w:b w:val="0"/>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A0D5" w:themeFill="accent6"/>
      </w:tcPr>
    </w:tblStylePr>
    <w:tblStylePr w:type="band1Vert">
      <w:tblPr/>
      <w:tcPr>
        <w:shd w:val="clear" w:color="auto" w:fill="D9D8EE" w:themeFill="accent6" w:themeFillTint="66"/>
      </w:tcPr>
    </w:tblStylePr>
    <w:tblStylePr w:type="band1Horz">
      <w:tblPr/>
      <w:tcPr>
        <w:shd w:val="clear" w:color="auto" w:fill="D9D8EE" w:themeFill="accent6" w:themeFillTint="66"/>
      </w:tcPr>
    </w:tblStylePr>
  </w:style>
  <w:style w:type="table" w:styleId="GridTable6Colorful">
    <w:name w:val="Grid Table 6 Colorful"/>
    <w:basedOn w:val="TableNormal"/>
    <w:uiPriority w:val="51"/>
    <w:rsid w:val="00D2761C"/>
    <w:rPr>
      <w:color w:val="000000" w:themeColor="text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rPr>
      <w:tblPr/>
      <w:tcPr>
        <w:tcBorders>
          <w:bottom w:val="single" w:sz="12" w:space="0" w:color="666666" w:themeColor="text1" w:themeTint="99"/>
        </w:tcBorders>
      </w:tcPr>
    </w:tblStylePr>
    <w:tblStylePr w:type="lastRow">
      <w:rPr>
        <w:b w:val="0"/>
        <w:bCs/>
      </w:rPr>
      <w:tblPr/>
      <w:tcPr>
        <w:tcBorders>
          <w:top w:val="double" w:sz="4" w:space="0" w:color="666666" w:themeColor="text1" w:themeTint="99"/>
        </w:tcBorders>
      </w:tcPr>
    </w:tblStylePr>
    <w:tblStylePr w:type="firstCol">
      <w:rPr>
        <w:b w:val="0"/>
        <w:bCs/>
      </w:rPr>
    </w:tblStylePr>
    <w:tblStylePr w:type="lastCol">
      <w:rPr>
        <w:b w:val="0"/>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61C"/>
    <w:rPr>
      <w:color w:val="0F1835" w:themeColor="accent1" w:themeShade="BF"/>
    </w:rPr>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insideH w:val="single" w:sz="4" w:space="0" w:color="142147" w:themeColor="accent1"/>
        <w:insideV w:val="single" w:sz="4" w:space="0" w:color="142147" w:themeColor="accent1"/>
      </w:tblBorders>
    </w:tblPr>
    <w:tblStylePr w:type="firstRow">
      <w:rPr>
        <w:b w:val="0"/>
        <w:bCs/>
      </w:rPr>
      <w:tblPr/>
      <w:tcPr>
        <w:tcBorders>
          <w:bottom w:val="single" w:sz="12" w:space="0" w:color="auto"/>
        </w:tcBorders>
      </w:tcPr>
    </w:tblStylePr>
    <w:tblStylePr w:type="lastRow">
      <w:rPr>
        <w:b w:val="0"/>
        <w:bCs/>
      </w:rPr>
      <w:tblPr/>
      <w:tcPr>
        <w:tcBorders>
          <w:top w:val="double" w:sz="4" w:space="0" w:color="142147" w:themeColor="accent1"/>
        </w:tcBorders>
      </w:tcPr>
    </w:tblStylePr>
    <w:tblStylePr w:type="firstCol">
      <w:rPr>
        <w:b w:val="0"/>
        <w:bCs/>
      </w:rPr>
    </w:tblStylePr>
    <w:tblStylePr w:type="lastCol">
      <w:rPr>
        <w:b w:val="0"/>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table" w:styleId="GridTable6Colorful-Accent2">
    <w:name w:val="Grid Table 6 Colorful Accent 2"/>
    <w:basedOn w:val="TableNormal"/>
    <w:uiPriority w:val="51"/>
    <w:rsid w:val="00D2761C"/>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insideV w:val="single" w:sz="4" w:space="0" w:color="701F4D" w:themeColor="accent2"/>
      </w:tblBorders>
    </w:tblPr>
    <w:tblStylePr w:type="firstRow">
      <w:rPr>
        <w:b w:val="0"/>
        <w:bCs/>
      </w:rPr>
      <w:tblPr/>
      <w:tcPr>
        <w:tcBorders>
          <w:bottom w:val="single" w:sz="12" w:space="0" w:color="701F4D" w:themeColor="accent2"/>
        </w:tcBorders>
      </w:tcPr>
    </w:tblStylePr>
    <w:tblStylePr w:type="lastRow">
      <w:rPr>
        <w:b w:val="0"/>
        <w:bCs/>
      </w:rPr>
      <w:tblPr/>
      <w:tcPr>
        <w:tcBorders>
          <w:top w:val="double" w:sz="4" w:space="0" w:color="701F4D" w:themeColor="accent2"/>
        </w:tcBorders>
      </w:tcPr>
    </w:tblStylePr>
    <w:tblStylePr w:type="firstCol">
      <w:rPr>
        <w:b w:val="0"/>
        <w:bCs/>
      </w:rPr>
    </w:tblStylePr>
    <w:tblStylePr w:type="lastCol">
      <w:rPr>
        <w:b w:val="0"/>
        <w:bCs/>
      </w:rPr>
    </w:tblStylePr>
    <w:tblStylePr w:type="band1Vert">
      <w:tblPr/>
      <w:tcPr>
        <w:shd w:val="clear" w:color="auto" w:fill="EFC5DC" w:themeFill="accent2" w:themeFillTint="33"/>
      </w:tcPr>
    </w:tblStylePr>
    <w:tblStylePr w:type="band1Horz">
      <w:tblPr/>
      <w:tcPr>
        <w:shd w:val="clear" w:color="auto" w:fill="EFC5DC" w:themeFill="accent2" w:themeFillTint="33"/>
      </w:tcPr>
    </w:tblStylePr>
  </w:style>
  <w:style w:type="table" w:styleId="GridTable6Colorful-Accent3">
    <w:name w:val="Grid Table 6 Colorful Accent 3"/>
    <w:basedOn w:val="TableNormal"/>
    <w:uiPriority w:val="51"/>
    <w:rsid w:val="00D2761C"/>
    <w:rPr>
      <w:color w:val="B49468" w:themeColor="accent3" w:themeShade="BF"/>
    </w:rPr>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insideH w:val="single" w:sz="4" w:space="0" w:color="D4C2A8" w:themeColor="accent3"/>
        <w:insideV w:val="single" w:sz="4" w:space="0" w:color="D4C2A8" w:themeColor="accent3"/>
      </w:tblBorders>
    </w:tblPr>
    <w:tblStylePr w:type="firstRow">
      <w:rPr>
        <w:b w:val="0"/>
        <w:bCs/>
      </w:rPr>
      <w:tblPr/>
      <w:tcPr>
        <w:tcBorders>
          <w:bottom w:val="single" w:sz="12" w:space="0" w:color="D4C2A8" w:themeColor="accent3"/>
        </w:tcBorders>
      </w:tcPr>
    </w:tblStylePr>
    <w:tblStylePr w:type="lastRow">
      <w:rPr>
        <w:b w:val="0"/>
        <w:bCs/>
      </w:rPr>
      <w:tblPr/>
      <w:tcPr>
        <w:tcBorders>
          <w:top w:val="double" w:sz="4" w:space="0" w:color="D4C2A8" w:themeColor="accent3"/>
        </w:tcBorders>
      </w:tcPr>
    </w:tblStylePr>
    <w:tblStylePr w:type="firstCol">
      <w:rPr>
        <w:b w:val="0"/>
        <w:bCs/>
      </w:rPr>
    </w:tblStylePr>
    <w:tblStylePr w:type="lastCol">
      <w:rPr>
        <w:b w:val="0"/>
        <w:bCs/>
      </w:rPr>
    </w:tblStylePr>
    <w:tblStylePr w:type="band1Vert">
      <w:tblPr/>
      <w:tcPr>
        <w:shd w:val="clear" w:color="auto" w:fill="F6F2ED" w:themeFill="accent3" w:themeFillTint="33"/>
      </w:tcPr>
    </w:tblStylePr>
    <w:tblStylePr w:type="band1Horz">
      <w:tblPr/>
      <w:tcPr>
        <w:shd w:val="clear" w:color="auto" w:fill="F6F2ED" w:themeFill="accent3" w:themeFillTint="33"/>
      </w:tcPr>
    </w:tblStylePr>
  </w:style>
  <w:style w:type="table" w:styleId="GridTable6Colorful-Accent4">
    <w:name w:val="Grid Table 6 Colorful Accent 4"/>
    <w:basedOn w:val="TableNormal"/>
    <w:uiPriority w:val="51"/>
    <w:rsid w:val="00D2761C"/>
    <w:rPr>
      <w:color w:val="D4C2A8" w:themeColor="accent3"/>
    </w:rPr>
    <w:tblPr>
      <w:tblStyleRowBandSize w:val="1"/>
      <w:tblStyleColBandSize w:val="1"/>
      <w:tblBorders>
        <w:top w:val="single" w:sz="4" w:space="0" w:color="8565C5" w:themeColor="accent4" w:themeTint="99"/>
        <w:left w:val="single" w:sz="4" w:space="0" w:color="8565C5" w:themeColor="accent4" w:themeTint="99"/>
        <w:bottom w:val="single" w:sz="4" w:space="0" w:color="8565C5" w:themeColor="accent4" w:themeTint="99"/>
        <w:right w:val="single" w:sz="4" w:space="0" w:color="8565C5" w:themeColor="accent4" w:themeTint="99"/>
        <w:insideH w:val="single" w:sz="4" w:space="0" w:color="8565C5" w:themeColor="accent4" w:themeTint="99"/>
        <w:insideV w:val="single" w:sz="4" w:space="0" w:color="8565C5" w:themeColor="accent4" w:themeTint="99"/>
      </w:tblBorders>
    </w:tblPr>
    <w:tblStylePr w:type="firstRow">
      <w:rPr>
        <w:b w:val="0"/>
        <w:bCs/>
      </w:rPr>
      <w:tblPr/>
      <w:tcPr>
        <w:tcBorders>
          <w:bottom w:val="single" w:sz="12" w:space="0" w:color="8565C5" w:themeColor="accent4" w:themeTint="99"/>
        </w:tcBorders>
      </w:tcPr>
    </w:tblStylePr>
    <w:tblStylePr w:type="lastRow">
      <w:rPr>
        <w:b w:val="0"/>
        <w:bCs/>
      </w:rPr>
      <w:tblPr/>
      <w:tcPr>
        <w:tcBorders>
          <w:top w:val="double" w:sz="4" w:space="0" w:color="8565C5" w:themeColor="accent4" w:themeTint="99"/>
        </w:tcBorders>
      </w:tcPr>
    </w:tblStylePr>
    <w:tblStylePr w:type="firstCol">
      <w:rPr>
        <w:b w:val="0"/>
        <w:bCs/>
      </w:rPr>
    </w:tblStylePr>
    <w:tblStylePr w:type="lastCol">
      <w:rPr>
        <w:b w:val="0"/>
        <w:bCs/>
        <w:color w:val="D4C2A8" w:themeColor="accent3"/>
      </w:rPr>
    </w:tblStylePr>
    <w:tblStylePr w:type="band1Vert">
      <w:tblPr/>
      <w:tcPr>
        <w:shd w:val="clear" w:color="auto" w:fill="D6CBEB" w:themeFill="accent4" w:themeFillTint="33"/>
      </w:tcPr>
    </w:tblStylePr>
    <w:tblStylePr w:type="band1Horz">
      <w:tblPr/>
      <w:tcPr>
        <w:shd w:val="clear" w:color="auto" w:fill="D6CBEB" w:themeFill="accent4" w:themeFillTint="33"/>
      </w:tcPr>
    </w:tblStylePr>
  </w:style>
  <w:style w:type="table" w:styleId="GridTable6Colorful-Accent5">
    <w:name w:val="Grid Table 6 Colorful Accent 5"/>
    <w:basedOn w:val="TableNormal"/>
    <w:uiPriority w:val="51"/>
    <w:rsid w:val="00D2761C"/>
    <w:rPr>
      <w:color w:val="142147" w:themeColor="accent1"/>
    </w:rPr>
    <w:tblPr>
      <w:tblStyleRowBandSize w:val="1"/>
      <w:tblStyleColBandSize w:val="1"/>
      <w:tblBorders>
        <w:top w:val="single" w:sz="4" w:space="0" w:color="A2CDEA" w:themeColor="accent5" w:themeTint="99"/>
        <w:left w:val="single" w:sz="4" w:space="0" w:color="A2CDEA" w:themeColor="accent5" w:themeTint="99"/>
        <w:bottom w:val="single" w:sz="4" w:space="0" w:color="A2CDEA" w:themeColor="accent5" w:themeTint="99"/>
        <w:right w:val="single" w:sz="4" w:space="0" w:color="A2CDEA" w:themeColor="accent5" w:themeTint="99"/>
        <w:insideH w:val="single" w:sz="4" w:space="0" w:color="A2CDEA" w:themeColor="accent5" w:themeTint="99"/>
        <w:insideV w:val="single" w:sz="4" w:space="0" w:color="A2CDEA" w:themeColor="accent5" w:themeTint="99"/>
      </w:tblBorders>
    </w:tblPr>
    <w:tblStylePr w:type="firstRow">
      <w:rPr>
        <w:b w:val="0"/>
        <w:bCs/>
      </w:rPr>
      <w:tblPr/>
      <w:tcPr>
        <w:tcBorders>
          <w:bottom w:val="single" w:sz="12" w:space="0" w:color="A2CDEA" w:themeColor="accent5" w:themeTint="99"/>
        </w:tcBorders>
      </w:tcPr>
    </w:tblStylePr>
    <w:tblStylePr w:type="lastRow">
      <w:rPr>
        <w:b w:val="0"/>
        <w:bCs/>
      </w:rPr>
      <w:tblPr/>
      <w:tcPr>
        <w:tcBorders>
          <w:top w:val="double" w:sz="4" w:space="0" w:color="A2CDEA" w:themeColor="accent5" w:themeTint="99"/>
        </w:tcBorders>
      </w:tcPr>
    </w:tblStylePr>
    <w:tblStylePr w:type="firstCol">
      <w:rPr>
        <w:b w:val="0"/>
        <w:bCs/>
      </w:rPr>
    </w:tblStylePr>
    <w:tblStylePr w:type="lastCol">
      <w:rPr>
        <w:b w:val="0"/>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table" w:styleId="GridTable6Colorful-Accent6">
    <w:name w:val="Grid Table 6 Colorful Accent 6"/>
    <w:basedOn w:val="TableNormal"/>
    <w:uiPriority w:val="51"/>
    <w:rsid w:val="00D2761C"/>
    <w:rPr>
      <w:color w:val="701F4D" w:themeColor="accent2"/>
    </w:rPr>
    <w:tblPr>
      <w:tblStyleRowBandSize w:val="1"/>
      <w:tblStyleColBandSize w:val="1"/>
      <w:tblBorders>
        <w:top w:val="single" w:sz="4" w:space="0" w:color="C6C5E5" w:themeColor="accent6" w:themeTint="99"/>
        <w:left w:val="single" w:sz="4" w:space="0" w:color="C6C5E5" w:themeColor="accent6" w:themeTint="99"/>
        <w:bottom w:val="single" w:sz="4" w:space="0" w:color="C6C5E5" w:themeColor="accent6" w:themeTint="99"/>
        <w:right w:val="single" w:sz="4" w:space="0" w:color="C6C5E5" w:themeColor="accent6" w:themeTint="99"/>
        <w:insideH w:val="single" w:sz="4" w:space="0" w:color="C6C5E5" w:themeColor="accent6" w:themeTint="99"/>
        <w:insideV w:val="single" w:sz="4" w:space="0" w:color="C6C5E5" w:themeColor="accent6" w:themeTint="99"/>
      </w:tblBorders>
    </w:tblPr>
    <w:tblStylePr w:type="firstRow">
      <w:rPr>
        <w:b w:val="0"/>
        <w:bCs/>
      </w:rPr>
      <w:tblPr/>
      <w:tcPr>
        <w:tcBorders>
          <w:bottom w:val="single" w:sz="12" w:space="0" w:color="C6C5E5" w:themeColor="accent6" w:themeTint="99"/>
        </w:tcBorders>
      </w:tcPr>
    </w:tblStylePr>
    <w:tblStylePr w:type="lastRow">
      <w:rPr>
        <w:b w:val="0"/>
        <w:bCs/>
      </w:rPr>
      <w:tblPr/>
      <w:tcPr>
        <w:tcBorders>
          <w:top w:val="double" w:sz="4" w:space="0" w:color="C6C5E5" w:themeColor="accent6" w:themeTint="99"/>
        </w:tcBorders>
      </w:tcPr>
    </w:tblStylePr>
    <w:tblStylePr w:type="firstCol">
      <w:rPr>
        <w:b w:val="0"/>
        <w:bCs/>
      </w:rPr>
    </w:tblStylePr>
    <w:tblStylePr w:type="lastCol">
      <w:rPr>
        <w:b w:val="0"/>
        <w:bCs/>
      </w:rPr>
    </w:tblStylePr>
    <w:tblStylePr w:type="band1Vert">
      <w:tblPr/>
      <w:tcPr>
        <w:shd w:val="clear" w:color="auto" w:fill="ECEBF6" w:themeFill="accent6" w:themeFillTint="33"/>
      </w:tcPr>
    </w:tblStylePr>
    <w:tblStylePr w:type="band1Horz">
      <w:tblPr/>
      <w:tcPr>
        <w:shd w:val="clear" w:color="auto" w:fill="ECEBF6" w:themeFill="accent6" w:themeFillTint="33"/>
      </w:tcPr>
    </w:tblStylePr>
  </w:style>
  <w:style w:type="table" w:styleId="ListTable4">
    <w:name w:val="List Table 4"/>
    <w:basedOn w:val="TableNormal"/>
    <w:uiPriority w:val="49"/>
    <w:rsid w:val="00D2761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val="0"/>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val="0"/>
        <w:bCs/>
      </w:rPr>
      <w:tblPr/>
      <w:tcPr>
        <w:tcBorders>
          <w:top w:val="double" w:sz="4" w:space="0" w:color="666666" w:themeColor="text1" w:themeTint="99"/>
        </w:tcBorders>
      </w:tcPr>
    </w:tblStylePr>
    <w:tblStylePr w:type="firstCol">
      <w:rPr>
        <w:b w:val="0"/>
        <w:bCs/>
      </w:rPr>
    </w:tblStylePr>
    <w:tblStylePr w:type="lastCol">
      <w:rPr>
        <w:b w:val="0"/>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2">
    <w:name w:val="List Table 4 Accent 2"/>
    <w:basedOn w:val="TableNormal"/>
    <w:uiPriority w:val="49"/>
    <w:rsid w:val="00D2761C"/>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insideH w:val="single" w:sz="4" w:space="0" w:color="701F4D" w:themeColor="accent2"/>
      </w:tblBorders>
    </w:tblPr>
    <w:tblStylePr w:type="firstRow">
      <w:rPr>
        <w:b w:val="0"/>
        <w:bCs/>
        <w:color w:val="FFFFFF" w:themeColor="background1"/>
      </w:rPr>
      <w:tblPr/>
      <w:tcPr>
        <w:tcBorders>
          <w:top w:val="single" w:sz="4" w:space="0" w:color="701F4D" w:themeColor="accent2"/>
          <w:left w:val="single" w:sz="4" w:space="0" w:color="701F4D" w:themeColor="accent2"/>
          <w:bottom w:val="single" w:sz="4" w:space="0" w:color="701F4D" w:themeColor="accent2"/>
          <w:right w:val="single" w:sz="4" w:space="0" w:color="701F4D" w:themeColor="accent2"/>
          <w:insideH w:val="nil"/>
        </w:tcBorders>
        <w:shd w:val="clear" w:color="auto" w:fill="701F4D" w:themeFill="accent2"/>
      </w:tcPr>
    </w:tblStylePr>
    <w:tblStylePr w:type="lastRow">
      <w:rPr>
        <w:b w:val="0"/>
        <w:bCs/>
      </w:rPr>
      <w:tblPr/>
      <w:tcPr>
        <w:tcBorders>
          <w:top w:val="double" w:sz="4" w:space="0" w:color="CF5298" w:themeColor="accent2" w:themeTint="99"/>
        </w:tcBorders>
      </w:tcPr>
    </w:tblStylePr>
    <w:tblStylePr w:type="firstCol">
      <w:rPr>
        <w:b w:val="0"/>
        <w:bCs/>
      </w:rPr>
    </w:tblStylePr>
    <w:tblStylePr w:type="lastCol">
      <w:rPr>
        <w:b w:val="0"/>
        <w:bCs/>
      </w:rPr>
    </w:tblStylePr>
    <w:tblStylePr w:type="band1Vert">
      <w:tblPr/>
      <w:tcPr>
        <w:shd w:val="clear" w:color="auto" w:fill="EFC5DC" w:themeFill="accent2" w:themeFillTint="33"/>
      </w:tcPr>
    </w:tblStylePr>
    <w:tblStylePr w:type="band1Horz">
      <w:tblPr/>
      <w:tcPr>
        <w:shd w:val="clear" w:color="auto" w:fill="EFC5DC" w:themeFill="accent2" w:themeFillTint="33"/>
      </w:tcPr>
    </w:tblStylePr>
  </w:style>
  <w:style w:type="table" w:styleId="ListTable4-Accent3">
    <w:name w:val="List Table 4 Accent 3"/>
    <w:basedOn w:val="TableNormal"/>
    <w:uiPriority w:val="49"/>
    <w:rsid w:val="00D2761C"/>
    <w:tblPr>
      <w:tblStyleRowBandSize w:val="1"/>
      <w:tblStyleColBandSize w:val="1"/>
      <w:tblBorders>
        <w:top w:val="single" w:sz="4" w:space="0" w:color="E5DACA" w:themeColor="accent3" w:themeTint="99"/>
        <w:left w:val="single" w:sz="4" w:space="0" w:color="E5DACA" w:themeColor="accent3" w:themeTint="99"/>
        <w:bottom w:val="single" w:sz="4" w:space="0" w:color="E5DACA" w:themeColor="accent3" w:themeTint="99"/>
        <w:right w:val="single" w:sz="4" w:space="0" w:color="E5DACA" w:themeColor="accent3" w:themeTint="99"/>
        <w:insideH w:val="single" w:sz="4" w:space="0" w:color="E5DACA" w:themeColor="accent3" w:themeTint="99"/>
      </w:tblBorders>
    </w:tblPr>
    <w:tblStylePr w:type="firstRow">
      <w:rPr>
        <w:b w:val="0"/>
        <w:bCs/>
        <w:color w:val="FFFFFF" w:themeColor="background1"/>
      </w:rPr>
      <w:tblPr/>
      <w:tcPr>
        <w:tcBorders>
          <w:top w:val="single" w:sz="4" w:space="0" w:color="D4C2A8" w:themeColor="accent3"/>
          <w:left w:val="single" w:sz="4" w:space="0" w:color="D4C2A8" w:themeColor="accent3"/>
          <w:bottom w:val="single" w:sz="4" w:space="0" w:color="D4C2A8" w:themeColor="accent3"/>
          <w:right w:val="single" w:sz="4" w:space="0" w:color="D4C2A8" w:themeColor="accent3"/>
          <w:insideH w:val="nil"/>
        </w:tcBorders>
        <w:shd w:val="clear" w:color="auto" w:fill="D4C2A8" w:themeFill="accent3"/>
      </w:tcPr>
    </w:tblStylePr>
    <w:tblStylePr w:type="lastRow">
      <w:rPr>
        <w:b w:val="0"/>
        <w:bCs/>
      </w:rPr>
      <w:tblPr/>
      <w:tcPr>
        <w:tcBorders>
          <w:top w:val="double" w:sz="4" w:space="0" w:color="E5DACA" w:themeColor="accent3" w:themeTint="99"/>
        </w:tcBorders>
      </w:tcPr>
    </w:tblStylePr>
    <w:tblStylePr w:type="firstCol">
      <w:rPr>
        <w:b w:val="0"/>
        <w:bCs/>
      </w:rPr>
    </w:tblStylePr>
    <w:tblStylePr w:type="lastCol">
      <w:rPr>
        <w:b w:val="0"/>
        <w:bCs/>
      </w:rPr>
    </w:tblStylePr>
    <w:tblStylePr w:type="band1Vert">
      <w:tblPr/>
      <w:tcPr>
        <w:shd w:val="clear" w:color="auto" w:fill="F6F2ED" w:themeFill="accent3" w:themeFillTint="33"/>
      </w:tcPr>
    </w:tblStylePr>
    <w:tblStylePr w:type="band1Horz">
      <w:tblPr/>
      <w:tcPr>
        <w:shd w:val="clear" w:color="auto" w:fill="F6F2ED" w:themeFill="accent3" w:themeFillTint="33"/>
      </w:tcPr>
    </w:tblStylePr>
  </w:style>
  <w:style w:type="table" w:styleId="ListTable4-Accent4">
    <w:name w:val="List Table 4 Accent 4"/>
    <w:basedOn w:val="TableNormal"/>
    <w:uiPriority w:val="49"/>
    <w:rsid w:val="00D2761C"/>
    <w:tblPr>
      <w:tblStyleRowBandSize w:val="1"/>
      <w:tblStyleColBandSize w:val="1"/>
      <w:tblBorders>
        <w:top w:val="single" w:sz="4" w:space="0" w:color="8565C5" w:themeColor="accent4" w:themeTint="99"/>
        <w:left w:val="single" w:sz="4" w:space="0" w:color="8565C5" w:themeColor="accent4" w:themeTint="99"/>
        <w:bottom w:val="single" w:sz="4" w:space="0" w:color="8565C5" w:themeColor="accent4" w:themeTint="99"/>
        <w:right w:val="single" w:sz="4" w:space="0" w:color="8565C5" w:themeColor="accent4" w:themeTint="99"/>
        <w:insideH w:val="single" w:sz="4" w:space="0" w:color="8565C5" w:themeColor="accent4" w:themeTint="99"/>
      </w:tblBorders>
    </w:tblPr>
    <w:tblStylePr w:type="firstRow">
      <w:rPr>
        <w:b w:val="0"/>
        <w:bCs/>
        <w:color w:val="auto"/>
      </w:rPr>
      <w:tblPr/>
      <w:tcPr>
        <w:tcBorders>
          <w:top w:val="single" w:sz="4" w:space="0" w:color="432B73" w:themeColor="accent4"/>
          <w:left w:val="single" w:sz="4" w:space="0" w:color="432B73" w:themeColor="accent4"/>
          <w:bottom w:val="single" w:sz="4" w:space="0" w:color="432B73" w:themeColor="accent4"/>
          <w:right w:val="single" w:sz="4" w:space="0" w:color="432B73" w:themeColor="accent4"/>
          <w:insideH w:val="nil"/>
        </w:tcBorders>
        <w:shd w:val="clear" w:color="auto" w:fill="432B73" w:themeFill="accent4"/>
      </w:tcPr>
    </w:tblStylePr>
    <w:tblStylePr w:type="lastRow">
      <w:rPr>
        <w:b w:val="0"/>
        <w:bCs/>
      </w:rPr>
      <w:tblPr/>
      <w:tcPr>
        <w:tcBorders>
          <w:top w:val="double" w:sz="4" w:space="0" w:color="8565C5" w:themeColor="accent4" w:themeTint="99"/>
        </w:tcBorders>
      </w:tcPr>
    </w:tblStylePr>
    <w:tblStylePr w:type="firstCol">
      <w:rPr>
        <w:b w:val="0"/>
        <w:bCs/>
      </w:rPr>
    </w:tblStylePr>
    <w:tblStylePr w:type="lastCol">
      <w:rPr>
        <w:b w:val="0"/>
        <w:bCs/>
      </w:rPr>
    </w:tblStylePr>
    <w:tblStylePr w:type="band1Vert">
      <w:tblPr/>
      <w:tcPr>
        <w:shd w:val="clear" w:color="auto" w:fill="D6CBEB" w:themeFill="accent4" w:themeFillTint="33"/>
      </w:tcPr>
    </w:tblStylePr>
    <w:tblStylePr w:type="band1Horz">
      <w:tblPr/>
      <w:tcPr>
        <w:shd w:val="clear" w:color="auto" w:fill="D6CBEB" w:themeFill="accent4" w:themeFillTint="33"/>
      </w:tcPr>
    </w:tblStylePr>
  </w:style>
  <w:style w:type="table" w:styleId="ListTable4-Accent5">
    <w:name w:val="List Table 4 Accent 5"/>
    <w:basedOn w:val="TableNormal"/>
    <w:uiPriority w:val="49"/>
    <w:rsid w:val="00D2761C"/>
    <w:tblPr>
      <w:tblStyleRowBandSize w:val="1"/>
      <w:tblStyleColBandSize w:val="1"/>
      <w:tblBorders>
        <w:top w:val="single" w:sz="4" w:space="0" w:color="A2CDEA" w:themeColor="accent5" w:themeTint="99"/>
        <w:left w:val="single" w:sz="4" w:space="0" w:color="A2CDEA" w:themeColor="accent5" w:themeTint="99"/>
        <w:bottom w:val="single" w:sz="4" w:space="0" w:color="A2CDEA" w:themeColor="accent5" w:themeTint="99"/>
        <w:right w:val="single" w:sz="4" w:space="0" w:color="A2CDEA" w:themeColor="accent5" w:themeTint="99"/>
        <w:insideH w:val="single" w:sz="4" w:space="0" w:color="A2CDEA" w:themeColor="accent5" w:themeTint="99"/>
      </w:tblBorders>
    </w:tblPr>
    <w:tblStylePr w:type="firstRow">
      <w:rPr>
        <w:b w:val="0"/>
        <w:bCs/>
        <w:color w:val="auto"/>
      </w:rPr>
      <w:tblPr/>
      <w:tcPr>
        <w:tcBorders>
          <w:top w:val="single" w:sz="4" w:space="0" w:color="65ACDC" w:themeColor="accent5"/>
          <w:left w:val="single" w:sz="4" w:space="0" w:color="65ACDC" w:themeColor="accent5"/>
          <w:bottom w:val="single" w:sz="4" w:space="0" w:color="65ACDC" w:themeColor="accent5"/>
          <w:right w:val="single" w:sz="4" w:space="0" w:color="65ACDC" w:themeColor="accent5"/>
          <w:insideH w:val="nil"/>
        </w:tcBorders>
        <w:shd w:val="clear" w:color="auto" w:fill="65ACDC" w:themeFill="accent5"/>
      </w:tcPr>
    </w:tblStylePr>
    <w:tblStylePr w:type="lastRow">
      <w:rPr>
        <w:b w:val="0"/>
        <w:bCs/>
      </w:rPr>
      <w:tblPr/>
      <w:tcPr>
        <w:tcBorders>
          <w:top w:val="double" w:sz="4" w:space="0" w:color="A2CDEA" w:themeColor="accent5" w:themeTint="99"/>
        </w:tcBorders>
      </w:tcPr>
    </w:tblStylePr>
    <w:tblStylePr w:type="firstCol">
      <w:rPr>
        <w:b w:val="0"/>
        <w:bCs/>
      </w:rPr>
    </w:tblStylePr>
    <w:tblStylePr w:type="lastCol">
      <w:rPr>
        <w:b w:val="0"/>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table" w:styleId="ListTable4-Accent6">
    <w:name w:val="List Table 4 Accent 6"/>
    <w:basedOn w:val="TableNormal"/>
    <w:uiPriority w:val="49"/>
    <w:rsid w:val="00D2761C"/>
    <w:tblPr>
      <w:tblStyleRowBandSize w:val="1"/>
      <w:tblStyleColBandSize w:val="1"/>
      <w:tblBorders>
        <w:top w:val="single" w:sz="4" w:space="0" w:color="C6C5E5" w:themeColor="accent6" w:themeTint="99"/>
        <w:left w:val="single" w:sz="4" w:space="0" w:color="C6C5E5" w:themeColor="accent6" w:themeTint="99"/>
        <w:bottom w:val="single" w:sz="4" w:space="0" w:color="C6C5E5" w:themeColor="accent6" w:themeTint="99"/>
        <w:right w:val="single" w:sz="4" w:space="0" w:color="C6C5E5" w:themeColor="accent6" w:themeTint="99"/>
        <w:insideH w:val="single" w:sz="4" w:space="0" w:color="C6C5E5" w:themeColor="accent6" w:themeTint="99"/>
      </w:tblBorders>
    </w:tblPr>
    <w:tblStylePr w:type="firstRow">
      <w:rPr>
        <w:b w:val="0"/>
        <w:bCs/>
        <w:color w:val="auto"/>
      </w:rPr>
      <w:tblPr/>
      <w:tcPr>
        <w:tcBorders>
          <w:top w:val="single" w:sz="4" w:space="0" w:color="A2A0D5" w:themeColor="accent6"/>
          <w:left w:val="single" w:sz="4" w:space="0" w:color="A2A0D5" w:themeColor="accent6"/>
          <w:bottom w:val="single" w:sz="4" w:space="0" w:color="A2A0D5" w:themeColor="accent6"/>
          <w:right w:val="single" w:sz="4" w:space="0" w:color="A2A0D5" w:themeColor="accent6"/>
          <w:insideH w:val="nil"/>
        </w:tcBorders>
        <w:shd w:val="clear" w:color="auto" w:fill="A2A0D5" w:themeFill="accent6"/>
      </w:tcPr>
    </w:tblStylePr>
    <w:tblStylePr w:type="lastRow">
      <w:rPr>
        <w:b w:val="0"/>
        <w:bCs/>
      </w:rPr>
      <w:tblPr/>
      <w:tcPr>
        <w:tcBorders>
          <w:top w:val="double" w:sz="4" w:space="0" w:color="C6C5E5" w:themeColor="accent6" w:themeTint="99"/>
        </w:tcBorders>
      </w:tcPr>
    </w:tblStylePr>
    <w:tblStylePr w:type="firstCol">
      <w:rPr>
        <w:b w:val="0"/>
        <w:bCs/>
      </w:rPr>
    </w:tblStylePr>
    <w:tblStylePr w:type="lastCol">
      <w:rPr>
        <w:b w:val="0"/>
        <w:bCs/>
      </w:rPr>
    </w:tblStylePr>
    <w:tblStylePr w:type="band1Vert">
      <w:tblPr/>
      <w:tcPr>
        <w:shd w:val="clear" w:color="auto" w:fill="ECEBF6" w:themeFill="accent6" w:themeFillTint="33"/>
      </w:tcPr>
    </w:tblStylePr>
    <w:tblStylePr w:type="band1Horz">
      <w:tblPr/>
      <w:tcPr>
        <w:shd w:val="clear" w:color="auto" w:fill="ECEBF6" w:themeFill="accent6" w:themeFillTint="33"/>
      </w:tcPr>
    </w:tblStylePr>
  </w:style>
  <w:style w:type="table" w:styleId="ListTable3-Accent6">
    <w:name w:val="List Table 3 Accent 6"/>
    <w:basedOn w:val="TableNormal"/>
    <w:uiPriority w:val="48"/>
    <w:rsid w:val="00D2761C"/>
    <w:tblPr>
      <w:tblStyleRowBandSize w:val="1"/>
      <w:tblStyleColBandSize w:val="1"/>
      <w:tblBorders>
        <w:top w:val="single" w:sz="4" w:space="0" w:color="A2A0D5" w:themeColor="accent6"/>
        <w:left w:val="single" w:sz="4" w:space="0" w:color="A2A0D5" w:themeColor="accent6"/>
        <w:bottom w:val="single" w:sz="4" w:space="0" w:color="A2A0D5" w:themeColor="accent6"/>
        <w:right w:val="single" w:sz="4" w:space="0" w:color="A2A0D5" w:themeColor="accent6"/>
      </w:tblBorders>
    </w:tblPr>
    <w:tblStylePr w:type="firstRow">
      <w:rPr>
        <w:b w:val="0"/>
        <w:bCs/>
        <w:color w:val="auto"/>
      </w:rPr>
      <w:tblPr/>
      <w:tcPr>
        <w:shd w:val="clear" w:color="auto" w:fill="A2A0D5" w:themeFill="accent6"/>
      </w:tcPr>
    </w:tblStylePr>
    <w:tblStylePr w:type="lastRow">
      <w:rPr>
        <w:b/>
        <w:bCs/>
      </w:rPr>
      <w:tblPr/>
      <w:tcPr>
        <w:tcBorders>
          <w:top w:val="double" w:sz="4" w:space="0" w:color="A2A0D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A0D5" w:themeColor="accent6"/>
          <w:right w:val="single" w:sz="4" w:space="0" w:color="A2A0D5" w:themeColor="accent6"/>
        </w:tcBorders>
      </w:tcPr>
    </w:tblStylePr>
    <w:tblStylePr w:type="band1Horz">
      <w:tblPr/>
      <w:tcPr>
        <w:tcBorders>
          <w:top w:val="single" w:sz="4" w:space="0" w:color="A2A0D5" w:themeColor="accent6"/>
          <w:bottom w:val="single" w:sz="4" w:space="0" w:color="A2A0D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A0D5" w:themeColor="accent6"/>
          <w:left w:val="nil"/>
        </w:tcBorders>
      </w:tcPr>
    </w:tblStylePr>
    <w:tblStylePr w:type="swCell">
      <w:tblPr/>
      <w:tcPr>
        <w:tcBorders>
          <w:top w:val="double" w:sz="4" w:space="0" w:color="A2A0D5" w:themeColor="accent6"/>
          <w:right w:val="nil"/>
        </w:tcBorders>
      </w:tcPr>
    </w:tblStylePr>
  </w:style>
  <w:style w:type="table" w:styleId="ListTable3-Accent5">
    <w:name w:val="List Table 3 Accent 5"/>
    <w:basedOn w:val="TableNormal"/>
    <w:uiPriority w:val="48"/>
    <w:rsid w:val="00D2761C"/>
    <w:tblPr>
      <w:tblStyleRowBandSize w:val="1"/>
      <w:tblStyleColBandSize w:val="1"/>
      <w:tblBorders>
        <w:top w:val="single" w:sz="4" w:space="0" w:color="65ACDC" w:themeColor="accent5"/>
        <w:left w:val="single" w:sz="4" w:space="0" w:color="65ACDC" w:themeColor="accent5"/>
        <w:bottom w:val="single" w:sz="4" w:space="0" w:color="65ACDC" w:themeColor="accent5"/>
        <w:right w:val="single" w:sz="4" w:space="0" w:color="65ACDC" w:themeColor="accent5"/>
      </w:tblBorders>
    </w:tblPr>
    <w:tblStylePr w:type="firstRow">
      <w:rPr>
        <w:b w:val="0"/>
        <w:bCs/>
        <w:color w:val="auto"/>
      </w:rPr>
      <w:tblPr/>
      <w:tcPr>
        <w:shd w:val="clear" w:color="auto" w:fill="65ACDC" w:themeFill="accent5"/>
      </w:tcPr>
    </w:tblStylePr>
    <w:tblStylePr w:type="lastRow">
      <w:rPr>
        <w:b/>
        <w:bCs/>
      </w:rPr>
      <w:tblPr/>
      <w:tcPr>
        <w:tcBorders>
          <w:top w:val="double" w:sz="4" w:space="0" w:color="65ACD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ACDC" w:themeColor="accent5"/>
          <w:right w:val="single" w:sz="4" w:space="0" w:color="65ACDC" w:themeColor="accent5"/>
        </w:tcBorders>
      </w:tcPr>
    </w:tblStylePr>
    <w:tblStylePr w:type="band1Horz">
      <w:tblPr/>
      <w:tcPr>
        <w:tcBorders>
          <w:top w:val="single" w:sz="4" w:space="0" w:color="65ACDC" w:themeColor="accent5"/>
          <w:bottom w:val="single" w:sz="4" w:space="0" w:color="65ACD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ACDC" w:themeColor="accent5"/>
          <w:left w:val="nil"/>
        </w:tcBorders>
      </w:tcPr>
    </w:tblStylePr>
    <w:tblStylePr w:type="swCell">
      <w:tblPr/>
      <w:tcPr>
        <w:tcBorders>
          <w:top w:val="double" w:sz="4" w:space="0" w:color="65ACDC" w:themeColor="accent5"/>
          <w:right w:val="nil"/>
        </w:tcBorders>
      </w:tcPr>
    </w:tblStylePr>
  </w:style>
  <w:style w:type="table" w:styleId="ListTable3-Accent4">
    <w:name w:val="List Table 3 Accent 4"/>
    <w:basedOn w:val="TableNormal"/>
    <w:uiPriority w:val="48"/>
    <w:rsid w:val="00D2761C"/>
    <w:tblPr>
      <w:tblStyleRowBandSize w:val="1"/>
      <w:tblStyleColBandSize w:val="1"/>
      <w:tblBorders>
        <w:top w:val="single" w:sz="4" w:space="0" w:color="432B73" w:themeColor="accent4"/>
        <w:left w:val="single" w:sz="4" w:space="0" w:color="432B73" w:themeColor="accent4"/>
        <w:bottom w:val="single" w:sz="4" w:space="0" w:color="432B73" w:themeColor="accent4"/>
        <w:right w:val="single" w:sz="4" w:space="0" w:color="432B73" w:themeColor="accent4"/>
      </w:tblBorders>
    </w:tblPr>
    <w:tblStylePr w:type="firstRow">
      <w:rPr>
        <w:b w:val="0"/>
        <w:bCs/>
        <w:color w:val="auto"/>
      </w:rPr>
      <w:tblPr/>
      <w:tcPr>
        <w:shd w:val="clear" w:color="auto" w:fill="432B73" w:themeFill="accent4"/>
      </w:tcPr>
    </w:tblStylePr>
    <w:tblStylePr w:type="lastRow">
      <w:rPr>
        <w:b/>
        <w:bCs/>
      </w:rPr>
      <w:tblPr/>
      <w:tcPr>
        <w:tcBorders>
          <w:top w:val="double" w:sz="4" w:space="0" w:color="432B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2B73" w:themeColor="accent4"/>
          <w:right w:val="single" w:sz="4" w:space="0" w:color="432B73" w:themeColor="accent4"/>
        </w:tcBorders>
      </w:tcPr>
    </w:tblStylePr>
    <w:tblStylePr w:type="band1Horz">
      <w:tblPr/>
      <w:tcPr>
        <w:tcBorders>
          <w:top w:val="single" w:sz="4" w:space="0" w:color="432B73" w:themeColor="accent4"/>
          <w:bottom w:val="single" w:sz="4" w:space="0" w:color="432B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2B73" w:themeColor="accent4"/>
          <w:left w:val="nil"/>
        </w:tcBorders>
      </w:tcPr>
    </w:tblStylePr>
    <w:tblStylePr w:type="swCell">
      <w:tblPr/>
      <w:tcPr>
        <w:tcBorders>
          <w:top w:val="double" w:sz="4" w:space="0" w:color="432B73" w:themeColor="accent4"/>
          <w:right w:val="nil"/>
        </w:tcBorders>
      </w:tcPr>
    </w:tblStylePr>
  </w:style>
  <w:style w:type="table" w:styleId="ListTable3-Accent3">
    <w:name w:val="List Table 3 Accent 3"/>
    <w:basedOn w:val="TableNormal"/>
    <w:uiPriority w:val="48"/>
    <w:rsid w:val="003316D7"/>
    <w:tblPr>
      <w:tblStyleRowBandSize w:val="1"/>
      <w:tblStyleColBandSize w:val="1"/>
      <w:tblBorders>
        <w:top w:val="single" w:sz="4" w:space="0" w:color="D4C2A8" w:themeColor="accent3"/>
        <w:left w:val="single" w:sz="4" w:space="0" w:color="D4C2A8" w:themeColor="accent3"/>
        <w:bottom w:val="single" w:sz="4" w:space="0" w:color="D4C2A8" w:themeColor="accent3"/>
        <w:right w:val="single" w:sz="4" w:space="0" w:color="D4C2A8" w:themeColor="accent3"/>
      </w:tblBorders>
    </w:tblPr>
    <w:tblStylePr w:type="firstRow">
      <w:rPr>
        <w:b w:val="0"/>
        <w:bCs/>
        <w:color w:val="000000" w:themeColor="text1"/>
      </w:rPr>
      <w:tblPr/>
      <w:tcPr>
        <w:shd w:val="clear" w:color="auto" w:fill="D4C2A8" w:themeFill="accent3"/>
      </w:tcPr>
    </w:tblStylePr>
    <w:tblStylePr w:type="lastRow">
      <w:rPr>
        <w:b/>
        <w:bCs/>
      </w:rPr>
      <w:tblPr/>
      <w:tcPr>
        <w:tcBorders>
          <w:top w:val="double" w:sz="4" w:space="0" w:color="D4C2A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C2A8" w:themeColor="accent3"/>
          <w:right w:val="single" w:sz="4" w:space="0" w:color="D4C2A8" w:themeColor="accent3"/>
        </w:tcBorders>
      </w:tcPr>
    </w:tblStylePr>
    <w:tblStylePr w:type="band1Horz">
      <w:tblPr/>
      <w:tcPr>
        <w:tcBorders>
          <w:top w:val="single" w:sz="4" w:space="0" w:color="D4C2A8" w:themeColor="accent3"/>
          <w:bottom w:val="single" w:sz="4" w:space="0" w:color="D4C2A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C2A8" w:themeColor="accent3"/>
          <w:left w:val="nil"/>
        </w:tcBorders>
      </w:tcPr>
    </w:tblStylePr>
    <w:tblStylePr w:type="swCell">
      <w:tblPr/>
      <w:tcPr>
        <w:tcBorders>
          <w:top w:val="double" w:sz="4" w:space="0" w:color="D4C2A8" w:themeColor="accent3"/>
          <w:right w:val="nil"/>
        </w:tcBorders>
      </w:tcPr>
    </w:tblStylePr>
  </w:style>
  <w:style w:type="table" w:styleId="ListTable3-Accent2">
    <w:name w:val="List Table 3 Accent 2"/>
    <w:basedOn w:val="TableNormal"/>
    <w:uiPriority w:val="48"/>
    <w:rsid w:val="003316D7"/>
    <w:tblPr>
      <w:tblStyleRowBandSize w:val="1"/>
      <w:tblStyleColBandSize w:val="1"/>
      <w:tblBorders>
        <w:top w:val="single" w:sz="4" w:space="0" w:color="701F4D" w:themeColor="accent2"/>
        <w:left w:val="single" w:sz="4" w:space="0" w:color="701F4D" w:themeColor="accent2"/>
        <w:bottom w:val="single" w:sz="4" w:space="0" w:color="701F4D" w:themeColor="accent2"/>
        <w:right w:val="single" w:sz="4" w:space="0" w:color="701F4D" w:themeColor="accent2"/>
      </w:tblBorders>
    </w:tblPr>
    <w:tblStylePr w:type="firstRow">
      <w:rPr>
        <w:b w:val="0"/>
        <w:bCs/>
        <w:color w:val="FFFFFF" w:themeColor="background1"/>
      </w:rPr>
      <w:tblPr/>
      <w:tcPr>
        <w:shd w:val="clear" w:color="auto" w:fill="701F4D" w:themeFill="accent2"/>
      </w:tcPr>
    </w:tblStylePr>
    <w:tblStylePr w:type="lastRow">
      <w:rPr>
        <w:b/>
        <w:bCs/>
      </w:rPr>
      <w:tblPr/>
      <w:tcPr>
        <w:tcBorders>
          <w:top w:val="double" w:sz="4" w:space="0" w:color="701F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1F4D" w:themeColor="accent2"/>
          <w:right w:val="single" w:sz="4" w:space="0" w:color="701F4D" w:themeColor="accent2"/>
        </w:tcBorders>
      </w:tcPr>
    </w:tblStylePr>
    <w:tblStylePr w:type="band1Horz">
      <w:tblPr/>
      <w:tcPr>
        <w:tcBorders>
          <w:top w:val="single" w:sz="4" w:space="0" w:color="701F4D" w:themeColor="accent2"/>
          <w:bottom w:val="single" w:sz="4" w:space="0" w:color="701F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1F4D" w:themeColor="accent2"/>
          <w:left w:val="nil"/>
        </w:tcBorders>
      </w:tcPr>
    </w:tblStylePr>
    <w:tblStylePr w:type="swCell">
      <w:tblPr/>
      <w:tcPr>
        <w:tcBorders>
          <w:top w:val="double" w:sz="4" w:space="0" w:color="701F4D" w:themeColor="accent2"/>
          <w:right w:val="nil"/>
        </w:tcBorders>
      </w:tcPr>
    </w:tblStylePr>
  </w:style>
  <w:style w:type="table" w:styleId="ListTable3-Accent1">
    <w:name w:val="List Table 3 Accent 1"/>
    <w:basedOn w:val="TableNormal"/>
    <w:uiPriority w:val="48"/>
    <w:rsid w:val="00F37E87"/>
    <w:tblPr>
      <w:tblStyleRowBandSize w:val="1"/>
      <w:tblStyleColBandSize w:val="1"/>
      <w:tblBorders>
        <w:top w:val="single" w:sz="4" w:space="0" w:color="142147" w:themeColor="accent1"/>
        <w:left w:val="single" w:sz="4" w:space="0" w:color="142147" w:themeColor="accent1"/>
        <w:bottom w:val="single" w:sz="4" w:space="0" w:color="142147" w:themeColor="accent1"/>
        <w:right w:val="single" w:sz="4" w:space="0" w:color="142147" w:themeColor="accent1"/>
      </w:tblBorders>
    </w:tblPr>
    <w:trPr>
      <w:cantSplit/>
    </w:trPr>
    <w:tblStylePr w:type="firstRow">
      <w:rPr>
        <w:b w:val="0"/>
        <w:bCs/>
        <w:color w:val="FFFFFF" w:themeColor="background1"/>
      </w:rPr>
      <w:tblPr/>
      <w:tcPr>
        <w:shd w:val="clear" w:color="auto" w:fill="142147" w:themeFill="accent1"/>
      </w:tcPr>
    </w:tblStylePr>
    <w:tblStylePr w:type="lastRow">
      <w:rPr>
        <w:b/>
        <w:bCs/>
      </w:rPr>
      <w:tblPr/>
      <w:tcPr>
        <w:tcBorders>
          <w:top w:val="double" w:sz="4" w:space="0" w:color="1421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2147" w:themeColor="accent1"/>
          <w:right w:val="single" w:sz="4" w:space="0" w:color="142147" w:themeColor="accent1"/>
        </w:tcBorders>
      </w:tcPr>
    </w:tblStylePr>
    <w:tblStylePr w:type="band1Horz">
      <w:tblPr/>
      <w:tcPr>
        <w:tcBorders>
          <w:top w:val="single" w:sz="4" w:space="0" w:color="142147" w:themeColor="accent1"/>
          <w:bottom w:val="single" w:sz="4" w:space="0" w:color="1421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2147" w:themeColor="accent1"/>
          <w:left w:val="nil"/>
        </w:tcBorders>
      </w:tcPr>
    </w:tblStylePr>
    <w:tblStylePr w:type="swCell">
      <w:tblPr/>
      <w:tcPr>
        <w:tcBorders>
          <w:top w:val="double" w:sz="4" w:space="0" w:color="142147" w:themeColor="accent1"/>
          <w:right w:val="nil"/>
        </w:tcBorders>
      </w:tcPr>
    </w:tblStylePr>
  </w:style>
  <w:style w:type="table" w:styleId="ListTable3">
    <w:name w:val="List Table 3"/>
    <w:basedOn w:val="TableNormal"/>
    <w:uiPriority w:val="48"/>
    <w:rsid w:val="00D2761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val="0"/>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3">
    <w:name w:val="List 3"/>
    <w:basedOn w:val="Normal"/>
    <w:semiHidden/>
    <w:rsid w:val="00D2761C"/>
    <w:pPr>
      <w:ind w:left="849" w:hanging="283"/>
      <w:contextualSpacing/>
    </w:pPr>
  </w:style>
  <w:style w:type="paragraph" w:styleId="List4">
    <w:name w:val="List 4"/>
    <w:basedOn w:val="Normal"/>
    <w:semiHidden/>
    <w:rsid w:val="00D2761C"/>
    <w:pPr>
      <w:ind w:left="1132" w:hanging="283"/>
      <w:contextualSpacing/>
    </w:pPr>
  </w:style>
  <w:style w:type="paragraph" w:styleId="List5">
    <w:name w:val="List 5"/>
    <w:basedOn w:val="Normal"/>
    <w:semiHidden/>
    <w:rsid w:val="00D2761C"/>
    <w:pPr>
      <w:ind w:left="1415" w:hanging="283"/>
      <w:contextualSpacing/>
    </w:pPr>
  </w:style>
  <w:style w:type="paragraph" w:styleId="List">
    <w:name w:val="List"/>
    <w:basedOn w:val="Normal"/>
    <w:semiHidden/>
    <w:rsid w:val="00D2761C"/>
    <w:pPr>
      <w:ind w:left="283" w:hanging="283"/>
      <w:contextualSpacing/>
    </w:pPr>
  </w:style>
  <w:style w:type="paragraph" w:styleId="ListBullet">
    <w:name w:val="List Bullet"/>
    <w:basedOn w:val="Normal"/>
    <w:semiHidden/>
    <w:rsid w:val="00D2761C"/>
    <w:pPr>
      <w:numPr>
        <w:numId w:val="8"/>
      </w:numPr>
      <w:contextualSpacing/>
    </w:pPr>
  </w:style>
  <w:style w:type="paragraph" w:styleId="ListBullet2">
    <w:name w:val="List Bullet 2"/>
    <w:basedOn w:val="Normal"/>
    <w:semiHidden/>
    <w:rsid w:val="00D2761C"/>
    <w:pPr>
      <w:numPr>
        <w:numId w:val="9"/>
      </w:numPr>
      <w:contextualSpacing/>
    </w:pPr>
  </w:style>
  <w:style w:type="paragraph" w:styleId="ListBullet3">
    <w:name w:val="List Bullet 3"/>
    <w:basedOn w:val="Normal"/>
    <w:semiHidden/>
    <w:rsid w:val="00D2761C"/>
    <w:pPr>
      <w:numPr>
        <w:numId w:val="10"/>
      </w:numPr>
      <w:contextualSpacing/>
    </w:pPr>
  </w:style>
  <w:style w:type="paragraph" w:styleId="ListBullet4">
    <w:name w:val="List Bullet 4"/>
    <w:basedOn w:val="Normal"/>
    <w:semiHidden/>
    <w:rsid w:val="00D2761C"/>
    <w:pPr>
      <w:numPr>
        <w:numId w:val="11"/>
      </w:numPr>
      <w:contextualSpacing/>
    </w:pPr>
  </w:style>
  <w:style w:type="paragraph" w:styleId="ListBullet5">
    <w:name w:val="List Bullet 5"/>
    <w:basedOn w:val="Normal"/>
    <w:semiHidden/>
    <w:rsid w:val="00D2761C"/>
    <w:pPr>
      <w:numPr>
        <w:numId w:val="12"/>
      </w:numPr>
      <w:contextualSpacing/>
    </w:pPr>
  </w:style>
  <w:style w:type="paragraph" w:styleId="ListContinue">
    <w:name w:val="List Continue"/>
    <w:basedOn w:val="Normal"/>
    <w:semiHidden/>
    <w:rsid w:val="00D2761C"/>
    <w:pPr>
      <w:ind w:left="283"/>
      <w:contextualSpacing/>
    </w:pPr>
  </w:style>
  <w:style w:type="paragraph" w:styleId="ListContinue2">
    <w:name w:val="List Continue 2"/>
    <w:basedOn w:val="Normal"/>
    <w:semiHidden/>
    <w:rsid w:val="00D2761C"/>
    <w:pPr>
      <w:ind w:left="566"/>
      <w:contextualSpacing/>
    </w:pPr>
  </w:style>
  <w:style w:type="paragraph" w:styleId="ListContinue3">
    <w:name w:val="List Continue 3"/>
    <w:basedOn w:val="Normal"/>
    <w:semiHidden/>
    <w:rsid w:val="00D2761C"/>
    <w:pPr>
      <w:ind w:left="849"/>
      <w:contextualSpacing/>
    </w:pPr>
  </w:style>
  <w:style w:type="paragraph" w:styleId="ListContinue4">
    <w:name w:val="List Continue 4"/>
    <w:basedOn w:val="Normal"/>
    <w:semiHidden/>
    <w:rsid w:val="00D2761C"/>
    <w:pPr>
      <w:ind w:left="1132"/>
      <w:contextualSpacing/>
    </w:pPr>
  </w:style>
  <w:style w:type="paragraph" w:styleId="ListContinue5">
    <w:name w:val="List Continue 5"/>
    <w:basedOn w:val="Normal"/>
    <w:semiHidden/>
    <w:rsid w:val="00D2761C"/>
    <w:pPr>
      <w:ind w:left="1415"/>
      <w:contextualSpacing/>
    </w:pPr>
  </w:style>
  <w:style w:type="paragraph" w:styleId="ListNumber">
    <w:name w:val="List Number"/>
    <w:basedOn w:val="Normal"/>
    <w:semiHidden/>
    <w:rsid w:val="00D2761C"/>
    <w:pPr>
      <w:numPr>
        <w:numId w:val="13"/>
      </w:numPr>
      <w:contextualSpacing/>
    </w:pPr>
  </w:style>
  <w:style w:type="paragraph" w:styleId="ListNumber2">
    <w:name w:val="List Number 2"/>
    <w:basedOn w:val="Normal"/>
    <w:semiHidden/>
    <w:rsid w:val="00D2761C"/>
    <w:pPr>
      <w:numPr>
        <w:numId w:val="14"/>
      </w:numPr>
      <w:contextualSpacing/>
    </w:pPr>
  </w:style>
  <w:style w:type="paragraph" w:styleId="ListNumber3">
    <w:name w:val="List Number 3"/>
    <w:basedOn w:val="Normal"/>
    <w:semiHidden/>
    <w:rsid w:val="00D2761C"/>
    <w:pPr>
      <w:numPr>
        <w:numId w:val="15"/>
      </w:numPr>
      <w:contextualSpacing/>
    </w:pPr>
  </w:style>
  <w:style w:type="paragraph" w:styleId="ListNumber4">
    <w:name w:val="List Number 4"/>
    <w:basedOn w:val="Normal"/>
    <w:semiHidden/>
    <w:rsid w:val="00D2761C"/>
    <w:pPr>
      <w:numPr>
        <w:numId w:val="16"/>
      </w:numPr>
      <w:contextualSpacing/>
    </w:pPr>
  </w:style>
  <w:style w:type="paragraph" w:styleId="ListNumber5">
    <w:name w:val="List Number 5"/>
    <w:basedOn w:val="Normal"/>
    <w:semiHidden/>
    <w:rsid w:val="00D2761C"/>
    <w:pPr>
      <w:numPr>
        <w:numId w:val="19"/>
      </w:numPr>
      <w:contextualSpacing/>
    </w:pPr>
  </w:style>
  <w:style w:type="paragraph" w:styleId="MacroText">
    <w:name w:val="macro"/>
    <w:link w:val="MacroTextChar"/>
    <w:semiHidden/>
    <w:rsid w:val="00D2761C"/>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D2761C"/>
    <w:rPr>
      <w:rFonts w:ascii="Consolas" w:hAnsi="Consolas"/>
      <w:sz w:val="20"/>
      <w:szCs w:val="20"/>
    </w:rPr>
  </w:style>
  <w:style w:type="paragraph" w:styleId="BlockText">
    <w:name w:val="Block Text"/>
    <w:basedOn w:val="Normal"/>
    <w:semiHidden/>
    <w:rsid w:val="00D2761C"/>
    <w:pPr>
      <w:pBdr>
        <w:top w:val="single" w:sz="2" w:space="10" w:color="142147" w:themeColor="accent1"/>
        <w:left w:val="single" w:sz="2" w:space="10" w:color="142147" w:themeColor="accent1"/>
        <w:bottom w:val="single" w:sz="2" w:space="10" w:color="142147" w:themeColor="accent1"/>
        <w:right w:val="single" w:sz="2" w:space="10" w:color="142147" w:themeColor="accent1"/>
      </w:pBdr>
      <w:ind w:left="1152" w:right="1152"/>
    </w:pPr>
    <w:rPr>
      <w:rFonts w:asciiTheme="minorHAnsi" w:eastAsiaTheme="minorEastAsia" w:hAnsiTheme="minorHAnsi" w:cstheme="minorBidi"/>
      <w:i/>
      <w:iCs/>
      <w:color w:val="142147" w:themeColor="accent1"/>
    </w:rPr>
  </w:style>
  <w:style w:type="paragraph" w:styleId="Caption">
    <w:name w:val="caption"/>
    <w:basedOn w:val="Normal"/>
    <w:next w:val="Normal"/>
    <w:unhideWhenUsed/>
    <w:qFormat/>
    <w:rsid w:val="00D2761C"/>
    <w:pPr>
      <w:spacing w:before="0" w:after="200"/>
    </w:pPr>
    <w:rPr>
      <w:i/>
      <w:iCs/>
      <w:color w:val="5F5F5F" w:themeColor="text2"/>
      <w:sz w:val="18"/>
      <w:szCs w:val="18"/>
    </w:rPr>
  </w:style>
  <w:style w:type="paragraph" w:styleId="BodyText2">
    <w:name w:val="Body Text 2"/>
    <w:basedOn w:val="Normal"/>
    <w:link w:val="BodyText2Char"/>
    <w:semiHidden/>
    <w:rsid w:val="00D2761C"/>
    <w:pPr>
      <w:spacing w:line="480" w:lineRule="auto"/>
    </w:pPr>
  </w:style>
  <w:style w:type="character" w:customStyle="1" w:styleId="BodyText2Char">
    <w:name w:val="Body Text 2 Char"/>
    <w:basedOn w:val="DefaultParagraphFont"/>
    <w:link w:val="BodyText2"/>
    <w:semiHidden/>
    <w:rsid w:val="00D2761C"/>
  </w:style>
  <w:style w:type="paragraph" w:styleId="BodyText3">
    <w:name w:val="Body Text 3"/>
    <w:basedOn w:val="Normal"/>
    <w:link w:val="BodyText3Char"/>
    <w:semiHidden/>
    <w:rsid w:val="00D2761C"/>
    <w:rPr>
      <w:sz w:val="16"/>
      <w:szCs w:val="16"/>
    </w:rPr>
  </w:style>
  <w:style w:type="character" w:customStyle="1" w:styleId="BodyText3Char">
    <w:name w:val="Body Text 3 Char"/>
    <w:basedOn w:val="DefaultParagraphFont"/>
    <w:link w:val="BodyText3"/>
    <w:semiHidden/>
    <w:rsid w:val="00D2761C"/>
    <w:rPr>
      <w:sz w:val="16"/>
      <w:szCs w:val="16"/>
    </w:rPr>
  </w:style>
  <w:style w:type="paragraph" w:customStyle="1" w:styleId="KeyPointsHeading">
    <w:name w:val="Key Points Heading"/>
    <w:basedOn w:val="BoxHeading1"/>
    <w:qFormat/>
    <w:rsid w:val="00D2761C"/>
    <w:rPr>
      <w:rFonts w:ascii="Arial Bold" w:hAnsi="Arial Bold"/>
      <w:b/>
      <w:i w:val="0"/>
      <w:caps/>
      <w:color w:val="404040"/>
      <w:sz w:val="24"/>
    </w:rPr>
  </w:style>
  <w:style w:type="paragraph" w:styleId="Index1">
    <w:name w:val="index 1"/>
    <w:basedOn w:val="Normal"/>
    <w:next w:val="Normal"/>
    <w:autoRedefine/>
    <w:semiHidden/>
    <w:rsid w:val="00D2761C"/>
    <w:pPr>
      <w:spacing w:before="0" w:after="0"/>
      <w:ind w:left="220" w:hanging="220"/>
    </w:pPr>
  </w:style>
  <w:style w:type="paragraph" w:customStyle="1" w:styleId="TableTextLeft">
    <w:name w:val="Table Text Left"/>
    <w:basedOn w:val="Normal"/>
    <w:rsid w:val="00B32454"/>
    <w:pPr>
      <w:tabs>
        <w:tab w:val="left" w:pos="284"/>
        <w:tab w:val="left" w:pos="567"/>
      </w:tabs>
      <w:spacing w:before="30" w:after="80"/>
    </w:pPr>
    <w:rPr>
      <w:rFonts w:asciiTheme="minorHAnsi" w:hAnsiTheme="minorHAnsi"/>
      <w:color w:val="000000"/>
      <w:kern w:val="16"/>
      <w:szCs w:val="18"/>
    </w:rPr>
  </w:style>
  <w:style w:type="paragraph" w:customStyle="1" w:styleId="TableColumnHeadingLeft">
    <w:name w:val="Table Column Heading Left"/>
    <w:basedOn w:val="Normal"/>
    <w:rsid w:val="00C17225"/>
    <w:pPr>
      <w:spacing w:before="60" w:after="60"/>
    </w:pPr>
    <w:rPr>
      <w:rFonts w:asciiTheme="minorHAnsi" w:hAnsiTheme="minorHAnsi"/>
      <w:b/>
      <w:szCs w:val="18"/>
    </w:rPr>
  </w:style>
  <w:style w:type="paragraph" w:customStyle="1" w:styleId="BoxHeading2">
    <w:name w:val="Box Heading 2"/>
    <w:basedOn w:val="BoxHeading1"/>
    <w:next w:val="BoxText"/>
    <w:qFormat/>
    <w:rsid w:val="00D2761C"/>
    <w:rPr>
      <w:i w:val="0"/>
      <w:iCs/>
      <w:sz w:val="24"/>
      <w:szCs w:val="20"/>
    </w:rPr>
  </w:style>
  <w:style w:type="character" w:customStyle="1" w:styleId="FooterChar">
    <w:name w:val="Footer Char"/>
    <w:basedOn w:val="DefaultParagraphFont"/>
    <w:link w:val="Footer"/>
    <w:uiPriority w:val="99"/>
    <w:rsid w:val="00D2761C"/>
    <w:rPr>
      <w:rFonts w:ascii="Georgia" w:hAnsi="Georgia"/>
      <w:color w:val="701F4D" w:themeColor="accent2"/>
    </w:rPr>
  </w:style>
  <w:style w:type="table" w:customStyle="1" w:styleId="Style1">
    <w:name w:val="Style1"/>
    <w:basedOn w:val="TableNormal"/>
    <w:uiPriority w:val="99"/>
    <w:rsid w:val="00D2761C"/>
    <w:pPr>
      <w:spacing w:before="0" w:after="0"/>
    </w:pPr>
    <w:tblPr/>
    <w:tblStylePr w:type="firstRow">
      <w:tblPr/>
      <w:tcPr>
        <w:shd w:val="clear" w:color="auto" w:fill="142147" w:themeFill="accent1"/>
      </w:tcPr>
    </w:tblStylePr>
    <w:tblStylePr w:type="firstCol">
      <w:tblPr/>
      <w:tcPr>
        <w:shd w:val="clear" w:color="auto" w:fill="142147" w:themeFill="accent1"/>
      </w:tcPr>
    </w:tblStylePr>
  </w:style>
  <w:style w:type="table" w:customStyle="1" w:styleId="Headingsonfirstcolumnandrow">
    <w:name w:val="Headings on first column and row"/>
    <w:basedOn w:val="TableNormal"/>
    <w:uiPriority w:val="99"/>
    <w:rsid w:val="00E65C6E"/>
    <w:pPr>
      <w:spacing w:before="0" w:after="0"/>
    </w:pPr>
    <w:rPr>
      <w:rFonts w:asciiTheme="minorHAnsi" w:hAnsiTheme="minorHAnsi"/>
    </w:rPr>
    <w:tblPr>
      <w:tblStyleRowBandSize w:val="1"/>
      <w:tblBorders>
        <w:top w:val="single" w:sz="4" w:space="0" w:color="3F6294"/>
        <w:left w:val="single" w:sz="4" w:space="0" w:color="3F6294"/>
        <w:bottom w:val="single" w:sz="4" w:space="0" w:color="3F6294"/>
        <w:right w:val="single" w:sz="4" w:space="0" w:color="3F6294"/>
      </w:tblBorders>
    </w:tblPr>
    <w:trPr>
      <w:cantSplit/>
    </w:trPr>
    <w:tcPr>
      <w:shd w:val="clear" w:color="auto" w:fill="C2DAEB"/>
    </w:tcPr>
    <w:tblStylePr w:type="firstRow">
      <w:rPr>
        <w:rFonts w:ascii="Arial" w:hAnsi="Arial"/>
        <w:color w:val="FFFFFF" w:themeColor="background1"/>
        <w:sz w:val="22"/>
      </w:rPr>
      <w:tblPr/>
      <w:trPr>
        <w:tblHeader/>
      </w:trPr>
      <w:tcPr>
        <w:shd w:val="clear" w:color="auto" w:fill="3F6294"/>
      </w:tcPr>
    </w:tblStylePr>
    <w:tblStylePr w:type="firstCol">
      <w:rPr>
        <w:rFonts w:ascii="Arial" w:hAnsi="Arial"/>
        <w:color w:val="FFFFFF" w:themeColor="background1"/>
        <w:sz w:val="22"/>
      </w:rPr>
      <w:tblPr/>
      <w:tcPr>
        <w:shd w:val="clear" w:color="auto" w:fill="3F6294"/>
      </w:tcPr>
    </w:tblStylePr>
    <w:tblStylePr w:type="band1Horz">
      <w:tblPr/>
      <w:tcPr>
        <w:shd w:val="clear" w:color="auto" w:fill="FFFFFF" w:themeFill="background1"/>
      </w:tcPr>
    </w:tblStylePr>
    <w:tblStylePr w:type="band2Horz">
      <w:tblPr/>
      <w:tcPr>
        <w:shd w:val="clear" w:color="auto" w:fill="BDC9EC" w:themeFill="accent1" w:themeFillTint="33"/>
      </w:tcPr>
    </w:tblStylePr>
  </w:style>
  <w:style w:type="table" w:styleId="GridTable2-Accent1">
    <w:name w:val="Grid Table 2 Accent 1"/>
    <w:basedOn w:val="TableNormal"/>
    <w:uiPriority w:val="47"/>
    <w:rsid w:val="00E65C6E"/>
    <w:pPr>
      <w:spacing w:before="0" w:after="0"/>
    </w:pPr>
    <w:tblPr>
      <w:tblStyleRowBandSize w:val="1"/>
      <w:tblStyleColBandSize w:val="1"/>
      <w:tblBorders>
        <w:top w:val="single" w:sz="2" w:space="0" w:color="3A5EC7" w:themeColor="accent1" w:themeTint="99"/>
        <w:bottom w:val="single" w:sz="2" w:space="0" w:color="3A5EC7" w:themeColor="accent1" w:themeTint="99"/>
        <w:insideH w:val="single" w:sz="2" w:space="0" w:color="3A5EC7" w:themeColor="accent1" w:themeTint="99"/>
        <w:insideV w:val="single" w:sz="2" w:space="0" w:color="3A5EC7" w:themeColor="accent1" w:themeTint="99"/>
      </w:tblBorders>
    </w:tblPr>
    <w:tblStylePr w:type="firstRow">
      <w:rPr>
        <w:b/>
        <w:bCs/>
      </w:rPr>
      <w:tblPr/>
      <w:tcPr>
        <w:tcBorders>
          <w:top w:val="nil"/>
          <w:bottom w:val="single" w:sz="12" w:space="0" w:color="3A5EC7" w:themeColor="accent1" w:themeTint="99"/>
          <w:insideH w:val="nil"/>
          <w:insideV w:val="nil"/>
        </w:tcBorders>
        <w:shd w:val="clear" w:color="auto" w:fill="FFFFFF" w:themeFill="background1"/>
      </w:tcPr>
    </w:tblStylePr>
    <w:tblStylePr w:type="lastRow">
      <w:rPr>
        <w:b/>
        <w:bCs/>
      </w:rPr>
      <w:tblPr/>
      <w:tcPr>
        <w:tcBorders>
          <w:top w:val="double" w:sz="2" w:space="0" w:color="3A5E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paragraph" w:styleId="NormalWeb">
    <w:name w:val="Normal (Web)"/>
    <w:basedOn w:val="Normal"/>
    <w:uiPriority w:val="99"/>
    <w:unhideWhenUsed/>
    <w:rsid w:val="00E65C6E"/>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E65C6E"/>
    <w:rPr>
      <w:sz w:val="16"/>
      <w:szCs w:val="16"/>
    </w:rPr>
  </w:style>
  <w:style w:type="paragraph" w:styleId="CommentText">
    <w:name w:val="annotation text"/>
    <w:basedOn w:val="Normal"/>
    <w:link w:val="CommentTextChar"/>
    <w:uiPriority w:val="99"/>
    <w:unhideWhenUsed/>
    <w:rsid w:val="00E65C6E"/>
    <w:pPr>
      <w:spacing w:before="0" w:after="240"/>
      <w:jc w:val="both"/>
    </w:pPr>
    <w:rPr>
      <w:sz w:val="20"/>
      <w:szCs w:val="20"/>
    </w:rPr>
  </w:style>
  <w:style w:type="character" w:customStyle="1" w:styleId="CommentTextChar">
    <w:name w:val="Comment Text Char"/>
    <w:basedOn w:val="DefaultParagraphFont"/>
    <w:link w:val="CommentText"/>
    <w:uiPriority w:val="99"/>
    <w:rsid w:val="00E65C6E"/>
    <w:rPr>
      <w:sz w:val="20"/>
      <w:szCs w:val="20"/>
    </w:rPr>
  </w:style>
  <w:style w:type="character" w:customStyle="1" w:styleId="FootnoteTextChar">
    <w:name w:val="Footnote Text Char"/>
    <w:basedOn w:val="DefaultParagraphFont"/>
    <w:link w:val="FootnoteText"/>
    <w:uiPriority w:val="99"/>
    <w:rsid w:val="00A65360"/>
    <w:rPr>
      <w:kern w:val="16"/>
      <w:sz w:val="19"/>
      <w:szCs w:val="18"/>
    </w:rPr>
  </w:style>
  <w:style w:type="paragraph" w:customStyle="1" w:styleId="SecurityClassificationHeader">
    <w:name w:val="Security Classification Header"/>
    <w:link w:val="SecurityClassificationHeaderChar"/>
    <w:rsid w:val="008D18D7"/>
    <w:pPr>
      <w:spacing w:before="360" w:after="60"/>
      <w:jc w:val="center"/>
    </w:pPr>
    <w:rPr>
      <w:rFonts w:cs="Calibri"/>
      <w:b/>
      <w:color w:val="FF0000"/>
      <w:sz w:val="24"/>
    </w:rPr>
  </w:style>
  <w:style w:type="character" w:customStyle="1" w:styleId="HeadingBaseChar">
    <w:name w:val="Heading Base Char"/>
    <w:basedOn w:val="DefaultParagraphFont"/>
    <w:link w:val="HeadingBase"/>
    <w:rsid w:val="008D18D7"/>
    <w:rPr>
      <w:rFonts w:ascii="Georgia" w:hAnsi="Georgia"/>
      <w:color w:val="142147" w:themeColor="accent1"/>
      <w:sz w:val="64"/>
    </w:rPr>
  </w:style>
  <w:style w:type="character" w:customStyle="1" w:styleId="HeaderChar">
    <w:name w:val="Header Char"/>
    <w:basedOn w:val="HeadingBaseChar"/>
    <w:link w:val="Header"/>
    <w:rsid w:val="008D18D7"/>
    <w:rPr>
      <w:rFonts w:ascii="Georgia" w:hAnsi="Georgia"/>
      <w:color w:val="142147" w:themeColor="accent1"/>
      <w:sz w:val="64"/>
    </w:rPr>
  </w:style>
  <w:style w:type="character" w:customStyle="1" w:styleId="SecurityClassificationHeaderChar">
    <w:name w:val="Security Classification Header Char"/>
    <w:basedOn w:val="HeaderChar"/>
    <w:link w:val="SecurityClassificationHeader"/>
    <w:rsid w:val="008D18D7"/>
    <w:rPr>
      <w:rFonts w:ascii="Georgia" w:hAnsi="Georgia" w:cs="Calibri"/>
      <w:b/>
      <w:color w:val="FF0000"/>
      <w:sz w:val="24"/>
    </w:rPr>
  </w:style>
  <w:style w:type="paragraph" w:customStyle="1" w:styleId="SecurityClassificationFooter">
    <w:name w:val="Security Classification Footer"/>
    <w:link w:val="SecurityClassificationFooterChar"/>
    <w:rsid w:val="008D18D7"/>
    <w:pPr>
      <w:spacing w:before="240" w:after="60"/>
      <w:jc w:val="center"/>
    </w:pPr>
    <w:rPr>
      <w:rFonts w:cs="Calibri"/>
      <w:b/>
      <w:color w:val="FF0000"/>
      <w:sz w:val="24"/>
    </w:rPr>
  </w:style>
  <w:style w:type="character" w:customStyle="1" w:styleId="SecurityClassificationFooterChar">
    <w:name w:val="Security Classification Footer Char"/>
    <w:basedOn w:val="HeaderChar"/>
    <w:link w:val="SecurityClassificationFooter"/>
    <w:rsid w:val="008D18D7"/>
    <w:rPr>
      <w:rFonts w:ascii="Georgia" w:hAnsi="Georgia" w:cs="Calibri"/>
      <w:b/>
      <w:color w:val="FF0000"/>
      <w:sz w:val="24"/>
    </w:rPr>
  </w:style>
  <w:style w:type="paragraph" w:customStyle="1" w:styleId="DLMSecurityHeader">
    <w:name w:val="DLM Security Header"/>
    <w:link w:val="DLMSecurityHeaderChar"/>
    <w:rsid w:val="008D18D7"/>
    <w:pPr>
      <w:spacing w:before="360" w:after="60"/>
      <w:jc w:val="center"/>
    </w:pPr>
    <w:rPr>
      <w:rFonts w:cs="Calibri"/>
      <w:b/>
      <w:color w:val="FF0000"/>
      <w:sz w:val="24"/>
    </w:rPr>
  </w:style>
  <w:style w:type="character" w:customStyle="1" w:styleId="DLMSecurityHeaderChar">
    <w:name w:val="DLM Security Header Char"/>
    <w:basedOn w:val="HeaderChar"/>
    <w:link w:val="DLMSecurityHeader"/>
    <w:rsid w:val="008D18D7"/>
    <w:rPr>
      <w:rFonts w:ascii="Georgia" w:hAnsi="Georgia" w:cs="Calibri"/>
      <w:b/>
      <w:color w:val="FF0000"/>
      <w:sz w:val="24"/>
    </w:rPr>
  </w:style>
  <w:style w:type="paragraph" w:customStyle="1" w:styleId="DLMSecurityFooter">
    <w:name w:val="DLM Security Footer"/>
    <w:link w:val="DLMSecurityFooterChar"/>
    <w:rsid w:val="008D18D7"/>
    <w:pPr>
      <w:spacing w:before="360" w:after="60"/>
      <w:jc w:val="center"/>
    </w:pPr>
    <w:rPr>
      <w:rFonts w:cs="Calibri"/>
      <w:b/>
      <w:color w:val="FF0000"/>
      <w:sz w:val="24"/>
    </w:rPr>
  </w:style>
  <w:style w:type="character" w:customStyle="1" w:styleId="DLMSecurityFooterChar">
    <w:name w:val="DLM Security Footer Char"/>
    <w:basedOn w:val="HeaderChar"/>
    <w:link w:val="DLMSecurityFooter"/>
    <w:rsid w:val="008D18D7"/>
    <w:rPr>
      <w:rFonts w:ascii="Georgia" w:hAnsi="Georgia" w:cs="Calibri"/>
      <w:b/>
      <w:color w:val="FF0000"/>
      <w:sz w:val="24"/>
    </w:rPr>
  </w:style>
  <w:style w:type="paragraph" w:customStyle="1" w:styleId="BoxHeading">
    <w:name w:val="Box Heading"/>
    <w:basedOn w:val="HeadingBase"/>
    <w:next w:val="BoxText"/>
    <w:rsid w:val="0066430D"/>
    <w:pPr>
      <w:spacing w:after="80"/>
    </w:pPr>
    <w:rPr>
      <w:rFonts w:asciiTheme="minorHAnsi" w:hAnsiTheme="minorHAnsi"/>
      <w:b/>
      <w:caps/>
      <w:color w:val="FFFFFF" w:themeColor="background1"/>
      <w:sz w:val="28"/>
    </w:rPr>
  </w:style>
  <w:style w:type="character" w:styleId="Emphasis">
    <w:name w:val="Emphasis"/>
    <w:basedOn w:val="DefaultParagraphFont"/>
    <w:uiPriority w:val="20"/>
    <w:qFormat/>
    <w:rsid w:val="0066430D"/>
    <w:rPr>
      <w:i/>
      <w:iCs/>
    </w:rPr>
  </w:style>
  <w:style w:type="paragraph" w:styleId="BodyText">
    <w:name w:val="Body Text"/>
    <w:basedOn w:val="Normal"/>
    <w:link w:val="BodyTextChar"/>
    <w:semiHidden/>
    <w:rsid w:val="00301B95"/>
    <w:pPr>
      <w:spacing w:before="0" w:line="300" w:lineRule="exact"/>
      <w:jc w:val="both"/>
    </w:pPr>
  </w:style>
  <w:style w:type="character" w:customStyle="1" w:styleId="BodyTextChar">
    <w:name w:val="Body Text Char"/>
    <w:basedOn w:val="DefaultParagraphFont"/>
    <w:link w:val="BodyText"/>
    <w:semiHidden/>
    <w:rsid w:val="00301B95"/>
  </w:style>
  <w:style w:type="character" w:customStyle="1" w:styleId="Heading2Char">
    <w:name w:val="Heading 2 Char"/>
    <w:basedOn w:val="DefaultParagraphFont"/>
    <w:link w:val="Heading2"/>
    <w:rsid w:val="0069352C"/>
    <w:rPr>
      <w:rFonts w:ascii="Georgia" w:hAnsi="Georgia" w:cs="Arial"/>
      <w:iCs/>
      <w:color w:val="701F4C"/>
      <w:kern w:val="32"/>
      <w:sz w:val="40"/>
      <w:szCs w:val="28"/>
    </w:rPr>
  </w:style>
  <w:style w:type="paragraph" w:customStyle="1" w:styleId="RecommendationText">
    <w:name w:val="Recommendation Text"/>
    <w:basedOn w:val="Normal"/>
    <w:rsid w:val="00A8642E"/>
    <w:pPr>
      <w:spacing w:line="300" w:lineRule="exact"/>
      <w:jc w:val="both"/>
    </w:pPr>
  </w:style>
  <w:style w:type="character" w:customStyle="1" w:styleId="Heading4Char">
    <w:name w:val="Heading 4 Char"/>
    <w:basedOn w:val="DefaultParagraphFont"/>
    <w:link w:val="Heading4"/>
    <w:rsid w:val="00955633"/>
    <w:rPr>
      <w:rFonts w:ascii="Georgia" w:eastAsiaTheme="minorEastAsia" w:hAnsi="Georgia" w:cs="Arial"/>
      <w:color w:val="701F4D" w:themeColor="accent2"/>
      <w:kern w:val="32"/>
      <w:sz w:val="29"/>
      <w:szCs w:val="26"/>
    </w:rPr>
  </w:style>
  <w:style w:type="character" w:customStyle="1" w:styleId="Heading3Char">
    <w:name w:val="Heading 3 Char"/>
    <w:basedOn w:val="DefaultParagraphFont"/>
    <w:link w:val="Heading3"/>
    <w:rsid w:val="00610D05"/>
    <w:rPr>
      <w:rFonts w:ascii="Georgia" w:hAnsi="Georgia" w:cs="Arial"/>
      <w:color w:val="142147" w:themeColor="accent1"/>
      <w:kern w:val="32"/>
      <w:sz w:val="32"/>
      <w:szCs w:val="26"/>
    </w:rPr>
  </w:style>
  <w:style w:type="character" w:customStyle="1" w:styleId="Heading1Char">
    <w:name w:val="Heading 1 Char"/>
    <w:basedOn w:val="DefaultParagraphFont"/>
    <w:link w:val="Heading1"/>
    <w:rsid w:val="0069352C"/>
    <w:rPr>
      <w:rFonts w:ascii="Georgia" w:hAnsi="Georgia" w:cs="Arial"/>
      <w:color w:val="142147"/>
      <w:kern w:val="32"/>
      <w:sz w:val="56"/>
      <w:szCs w:val="36"/>
    </w:rPr>
  </w:style>
  <w:style w:type="character" w:customStyle="1" w:styleId="BulletChar">
    <w:name w:val="Bullet Char"/>
    <w:aliases w:val="b Char,b + line Char Char,b Char Char"/>
    <w:basedOn w:val="DefaultParagraphFont"/>
    <w:link w:val="Bullet"/>
    <w:rsid w:val="00991EBC"/>
  </w:style>
  <w:style w:type="character" w:customStyle="1" w:styleId="ListParagraphChar">
    <w:name w:val="List Paragraph Char"/>
    <w:basedOn w:val="DefaultParagraphFont"/>
    <w:link w:val="ListParagraph"/>
    <w:uiPriority w:val="34"/>
    <w:rsid w:val="00717176"/>
  </w:style>
  <w:style w:type="paragraph" w:customStyle="1" w:styleId="OutlineNumbered1">
    <w:name w:val="Outline Numbered 1"/>
    <w:basedOn w:val="Normal"/>
    <w:link w:val="OutlineNumbered1Char"/>
    <w:rsid w:val="00CA7247"/>
    <w:pPr>
      <w:numPr>
        <w:numId w:val="38"/>
      </w:numPr>
      <w:spacing w:before="0"/>
    </w:pPr>
  </w:style>
  <w:style w:type="paragraph" w:customStyle="1" w:styleId="Default">
    <w:name w:val="Default"/>
    <w:rsid w:val="00FB3B5E"/>
    <w:pPr>
      <w:autoSpaceDE w:val="0"/>
      <w:autoSpaceDN w:val="0"/>
      <w:adjustRightInd w:val="0"/>
      <w:spacing w:before="0" w:after="0"/>
    </w:pPr>
    <w:rPr>
      <w:rFonts w:ascii="Arial" w:hAnsi="Arial" w:cs="Arial"/>
      <w:color w:val="000000"/>
      <w:sz w:val="24"/>
      <w:szCs w:val="24"/>
    </w:rPr>
  </w:style>
  <w:style w:type="character" w:customStyle="1" w:styleId="OutlineNumbered1Char">
    <w:name w:val="Outline Numbered 1 Char"/>
    <w:basedOn w:val="DefaultParagraphFont"/>
    <w:link w:val="OutlineNumbered1"/>
    <w:rsid w:val="00CA7247"/>
  </w:style>
  <w:style w:type="paragraph" w:customStyle="1" w:styleId="OutlineNumbered2">
    <w:name w:val="Outline Numbered 2"/>
    <w:basedOn w:val="Normal"/>
    <w:link w:val="OutlineNumbered2Char"/>
    <w:rsid w:val="00991EBC"/>
    <w:pPr>
      <w:numPr>
        <w:ilvl w:val="1"/>
        <w:numId w:val="38"/>
      </w:numPr>
      <w:spacing w:before="0"/>
    </w:pPr>
    <w:rPr>
      <w:rFonts w:asciiTheme="minorHAnsi" w:hAnsiTheme="minorHAnsi" w:cs="Arial"/>
      <w:kern w:val="32"/>
      <w:szCs w:val="28"/>
    </w:rPr>
  </w:style>
  <w:style w:type="paragraph" w:customStyle="1" w:styleId="OutlineNumbered3">
    <w:name w:val="Outline Numbered 3"/>
    <w:basedOn w:val="Normal"/>
    <w:rsid w:val="00991EBC"/>
    <w:pPr>
      <w:numPr>
        <w:ilvl w:val="2"/>
        <w:numId w:val="38"/>
      </w:numPr>
      <w:spacing w:before="0"/>
    </w:pPr>
    <w:rPr>
      <w:rFonts w:asciiTheme="minorHAnsi" w:hAnsiTheme="minorHAnsi" w:cs="Arial"/>
      <w:kern w:val="32"/>
      <w:szCs w:val="28"/>
    </w:rPr>
  </w:style>
  <w:style w:type="character" w:customStyle="1" w:styleId="Heading5Char">
    <w:name w:val="Heading 5 Char"/>
    <w:basedOn w:val="DefaultParagraphFont"/>
    <w:link w:val="Heading5"/>
    <w:rsid w:val="00EB09BD"/>
    <w:rPr>
      <w:rFonts w:asciiTheme="majorHAnsi" w:hAnsiTheme="majorHAnsi" w:cs="Arial"/>
      <w:iCs/>
      <w:color w:val="142147" w:themeColor="accent1"/>
      <w:kern w:val="32"/>
      <w:sz w:val="28"/>
      <w:szCs w:val="36"/>
    </w:rPr>
  </w:style>
  <w:style w:type="character" w:customStyle="1" w:styleId="Heading6Char">
    <w:name w:val="Heading 6 Char"/>
    <w:basedOn w:val="DefaultParagraphFont"/>
    <w:link w:val="Heading6"/>
    <w:rsid w:val="00955633"/>
    <w:rPr>
      <w:rFonts w:ascii="Calibri Light" w:hAnsi="Calibri Light" w:cs="Arial"/>
      <w:b/>
      <w:kern w:val="32"/>
      <w:sz w:val="24"/>
    </w:rPr>
  </w:style>
  <w:style w:type="paragraph" w:customStyle="1" w:styleId="CaseStudyHeading">
    <w:name w:val="Case Study Heading"/>
    <w:basedOn w:val="HeadingBase"/>
    <w:next w:val="Normal"/>
    <w:rsid w:val="00185727"/>
    <w:pPr>
      <w:spacing w:after="240"/>
    </w:pPr>
    <w:rPr>
      <w:rFonts w:ascii="Calibri" w:hAnsi="Calibri"/>
      <w:b/>
      <w:color w:val="000080"/>
      <w:sz w:val="22"/>
    </w:rPr>
  </w:style>
  <w:style w:type="paragraph" w:customStyle="1" w:styleId="Quotebullet">
    <w:name w:val="Quote bullet"/>
    <w:basedOn w:val="Bullet"/>
    <w:qFormat/>
    <w:rsid w:val="00EB09BD"/>
    <w:pPr>
      <w:spacing w:after="60"/>
      <w:ind w:left="851" w:right="567"/>
    </w:pPr>
    <w:rPr>
      <w:iCs/>
    </w:rPr>
  </w:style>
  <w:style w:type="paragraph" w:customStyle="1" w:styleId="RecommendationHeading">
    <w:name w:val="Recommendation Heading"/>
    <w:basedOn w:val="HeadingBase"/>
    <w:next w:val="RecommendationText"/>
    <w:rsid w:val="00185727"/>
    <w:pPr>
      <w:spacing w:after="240"/>
    </w:pPr>
    <w:rPr>
      <w:rFonts w:ascii="Calibri" w:hAnsi="Calibri"/>
      <w:b/>
      <w:color w:val="000080"/>
      <w:sz w:val="22"/>
    </w:rPr>
  </w:style>
  <w:style w:type="paragraph" w:customStyle="1" w:styleId="RecommendationTextBase">
    <w:name w:val="Recommendation Text Base"/>
    <w:basedOn w:val="Normal"/>
    <w:rsid w:val="00185727"/>
    <w:pPr>
      <w:spacing w:before="0" w:after="240" w:line="300" w:lineRule="exact"/>
      <w:jc w:val="both"/>
    </w:pPr>
  </w:style>
  <w:style w:type="paragraph" w:customStyle="1" w:styleId="TableTextBase">
    <w:name w:val="Table Text Base"/>
    <w:rsid w:val="00185727"/>
    <w:pPr>
      <w:spacing w:before="0"/>
    </w:pPr>
    <w:rPr>
      <w:rFonts w:asciiTheme="minorHAnsi" w:hAnsiTheme="minorHAnsi"/>
      <w:color w:val="000000"/>
      <w:szCs w:val="18"/>
    </w:rPr>
  </w:style>
  <w:style w:type="paragraph" w:customStyle="1" w:styleId="TableColumnHeadingCentred">
    <w:name w:val="Table Column Heading Centred"/>
    <w:basedOn w:val="TableTextBase"/>
    <w:rsid w:val="00185727"/>
    <w:pPr>
      <w:spacing w:before="60" w:after="60"/>
      <w:jc w:val="center"/>
    </w:pPr>
    <w:rPr>
      <w:color w:val="FFFFFF" w:themeColor="background1"/>
      <w:sz w:val="24"/>
    </w:rPr>
  </w:style>
  <w:style w:type="paragraph" w:customStyle="1" w:styleId="TableColumnHeadingRight">
    <w:name w:val="Table Column Heading Right"/>
    <w:basedOn w:val="TableTextBase"/>
    <w:rsid w:val="00185727"/>
    <w:pPr>
      <w:spacing w:before="60" w:after="60"/>
      <w:jc w:val="right"/>
    </w:pPr>
    <w:rPr>
      <w:rFonts w:ascii="Calibri" w:hAnsi="Calibri"/>
      <w:color w:val="FFFFFF" w:themeColor="background1"/>
      <w:sz w:val="24"/>
    </w:rPr>
  </w:style>
  <w:style w:type="paragraph" w:customStyle="1" w:styleId="TableTextCentered">
    <w:name w:val="Table Text Centered"/>
    <w:basedOn w:val="TableTextBase"/>
    <w:rsid w:val="00185727"/>
    <w:pPr>
      <w:jc w:val="center"/>
    </w:pPr>
  </w:style>
  <w:style w:type="paragraph" w:customStyle="1" w:styleId="TableTextIndented">
    <w:name w:val="Table Text Indented"/>
    <w:basedOn w:val="TableTextBase"/>
    <w:rsid w:val="00185727"/>
    <w:pPr>
      <w:ind w:left="284"/>
    </w:pPr>
  </w:style>
  <w:style w:type="paragraph" w:customStyle="1" w:styleId="TableTextRight">
    <w:name w:val="Table Text Right"/>
    <w:basedOn w:val="TableTextBase"/>
    <w:rsid w:val="00185727"/>
    <w:pPr>
      <w:jc w:val="right"/>
    </w:pPr>
  </w:style>
  <w:style w:type="paragraph" w:customStyle="1" w:styleId="OneLevelNumberedParagraph">
    <w:name w:val="One Level Numbered Paragraph"/>
    <w:basedOn w:val="Normal"/>
    <w:rsid w:val="00185727"/>
    <w:pPr>
      <w:tabs>
        <w:tab w:val="num" w:pos="567"/>
      </w:tabs>
      <w:spacing w:before="0" w:after="240" w:line="300" w:lineRule="exact"/>
      <w:ind w:left="567" w:hanging="567"/>
      <w:jc w:val="both"/>
    </w:pPr>
  </w:style>
  <w:style w:type="paragraph" w:customStyle="1" w:styleId="RecommendationBullet">
    <w:name w:val="Recommendation Bullet"/>
    <w:basedOn w:val="RecommendationTextBase"/>
    <w:rsid w:val="00185727"/>
    <w:pPr>
      <w:tabs>
        <w:tab w:val="num" w:pos="567"/>
      </w:tabs>
      <w:ind w:left="567" w:hanging="567"/>
    </w:pPr>
  </w:style>
  <w:style w:type="paragraph" w:customStyle="1" w:styleId="RecommendationDash">
    <w:name w:val="Recommendation Dash"/>
    <w:basedOn w:val="RecommendationTextBase"/>
    <w:rsid w:val="00185727"/>
    <w:pPr>
      <w:tabs>
        <w:tab w:val="left" w:pos="1134"/>
      </w:tabs>
      <w:ind w:left="1134" w:hanging="567"/>
    </w:pPr>
  </w:style>
  <w:style w:type="paragraph" w:customStyle="1" w:styleId="RecommendationDoubleDot">
    <w:name w:val="Recommendation Double Dot"/>
    <w:basedOn w:val="RecommendationTextBase"/>
    <w:rsid w:val="00185727"/>
    <w:pPr>
      <w:tabs>
        <w:tab w:val="left" w:pos="1134"/>
      </w:tabs>
      <w:ind w:left="1701" w:hanging="567"/>
    </w:pPr>
  </w:style>
  <w:style w:type="paragraph" w:customStyle="1" w:styleId="BoxBulletWhite">
    <w:name w:val="Box Bullet White"/>
    <w:basedOn w:val="BoxBullet"/>
    <w:qFormat/>
    <w:rsid w:val="000E72DD"/>
    <w:rPr>
      <w:color w:val="FFFFFF" w:themeColor="background1"/>
    </w:rPr>
  </w:style>
  <w:style w:type="paragraph" w:customStyle="1" w:styleId="Recommendationalpha">
    <w:name w:val="Recommendation alpha"/>
    <w:basedOn w:val="RecommendationTextBase"/>
    <w:rsid w:val="00185727"/>
    <w:pPr>
      <w:tabs>
        <w:tab w:val="left" w:pos="567"/>
      </w:tabs>
      <w:ind w:left="567" w:hanging="567"/>
    </w:pPr>
  </w:style>
  <w:style w:type="paragraph" w:customStyle="1" w:styleId="Recommendationindent">
    <w:name w:val="Recommendation indent"/>
    <w:basedOn w:val="RecommendationTextBase"/>
    <w:rsid w:val="00185727"/>
    <w:pPr>
      <w:ind w:left="567"/>
    </w:pPr>
  </w:style>
  <w:style w:type="paragraph" w:customStyle="1" w:styleId="Recommendationromannumeral">
    <w:name w:val="Recommendation roman numeral"/>
    <w:basedOn w:val="RecommendationTextBase"/>
    <w:rsid w:val="00185727"/>
    <w:pPr>
      <w:tabs>
        <w:tab w:val="num" w:pos="567"/>
      </w:tabs>
    </w:pPr>
  </w:style>
  <w:style w:type="paragraph" w:customStyle="1" w:styleId="CoverTitleSub2">
    <w:name w:val="Cover Title Sub 2"/>
    <w:basedOn w:val="HeadingBase"/>
    <w:rsid w:val="00185727"/>
    <w:pPr>
      <w:spacing w:before="0" w:line="420" w:lineRule="exact"/>
      <w:jc w:val="center"/>
    </w:pPr>
    <w:rPr>
      <w:rFonts w:ascii="Calibri" w:hAnsi="Calibri"/>
      <w:color w:val="000080"/>
      <w:sz w:val="28"/>
      <w:szCs w:val="28"/>
    </w:rPr>
  </w:style>
  <w:style w:type="table" w:customStyle="1" w:styleId="BoTObservation">
    <w:name w:val="BoT_Observation"/>
    <w:basedOn w:val="TableNormal"/>
    <w:uiPriority w:val="99"/>
    <w:rsid w:val="005E30AF"/>
    <w:tblPr>
      <w:tblStyleRowBandSize w:val="1"/>
      <w:tblCellMar>
        <w:top w:w="113" w:type="dxa"/>
        <w:left w:w="284" w:type="dxa"/>
        <w:bottom w:w="113" w:type="dxa"/>
        <w:right w:w="284" w:type="dxa"/>
      </w:tblCellMar>
    </w:tblPr>
    <w:trPr>
      <w:cantSplit/>
    </w:trPr>
    <w:tblStylePr w:type="firstRow">
      <w:tblPr/>
      <w:tcPr>
        <w:shd w:val="clear" w:color="auto" w:fill="D4C2A8" w:themeFill="accent3"/>
      </w:tcPr>
    </w:tblStylePr>
    <w:tblStylePr w:type="band1Horz">
      <w:tblPr/>
      <w:tcPr>
        <w:shd w:val="clear" w:color="auto" w:fill="F6F2ED" w:themeFill="accent3" w:themeFillTint="33"/>
      </w:tcPr>
    </w:tblStylePr>
    <w:tblStylePr w:type="band2Horz">
      <w:tblPr>
        <w:tblCellMar>
          <w:top w:w="113" w:type="dxa"/>
          <w:left w:w="284" w:type="dxa"/>
          <w:bottom w:w="113" w:type="dxa"/>
          <w:right w:w="284" w:type="dxa"/>
        </w:tblCellMar>
      </w:tblPr>
      <w:tcPr>
        <w:tcBorders>
          <w:top w:val="nil"/>
          <w:left w:val="nil"/>
          <w:bottom w:val="nil"/>
          <w:right w:val="nil"/>
          <w:insideH w:val="nil"/>
          <w:insideV w:val="nil"/>
          <w:tl2br w:val="nil"/>
          <w:tr2bl w:val="nil"/>
        </w:tcBorders>
        <w:shd w:val="clear" w:color="auto" w:fill="F6F2ED" w:themeFill="accent3" w:themeFillTint="33"/>
      </w:tcPr>
    </w:tblStylePr>
  </w:style>
  <w:style w:type="table" w:customStyle="1" w:styleId="Style2">
    <w:name w:val="Style2"/>
    <w:basedOn w:val="TableNormal"/>
    <w:uiPriority w:val="99"/>
    <w:rsid w:val="000E72DD"/>
    <w:tblPr>
      <w:tblStyleRowBandSize w:val="1"/>
      <w:tblCellMar>
        <w:top w:w="113" w:type="dxa"/>
        <w:left w:w="284" w:type="dxa"/>
        <w:bottom w:w="113" w:type="dxa"/>
        <w:right w:w="284" w:type="dxa"/>
      </w:tblCellMar>
    </w:tblPr>
    <w:trPr>
      <w:cantSplit/>
    </w:trPr>
    <w:tblStylePr w:type="firstRow">
      <w:tblPr/>
      <w:tcPr>
        <w:shd w:val="clear" w:color="auto" w:fill="142147" w:themeFill="accent1"/>
      </w:tcPr>
    </w:tblStylePr>
    <w:tblStylePr w:type="band1Horz">
      <w:tblPr/>
      <w:tcPr>
        <w:shd w:val="clear" w:color="auto" w:fill="DDE3F5" w:themeFill="accent1" w:themeFillTint="1A"/>
      </w:tcPr>
    </w:tblStylePr>
    <w:tblStylePr w:type="band2Horz">
      <w:tblPr>
        <w:tblCellMar>
          <w:top w:w="113" w:type="dxa"/>
          <w:left w:w="284" w:type="dxa"/>
          <w:bottom w:w="113" w:type="dxa"/>
          <w:right w:w="284" w:type="dxa"/>
        </w:tblCellMar>
      </w:tblPr>
      <w:tcPr>
        <w:tcBorders>
          <w:top w:val="nil"/>
          <w:left w:val="nil"/>
          <w:bottom w:val="nil"/>
          <w:right w:val="nil"/>
          <w:insideH w:val="nil"/>
          <w:insideV w:val="nil"/>
          <w:tl2br w:val="nil"/>
          <w:tr2bl w:val="nil"/>
        </w:tcBorders>
        <w:shd w:val="clear" w:color="auto" w:fill="DDE3F5" w:themeFill="accent1" w:themeFillTint="1A"/>
      </w:tcPr>
    </w:tblStylePr>
  </w:style>
  <w:style w:type="paragraph" w:styleId="Title">
    <w:name w:val="Title"/>
    <w:basedOn w:val="Normal"/>
    <w:next w:val="Normal"/>
    <w:link w:val="TitleChar"/>
    <w:qFormat/>
    <w:rsid w:val="00185727"/>
    <w:pPr>
      <w:spacing w:before="0" w:after="240"/>
      <w:jc w:val="center"/>
    </w:pPr>
    <w:rPr>
      <w:b/>
      <w:caps/>
      <w:color w:val="3F6294"/>
      <w:sz w:val="56"/>
    </w:rPr>
  </w:style>
  <w:style w:type="character" w:customStyle="1" w:styleId="TitleChar">
    <w:name w:val="Title Char"/>
    <w:basedOn w:val="DefaultParagraphFont"/>
    <w:link w:val="Title"/>
    <w:rsid w:val="00185727"/>
    <w:rPr>
      <w:b/>
      <w:caps/>
      <w:color w:val="3F6294"/>
      <w:sz w:val="56"/>
    </w:rPr>
  </w:style>
  <w:style w:type="table" w:customStyle="1" w:styleId="HeadingsAboveOnly">
    <w:name w:val="Headings Above Only"/>
    <w:basedOn w:val="TableNormal"/>
    <w:uiPriority w:val="99"/>
    <w:rsid w:val="00185727"/>
    <w:pPr>
      <w:spacing w:before="0" w:after="0"/>
    </w:pPr>
    <w:rPr>
      <w:rFonts w:asciiTheme="minorHAnsi" w:hAnsiTheme="minorHAnsi"/>
    </w:rPr>
    <w:tblPr>
      <w:tblStyleRowBandSize w:val="1"/>
      <w:tblBorders>
        <w:top w:val="single" w:sz="4" w:space="0" w:color="3F6294"/>
        <w:left w:val="single" w:sz="4" w:space="0" w:color="3F6294"/>
        <w:bottom w:val="single" w:sz="4" w:space="0" w:color="3F6294"/>
        <w:right w:val="single" w:sz="4" w:space="0" w:color="3F6294"/>
      </w:tblBorders>
    </w:tblPr>
    <w:trPr>
      <w:cantSplit/>
    </w:trPr>
    <w:tcPr>
      <w:shd w:val="clear" w:color="auto" w:fill="C2DAEB"/>
    </w:tcPr>
    <w:tblStylePr w:type="firstRow">
      <w:rPr>
        <w:rFonts w:ascii="Arial" w:hAnsi="Arial"/>
        <w:color w:val="FFFFFF" w:themeColor="background1"/>
        <w:sz w:val="22"/>
      </w:rPr>
      <w:tblPr/>
      <w:trPr>
        <w:tblHeader/>
      </w:trPr>
      <w:tcPr>
        <w:shd w:val="clear" w:color="auto" w:fill="3F6294"/>
      </w:tcPr>
    </w:tblStylePr>
    <w:tblStylePr w:type="band1Horz">
      <w:tblPr/>
      <w:tcPr>
        <w:shd w:val="clear" w:color="auto" w:fill="FFFFFF" w:themeFill="background1"/>
      </w:tcPr>
    </w:tblStylePr>
    <w:tblStylePr w:type="band2Horz">
      <w:tblPr/>
      <w:tcPr>
        <w:shd w:val="clear" w:color="auto" w:fill="BDC9EC" w:themeFill="accent1" w:themeFillTint="33"/>
      </w:tcPr>
    </w:tblStylePr>
  </w:style>
  <w:style w:type="character" w:styleId="Strong">
    <w:name w:val="Strong"/>
    <w:basedOn w:val="DefaultParagraphFont"/>
    <w:uiPriority w:val="22"/>
    <w:qFormat/>
    <w:rsid w:val="00185727"/>
    <w:rPr>
      <w:b/>
      <w:bCs/>
    </w:rPr>
  </w:style>
  <w:style w:type="character" w:styleId="UnresolvedMention">
    <w:name w:val="Unresolved Mention"/>
    <w:basedOn w:val="DefaultParagraphFont"/>
    <w:uiPriority w:val="99"/>
    <w:semiHidden/>
    <w:unhideWhenUsed/>
    <w:rsid w:val="0018572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85727"/>
    <w:rPr>
      <w:b/>
      <w:bCs/>
    </w:rPr>
  </w:style>
  <w:style w:type="character" w:customStyle="1" w:styleId="CommentSubjectChar">
    <w:name w:val="Comment Subject Char"/>
    <w:basedOn w:val="CommentTextChar"/>
    <w:link w:val="CommentSubject"/>
    <w:uiPriority w:val="99"/>
    <w:semiHidden/>
    <w:rsid w:val="00185727"/>
    <w:rPr>
      <w:b/>
      <w:bCs/>
      <w:sz w:val="20"/>
      <w:szCs w:val="20"/>
    </w:rPr>
  </w:style>
  <w:style w:type="paragraph" w:styleId="Revision">
    <w:name w:val="Revision"/>
    <w:hidden/>
    <w:uiPriority w:val="99"/>
    <w:semiHidden/>
    <w:rsid w:val="00185727"/>
    <w:pPr>
      <w:spacing w:before="0" w:after="0"/>
    </w:pPr>
  </w:style>
  <w:style w:type="table" w:styleId="ListTable7Colorful-Accent1">
    <w:name w:val="List Table 7 Colorful Accent 1"/>
    <w:basedOn w:val="TableNormal"/>
    <w:uiPriority w:val="52"/>
    <w:rsid w:val="00641869"/>
    <w:pPr>
      <w:spacing w:before="0" w:after="0"/>
    </w:pPr>
    <w:rPr>
      <w:rFonts w:asciiTheme="minorHAnsi" w:eastAsiaTheme="minorHAnsi" w:hAnsiTheme="minorHAnsi" w:cstheme="minorBidi"/>
      <w:color w:val="0F1835"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21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21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21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2147" w:themeColor="accent1"/>
        </w:tcBorders>
        <w:shd w:val="clear" w:color="auto" w:fill="FFFFFF" w:themeFill="background1"/>
      </w:tcPr>
    </w:tblStylePr>
    <w:tblStylePr w:type="band1Vert">
      <w:tblPr/>
      <w:tcPr>
        <w:shd w:val="clear" w:color="auto" w:fill="BDC9EC" w:themeFill="accent1" w:themeFillTint="33"/>
      </w:tcPr>
    </w:tblStylePr>
    <w:tblStylePr w:type="band1Horz">
      <w:tblPr/>
      <w:tcPr>
        <w:shd w:val="clear" w:color="auto" w:fill="BDC9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641869"/>
    <w:pPr>
      <w:spacing w:before="0" w:after="0"/>
    </w:pPr>
    <w:rPr>
      <w:rFonts w:asciiTheme="minorHAnsi" w:eastAsiaTheme="minorHAnsi" w:hAnsiTheme="minorHAnsi" w:cstheme="minorBidi"/>
      <w:color w:val="2C86C3" w:themeColor="accent5" w:themeShade="BF"/>
      <w:lang w:eastAsia="en-US"/>
    </w:rPr>
    <w:tblPr>
      <w:tblStyleRowBandSize w:val="1"/>
      <w:tblStyleColBandSize w:val="1"/>
      <w:tblBorders>
        <w:top w:val="single" w:sz="4" w:space="0" w:color="65ACDC" w:themeColor="accent5"/>
        <w:bottom w:val="single" w:sz="4" w:space="0" w:color="65ACDC" w:themeColor="accent5"/>
      </w:tblBorders>
    </w:tblPr>
    <w:tblStylePr w:type="firstRow">
      <w:rPr>
        <w:b/>
        <w:bCs/>
      </w:rPr>
      <w:tblPr/>
      <w:tcPr>
        <w:tcBorders>
          <w:bottom w:val="single" w:sz="4" w:space="0" w:color="65ACDC" w:themeColor="accent5"/>
        </w:tcBorders>
      </w:tcPr>
    </w:tblStylePr>
    <w:tblStylePr w:type="lastRow">
      <w:rPr>
        <w:b/>
        <w:bCs/>
      </w:rPr>
      <w:tblPr/>
      <w:tcPr>
        <w:tcBorders>
          <w:top w:val="double" w:sz="4" w:space="0" w:color="65ACDC" w:themeColor="accent5"/>
        </w:tcBorders>
      </w:tcPr>
    </w:tblStylePr>
    <w:tblStylePr w:type="firstCol">
      <w:rPr>
        <w:b/>
        <w:bCs/>
      </w:rPr>
    </w:tblStylePr>
    <w:tblStylePr w:type="lastCol">
      <w:rPr>
        <w:b/>
        <w:bCs/>
      </w:rPr>
    </w:tblStylePr>
    <w:tblStylePr w:type="band1Vert">
      <w:tblPr/>
      <w:tcPr>
        <w:shd w:val="clear" w:color="auto" w:fill="E0EEF8" w:themeFill="accent5" w:themeFillTint="33"/>
      </w:tcPr>
    </w:tblStylePr>
    <w:tblStylePr w:type="band1Horz">
      <w:tblPr/>
      <w:tcPr>
        <w:shd w:val="clear" w:color="auto" w:fill="E0EEF8" w:themeFill="accent5" w:themeFillTint="33"/>
      </w:tcPr>
    </w:tblStylePr>
  </w:style>
  <w:style w:type="numbering" w:customStyle="1" w:styleId="CurrentList1">
    <w:name w:val="Current List1"/>
    <w:uiPriority w:val="99"/>
    <w:rsid w:val="00641869"/>
    <w:pPr>
      <w:numPr>
        <w:numId w:val="7"/>
      </w:numPr>
    </w:pPr>
  </w:style>
  <w:style w:type="character" w:customStyle="1" w:styleId="DashChar">
    <w:name w:val="Dash Char"/>
    <w:basedOn w:val="OutlineNumbered1Char"/>
    <w:link w:val="Dash"/>
    <w:rsid w:val="0069352C"/>
  </w:style>
  <w:style w:type="character" w:customStyle="1" w:styleId="OutlineNumbered2Char">
    <w:name w:val="Outline Numbered 2 Char"/>
    <w:basedOn w:val="DefaultParagraphFont"/>
    <w:link w:val="OutlineNumbered2"/>
    <w:rsid w:val="00991EBC"/>
    <w:rPr>
      <w:rFonts w:asciiTheme="minorHAnsi" w:hAnsiTheme="minorHAnsi" w:cs="Arial"/>
      <w:kern w:val="32"/>
      <w:szCs w:val="28"/>
    </w:rPr>
  </w:style>
  <w:style w:type="table" w:styleId="ListTable1Light-Accent1">
    <w:name w:val="List Table 1 Light Accent 1"/>
    <w:basedOn w:val="TableNormal"/>
    <w:uiPriority w:val="46"/>
    <w:rsid w:val="000F538A"/>
    <w:pPr>
      <w:spacing w:after="0"/>
    </w:pPr>
    <w:tblPr>
      <w:tblStyleRowBandSize w:val="1"/>
      <w:tblStyleColBandSize w:val="1"/>
    </w:tblPr>
    <w:tblStylePr w:type="firstRow">
      <w:rPr>
        <w:b/>
        <w:bCs/>
      </w:rPr>
      <w:tblPr/>
      <w:tcPr>
        <w:tcBorders>
          <w:bottom w:val="single" w:sz="4" w:space="0" w:color="3A5EC7" w:themeColor="accent1" w:themeTint="99"/>
        </w:tcBorders>
      </w:tcPr>
    </w:tblStylePr>
    <w:tblStylePr w:type="lastRow">
      <w:rPr>
        <w:b/>
        <w:bCs/>
      </w:rPr>
      <w:tblPr/>
      <w:tcPr>
        <w:tcBorders>
          <w:top w:val="single" w:sz="4" w:space="0" w:color="3A5EC7" w:themeColor="accent1" w:themeTint="99"/>
        </w:tcBorders>
      </w:tcPr>
    </w:tblStylePr>
    <w:tblStylePr w:type="firstCol">
      <w:rPr>
        <w:b/>
        <w:bCs/>
      </w:rPr>
    </w:tblStylePr>
    <w:tblStylePr w:type="lastCol">
      <w:rPr>
        <w:b/>
        <w:bCs/>
      </w:rPr>
    </w:tblStylePr>
    <w:tblStylePr w:type="band1Vert">
      <w:tblPr/>
      <w:tcPr>
        <w:shd w:val="clear" w:color="auto" w:fill="BDC9EC" w:themeFill="accent1" w:themeFillTint="33"/>
      </w:tcPr>
    </w:tblStylePr>
    <w:tblStylePr w:type="band1Horz">
      <w:tblPr/>
      <w:tcPr>
        <w:shd w:val="clear" w:color="auto" w:fill="BDC9EC" w:themeFill="accent1" w:themeFillTint="33"/>
      </w:tcPr>
    </w:tblStylePr>
  </w:style>
  <w:style w:type="character" w:customStyle="1" w:styleId="Heading8Char">
    <w:name w:val="Heading 8 Char"/>
    <w:basedOn w:val="DefaultParagraphFont"/>
    <w:link w:val="Heading8"/>
    <w:rsid w:val="007A3814"/>
    <w:rPr>
      <w:rFonts w:asciiTheme="minorHAnsi" w:hAnsiTheme="minorHAnsi"/>
      <w:b/>
      <w:iCs/>
      <w:color w:val="5F5F5F" w:themeColor="text2"/>
      <w:szCs w:val="24"/>
    </w:rPr>
  </w:style>
  <w:style w:type="table" w:styleId="GridTable3-Accent1">
    <w:name w:val="Grid Table 3 Accent 1"/>
    <w:basedOn w:val="TableNormal"/>
    <w:uiPriority w:val="48"/>
    <w:rsid w:val="00201AD0"/>
    <w:pPr>
      <w:spacing w:after="0"/>
    </w:pPr>
    <w:tblPr>
      <w:tblStyleRowBandSize w:val="1"/>
      <w:tblStyleColBandSize w:val="1"/>
      <w:tblBorders>
        <w:top w:val="single" w:sz="4" w:space="0" w:color="3A5EC7" w:themeColor="accent1" w:themeTint="99"/>
        <w:left w:val="single" w:sz="4" w:space="0" w:color="3A5EC7" w:themeColor="accent1" w:themeTint="99"/>
        <w:bottom w:val="single" w:sz="4" w:space="0" w:color="3A5EC7" w:themeColor="accent1" w:themeTint="99"/>
        <w:right w:val="single" w:sz="4" w:space="0" w:color="3A5EC7" w:themeColor="accent1" w:themeTint="99"/>
        <w:insideH w:val="single" w:sz="4" w:space="0" w:color="3A5EC7" w:themeColor="accent1" w:themeTint="99"/>
        <w:insideV w:val="single" w:sz="4" w:space="0" w:color="3A5E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C9EC" w:themeFill="accent1" w:themeFillTint="33"/>
      </w:tcPr>
    </w:tblStylePr>
    <w:tblStylePr w:type="band1Horz">
      <w:tblPr/>
      <w:tcPr>
        <w:shd w:val="clear" w:color="auto" w:fill="BDC9EC" w:themeFill="accent1" w:themeFillTint="33"/>
      </w:tcPr>
    </w:tblStylePr>
    <w:tblStylePr w:type="neCell">
      <w:tblPr/>
      <w:tcPr>
        <w:tcBorders>
          <w:bottom w:val="single" w:sz="4" w:space="0" w:color="3A5EC7" w:themeColor="accent1" w:themeTint="99"/>
        </w:tcBorders>
      </w:tcPr>
    </w:tblStylePr>
    <w:tblStylePr w:type="nwCell">
      <w:tblPr/>
      <w:tcPr>
        <w:tcBorders>
          <w:bottom w:val="single" w:sz="4" w:space="0" w:color="3A5EC7" w:themeColor="accent1" w:themeTint="99"/>
        </w:tcBorders>
      </w:tcPr>
    </w:tblStylePr>
    <w:tblStylePr w:type="seCell">
      <w:tblPr/>
      <w:tcPr>
        <w:tcBorders>
          <w:top w:val="single" w:sz="4" w:space="0" w:color="3A5EC7" w:themeColor="accent1" w:themeTint="99"/>
        </w:tcBorders>
      </w:tcPr>
    </w:tblStylePr>
    <w:tblStylePr w:type="swCell">
      <w:tblPr/>
      <w:tcPr>
        <w:tcBorders>
          <w:top w:val="single" w:sz="4" w:space="0" w:color="3A5EC7" w:themeColor="accent1" w:themeTint="99"/>
        </w:tcBorders>
      </w:tcPr>
    </w:tblStylePr>
  </w:style>
  <w:style w:type="table" w:styleId="GridTable3-Accent6">
    <w:name w:val="Grid Table 3 Accent 6"/>
    <w:basedOn w:val="TableNormal"/>
    <w:uiPriority w:val="48"/>
    <w:rsid w:val="003B1D2A"/>
    <w:pPr>
      <w:spacing w:after="0"/>
    </w:pPr>
    <w:tblPr>
      <w:tblStyleRowBandSize w:val="1"/>
      <w:tblStyleColBandSize w:val="1"/>
      <w:tblBorders>
        <w:top w:val="single" w:sz="4" w:space="0" w:color="C6C5E5" w:themeColor="accent6" w:themeTint="99"/>
        <w:left w:val="single" w:sz="4" w:space="0" w:color="C6C5E5" w:themeColor="accent6" w:themeTint="99"/>
        <w:bottom w:val="single" w:sz="4" w:space="0" w:color="C6C5E5" w:themeColor="accent6" w:themeTint="99"/>
        <w:right w:val="single" w:sz="4" w:space="0" w:color="C6C5E5" w:themeColor="accent6" w:themeTint="99"/>
        <w:insideH w:val="single" w:sz="4" w:space="0" w:color="C6C5E5" w:themeColor="accent6" w:themeTint="99"/>
        <w:insideV w:val="single" w:sz="4" w:space="0" w:color="C6C5E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F6" w:themeFill="accent6" w:themeFillTint="33"/>
      </w:tcPr>
    </w:tblStylePr>
    <w:tblStylePr w:type="band1Horz">
      <w:tblPr/>
      <w:tcPr>
        <w:shd w:val="clear" w:color="auto" w:fill="ECEBF6" w:themeFill="accent6" w:themeFillTint="33"/>
      </w:tcPr>
    </w:tblStylePr>
    <w:tblStylePr w:type="neCell">
      <w:tblPr/>
      <w:tcPr>
        <w:tcBorders>
          <w:bottom w:val="single" w:sz="4" w:space="0" w:color="C6C5E5" w:themeColor="accent6" w:themeTint="99"/>
        </w:tcBorders>
      </w:tcPr>
    </w:tblStylePr>
    <w:tblStylePr w:type="nwCell">
      <w:tblPr/>
      <w:tcPr>
        <w:tcBorders>
          <w:bottom w:val="single" w:sz="4" w:space="0" w:color="C6C5E5" w:themeColor="accent6" w:themeTint="99"/>
        </w:tcBorders>
      </w:tcPr>
    </w:tblStylePr>
    <w:tblStylePr w:type="seCell">
      <w:tblPr/>
      <w:tcPr>
        <w:tcBorders>
          <w:top w:val="single" w:sz="4" w:space="0" w:color="C6C5E5" w:themeColor="accent6" w:themeTint="99"/>
        </w:tcBorders>
      </w:tcPr>
    </w:tblStylePr>
    <w:tblStylePr w:type="swCell">
      <w:tblPr/>
      <w:tcPr>
        <w:tcBorders>
          <w:top w:val="single" w:sz="4" w:space="0" w:color="C6C5E5" w:themeColor="accent6" w:themeTint="99"/>
        </w:tcBorders>
      </w:tcPr>
    </w:tblStylePr>
  </w:style>
  <w:style w:type="table" w:styleId="GridTable3-Accent5">
    <w:name w:val="Grid Table 3 Accent 5"/>
    <w:basedOn w:val="TableNormal"/>
    <w:uiPriority w:val="48"/>
    <w:rsid w:val="003B1D2A"/>
    <w:pPr>
      <w:spacing w:after="0"/>
    </w:pPr>
    <w:tblPr>
      <w:tblStyleRowBandSize w:val="1"/>
      <w:tblStyleColBandSize w:val="1"/>
      <w:tblBorders>
        <w:top w:val="single" w:sz="4" w:space="0" w:color="A2CDEA" w:themeColor="accent5" w:themeTint="99"/>
        <w:left w:val="single" w:sz="4" w:space="0" w:color="A2CDEA" w:themeColor="accent5" w:themeTint="99"/>
        <w:bottom w:val="single" w:sz="4" w:space="0" w:color="A2CDEA" w:themeColor="accent5" w:themeTint="99"/>
        <w:right w:val="single" w:sz="4" w:space="0" w:color="A2CDEA" w:themeColor="accent5" w:themeTint="99"/>
        <w:insideH w:val="single" w:sz="4" w:space="0" w:color="A2CDEA" w:themeColor="accent5" w:themeTint="99"/>
        <w:insideV w:val="single" w:sz="4" w:space="0" w:color="A2CD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5" w:themeFillTint="33"/>
      </w:tcPr>
    </w:tblStylePr>
    <w:tblStylePr w:type="band1Horz">
      <w:tblPr/>
      <w:tcPr>
        <w:shd w:val="clear" w:color="auto" w:fill="E0EEF8" w:themeFill="accent5" w:themeFillTint="33"/>
      </w:tcPr>
    </w:tblStylePr>
    <w:tblStylePr w:type="neCell">
      <w:tblPr/>
      <w:tcPr>
        <w:tcBorders>
          <w:bottom w:val="single" w:sz="4" w:space="0" w:color="A2CDEA" w:themeColor="accent5" w:themeTint="99"/>
        </w:tcBorders>
      </w:tcPr>
    </w:tblStylePr>
    <w:tblStylePr w:type="nwCell">
      <w:tblPr/>
      <w:tcPr>
        <w:tcBorders>
          <w:bottom w:val="single" w:sz="4" w:space="0" w:color="A2CDEA" w:themeColor="accent5" w:themeTint="99"/>
        </w:tcBorders>
      </w:tcPr>
    </w:tblStylePr>
    <w:tblStylePr w:type="seCell">
      <w:tblPr/>
      <w:tcPr>
        <w:tcBorders>
          <w:top w:val="single" w:sz="4" w:space="0" w:color="A2CDEA" w:themeColor="accent5" w:themeTint="99"/>
        </w:tcBorders>
      </w:tcPr>
    </w:tblStylePr>
    <w:tblStylePr w:type="swCell">
      <w:tblPr/>
      <w:tcPr>
        <w:tcBorders>
          <w:top w:val="single" w:sz="4" w:space="0" w:color="A2CDEA" w:themeColor="accent5" w:themeTint="99"/>
        </w:tcBorders>
      </w:tcPr>
    </w:tblStylePr>
  </w:style>
  <w:style w:type="table" w:styleId="GridTable3-Accent4">
    <w:name w:val="Grid Table 3 Accent 4"/>
    <w:basedOn w:val="TableNormal"/>
    <w:uiPriority w:val="48"/>
    <w:rsid w:val="003B1D2A"/>
    <w:pPr>
      <w:spacing w:after="0"/>
    </w:pPr>
    <w:tblPr>
      <w:tblStyleRowBandSize w:val="1"/>
      <w:tblStyleColBandSize w:val="1"/>
      <w:tblBorders>
        <w:top w:val="single" w:sz="4" w:space="0" w:color="8565C5" w:themeColor="accent4" w:themeTint="99"/>
        <w:left w:val="single" w:sz="4" w:space="0" w:color="8565C5" w:themeColor="accent4" w:themeTint="99"/>
        <w:bottom w:val="single" w:sz="4" w:space="0" w:color="8565C5" w:themeColor="accent4" w:themeTint="99"/>
        <w:right w:val="single" w:sz="4" w:space="0" w:color="8565C5" w:themeColor="accent4" w:themeTint="99"/>
        <w:insideH w:val="single" w:sz="4" w:space="0" w:color="8565C5" w:themeColor="accent4" w:themeTint="99"/>
        <w:insideV w:val="single" w:sz="4" w:space="0" w:color="8565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CBEB" w:themeFill="accent4" w:themeFillTint="33"/>
      </w:tcPr>
    </w:tblStylePr>
    <w:tblStylePr w:type="band1Horz">
      <w:tblPr/>
      <w:tcPr>
        <w:shd w:val="clear" w:color="auto" w:fill="D6CBEB" w:themeFill="accent4" w:themeFillTint="33"/>
      </w:tcPr>
    </w:tblStylePr>
    <w:tblStylePr w:type="neCell">
      <w:tblPr/>
      <w:tcPr>
        <w:tcBorders>
          <w:bottom w:val="single" w:sz="4" w:space="0" w:color="8565C5" w:themeColor="accent4" w:themeTint="99"/>
        </w:tcBorders>
      </w:tcPr>
    </w:tblStylePr>
    <w:tblStylePr w:type="nwCell">
      <w:tblPr/>
      <w:tcPr>
        <w:tcBorders>
          <w:bottom w:val="single" w:sz="4" w:space="0" w:color="8565C5" w:themeColor="accent4" w:themeTint="99"/>
        </w:tcBorders>
      </w:tcPr>
    </w:tblStylePr>
    <w:tblStylePr w:type="seCell">
      <w:tblPr/>
      <w:tcPr>
        <w:tcBorders>
          <w:top w:val="single" w:sz="4" w:space="0" w:color="8565C5" w:themeColor="accent4" w:themeTint="99"/>
        </w:tcBorders>
      </w:tcPr>
    </w:tblStylePr>
    <w:tblStylePr w:type="swCell">
      <w:tblPr/>
      <w:tcPr>
        <w:tcBorders>
          <w:top w:val="single" w:sz="4" w:space="0" w:color="8565C5" w:themeColor="accent4" w:themeTint="99"/>
        </w:tcBorders>
      </w:tcPr>
    </w:tblStylePr>
  </w:style>
  <w:style w:type="paragraph" w:customStyle="1" w:styleId="LetterAuthor">
    <w:name w:val="Letter Author"/>
    <w:basedOn w:val="Normal"/>
    <w:next w:val="Normal"/>
    <w:rsid w:val="00932EDF"/>
    <w:pPr>
      <w:spacing w:before="0" w:after="0"/>
    </w:pPr>
    <w:rPr>
      <w:rFonts w:asciiTheme="majorHAnsi" w:hAnsiTheme="majorHAnsi"/>
      <w:color w:val="142147"/>
      <w:sz w:val="24"/>
      <w14:numForm w14:val="lining"/>
      <w14:numSpacing w14:val="proportional"/>
    </w:rPr>
  </w:style>
  <w:style w:type="table" w:customStyle="1" w:styleId="TableGrid2">
    <w:name w:val="Table Grid2"/>
    <w:basedOn w:val="TableNormal"/>
    <w:uiPriority w:val="59"/>
    <w:rsid w:val="00932EDF"/>
    <w:pPr>
      <w:spacing w:before="0" w:after="0"/>
    </w:pPr>
    <w:rPr>
      <w:rFonts w:ascii="Georgia" w:hAnsi="Georgia"/>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51896">
      <w:bodyDiv w:val="1"/>
      <w:marLeft w:val="0"/>
      <w:marRight w:val="0"/>
      <w:marTop w:val="0"/>
      <w:marBottom w:val="0"/>
      <w:divBdr>
        <w:top w:val="none" w:sz="0" w:space="0" w:color="auto"/>
        <w:left w:val="none" w:sz="0" w:space="0" w:color="auto"/>
        <w:bottom w:val="none" w:sz="0" w:space="0" w:color="auto"/>
        <w:right w:val="none" w:sz="0" w:space="0" w:color="auto"/>
      </w:divBdr>
    </w:div>
    <w:div w:id="70277560">
      <w:bodyDiv w:val="1"/>
      <w:marLeft w:val="0"/>
      <w:marRight w:val="0"/>
      <w:marTop w:val="0"/>
      <w:marBottom w:val="0"/>
      <w:divBdr>
        <w:top w:val="none" w:sz="0" w:space="0" w:color="auto"/>
        <w:left w:val="none" w:sz="0" w:space="0" w:color="auto"/>
        <w:bottom w:val="none" w:sz="0" w:space="0" w:color="auto"/>
        <w:right w:val="none" w:sz="0" w:space="0" w:color="auto"/>
      </w:divBdr>
    </w:div>
    <w:div w:id="73474376">
      <w:bodyDiv w:val="1"/>
      <w:marLeft w:val="0"/>
      <w:marRight w:val="0"/>
      <w:marTop w:val="0"/>
      <w:marBottom w:val="0"/>
      <w:divBdr>
        <w:top w:val="none" w:sz="0" w:space="0" w:color="auto"/>
        <w:left w:val="none" w:sz="0" w:space="0" w:color="auto"/>
        <w:bottom w:val="none" w:sz="0" w:space="0" w:color="auto"/>
        <w:right w:val="none" w:sz="0" w:space="0" w:color="auto"/>
      </w:divBdr>
    </w:div>
    <w:div w:id="92746030">
      <w:bodyDiv w:val="1"/>
      <w:marLeft w:val="0"/>
      <w:marRight w:val="0"/>
      <w:marTop w:val="0"/>
      <w:marBottom w:val="0"/>
      <w:divBdr>
        <w:top w:val="none" w:sz="0" w:space="0" w:color="auto"/>
        <w:left w:val="none" w:sz="0" w:space="0" w:color="auto"/>
        <w:bottom w:val="none" w:sz="0" w:space="0" w:color="auto"/>
        <w:right w:val="none" w:sz="0" w:space="0" w:color="auto"/>
      </w:divBdr>
    </w:div>
    <w:div w:id="161434766">
      <w:bodyDiv w:val="1"/>
      <w:marLeft w:val="0"/>
      <w:marRight w:val="0"/>
      <w:marTop w:val="0"/>
      <w:marBottom w:val="0"/>
      <w:divBdr>
        <w:top w:val="none" w:sz="0" w:space="0" w:color="auto"/>
        <w:left w:val="none" w:sz="0" w:space="0" w:color="auto"/>
        <w:bottom w:val="none" w:sz="0" w:space="0" w:color="auto"/>
        <w:right w:val="none" w:sz="0" w:space="0" w:color="auto"/>
      </w:divBdr>
    </w:div>
    <w:div w:id="233666890">
      <w:bodyDiv w:val="1"/>
      <w:marLeft w:val="0"/>
      <w:marRight w:val="0"/>
      <w:marTop w:val="0"/>
      <w:marBottom w:val="0"/>
      <w:divBdr>
        <w:top w:val="none" w:sz="0" w:space="0" w:color="auto"/>
        <w:left w:val="none" w:sz="0" w:space="0" w:color="auto"/>
        <w:bottom w:val="none" w:sz="0" w:space="0" w:color="auto"/>
        <w:right w:val="none" w:sz="0" w:space="0" w:color="auto"/>
      </w:divBdr>
    </w:div>
    <w:div w:id="314721284">
      <w:bodyDiv w:val="1"/>
      <w:marLeft w:val="0"/>
      <w:marRight w:val="0"/>
      <w:marTop w:val="0"/>
      <w:marBottom w:val="0"/>
      <w:divBdr>
        <w:top w:val="none" w:sz="0" w:space="0" w:color="auto"/>
        <w:left w:val="none" w:sz="0" w:space="0" w:color="auto"/>
        <w:bottom w:val="none" w:sz="0" w:space="0" w:color="auto"/>
        <w:right w:val="none" w:sz="0" w:space="0" w:color="auto"/>
      </w:divBdr>
    </w:div>
    <w:div w:id="342246006">
      <w:bodyDiv w:val="1"/>
      <w:marLeft w:val="0"/>
      <w:marRight w:val="0"/>
      <w:marTop w:val="0"/>
      <w:marBottom w:val="0"/>
      <w:divBdr>
        <w:top w:val="none" w:sz="0" w:space="0" w:color="auto"/>
        <w:left w:val="none" w:sz="0" w:space="0" w:color="auto"/>
        <w:bottom w:val="none" w:sz="0" w:space="0" w:color="auto"/>
        <w:right w:val="none" w:sz="0" w:space="0" w:color="auto"/>
      </w:divBdr>
    </w:div>
    <w:div w:id="349070463">
      <w:bodyDiv w:val="1"/>
      <w:marLeft w:val="0"/>
      <w:marRight w:val="0"/>
      <w:marTop w:val="0"/>
      <w:marBottom w:val="0"/>
      <w:divBdr>
        <w:top w:val="none" w:sz="0" w:space="0" w:color="auto"/>
        <w:left w:val="none" w:sz="0" w:space="0" w:color="auto"/>
        <w:bottom w:val="none" w:sz="0" w:space="0" w:color="auto"/>
        <w:right w:val="none" w:sz="0" w:space="0" w:color="auto"/>
      </w:divBdr>
    </w:div>
    <w:div w:id="354117830">
      <w:bodyDiv w:val="1"/>
      <w:marLeft w:val="0"/>
      <w:marRight w:val="0"/>
      <w:marTop w:val="0"/>
      <w:marBottom w:val="0"/>
      <w:divBdr>
        <w:top w:val="none" w:sz="0" w:space="0" w:color="auto"/>
        <w:left w:val="none" w:sz="0" w:space="0" w:color="auto"/>
        <w:bottom w:val="none" w:sz="0" w:space="0" w:color="auto"/>
        <w:right w:val="none" w:sz="0" w:space="0" w:color="auto"/>
      </w:divBdr>
    </w:div>
    <w:div w:id="355085652">
      <w:bodyDiv w:val="1"/>
      <w:marLeft w:val="0"/>
      <w:marRight w:val="0"/>
      <w:marTop w:val="0"/>
      <w:marBottom w:val="0"/>
      <w:divBdr>
        <w:top w:val="none" w:sz="0" w:space="0" w:color="auto"/>
        <w:left w:val="none" w:sz="0" w:space="0" w:color="auto"/>
        <w:bottom w:val="none" w:sz="0" w:space="0" w:color="auto"/>
        <w:right w:val="none" w:sz="0" w:space="0" w:color="auto"/>
      </w:divBdr>
    </w:div>
    <w:div w:id="355888418">
      <w:bodyDiv w:val="1"/>
      <w:marLeft w:val="0"/>
      <w:marRight w:val="0"/>
      <w:marTop w:val="0"/>
      <w:marBottom w:val="0"/>
      <w:divBdr>
        <w:top w:val="none" w:sz="0" w:space="0" w:color="auto"/>
        <w:left w:val="none" w:sz="0" w:space="0" w:color="auto"/>
        <w:bottom w:val="none" w:sz="0" w:space="0" w:color="auto"/>
        <w:right w:val="none" w:sz="0" w:space="0" w:color="auto"/>
      </w:divBdr>
    </w:div>
    <w:div w:id="373693820">
      <w:bodyDiv w:val="1"/>
      <w:marLeft w:val="0"/>
      <w:marRight w:val="0"/>
      <w:marTop w:val="0"/>
      <w:marBottom w:val="0"/>
      <w:divBdr>
        <w:top w:val="none" w:sz="0" w:space="0" w:color="auto"/>
        <w:left w:val="none" w:sz="0" w:space="0" w:color="auto"/>
        <w:bottom w:val="none" w:sz="0" w:space="0" w:color="auto"/>
        <w:right w:val="none" w:sz="0" w:space="0" w:color="auto"/>
      </w:divBdr>
    </w:div>
    <w:div w:id="500587647">
      <w:bodyDiv w:val="1"/>
      <w:marLeft w:val="0"/>
      <w:marRight w:val="0"/>
      <w:marTop w:val="0"/>
      <w:marBottom w:val="0"/>
      <w:divBdr>
        <w:top w:val="none" w:sz="0" w:space="0" w:color="auto"/>
        <w:left w:val="none" w:sz="0" w:space="0" w:color="auto"/>
        <w:bottom w:val="none" w:sz="0" w:space="0" w:color="auto"/>
        <w:right w:val="none" w:sz="0" w:space="0" w:color="auto"/>
      </w:divBdr>
    </w:div>
    <w:div w:id="533808472">
      <w:bodyDiv w:val="1"/>
      <w:marLeft w:val="0"/>
      <w:marRight w:val="0"/>
      <w:marTop w:val="0"/>
      <w:marBottom w:val="0"/>
      <w:divBdr>
        <w:top w:val="none" w:sz="0" w:space="0" w:color="auto"/>
        <w:left w:val="none" w:sz="0" w:space="0" w:color="auto"/>
        <w:bottom w:val="none" w:sz="0" w:space="0" w:color="auto"/>
        <w:right w:val="none" w:sz="0" w:space="0" w:color="auto"/>
      </w:divBdr>
    </w:div>
    <w:div w:id="541137340">
      <w:bodyDiv w:val="1"/>
      <w:marLeft w:val="0"/>
      <w:marRight w:val="0"/>
      <w:marTop w:val="0"/>
      <w:marBottom w:val="0"/>
      <w:divBdr>
        <w:top w:val="none" w:sz="0" w:space="0" w:color="auto"/>
        <w:left w:val="none" w:sz="0" w:space="0" w:color="auto"/>
        <w:bottom w:val="none" w:sz="0" w:space="0" w:color="auto"/>
        <w:right w:val="none" w:sz="0" w:space="0" w:color="auto"/>
      </w:divBdr>
    </w:div>
    <w:div w:id="563570918">
      <w:bodyDiv w:val="1"/>
      <w:marLeft w:val="0"/>
      <w:marRight w:val="0"/>
      <w:marTop w:val="0"/>
      <w:marBottom w:val="0"/>
      <w:divBdr>
        <w:top w:val="none" w:sz="0" w:space="0" w:color="auto"/>
        <w:left w:val="none" w:sz="0" w:space="0" w:color="auto"/>
        <w:bottom w:val="none" w:sz="0" w:space="0" w:color="auto"/>
        <w:right w:val="none" w:sz="0" w:space="0" w:color="auto"/>
      </w:divBdr>
    </w:div>
    <w:div w:id="576018064">
      <w:bodyDiv w:val="1"/>
      <w:marLeft w:val="0"/>
      <w:marRight w:val="0"/>
      <w:marTop w:val="0"/>
      <w:marBottom w:val="0"/>
      <w:divBdr>
        <w:top w:val="none" w:sz="0" w:space="0" w:color="auto"/>
        <w:left w:val="none" w:sz="0" w:space="0" w:color="auto"/>
        <w:bottom w:val="none" w:sz="0" w:space="0" w:color="auto"/>
        <w:right w:val="none" w:sz="0" w:space="0" w:color="auto"/>
      </w:divBdr>
    </w:div>
    <w:div w:id="612247335">
      <w:bodyDiv w:val="1"/>
      <w:marLeft w:val="0"/>
      <w:marRight w:val="0"/>
      <w:marTop w:val="0"/>
      <w:marBottom w:val="0"/>
      <w:divBdr>
        <w:top w:val="none" w:sz="0" w:space="0" w:color="auto"/>
        <w:left w:val="none" w:sz="0" w:space="0" w:color="auto"/>
        <w:bottom w:val="none" w:sz="0" w:space="0" w:color="auto"/>
        <w:right w:val="none" w:sz="0" w:space="0" w:color="auto"/>
      </w:divBdr>
    </w:div>
    <w:div w:id="621150813">
      <w:bodyDiv w:val="1"/>
      <w:marLeft w:val="0"/>
      <w:marRight w:val="0"/>
      <w:marTop w:val="0"/>
      <w:marBottom w:val="0"/>
      <w:divBdr>
        <w:top w:val="none" w:sz="0" w:space="0" w:color="auto"/>
        <w:left w:val="none" w:sz="0" w:space="0" w:color="auto"/>
        <w:bottom w:val="none" w:sz="0" w:space="0" w:color="auto"/>
        <w:right w:val="none" w:sz="0" w:space="0" w:color="auto"/>
      </w:divBdr>
    </w:div>
    <w:div w:id="624432477">
      <w:bodyDiv w:val="1"/>
      <w:marLeft w:val="0"/>
      <w:marRight w:val="0"/>
      <w:marTop w:val="0"/>
      <w:marBottom w:val="0"/>
      <w:divBdr>
        <w:top w:val="none" w:sz="0" w:space="0" w:color="auto"/>
        <w:left w:val="none" w:sz="0" w:space="0" w:color="auto"/>
        <w:bottom w:val="none" w:sz="0" w:space="0" w:color="auto"/>
        <w:right w:val="none" w:sz="0" w:space="0" w:color="auto"/>
      </w:divBdr>
    </w:div>
    <w:div w:id="652024013">
      <w:bodyDiv w:val="1"/>
      <w:marLeft w:val="0"/>
      <w:marRight w:val="0"/>
      <w:marTop w:val="0"/>
      <w:marBottom w:val="0"/>
      <w:divBdr>
        <w:top w:val="none" w:sz="0" w:space="0" w:color="auto"/>
        <w:left w:val="none" w:sz="0" w:space="0" w:color="auto"/>
        <w:bottom w:val="none" w:sz="0" w:space="0" w:color="auto"/>
        <w:right w:val="none" w:sz="0" w:space="0" w:color="auto"/>
      </w:divBdr>
    </w:div>
    <w:div w:id="703791125">
      <w:bodyDiv w:val="1"/>
      <w:marLeft w:val="0"/>
      <w:marRight w:val="0"/>
      <w:marTop w:val="0"/>
      <w:marBottom w:val="0"/>
      <w:divBdr>
        <w:top w:val="none" w:sz="0" w:space="0" w:color="auto"/>
        <w:left w:val="none" w:sz="0" w:space="0" w:color="auto"/>
        <w:bottom w:val="none" w:sz="0" w:space="0" w:color="auto"/>
        <w:right w:val="none" w:sz="0" w:space="0" w:color="auto"/>
      </w:divBdr>
    </w:div>
    <w:div w:id="708190121">
      <w:bodyDiv w:val="1"/>
      <w:marLeft w:val="0"/>
      <w:marRight w:val="0"/>
      <w:marTop w:val="0"/>
      <w:marBottom w:val="0"/>
      <w:divBdr>
        <w:top w:val="none" w:sz="0" w:space="0" w:color="auto"/>
        <w:left w:val="none" w:sz="0" w:space="0" w:color="auto"/>
        <w:bottom w:val="none" w:sz="0" w:space="0" w:color="auto"/>
        <w:right w:val="none" w:sz="0" w:space="0" w:color="auto"/>
      </w:divBdr>
    </w:div>
    <w:div w:id="728381634">
      <w:bodyDiv w:val="1"/>
      <w:marLeft w:val="0"/>
      <w:marRight w:val="0"/>
      <w:marTop w:val="0"/>
      <w:marBottom w:val="0"/>
      <w:divBdr>
        <w:top w:val="none" w:sz="0" w:space="0" w:color="auto"/>
        <w:left w:val="none" w:sz="0" w:space="0" w:color="auto"/>
        <w:bottom w:val="none" w:sz="0" w:space="0" w:color="auto"/>
        <w:right w:val="none" w:sz="0" w:space="0" w:color="auto"/>
      </w:divBdr>
    </w:div>
    <w:div w:id="740760587">
      <w:bodyDiv w:val="1"/>
      <w:marLeft w:val="0"/>
      <w:marRight w:val="0"/>
      <w:marTop w:val="0"/>
      <w:marBottom w:val="0"/>
      <w:divBdr>
        <w:top w:val="none" w:sz="0" w:space="0" w:color="auto"/>
        <w:left w:val="none" w:sz="0" w:space="0" w:color="auto"/>
        <w:bottom w:val="none" w:sz="0" w:space="0" w:color="auto"/>
        <w:right w:val="none" w:sz="0" w:space="0" w:color="auto"/>
      </w:divBdr>
    </w:div>
    <w:div w:id="756442014">
      <w:bodyDiv w:val="1"/>
      <w:marLeft w:val="0"/>
      <w:marRight w:val="0"/>
      <w:marTop w:val="0"/>
      <w:marBottom w:val="0"/>
      <w:divBdr>
        <w:top w:val="none" w:sz="0" w:space="0" w:color="auto"/>
        <w:left w:val="none" w:sz="0" w:space="0" w:color="auto"/>
        <w:bottom w:val="none" w:sz="0" w:space="0" w:color="auto"/>
        <w:right w:val="none" w:sz="0" w:space="0" w:color="auto"/>
      </w:divBdr>
    </w:div>
    <w:div w:id="775905427">
      <w:bodyDiv w:val="1"/>
      <w:marLeft w:val="0"/>
      <w:marRight w:val="0"/>
      <w:marTop w:val="0"/>
      <w:marBottom w:val="0"/>
      <w:divBdr>
        <w:top w:val="none" w:sz="0" w:space="0" w:color="auto"/>
        <w:left w:val="none" w:sz="0" w:space="0" w:color="auto"/>
        <w:bottom w:val="none" w:sz="0" w:space="0" w:color="auto"/>
        <w:right w:val="none" w:sz="0" w:space="0" w:color="auto"/>
      </w:divBdr>
    </w:div>
    <w:div w:id="794837296">
      <w:bodyDiv w:val="1"/>
      <w:marLeft w:val="0"/>
      <w:marRight w:val="0"/>
      <w:marTop w:val="0"/>
      <w:marBottom w:val="0"/>
      <w:divBdr>
        <w:top w:val="none" w:sz="0" w:space="0" w:color="auto"/>
        <w:left w:val="none" w:sz="0" w:space="0" w:color="auto"/>
        <w:bottom w:val="none" w:sz="0" w:space="0" w:color="auto"/>
        <w:right w:val="none" w:sz="0" w:space="0" w:color="auto"/>
      </w:divBdr>
    </w:div>
    <w:div w:id="807747277">
      <w:bodyDiv w:val="1"/>
      <w:marLeft w:val="0"/>
      <w:marRight w:val="0"/>
      <w:marTop w:val="0"/>
      <w:marBottom w:val="0"/>
      <w:divBdr>
        <w:top w:val="none" w:sz="0" w:space="0" w:color="auto"/>
        <w:left w:val="none" w:sz="0" w:space="0" w:color="auto"/>
        <w:bottom w:val="none" w:sz="0" w:space="0" w:color="auto"/>
        <w:right w:val="none" w:sz="0" w:space="0" w:color="auto"/>
      </w:divBdr>
    </w:div>
    <w:div w:id="829908199">
      <w:bodyDiv w:val="1"/>
      <w:marLeft w:val="0"/>
      <w:marRight w:val="0"/>
      <w:marTop w:val="0"/>
      <w:marBottom w:val="0"/>
      <w:divBdr>
        <w:top w:val="none" w:sz="0" w:space="0" w:color="auto"/>
        <w:left w:val="none" w:sz="0" w:space="0" w:color="auto"/>
        <w:bottom w:val="none" w:sz="0" w:space="0" w:color="auto"/>
        <w:right w:val="none" w:sz="0" w:space="0" w:color="auto"/>
      </w:divBdr>
    </w:div>
    <w:div w:id="864294645">
      <w:bodyDiv w:val="1"/>
      <w:marLeft w:val="0"/>
      <w:marRight w:val="0"/>
      <w:marTop w:val="0"/>
      <w:marBottom w:val="0"/>
      <w:divBdr>
        <w:top w:val="none" w:sz="0" w:space="0" w:color="auto"/>
        <w:left w:val="none" w:sz="0" w:space="0" w:color="auto"/>
        <w:bottom w:val="none" w:sz="0" w:space="0" w:color="auto"/>
        <w:right w:val="none" w:sz="0" w:space="0" w:color="auto"/>
      </w:divBdr>
    </w:div>
    <w:div w:id="930431947">
      <w:bodyDiv w:val="1"/>
      <w:marLeft w:val="0"/>
      <w:marRight w:val="0"/>
      <w:marTop w:val="0"/>
      <w:marBottom w:val="0"/>
      <w:divBdr>
        <w:top w:val="none" w:sz="0" w:space="0" w:color="auto"/>
        <w:left w:val="none" w:sz="0" w:space="0" w:color="auto"/>
        <w:bottom w:val="none" w:sz="0" w:space="0" w:color="auto"/>
        <w:right w:val="none" w:sz="0" w:space="0" w:color="auto"/>
      </w:divBdr>
    </w:div>
    <w:div w:id="963540081">
      <w:bodyDiv w:val="1"/>
      <w:marLeft w:val="0"/>
      <w:marRight w:val="0"/>
      <w:marTop w:val="0"/>
      <w:marBottom w:val="0"/>
      <w:divBdr>
        <w:top w:val="none" w:sz="0" w:space="0" w:color="auto"/>
        <w:left w:val="none" w:sz="0" w:space="0" w:color="auto"/>
        <w:bottom w:val="none" w:sz="0" w:space="0" w:color="auto"/>
        <w:right w:val="none" w:sz="0" w:space="0" w:color="auto"/>
      </w:divBdr>
    </w:div>
    <w:div w:id="1006327265">
      <w:bodyDiv w:val="1"/>
      <w:marLeft w:val="0"/>
      <w:marRight w:val="0"/>
      <w:marTop w:val="0"/>
      <w:marBottom w:val="0"/>
      <w:divBdr>
        <w:top w:val="none" w:sz="0" w:space="0" w:color="auto"/>
        <w:left w:val="none" w:sz="0" w:space="0" w:color="auto"/>
        <w:bottom w:val="none" w:sz="0" w:space="0" w:color="auto"/>
        <w:right w:val="none" w:sz="0" w:space="0" w:color="auto"/>
      </w:divBdr>
    </w:div>
    <w:div w:id="1022315870">
      <w:bodyDiv w:val="1"/>
      <w:marLeft w:val="0"/>
      <w:marRight w:val="0"/>
      <w:marTop w:val="0"/>
      <w:marBottom w:val="0"/>
      <w:divBdr>
        <w:top w:val="none" w:sz="0" w:space="0" w:color="auto"/>
        <w:left w:val="none" w:sz="0" w:space="0" w:color="auto"/>
        <w:bottom w:val="none" w:sz="0" w:space="0" w:color="auto"/>
        <w:right w:val="none" w:sz="0" w:space="0" w:color="auto"/>
      </w:divBdr>
    </w:div>
    <w:div w:id="1089279826">
      <w:bodyDiv w:val="1"/>
      <w:marLeft w:val="0"/>
      <w:marRight w:val="0"/>
      <w:marTop w:val="0"/>
      <w:marBottom w:val="0"/>
      <w:divBdr>
        <w:top w:val="none" w:sz="0" w:space="0" w:color="auto"/>
        <w:left w:val="none" w:sz="0" w:space="0" w:color="auto"/>
        <w:bottom w:val="none" w:sz="0" w:space="0" w:color="auto"/>
        <w:right w:val="none" w:sz="0" w:space="0" w:color="auto"/>
      </w:divBdr>
    </w:div>
    <w:div w:id="1130785985">
      <w:bodyDiv w:val="1"/>
      <w:marLeft w:val="0"/>
      <w:marRight w:val="0"/>
      <w:marTop w:val="0"/>
      <w:marBottom w:val="0"/>
      <w:divBdr>
        <w:top w:val="none" w:sz="0" w:space="0" w:color="auto"/>
        <w:left w:val="none" w:sz="0" w:space="0" w:color="auto"/>
        <w:bottom w:val="none" w:sz="0" w:space="0" w:color="auto"/>
        <w:right w:val="none" w:sz="0" w:space="0" w:color="auto"/>
      </w:divBdr>
    </w:div>
    <w:div w:id="1145319645">
      <w:bodyDiv w:val="1"/>
      <w:marLeft w:val="0"/>
      <w:marRight w:val="0"/>
      <w:marTop w:val="0"/>
      <w:marBottom w:val="0"/>
      <w:divBdr>
        <w:top w:val="none" w:sz="0" w:space="0" w:color="auto"/>
        <w:left w:val="none" w:sz="0" w:space="0" w:color="auto"/>
        <w:bottom w:val="none" w:sz="0" w:space="0" w:color="auto"/>
        <w:right w:val="none" w:sz="0" w:space="0" w:color="auto"/>
      </w:divBdr>
    </w:div>
    <w:div w:id="1163813316">
      <w:bodyDiv w:val="1"/>
      <w:marLeft w:val="0"/>
      <w:marRight w:val="0"/>
      <w:marTop w:val="0"/>
      <w:marBottom w:val="0"/>
      <w:divBdr>
        <w:top w:val="none" w:sz="0" w:space="0" w:color="auto"/>
        <w:left w:val="none" w:sz="0" w:space="0" w:color="auto"/>
        <w:bottom w:val="none" w:sz="0" w:space="0" w:color="auto"/>
        <w:right w:val="none" w:sz="0" w:space="0" w:color="auto"/>
      </w:divBdr>
    </w:div>
    <w:div w:id="1289823684">
      <w:bodyDiv w:val="1"/>
      <w:marLeft w:val="0"/>
      <w:marRight w:val="0"/>
      <w:marTop w:val="0"/>
      <w:marBottom w:val="0"/>
      <w:divBdr>
        <w:top w:val="none" w:sz="0" w:space="0" w:color="auto"/>
        <w:left w:val="none" w:sz="0" w:space="0" w:color="auto"/>
        <w:bottom w:val="none" w:sz="0" w:space="0" w:color="auto"/>
        <w:right w:val="none" w:sz="0" w:space="0" w:color="auto"/>
      </w:divBdr>
    </w:div>
    <w:div w:id="1318457336">
      <w:bodyDiv w:val="1"/>
      <w:marLeft w:val="0"/>
      <w:marRight w:val="0"/>
      <w:marTop w:val="0"/>
      <w:marBottom w:val="0"/>
      <w:divBdr>
        <w:top w:val="none" w:sz="0" w:space="0" w:color="auto"/>
        <w:left w:val="none" w:sz="0" w:space="0" w:color="auto"/>
        <w:bottom w:val="none" w:sz="0" w:space="0" w:color="auto"/>
        <w:right w:val="none" w:sz="0" w:space="0" w:color="auto"/>
      </w:divBdr>
    </w:div>
    <w:div w:id="1324895062">
      <w:bodyDiv w:val="1"/>
      <w:marLeft w:val="0"/>
      <w:marRight w:val="0"/>
      <w:marTop w:val="0"/>
      <w:marBottom w:val="0"/>
      <w:divBdr>
        <w:top w:val="none" w:sz="0" w:space="0" w:color="auto"/>
        <w:left w:val="none" w:sz="0" w:space="0" w:color="auto"/>
        <w:bottom w:val="none" w:sz="0" w:space="0" w:color="auto"/>
        <w:right w:val="none" w:sz="0" w:space="0" w:color="auto"/>
      </w:divBdr>
    </w:div>
    <w:div w:id="1328242959">
      <w:bodyDiv w:val="1"/>
      <w:marLeft w:val="0"/>
      <w:marRight w:val="0"/>
      <w:marTop w:val="0"/>
      <w:marBottom w:val="0"/>
      <w:divBdr>
        <w:top w:val="none" w:sz="0" w:space="0" w:color="auto"/>
        <w:left w:val="none" w:sz="0" w:space="0" w:color="auto"/>
        <w:bottom w:val="none" w:sz="0" w:space="0" w:color="auto"/>
        <w:right w:val="none" w:sz="0" w:space="0" w:color="auto"/>
      </w:divBdr>
    </w:div>
    <w:div w:id="1335494842">
      <w:bodyDiv w:val="1"/>
      <w:marLeft w:val="0"/>
      <w:marRight w:val="0"/>
      <w:marTop w:val="0"/>
      <w:marBottom w:val="0"/>
      <w:divBdr>
        <w:top w:val="none" w:sz="0" w:space="0" w:color="auto"/>
        <w:left w:val="none" w:sz="0" w:space="0" w:color="auto"/>
        <w:bottom w:val="none" w:sz="0" w:space="0" w:color="auto"/>
        <w:right w:val="none" w:sz="0" w:space="0" w:color="auto"/>
      </w:divBdr>
    </w:div>
    <w:div w:id="1371029327">
      <w:bodyDiv w:val="1"/>
      <w:marLeft w:val="0"/>
      <w:marRight w:val="0"/>
      <w:marTop w:val="0"/>
      <w:marBottom w:val="0"/>
      <w:divBdr>
        <w:top w:val="none" w:sz="0" w:space="0" w:color="auto"/>
        <w:left w:val="none" w:sz="0" w:space="0" w:color="auto"/>
        <w:bottom w:val="none" w:sz="0" w:space="0" w:color="auto"/>
        <w:right w:val="none" w:sz="0" w:space="0" w:color="auto"/>
      </w:divBdr>
    </w:div>
    <w:div w:id="1376151889">
      <w:bodyDiv w:val="1"/>
      <w:marLeft w:val="0"/>
      <w:marRight w:val="0"/>
      <w:marTop w:val="0"/>
      <w:marBottom w:val="0"/>
      <w:divBdr>
        <w:top w:val="none" w:sz="0" w:space="0" w:color="auto"/>
        <w:left w:val="none" w:sz="0" w:space="0" w:color="auto"/>
        <w:bottom w:val="none" w:sz="0" w:space="0" w:color="auto"/>
        <w:right w:val="none" w:sz="0" w:space="0" w:color="auto"/>
      </w:divBdr>
    </w:div>
    <w:div w:id="1376275190">
      <w:bodyDiv w:val="1"/>
      <w:marLeft w:val="0"/>
      <w:marRight w:val="0"/>
      <w:marTop w:val="0"/>
      <w:marBottom w:val="0"/>
      <w:divBdr>
        <w:top w:val="none" w:sz="0" w:space="0" w:color="auto"/>
        <w:left w:val="none" w:sz="0" w:space="0" w:color="auto"/>
        <w:bottom w:val="none" w:sz="0" w:space="0" w:color="auto"/>
        <w:right w:val="none" w:sz="0" w:space="0" w:color="auto"/>
      </w:divBdr>
    </w:div>
    <w:div w:id="1439178471">
      <w:bodyDiv w:val="1"/>
      <w:marLeft w:val="0"/>
      <w:marRight w:val="0"/>
      <w:marTop w:val="0"/>
      <w:marBottom w:val="0"/>
      <w:divBdr>
        <w:top w:val="none" w:sz="0" w:space="0" w:color="auto"/>
        <w:left w:val="none" w:sz="0" w:space="0" w:color="auto"/>
        <w:bottom w:val="none" w:sz="0" w:space="0" w:color="auto"/>
        <w:right w:val="none" w:sz="0" w:space="0" w:color="auto"/>
      </w:divBdr>
    </w:div>
    <w:div w:id="1496603586">
      <w:bodyDiv w:val="1"/>
      <w:marLeft w:val="0"/>
      <w:marRight w:val="0"/>
      <w:marTop w:val="0"/>
      <w:marBottom w:val="0"/>
      <w:divBdr>
        <w:top w:val="none" w:sz="0" w:space="0" w:color="auto"/>
        <w:left w:val="none" w:sz="0" w:space="0" w:color="auto"/>
        <w:bottom w:val="none" w:sz="0" w:space="0" w:color="auto"/>
        <w:right w:val="none" w:sz="0" w:space="0" w:color="auto"/>
      </w:divBdr>
      <w:divsChild>
        <w:div w:id="109978562">
          <w:marLeft w:val="547"/>
          <w:marRight w:val="0"/>
          <w:marTop w:val="0"/>
          <w:marBottom w:val="0"/>
          <w:divBdr>
            <w:top w:val="none" w:sz="0" w:space="0" w:color="auto"/>
            <w:left w:val="none" w:sz="0" w:space="0" w:color="auto"/>
            <w:bottom w:val="none" w:sz="0" w:space="0" w:color="auto"/>
            <w:right w:val="none" w:sz="0" w:space="0" w:color="auto"/>
          </w:divBdr>
        </w:div>
        <w:div w:id="135415334">
          <w:marLeft w:val="547"/>
          <w:marRight w:val="0"/>
          <w:marTop w:val="0"/>
          <w:marBottom w:val="0"/>
          <w:divBdr>
            <w:top w:val="none" w:sz="0" w:space="0" w:color="auto"/>
            <w:left w:val="none" w:sz="0" w:space="0" w:color="auto"/>
            <w:bottom w:val="none" w:sz="0" w:space="0" w:color="auto"/>
            <w:right w:val="none" w:sz="0" w:space="0" w:color="auto"/>
          </w:divBdr>
        </w:div>
        <w:div w:id="169104995">
          <w:marLeft w:val="1166"/>
          <w:marRight w:val="0"/>
          <w:marTop w:val="0"/>
          <w:marBottom w:val="0"/>
          <w:divBdr>
            <w:top w:val="none" w:sz="0" w:space="0" w:color="auto"/>
            <w:left w:val="none" w:sz="0" w:space="0" w:color="auto"/>
            <w:bottom w:val="none" w:sz="0" w:space="0" w:color="auto"/>
            <w:right w:val="none" w:sz="0" w:space="0" w:color="auto"/>
          </w:divBdr>
        </w:div>
        <w:div w:id="194849804">
          <w:marLeft w:val="1166"/>
          <w:marRight w:val="0"/>
          <w:marTop w:val="0"/>
          <w:marBottom w:val="0"/>
          <w:divBdr>
            <w:top w:val="none" w:sz="0" w:space="0" w:color="auto"/>
            <w:left w:val="none" w:sz="0" w:space="0" w:color="auto"/>
            <w:bottom w:val="none" w:sz="0" w:space="0" w:color="auto"/>
            <w:right w:val="none" w:sz="0" w:space="0" w:color="auto"/>
          </w:divBdr>
        </w:div>
        <w:div w:id="262802939">
          <w:marLeft w:val="1166"/>
          <w:marRight w:val="0"/>
          <w:marTop w:val="0"/>
          <w:marBottom w:val="0"/>
          <w:divBdr>
            <w:top w:val="none" w:sz="0" w:space="0" w:color="auto"/>
            <w:left w:val="none" w:sz="0" w:space="0" w:color="auto"/>
            <w:bottom w:val="none" w:sz="0" w:space="0" w:color="auto"/>
            <w:right w:val="none" w:sz="0" w:space="0" w:color="auto"/>
          </w:divBdr>
        </w:div>
        <w:div w:id="326443398">
          <w:marLeft w:val="1166"/>
          <w:marRight w:val="0"/>
          <w:marTop w:val="0"/>
          <w:marBottom w:val="0"/>
          <w:divBdr>
            <w:top w:val="none" w:sz="0" w:space="0" w:color="auto"/>
            <w:left w:val="none" w:sz="0" w:space="0" w:color="auto"/>
            <w:bottom w:val="none" w:sz="0" w:space="0" w:color="auto"/>
            <w:right w:val="none" w:sz="0" w:space="0" w:color="auto"/>
          </w:divBdr>
        </w:div>
        <w:div w:id="480268156">
          <w:marLeft w:val="547"/>
          <w:marRight w:val="0"/>
          <w:marTop w:val="0"/>
          <w:marBottom w:val="0"/>
          <w:divBdr>
            <w:top w:val="none" w:sz="0" w:space="0" w:color="auto"/>
            <w:left w:val="none" w:sz="0" w:space="0" w:color="auto"/>
            <w:bottom w:val="none" w:sz="0" w:space="0" w:color="auto"/>
            <w:right w:val="none" w:sz="0" w:space="0" w:color="auto"/>
          </w:divBdr>
        </w:div>
        <w:div w:id="716702449">
          <w:marLeft w:val="1166"/>
          <w:marRight w:val="0"/>
          <w:marTop w:val="0"/>
          <w:marBottom w:val="0"/>
          <w:divBdr>
            <w:top w:val="none" w:sz="0" w:space="0" w:color="auto"/>
            <w:left w:val="none" w:sz="0" w:space="0" w:color="auto"/>
            <w:bottom w:val="none" w:sz="0" w:space="0" w:color="auto"/>
            <w:right w:val="none" w:sz="0" w:space="0" w:color="auto"/>
          </w:divBdr>
        </w:div>
        <w:div w:id="747074319">
          <w:marLeft w:val="1166"/>
          <w:marRight w:val="0"/>
          <w:marTop w:val="0"/>
          <w:marBottom w:val="0"/>
          <w:divBdr>
            <w:top w:val="none" w:sz="0" w:space="0" w:color="auto"/>
            <w:left w:val="none" w:sz="0" w:space="0" w:color="auto"/>
            <w:bottom w:val="none" w:sz="0" w:space="0" w:color="auto"/>
            <w:right w:val="none" w:sz="0" w:space="0" w:color="auto"/>
          </w:divBdr>
        </w:div>
        <w:div w:id="1094789416">
          <w:marLeft w:val="1166"/>
          <w:marRight w:val="0"/>
          <w:marTop w:val="0"/>
          <w:marBottom w:val="0"/>
          <w:divBdr>
            <w:top w:val="none" w:sz="0" w:space="0" w:color="auto"/>
            <w:left w:val="none" w:sz="0" w:space="0" w:color="auto"/>
            <w:bottom w:val="none" w:sz="0" w:space="0" w:color="auto"/>
            <w:right w:val="none" w:sz="0" w:space="0" w:color="auto"/>
          </w:divBdr>
        </w:div>
        <w:div w:id="1224753196">
          <w:marLeft w:val="1166"/>
          <w:marRight w:val="0"/>
          <w:marTop w:val="0"/>
          <w:marBottom w:val="0"/>
          <w:divBdr>
            <w:top w:val="none" w:sz="0" w:space="0" w:color="auto"/>
            <w:left w:val="none" w:sz="0" w:space="0" w:color="auto"/>
            <w:bottom w:val="none" w:sz="0" w:space="0" w:color="auto"/>
            <w:right w:val="none" w:sz="0" w:space="0" w:color="auto"/>
          </w:divBdr>
        </w:div>
        <w:div w:id="1458062634">
          <w:marLeft w:val="1166"/>
          <w:marRight w:val="0"/>
          <w:marTop w:val="0"/>
          <w:marBottom w:val="0"/>
          <w:divBdr>
            <w:top w:val="none" w:sz="0" w:space="0" w:color="auto"/>
            <w:left w:val="none" w:sz="0" w:space="0" w:color="auto"/>
            <w:bottom w:val="none" w:sz="0" w:space="0" w:color="auto"/>
            <w:right w:val="none" w:sz="0" w:space="0" w:color="auto"/>
          </w:divBdr>
        </w:div>
        <w:div w:id="1948153919">
          <w:marLeft w:val="1166"/>
          <w:marRight w:val="0"/>
          <w:marTop w:val="0"/>
          <w:marBottom w:val="0"/>
          <w:divBdr>
            <w:top w:val="none" w:sz="0" w:space="0" w:color="auto"/>
            <w:left w:val="none" w:sz="0" w:space="0" w:color="auto"/>
            <w:bottom w:val="none" w:sz="0" w:space="0" w:color="auto"/>
            <w:right w:val="none" w:sz="0" w:space="0" w:color="auto"/>
          </w:divBdr>
        </w:div>
        <w:div w:id="2071146979">
          <w:marLeft w:val="1166"/>
          <w:marRight w:val="0"/>
          <w:marTop w:val="0"/>
          <w:marBottom w:val="0"/>
          <w:divBdr>
            <w:top w:val="none" w:sz="0" w:space="0" w:color="auto"/>
            <w:left w:val="none" w:sz="0" w:space="0" w:color="auto"/>
            <w:bottom w:val="none" w:sz="0" w:space="0" w:color="auto"/>
            <w:right w:val="none" w:sz="0" w:space="0" w:color="auto"/>
          </w:divBdr>
        </w:div>
        <w:div w:id="2117173128">
          <w:marLeft w:val="1166"/>
          <w:marRight w:val="0"/>
          <w:marTop w:val="0"/>
          <w:marBottom w:val="0"/>
          <w:divBdr>
            <w:top w:val="none" w:sz="0" w:space="0" w:color="auto"/>
            <w:left w:val="none" w:sz="0" w:space="0" w:color="auto"/>
            <w:bottom w:val="none" w:sz="0" w:space="0" w:color="auto"/>
            <w:right w:val="none" w:sz="0" w:space="0" w:color="auto"/>
          </w:divBdr>
        </w:div>
      </w:divsChild>
    </w:div>
    <w:div w:id="1520124581">
      <w:bodyDiv w:val="1"/>
      <w:marLeft w:val="0"/>
      <w:marRight w:val="0"/>
      <w:marTop w:val="0"/>
      <w:marBottom w:val="0"/>
      <w:divBdr>
        <w:top w:val="none" w:sz="0" w:space="0" w:color="auto"/>
        <w:left w:val="none" w:sz="0" w:space="0" w:color="auto"/>
        <w:bottom w:val="none" w:sz="0" w:space="0" w:color="auto"/>
        <w:right w:val="none" w:sz="0" w:space="0" w:color="auto"/>
      </w:divBdr>
    </w:div>
    <w:div w:id="1537886593">
      <w:bodyDiv w:val="1"/>
      <w:marLeft w:val="0"/>
      <w:marRight w:val="0"/>
      <w:marTop w:val="0"/>
      <w:marBottom w:val="0"/>
      <w:divBdr>
        <w:top w:val="none" w:sz="0" w:space="0" w:color="auto"/>
        <w:left w:val="none" w:sz="0" w:space="0" w:color="auto"/>
        <w:bottom w:val="none" w:sz="0" w:space="0" w:color="auto"/>
        <w:right w:val="none" w:sz="0" w:space="0" w:color="auto"/>
      </w:divBdr>
    </w:div>
    <w:div w:id="1611399363">
      <w:bodyDiv w:val="1"/>
      <w:marLeft w:val="0"/>
      <w:marRight w:val="0"/>
      <w:marTop w:val="0"/>
      <w:marBottom w:val="0"/>
      <w:divBdr>
        <w:top w:val="none" w:sz="0" w:space="0" w:color="auto"/>
        <w:left w:val="none" w:sz="0" w:space="0" w:color="auto"/>
        <w:bottom w:val="none" w:sz="0" w:space="0" w:color="auto"/>
        <w:right w:val="none" w:sz="0" w:space="0" w:color="auto"/>
      </w:divBdr>
    </w:div>
    <w:div w:id="1637419008">
      <w:bodyDiv w:val="1"/>
      <w:marLeft w:val="0"/>
      <w:marRight w:val="0"/>
      <w:marTop w:val="0"/>
      <w:marBottom w:val="0"/>
      <w:divBdr>
        <w:top w:val="none" w:sz="0" w:space="0" w:color="auto"/>
        <w:left w:val="none" w:sz="0" w:space="0" w:color="auto"/>
        <w:bottom w:val="none" w:sz="0" w:space="0" w:color="auto"/>
        <w:right w:val="none" w:sz="0" w:space="0" w:color="auto"/>
      </w:divBdr>
    </w:div>
    <w:div w:id="1655184165">
      <w:bodyDiv w:val="1"/>
      <w:marLeft w:val="0"/>
      <w:marRight w:val="0"/>
      <w:marTop w:val="0"/>
      <w:marBottom w:val="0"/>
      <w:divBdr>
        <w:top w:val="none" w:sz="0" w:space="0" w:color="auto"/>
        <w:left w:val="none" w:sz="0" w:space="0" w:color="auto"/>
        <w:bottom w:val="none" w:sz="0" w:space="0" w:color="auto"/>
        <w:right w:val="none" w:sz="0" w:space="0" w:color="auto"/>
      </w:divBdr>
    </w:div>
    <w:div w:id="1688482203">
      <w:bodyDiv w:val="1"/>
      <w:marLeft w:val="0"/>
      <w:marRight w:val="0"/>
      <w:marTop w:val="0"/>
      <w:marBottom w:val="0"/>
      <w:divBdr>
        <w:top w:val="none" w:sz="0" w:space="0" w:color="auto"/>
        <w:left w:val="none" w:sz="0" w:space="0" w:color="auto"/>
        <w:bottom w:val="none" w:sz="0" w:space="0" w:color="auto"/>
        <w:right w:val="none" w:sz="0" w:space="0" w:color="auto"/>
      </w:divBdr>
    </w:div>
    <w:div w:id="1709257306">
      <w:bodyDiv w:val="1"/>
      <w:marLeft w:val="0"/>
      <w:marRight w:val="0"/>
      <w:marTop w:val="0"/>
      <w:marBottom w:val="0"/>
      <w:divBdr>
        <w:top w:val="none" w:sz="0" w:space="0" w:color="auto"/>
        <w:left w:val="none" w:sz="0" w:space="0" w:color="auto"/>
        <w:bottom w:val="none" w:sz="0" w:space="0" w:color="auto"/>
        <w:right w:val="none" w:sz="0" w:space="0" w:color="auto"/>
      </w:divBdr>
    </w:div>
    <w:div w:id="1752191630">
      <w:bodyDiv w:val="1"/>
      <w:marLeft w:val="0"/>
      <w:marRight w:val="0"/>
      <w:marTop w:val="0"/>
      <w:marBottom w:val="0"/>
      <w:divBdr>
        <w:top w:val="none" w:sz="0" w:space="0" w:color="auto"/>
        <w:left w:val="none" w:sz="0" w:space="0" w:color="auto"/>
        <w:bottom w:val="none" w:sz="0" w:space="0" w:color="auto"/>
        <w:right w:val="none" w:sz="0" w:space="0" w:color="auto"/>
      </w:divBdr>
    </w:div>
    <w:div w:id="1757241456">
      <w:bodyDiv w:val="1"/>
      <w:marLeft w:val="0"/>
      <w:marRight w:val="0"/>
      <w:marTop w:val="0"/>
      <w:marBottom w:val="0"/>
      <w:divBdr>
        <w:top w:val="none" w:sz="0" w:space="0" w:color="auto"/>
        <w:left w:val="none" w:sz="0" w:space="0" w:color="auto"/>
        <w:bottom w:val="none" w:sz="0" w:space="0" w:color="auto"/>
        <w:right w:val="none" w:sz="0" w:space="0" w:color="auto"/>
      </w:divBdr>
    </w:div>
    <w:div w:id="1775704947">
      <w:bodyDiv w:val="1"/>
      <w:marLeft w:val="0"/>
      <w:marRight w:val="0"/>
      <w:marTop w:val="0"/>
      <w:marBottom w:val="0"/>
      <w:divBdr>
        <w:top w:val="none" w:sz="0" w:space="0" w:color="auto"/>
        <w:left w:val="none" w:sz="0" w:space="0" w:color="auto"/>
        <w:bottom w:val="none" w:sz="0" w:space="0" w:color="auto"/>
        <w:right w:val="none" w:sz="0" w:space="0" w:color="auto"/>
      </w:divBdr>
    </w:div>
    <w:div w:id="1864829015">
      <w:bodyDiv w:val="1"/>
      <w:marLeft w:val="0"/>
      <w:marRight w:val="0"/>
      <w:marTop w:val="0"/>
      <w:marBottom w:val="0"/>
      <w:divBdr>
        <w:top w:val="none" w:sz="0" w:space="0" w:color="auto"/>
        <w:left w:val="none" w:sz="0" w:space="0" w:color="auto"/>
        <w:bottom w:val="none" w:sz="0" w:space="0" w:color="auto"/>
        <w:right w:val="none" w:sz="0" w:space="0" w:color="auto"/>
      </w:divBdr>
    </w:div>
    <w:div w:id="1881748152">
      <w:bodyDiv w:val="1"/>
      <w:marLeft w:val="0"/>
      <w:marRight w:val="0"/>
      <w:marTop w:val="0"/>
      <w:marBottom w:val="0"/>
      <w:divBdr>
        <w:top w:val="none" w:sz="0" w:space="0" w:color="auto"/>
        <w:left w:val="none" w:sz="0" w:space="0" w:color="auto"/>
        <w:bottom w:val="none" w:sz="0" w:space="0" w:color="auto"/>
        <w:right w:val="none" w:sz="0" w:space="0" w:color="auto"/>
      </w:divBdr>
    </w:div>
    <w:div w:id="1890993551">
      <w:bodyDiv w:val="1"/>
      <w:marLeft w:val="0"/>
      <w:marRight w:val="0"/>
      <w:marTop w:val="0"/>
      <w:marBottom w:val="0"/>
      <w:divBdr>
        <w:top w:val="none" w:sz="0" w:space="0" w:color="auto"/>
        <w:left w:val="none" w:sz="0" w:space="0" w:color="auto"/>
        <w:bottom w:val="none" w:sz="0" w:space="0" w:color="auto"/>
        <w:right w:val="none" w:sz="0" w:space="0" w:color="auto"/>
      </w:divBdr>
    </w:div>
    <w:div w:id="1896818308">
      <w:bodyDiv w:val="1"/>
      <w:marLeft w:val="0"/>
      <w:marRight w:val="0"/>
      <w:marTop w:val="0"/>
      <w:marBottom w:val="0"/>
      <w:divBdr>
        <w:top w:val="none" w:sz="0" w:space="0" w:color="auto"/>
        <w:left w:val="none" w:sz="0" w:space="0" w:color="auto"/>
        <w:bottom w:val="none" w:sz="0" w:space="0" w:color="auto"/>
        <w:right w:val="none" w:sz="0" w:space="0" w:color="auto"/>
      </w:divBdr>
    </w:div>
    <w:div w:id="1916167281">
      <w:bodyDiv w:val="1"/>
      <w:marLeft w:val="0"/>
      <w:marRight w:val="0"/>
      <w:marTop w:val="0"/>
      <w:marBottom w:val="0"/>
      <w:divBdr>
        <w:top w:val="none" w:sz="0" w:space="0" w:color="auto"/>
        <w:left w:val="none" w:sz="0" w:space="0" w:color="auto"/>
        <w:bottom w:val="none" w:sz="0" w:space="0" w:color="auto"/>
        <w:right w:val="none" w:sz="0" w:space="0" w:color="auto"/>
      </w:divBdr>
    </w:div>
    <w:div w:id="1936328622">
      <w:bodyDiv w:val="1"/>
      <w:marLeft w:val="0"/>
      <w:marRight w:val="0"/>
      <w:marTop w:val="0"/>
      <w:marBottom w:val="0"/>
      <w:divBdr>
        <w:top w:val="none" w:sz="0" w:space="0" w:color="auto"/>
        <w:left w:val="none" w:sz="0" w:space="0" w:color="auto"/>
        <w:bottom w:val="none" w:sz="0" w:space="0" w:color="auto"/>
        <w:right w:val="none" w:sz="0" w:space="0" w:color="auto"/>
      </w:divBdr>
    </w:div>
    <w:div w:id="1958680725">
      <w:bodyDiv w:val="1"/>
      <w:marLeft w:val="0"/>
      <w:marRight w:val="0"/>
      <w:marTop w:val="0"/>
      <w:marBottom w:val="0"/>
      <w:divBdr>
        <w:top w:val="none" w:sz="0" w:space="0" w:color="auto"/>
        <w:left w:val="none" w:sz="0" w:space="0" w:color="auto"/>
        <w:bottom w:val="none" w:sz="0" w:space="0" w:color="auto"/>
        <w:right w:val="none" w:sz="0" w:space="0" w:color="auto"/>
      </w:divBdr>
      <w:divsChild>
        <w:div w:id="147090283">
          <w:marLeft w:val="158"/>
          <w:marRight w:val="14"/>
          <w:marTop w:val="17"/>
          <w:marBottom w:val="0"/>
          <w:divBdr>
            <w:top w:val="none" w:sz="0" w:space="0" w:color="auto"/>
            <w:left w:val="none" w:sz="0" w:space="0" w:color="auto"/>
            <w:bottom w:val="none" w:sz="0" w:space="0" w:color="auto"/>
            <w:right w:val="none" w:sz="0" w:space="0" w:color="auto"/>
          </w:divBdr>
        </w:div>
        <w:div w:id="2092461073">
          <w:marLeft w:val="158"/>
          <w:marRight w:val="14"/>
          <w:marTop w:val="17"/>
          <w:marBottom w:val="0"/>
          <w:divBdr>
            <w:top w:val="none" w:sz="0" w:space="0" w:color="auto"/>
            <w:left w:val="none" w:sz="0" w:space="0" w:color="auto"/>
            <w:bottom w:val="none" w:sz="0" w:space="0" w:color="auto"/>
            <w:right w:val="none" w:sz="0" w:space="0" w:color="auto"/>
          </w:divBdr>
        </w:div>
      </w:divsChild>
    </w:div>
    <w:div w:id="1999112001">
      <w:bodyDiv w:val="1"/>
      <w:marLeft w:val="0"/>
      <w:marRight w:val="0"/>
      <w:marTop w:val="0"/>
      <w:marBottom w:val="0"/>
      <w:divBdr>
        <w:top w:val="none" w:sz="0" w:space="0" w:color="auto"/>
        <w:left w:val="none" w:sz="0" w:space="0" w:color="auto"/>
        <w:bottom w:val="none" w:sz="0" w:space="0" w:color="auto"/>
        <w:right w:val="none" w:sz="0" w:space="0" w:color="auto"/>
      </w:divBdr>
    </w:div>
    <w:div w:id="2004091434">
      <w:bodyDiv w:val="1"/>
      <w:marLeft w:val="0"/>
      <w:marRight w:val="0"/>
      <w:marTop w:val="0"/>
      <w:marBottom w:val="0"/>
      <w:divBdr>
        <w:top w:val="none" w:sz="0" w:space="0" w:color="auto"/>
        <w:left w:val="none" w:sz="0" w:space="0" w:color="auto"/>
        <w:bottom w:val="none" w:sz="0" w:space="0" w:color="auto"/>
        <w:right w:val="none" w:sz="0" w:space="0" w:color="auto"/>
      </w:divBdr>
    </w:div>
    <w:div w:id="2053531231">
      <w:bodyDiv w:val="1"/>
      <w:marLeft w:val="0"/>
      <w:marRight w:val="0"/>
      <w:marTop w:val="0"/>
      <w:marBottom w:val="0"/>
      <w:divBdr>
        <w:top w:val="none" w:sz="0" w:space="0" w:color="auto"/>
        <w:left w:val="none" w:sz="0" w:space="0" w:color="auto"/>
        <w:bottom w:val="none" w:sz="0" w:space="0" w:color="auto"/>
        <w:right w:val="none" w:sz="0" w:space="0" w:color="auto"/>
      </w:divBdr>
    </w:div>
    <w:div w:id="2073578257">
      <w:bodyDiv w:val="1"/>
      <w:marLeft w:val="0"/>
      <w:marRight w:val="0"/>
      <w:marTop w:val="0"/>
      <w:marBottom w:val="0"/>
      <w:divBdr>
        <w:top w:val="none" w:sz="0" w:space="0" w:color="auto"/>
        <w:left w:val="none" w:sz="0" w:space="0" w:color="auto"/>
        <w:bottom w:val="none" w:sz="0" w:space="0" w:color="auto"/>
        <w:right w:val="none" w:sz="0" w:space="0" w:color="auto"/>
      </w:divBdr>
    </w:div>
    <w:div w:id="20778972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glossaryDocument" Target="glossary/document.xml"/><Relationship Id="rId21" Type="http://schemas.openxmlformats.org/officeDocument/2006/relationships/footer" Target="footer4.xml"/><Relationship Id="rId42" Type="http://schemas.openxmlformats.org/officeDocument/2006/relationships/hyperlink" Target="https://www.wsj.com/articles/dubai-aims-to-be-a-city-built-on-blockchain-1493086080" TargetMode="External"/><Relationship Id="rId47" Type="http://schemas.openxmlformats.org/officeDocument/2006/relationships/image" Target="media/image15.svg"/><Relationship Id="rId63" Type="http://schemas.openxmlformats.org/officeDocument/2006/relationships/hyperlink" Target="https://www.ato.gov.au/law/view/document?Mode=type&amp;TOC=%2205%3APublic%20rulings%3ARulings%3AGoods%20and%20services%20tax%3A2017%3A%2304830010000%23GSTR%202017%2F1%20-%20Goods%20and%20services%20tax%26c%20making%20cross-border%20supplies%20to%20Australian%20consumers%3B%22&amp;DOCID=%22GST%2FGSTR20171%2FNAT%2FATO%2F00001%22" TargetMode="External"/><Relationship Id="rId68" Type="http://schemas.openxmlformats.org/officeDocument/2006/relationships/image" Target="media/image20.png"/><Relationship Id="rId84" Type="http://schemas.openxmlformats.org/officeDocument/2006/relationships/hyperlink" Target="https://www.ato.gov.au/individuals-and-families/investments-and-assets/crypto-asset-investments/transactions-acquiring-and-disposing-of-crypto-assets/crypto-asset-transactions" TargetMode="External"/><Relationship Id="rId89" Type="http://schemas.openxmlformats.org/officeDocument/2006/relationships/hyperlink" Target="https://www.ato.gov.au/individuals-and-families/investments-and-assets/crypto-asset-investments/transactions-acquiring-and-disposing-of-crypto-assets/crypto-asset-prizes-and-gambling-winnings" TargetMode="External"/><Relationship Id="rId112" Type="http://schemas.openxmlformats.org/officeDocument/2006/relationships/hyperlink" Target="https://www.ato.gov.au/law/view/document?src=ws&amp;pit=99991231235958&amp;arc=false&amp;start=1&amp;pageSize=10&amp;total=1&amp;num=0&amp;docid=EV%2F5010050065720&amp;dc=false&amp;stype=find&amp;tm=or-basic-5010050065720" TargetMode="External"/><Relationship Id="rId16" Type="http://schemas.openxmlformats.org/officeDocument/2006/relationships/hyperlink" Target="http://creativecommons.org/licenses/by/3.0/au/deed.en" TargetMode="External"/><Relationship Id="rId107" Type="http://schemas.openxmlformats.org/officeDocument/2006/relationships/hyperlink" Target="https://www.ato.gov.au/businesses-and-organisations/gst-excise-and-indirect-taxes/gst/in-detail/your-industry/gst-and-crypto-assets/gst-and-digital-currency-exchanges" TargetMode="Externa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image" Target="media/image8.png"/><Relationship Id="rId53" Type="http://schemas.openxmlformats.org/officeDocument/2006/relationships/hyperlink" Target="javascript:void(0)" TargetMode="External"/><Relationship Id="rId58" Type="http://schemas.openxmlformats.org/officeDocument/2006/relationships/hyperlink" Target="https://www.ato.gov.au/law/view/document?DocID=CGD/TD33/NAT/ATO/00001&amp;PiT=99991231235958" TargetMode="External"/><Relationship Id="rId74" Type="http://schemas.openxmlformats.org/officeDocument/2006/relationships/hyperlink" Target="https://www.canada.ca/en/revenue-agency/services/forms-publications/publications/t4037.html" TargetMode="External"/><Relationship Id="rId79" Type="http://schemas.openxmlformats.org/officeDocument/2006/relationships/hyperlink" Target="https://www.ato.gov.au/law/view/document?docid=TXD/TD201427/NAT/ATO/00001" TargetMode="External"/><Relationship Id="rId102" Type="http://schemas.openxmlformats.org/officeDocument/2006/relationships/hyperlink" Target="https://caat-p-001.sitecorecontenthub.cloud/api/public/content/98094883-bacd-4e38-8d1f-26fa62c39780_TaxTimeToolkits_Taxsmarttipsforyourcryptocurrencyinvestments_pdf" TargetMode="External"/><Relationship Id="rId5" Type="http://schemas.openxmlformats.org/officeDocument/2006/relationships/webSettings" Target="webSettings.xml"/><Relationship Id="rId90" Type="http://schemas.openxmlformats.org/officeDocument/2006/relationships/hyperlink" Target="https://www.ato.gov.au/individuals-and-families/investments-and-assets/crypto-asset-investments/transactions-acquiring-and-disposing-of-crypto-assets/gifts-and-donations-of-crypto-assets" TargetMode="External"/><Relationship Id="rId95" Type="http://schemas.openxmlformats.org/officeDocument/2006/relationships/hyperlink" Target="https://www.ato.gov.au/individuals-and-families/investments-and-assets/crypto-asset-investments/decentralised-finance-and-wrapping-crypto" TargetMode="External"/><Relationship Id="rId22" Type="http://schemas.openxmlformats.org/officeDocument/2006/relationships/footer" Target="footer5.xml"/><Relationship Id="rId27" Type="http://schemas.openxmlformats.org/officeDocument/2006/relationships/image" Target="media/image5.emf"/><Relationship Id="rId43" Type="http://schemas.openxmlformats.org/officeDocument/2006/relationships/image" Target="media/image13.png"/><Relationship Id="rId48" Type="http://schemas.openxmlformats.org/officeDocument/2006/relationships/image" Target="media/image16.png"/><Relationship Id="rId64" Type="http://schemas.openxmlformats.org/officeDocument/2006/relationships/hyperlink" Target="https://www.ato.gov.au/Business/GST/When-to-charge-GST-(and-when-not-to)/GST-free-sales/" TargetMode="External"/><Relationship Id="rId69" Type="http://schemas.openxmlformats.org/officeDocument/2006/relationships/hyperlink" Target="https://www.ato.gov.au/law/view/document?docid=TXR/TR20182/NAT/ATO/00001" TargetMode="External"/><Relationship Id="rId113" Type="http://schemas.openxmlformats.org/officeDocument/2006/relationships/footer" Target="footer12.xml"/><Relationship Id="rId118" Type="http://schemas.openxmlformats.org/officeDocument/2006/relationships/theme" Target="theme/theme1.xml"/><Relationship Id="rId80" Type="http://schemas.openxmlformats.org/officeDocument/2006/relationships/hyperlink" Target="https://www.ato.gov.au/law/view/pdf/pbr/td2014-028.pdf" TargetMode="External"/><Relationship Id="rId85" Type="http://schemas.openxmlformats.org/officeDocument/2006/relationships/hyperlink" Target="https://www.ato.gov.au/individuals-and-families/investments-and-assets/crypto-asset-investments/transactions-acquiring-and-disposing-of-crypto-assets/crypto-to-crypto-exchange-or-swap" TargetMode="External"/><Relationship Id="rId12" Type="http://schemas.openxmlformats.org/officeDocument/2006/relationships/footer" Target="footer3.xml"/><Relationship Id="rId17" Type="http://schemas.openxmlformats.org/officeDocument/2006/relationships/hyperlink" Target="https://www.pmc.gov.au/honours-and-symbols/commonwealth-coat-arms" TargetMode="External"/><Relationship Id="rId33" Type="http://schemas.openxmlformats.org/officeDocument/2006/relationships/header" Target="header7.xml"/><Relationship Id="rId38" Type="http://schemas.openxmlformats.org/officeDocument/2006/relationships/image" Target="media/image9.png"/><Relationship Id="rId59" Type="http://schemas.openxmlformats.org/officeDocument/2006/relationships/hyperlink" Target="https://www.ato.gov.au/Individuals/Capital-gains-tax/List-of-CGT-assets-and-exemptions/?anchor=Personaluseassets&amp;anchor=Personaluseassets" TargetMode="External"/><Relationship Id="rId103" Type="http://schemas.openxmlformats.org/officeDocument/2006/relationships/hyperlink" Target="https://www.ato.gov.au/businesses-and-organisations/gst-excise-and-indirect-taxes/gst/in-detail/your-industry/gst-and-crypto-assets" TargetMode="External"/><Relationship Id="rId108" Type="http://schemas.openxmlformats.org/officeDocument/2006/relationships/hyperlink" Target="https://www.ato.gov.au/other-languages/information-in-other-languages/investing/crypto-asset-investments-and-tax" TargetMode="External"/><Relationship Id="rId54" Type="http://schemas.openxmlformats.org/officeDocument/2006/relationships/image" Target="media/image18.png"/><Relationship Id="rId70" Type="http://schemas.openxmlformats.org/officeDocument/2006/relationships/hyperlink" Target="https://www.ato.gov.au/law/view/document?Docid=PSR/PS200814/NAT/ATO/00001" TargetMode="External"/><Relationship Id="rId75" Type="http://schemas.openxmlformats.org/officeDocument/2006/relationships/hyperlink" Target="https://www.canada.ca/en/revenue-agency/services/forms-publications/publications/t4002.html" TargetMode="External"/><Relationship Id="rId91" Type="http://schemas.openxmlformats.org/officeDocument/2006/relationships/hyperlink" Target="https://www.ato.gov.au/individuals-and-families/investments-and-assets/crypto-asset-investments/transactions-acquiring-and-disposing-of-crypto-assets/loss-or-theft-of-crypto-assets" TargetMode="External"/><Relationship Id="rId96" Type="http://schemas.openxmlformats.org/officeDocument/2006/relationships/hyperlink" Target="https://www.ato.gov.au/individuals-and-families/investments-and-assets/crypto-asset-investments/keeping-crypto-record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image" Target="media/image6.png"/><Relationship Id="rId49" Type="http://schemas.openxmlformats.org/officeDocument/2006/relationships/image" Target="media/image17.png"/><Relationship Id="rId114" Type="http://schemas.openxmlformats.org/officeDocument/2006/relationships/header" Target="header8.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https://www.ato.gov.au/law/view/document?docid=TXD/TD201426/NAT/ATO/00001" TargetMode="External"/><Relationship Id="rId52" Type="http://schemas.openxmlformats.org/officeDocument/2006/relationships/hyperlink" Target="https://www.ato.gov.au/law/view/pdf/pbr/tr1992-003.pdf" TargetMode="External"/><Relationship Id="rId60" Type="http://schemas.openxmlformats.org/officeDocument/2006/relationships/hyperlink" Target="https://www.ato.gov.au/law/view/document?src=mm&amp;pit=99991231235958&amp;arc=false&amp;start=1&amp;pageSize=10&amp;total=7&amp;num=0&amp;docid=TXD/TD201428/NAT/ATO/00001&amp;dc=true&amp;tm=and-basic-TD%202014/25" TargetMode="External"/><Relationship Id="rId65" Type="http://schemas.openxmlformats.org/officeDocument/2006/relationships/hyperlink" Target="https://www.ato.gov.au/law/view/document?docid=gst/gstr20022/nat/ato/00001" TargetMode="External"/><Relationship Id="rId73" Type="http://schemas.openxmlformats.org/officeDocument/2006/relationships/oleObject" Target="embeddings/oleObject1.bin"/><Relationship Id="rId78" Type="http://schemas.openxmlformats.org/officeDocument/2006/relationships/hyperlink" Target="https://www.ato.gov.au/law/view/document?docid=TXD%2FTD201426%2FNAT%2FATO%2F00001" TargetMode="External"/><Relationship Id="rId81" Type="http://schemas.openxmlformats.org/officeDocument/2006/relationships/hyperlink" Target="https://www.ato.gov.au/individuals-and-families/investments-and-assets/crypto-asset-investments" TargetMode="External"/><Relationship Id="rId86" Type="http://schemas.openxmlformats.org/officeDocument/2006/relationships/hyperlink" Target="https://www.ato.gov.au/individuals-and-families/investments-and-assets/crypto-asset-investments/transactions-acquiring-and-disposing-of-crypto-assets/non-fungible-tokens" TargetMode="External"/><Relationship Id="rId94" Type="http://schemas.openxmlformats.org/officeDocument/2006/relationships/hyperlink" Target="https://www.ato.gov.au/individuals-and-families/investments-and-assets/crypto-asset-investments/crypto-asset-as-a-personal-use-asset" TargetMode="External"/><Relationship Id="rId99" Type="http://schemas.openxmlformats.org/officeDocument/2006/relationships/hyperlink" Target="https://www.ato.gov.au/businesses-and-organisations/income-deductions-and-concessions/income-and-deductions-for-business/crypto-assets-and-business" TargetMode="External"/><Relationship Id="rId101" Type="http://schemas.openxmlformats.org/officeDocument/2006/relationships/hyperlink" Target="https://www.ato.gov.au/about-ato/commitments-and-reporting/in-detail/privacy-and-information-gathering/how-we-use-data-matching/crypto-assets-2014-15-to-2022-23-data-matching-program-protoco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39" Type="http://schemas.openxmlformats.org/officeDocument/2006/relationships/image" Target="media/image10.png"/><Relationship Id="rId109" Type="http://schemas.openxmlformats.org/officeDocument/2006/relationships/hyperlink" Target="https://www.ato.gov.au/tax-and-super-professionals/for-tax-professionals/prepare-and-lodge/tax-time/tax-time-toolkits/tax-time-toolkit-for-investors" TargetMode="External"/><Relationship Id="rId34" Type="http://schemas.openxmlformats.org/officeDocument/2006/relationships/footer" Target="footer10.xml"/><Relationship Id="rId50" Type="http://schemas.openxmlformats.org/officeDocument/2006/relationships/hyperlink" Target="https://www.ato.gov.au/law/view/document?DocID=PSR/PS20083/NAT/ATO/00001&amp;PiT=99991231235958" TargetMode="External"/><Relationship Id="rId55" Type="http://schemas.openxmlformats.org/officeDocument/2006/relationships/hyperlink" Target="https://www.ato.gov.au/law/view/document?DocID=TXR/TR9711/NAT/ATO/00001&amp;PiT=99991231235958" TargetMode="External"/><Relationship Id="rId76" Type="http://schemas.openxmlformats.org/officeDocument/2006/relationships/footer" Target="footer11.xml"/><Relationship Id="rId97" Type="http://schemas.openxmlformats.org/officeDocument/2006/relationships/hyperlink" Target="https://www.ato.gov.au/individuals-and-families/investments-and-assets/crypto-asset-investments/crypto-assets-glossary" TargetMode="External"/><Relationship Id="rId104" Type="http://schemas.openxmlformats.org/officeDocument/2006/relationships/hyperlink" Target="https://www.ato.gov.au/businesses-and-organisations/gst-excise-and-indirect-taxes/gst/in-detail/your-industry/gst-and-crypto-assets/gst-and-digital-currency"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s://www.ato.gov.au/individuals-and-families/investments-and-assets/crypto-asset-investments/how-to-work-out-and-report-cgt-on-crypto"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hyperlink" Target="https://www.ato.gov.au/law/view/document?Mode=type&amp;TOC=%2205%3APublic%20rulings%3ADeterminations%3ATaxation%3A2014%3A%2304860250000%23TD%202014%2F25%20-%20Income%20tax%26c%20is%20bitcoin%20a%20%27foreign%20currency%27%20for%20the%20purposes%20of%20Division%20775%20of%20the%20Income%20Tax%20Assessment%20Act%201997%20%3F%3B%22&amp;DOCID=%22TXD%2FTD201425%2FNAT%2FATO%2F00001%22" TargetMode="External"/><Relationship Id="rId66" Type="http://schemas.openxmlformats.org/officeDocument/2006/relationships/hyperlink" Target="https://www.ato.gov.au/individuals/investments-and-assets/crypto-asset-investments/transactions---acquiring-and-disposing-of-crypto-assets/crypto-asset-transactions/?anchor=ValuingcryptoassetsinAustraliandollars&amp;anchor=ValuingcryptoassetsinAustraliandollars" TargetMode="External"/><Relationship Id="rId87" Type="http://schemas.openxmlformats.org/officeDocument/2006/relationships/hyperlink" Target="https://www.ato.gov.au/individuals-and-families/investments-and-assets/crypto-asset-investments/transactions-acquiring-and-disposing-of-crypto-assets/staking-rewards-and-airdrops" TargetMode="External"/><Relationship Id="rId110" Type="http://schemas.openxmlformats.org/officeDocument/2006/relationships/hyperlink" Target="https://www.ato.gov.au/media-centre/taking-the-cryptic-out-of-crypto-this-tax-time" TargetMode="External"/><Relationship Id="rId115" Type="http://schemas.openxmlformats.org/officeDocument/2006/relationships/footer" Target="footer13.xml"/><Relationship Id="rId61" Type="http://schemas.openxmlformats.org/officeDocument/2006/relationships/hyperlink" Target="https://www.ato.gov.au/individuals-and-families/your-tax-return/instructions-to-complete-your-tax-return/mytax-instructions/2023/income/other-income/other-income" TargetMode="External"/><Relationship Id="rId82" Type="http://schemas.openxmlformats.org/officeDocument/2006/relationships/hyperlink" Target="https://www.ato.gov.au/individuals-and-families/investments-and-assets/crypto-asset-investments/what-are-crypto-assets" TargetMode="External"/><Relationship Id="rId19" Type="http://schemas.openxmlformats.org/officeDocument/2006/relationships/header" Target="header2.xml"/><Relationship Id="rId14" Type="http://schemas.openxmlformats.org/officeDocument/2006/relationships/hyperlink" Target="http://creativecommons.org/licenses/by/3.0/au/legalcode" TargetMode="External"/><Relationship Id="rId30" Type="http://schemas.openxmlformats.org/officeDocument/2006/relationships/header" Target="header6.xml"/><Relationship Id="rId35" Type="http://schemas.openxmlformats.org/officeDocument/2006/relationships/hyperlink" Target="https://ministers.treasury.gov.au/ministers/jim-chalmers-2022/media-releases/regulation-digital-and-crypto-assets" TargetMode="External"/><Relationship Id="rId56" Type="http://schemas.openxmlformats.org/officeDocument/2006/relationships/hyperlink" Target="https://www.ato.gov.au/law/view/document?DocID=TXR/TR20191/NAT/ATO/00001" TargetMode="External"/><Relationship Id="rId77" Type="http://schemas.openxmlformats.org/officeDocument/2006/relationships/hyperlink" Target="https://www.ato.gov.au/law/view/document?docid=TXD%2FTD201425%2FNAT%2FATO%2F00001" TargetMode="External"/><Relationship Id="rId100" Type="http://schemas.openxmlformats.org/officeDocument/2006/relationships/hyperlink" Target="https://www.ato.gov.au/businesses-and-organisations/income-deductions-and-concessions/income-and-deductions-for-business/crypto-assets-and-business/crypto-assets-used-in-business" TargetMode="External"/><Relationship Id="rId105" Type="http://schemas.openxmlformats.org/officeDocument/2006/relationships/hyperlink" Target="https://www.ato.gov.au/businesses-and-organisations/gst-excise-and-indirect-taxes/gst/in-detail/your-industry/gst-and-crypto-assets/gst-and-digital-currency-as-payment" TargetMode="External"/><Relationship Id="rId8" Type="http://schemas.openxmlformats.org/officeDocument/2006/relationships/image" Target="media/image1.png"/><Relationship Id="rId51" Type="http://schemas.openxmlformats.org/officeDocument/2006/relationships/hyperlink" Target="https://www.ato.gov.au/law/view/pdf/pbr/tr1992-003.pdf" TargetMode="External"/><Relationship Id="rId72" Type="http://schemas.openxmlformats.org/officeDocument/2006/relationships/image" Target="media/image22.png"/><Relationship Id="rId93" Type="http://schemas.openxmlformats.org/officeDocument/2006/relationships/hyperlink" Target="https://www.ato.gov.au/individuals-and-families/investments-and-assets/crypto-asset-investments/crypto-chain-splits" TargetMode="External"/><Relationship Id="rId98" Type="http://schemas.openxmlformats.org/officeDocument/2006/relationships/hyperlink" Target="https://www.ato.gov.au/individuals-and-families/super-for-individuals-and-families/self-managed-super-funds-smsf/in-detail/smsf-investing/smsf-investing-in-crypto-assets"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image" Target="media/image14.png"/><Relationship Id="rId67" Type="http://schemas.openxmlformats.org/officeDocument/2006/relationships/hyperlink" Target="https://www.ato.gov.au/law/view/document?DocID=TXR/TR967/NAT/ATO/00001" TargetMode="External"/><Relationship Id="rId11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2.png"/><Relationship Id="rId62" Type="http://schemas.openxmlformats.org/officeDocument/2006/relationships/hyperlink" Target="https://www.ato.gov.au/law/view/document?docid=gst/gstr20022/nat/ato/00001" TargetMode="External"/><Relationship Id="rId83" Type="http://schemas.openxmlformats.org/officeDocument/2006/relationships/hyperlink" Target="https://www.ato.gov.au/individuals-and-families/investments-and-assets/crypto-asset-investments/transactions-acquiring-and-disposing-of-crypto-assets" TargetMode="External"/><Relationship Id="rId88" Type="http://schemas.openxmlformats.org/officeDocument/2006/relationships/hyperlink" Target="https://www.ato.gov.au/individuals-and-families/investments-and-assets/crypto-asset-investments/transactions-acquiring-and-disposing-of-crypto-assets/crypto-asset-transactions-with-gift-cards-or-debit-cards" TargetMode="External"/><Relationship Id="rId111" Type="http://schemas.openxmlformats.org/officeDocument/2006/relationships/hyperlink" Target="https://www.ato.gov.au/individuals-and-families/investments-and-assets/crypto-asset-investments/crypto-myth-busting-with-tim-loh-interactive-video-transcript" TargetMode="External"/><Relationship Id="rId15" Type="http://schemas.openxmlformats.org/officeDocument/2006/relationships/image" Target="media/image2.wmf"/><Relationship Id="rId36" Type="http://schemas.openxmlformats.org/officeDocument/2006/relationships/hyperlink" Target="https://treasury.gov.au/consultation/c2023-427004" TargetMode="External"/><Relationship Id="rId57" Type="http://schemas.openxmlformats.org/officeDocument/2006/relationships/image" Target="media/image19.png"/><Relationship Id="rId106" Type="http://schemas.openxmlformats.org/officeDocument/2006/relationships/hyperlink" Target="https://www.ato.gov.au/businesses-and-organisations/gst-excise-and-indirect-taxes/gst/in-detail/your-industry/gst-and-crypto-assets/gst-and-trading-digital-currency"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752070/cryptoassets_taskforce_final_report_final_web.pdf" TargetMode="External"/><Relationship Id="rId299" Type="http://schemas.openxmlformats.org/officeDocument/2006/relationships/hyperlink" Target="https://www.gov.uk/government/publications/spring-budget-2023-overview-of-tax-legislation-and-rates-ootlar/spring-budget-2023-overview-of-tax-legislation-and-rates-ootlar" TargetMode="External"/><Relationship Id="rId21" Type="http://schemas.openxmlformats.org/officeDocument/2006/relationships/hyperlink" Target="https://swyftx.com/wp-content/uploads/2023/08/Australian-crypto-survey-2023.pdf" TargetMode="External"/><Relationship Id="rId63" Type="http://schemas.openxmlformats.org/officeDocument/2006/relationships/hyperlink" Target="https://twitter.com/vaneck_us/status/1707888406758367303" TargetMode="External"/><Relationship Id="rId159" Type="http://schemas.openxmlformats.org/officeDocument/2006/relationships/hyperlink" Target="https://www.visualcapitalist.com/cp/the-cost-of-mining-bitcoin-in-198-different-countries/" TargetMode="External"/><Relationship Id="rId170" Type="http://schemas.openxmlformats.org/officeDocument/2006/relationships/hyperlink" Target="https://www.ato.gov.au/law/view/document?Mode=type&amp;TOC=%2205%3APublic%20rulings%3ARulings%3ATaxation%3A1992%3A%2305080000004%23TR%2092%2F4%20-%20Income%20tax%26c%20whether%20losses%20on%20isolated%20transactions%20are%20deductible%3B%22&amp;DOCID=%22TXR%2FTR924%2FNAT%2FATO%2F00001%22" TargetMode="External"/><Relationship Id="rId226" Type="http://schemas.openxmlformats.org/officeDocument/2006/relationships/hyperlink" Target="https://www.ato.gov.au/businesses-and-organisations/gst-excise-and-indirect-taxes/gst/in-detail/your-industry/gst-and-crypto-assets/gst-and-trading-digital-currency" TargetMode="External"/><Relationship Id="rId268" Type="http://schemas.openxmlformats.org/officeDocument/2006/relationships/hyperlink" Target="https://www.gov.uk/hmrc-internal-manuals/cryptoassets-manual/crypto23000" TargetMode="External"/><Relationship Id="rId32" Type="http://schemas.openxmlformats.org/officeDocument/2006/relationships/hyperlink" Target="https://www.investopedia.com/tech/how-does-bitcoin-mining-work/" TargetMode="External"/><Relationship Id="rId74" Type="http://schemas.openxmlformats.org/officeDocument/2006/relationships/hyperlink" Target="https://funds.galaxy.com/crypto-101/what-are-daos" TargetMode="External"/><Relationship Id="rId128" Type="http://schemas.openxmlformats.org/officeDocument/2006/relationships/hyperlink" Target="https://www.investopedia.com/tech/whats-environmental-impact-cryptocurrency/" TargetMode="External"/><Relationship Id="rId5" Type="http://schemas.openxmlformats.org/officeDocument/2006/relationships/hyperlink" Target="https://www.oecd.org/tax/tax-policy/taxing-virtual-currencies-an-overview-of-tax-treatments-and-emerging-tax-policy-issues.htm" TargetMode="External"/><Relationship Id="rId181" Type="http://schemas.openxmlformats.org/officeDocument/2006/relationships/hyperlink" Target="https://www.sec.gov/litigation/complaints/2022/comp-pr2022-167.pdf" TargetMode="External"/><Relationship Id="rId237" Type="http://schemas.openxmlformats.org/officeDocument/2006/relationships/hyperlink" Target="https://www.ato.gov.au/about-ato/commitments-and-reporting/information-and-privacy/data-matching/" TargetMode="External"/><Relationship Id="rId279" Type="http://schemas.openxmlformats.org/officeDocument/2006/relationships/hyperlink" Target="https://tokentax.co/blog/crypto-tax-portugal" TargetMode="External"/><Relationship Id="rId43" Type="http://schemas.openxmlformats.org/officeDocument/2006/relationships/hyperlink" Target="https://101blockchains.com/ether-eth/" TargetMode="External"/><Relationship Id="rId139" Type="http://schemas.openxmlformats.org/officeDocument/2006/relationships/hyperlink" Target="https://www.tpb.gov.au/continuing-professional-education" TargetMode="External"/><Relationship Id="rId290" Type="http://schemas.openxmlformats.org/officeDocument/2006/relationships/hyperlink" Target="https://www.cftc.gov/PressRoom/PressReleases/8715-23" TargetMode="External"/><Relationship Id="rId85" Type="http://schemas.openxmlformats.org/officeDocument/2006/relationships/hyperlink" Target="https://www.oecd.org/daf/fin/financial-markets/Why-Decentralised-Finance-DeFi-Matters-and-the-Policy-Implications.pdf" TargetMode="External"/><Relationship Id="rId150" Type="http://schemas.openxmlformats.org/officeDocument/2006/relationships/hyperlink" Target="https://www.ato.gov.au/law/view/document?docid=TXD/TD201427/NAT/ATO/00001" TargetMode="External"/><Relationship Id="rId192" Type="http://schemas.openxmlformats.org/officeDocument/2006/relationships/hyperlink" Target="https://www.ato.gov.au/businesses-and-organisations/income-deductions-and-concessions/income-and-deductions-for-business/crypto-assets-and-business/crypto-assets-used-in-business" TargetMode="External"/><Relationship Id="rId206" Type="http://schemas.openxmlformats.org/officeDocument/2006/relationships/hyperlink" Target="https://www.ato.gov.au/individuals-and-families/investments-and-assets/crypto-asset-investments/transactions-acquiring-and-disposing-of-crypto-assets/staking-rewards-and-airdrops" TargetMode="External"/><Relationship Id="rId248" Type="http://schemas.openxmlformats.org/officeDocument/2006/relationships/hyperlink" Target="https://www.irs.gov/pub/irs-pdf/i8949.pdf" TargetMode="External"/><Relationship Id="rId12" Type="http://schemas.openxmlformats.org/officeDocument/2006/relationships/hyperlink" Target="https://doi.org/10.1787/896d79d1-en" TargetMode="External"/><Relationship Id="rId108" Type="http://schemas.openxmlformats.org/officeDocument/2006/relationships/hyperlink" Target="https://www.nfttech.com/newsroom/comparing-the-ico-boom-of-2017-18-and-the-nft-boom-of-2021" TargetMode="External"/><Relationship Id="rId54" Type="http://schemas.openxmlformats.org/officeDocument/2006/relationships/hyperlink" Target="https://www.rba.gov.au/payments-and-infrastructure/central-bank-digital-currency/" TargetMode="External"/><Relationship Id="rId75" Type="http://schemas.openxmlformats.org/officeDocument/2006/relationships/hyperlink" Target="https://datarella.com/governance-tokens-the-new-medium-of-power/" TargetMode="External"/><Relationship Id="rId96" Type="http://schemas.openxmlformats.org/officeDocument/2006/relationships/hyperlink" Target="https://www.coindesk.com/learn/what-are-wrapped-tokens/" TargetMode="External"/><Relationship Id="rId140" Type="http://schemas.openxmlformats.org/officeDocument/2006/relationships/hyperlink" Target="https://www.ato.gov.au/about-ato/consultation/consultation-groups/stewardship-groups/national-tax-liaison-group" TargetMode="External"/><Relationship Id="rId161" Type="http://schemas.openxmlformats.org/officeDocument/2006/relationships/hyperlink" Target="https://www.ato.gov.au/businesses-and-organisations/starting-registering-or-closing-a-business/starting-your-own-business/are-you-in-business" TargetMode="External"/><Relationship Id="rId182" Type="http://schemas.openxmlformats.org/officeDocument/2006/relationships/hyperlink" Target="https://www.blockchain4europe.eu/wp-content/uploads/2021/05/6.6056_JO_Cryptocurrencies_Statement_FINAL_WEB_111119-1.pdf" TargetMode="External"/><Relationship Id="rId217" Type="http://schemas.openxmlformats.org/officeDocument/2006/relationships/hyperlink" Target="https://www.ato.gov.au/individuals-and-families/investments-and-assets/crypto-asset-investments/crypto-chain-splits" TargetMode="External"/><Relationship Id="rId6" Type="http://schemas.openxmlformats.org/officeDocument/2006/relationships/hyperlink" Target="https://www.nasdaq.com/solutions/marketplace-technology/about-digital-assets" TargetMode="External"/><Relationship Id="rId238" Type="http://schemas.openxmlformats.org/officeDocument/2006/relationships/hyperlink" Target="https://www.ato.gov.au/General/Gen/Crypto-assets-2014-15-to-2022-23-data-matching-program-protocol/" TargetMode="External"/><Relationship Id="rId259" Type="http://schemas.openxmlformats.org/officeDocument/2006/relationships/hyperlink" Target="https://www.taxtechnical.ird.govt.nz/rulings/public/2023/br-pub-23-07" TargetMode="External"/><Relationship Id="rId23" Type="http://schemas.openxmlformats.org/officeDocument/2006/relationships/hyperlink" Target="https://www.nasdaq.com/solutions/marketplace-technology/about-digital-assets" TargetMode="External"/><Relationship Id="rId119" Type="http://schemas.openxmlformats.org/officeDocument/2006/relationships/hyperlink" Target="https://www.ato.gov.au/law/view/document?docid=TXD/TD201426/NAT/ATO/00001" TargetMode="External"/><Relationship Id="rId270" Type="http://schemas.openxmlformats.org/officeDocument/2006/relationships/hyperlink" Target="https://www.irs.gov/irb/2014-16_IRB" TargetMode="External"/><Relationship Id="rId291" Type="http://schemas.openxmlformats.org/officeDocument/2006/relationships/hyperlink" Target="https://www.coindesk.com/policy/2023/12/22/sec-blasts-purportedly-decentralized-daos-in-17m-settlement-with-barnbridge/" TargetMode="External"/><Relationship Id="rId44" Type="http://schemas.openxmlformats.org/officeDocument/2006/relationships/hyperlink" Target="https://coincodex.com/article/31766/how-many-ethereum-are-there/" TargetMode="External"/><Relationship Id="rId65" Type="http://schemas.openxmlformats.org/officeDocument/2006/relationships/hyperlink" Target="https://ethereum.org/en/governance/" TargetMode="External"/><Relationship Id="rId86" Type="http://schemas.openxmlformats.org/officeDocument/2006/relationships/hyperlink" Target="https://crypto.com/university/what-are-sidechains-scaling-blockchain" TargetMode="External"/><Relationship Id="rId130" Type="http://schemas.openxmlformats.org/officeDocument/2006/relationships/hyperlink" Target="https://www.austrac.gov.au/business/how-comply-guidance-and-resources/guidance-resources/preventing-criminal-abuse-digital-currencies" TargetMode="External"/><Relationship Id="rId151" Type="http://schemas.openxmlformats.org/officeDocument/2006/relationships/hyperlink" Target="https://www.ato.gov.au/law/view/document?docid=TXD/TD201428/NAT/ATO/00001" TargetMode="External"/><Relationship Id="rId172" Type="http://schemas.openxmlformats.org/officeDocument/2006/relationships/hyperlink" Target="https://ethereum.org/en/eth/" TargetMode="External"/><Relationship Id="rId193" Type="http://schemas.openxmlformats.org/officeDocument/2006/relationships/hyperlink" Target="https://www.unsw.edu.au/news/2022/05/major-crypto-gift-boosts-unsw-s-fight-against-future-pandemics" TargetMode="External"/><Relationship Id="rId207" Type="http://schemas.openxmlformats.org/officeDocument/2006/relationships/hyperlink" Target="https://www.ato.gov.au/individuals-and-families/investments-and-assets/crypto-asset-investments/transactions-acquiring-and-disposing-of-crypto-assets/staking-rewards-and-airdrops" TargetMode="External"/><Relationship Id="rId228" Type="http://schemas.openxmlformats.org/officeDocument/2006/relationships/hyperlink" Target="https://www.ato.gov.au/law/view/document?docid=GST/GSTR20022A10/NAT/ATO/00001&amp;PiT=20230322000001" TargetMode="External"/><Relationship Id="rId249" Type="http://schemas.openxmlformats.org/officeDocument/2006/relationships/hyperlink" Target="https://www.canada.ca/en/revenue-agency/programs/about-canada-revenue-agency-cra/compliance/digital-currency/cryptocurrency-guide.html" TargetMode="External"/><Relationship Id="rId13" Type="http://schemas.openxmlformats.org/officeDocument/2006/relationships/hyperlink" Target="https://www.oecd.org/tax/exchange-of-tax-information/secretary-general-mathias-cormann-welcomes-pledge-by-48-countries-to-implement-global-tax-transparency-standard-for-crypto-assets.htm" TargetMode="External"/><Relationship Id="rId109" Type="http://schemas.openxmlformats.org/officeDocument/2006/relationships/hyperlink" Target="https://www.nfttech.com/newsroom/comparing-the-ico-boom-of-2017-18-and-the-nft-boom-of-2021" TargetMode="External"/><Relationship Id="rId260" Type="http://schemas.openxmlformats.org/officeDocument/2006/relationships/hyperlink" Target="https://www.ird.govt.nz/cryptoassets/taxing/record-keeping" TargetMode="External"/><Relationship Id="rId281" Type="http://schemas.openxmlformats.org/officeDocument/2006/relationships/hyperlink" Target="https://www.bloomberg.com/news/newsletters/2022-10-18/portugal-s-new-crypto-taxes-can-t-stop-the-party" TargetMode="External"/><Relationship Id="rId34" Type="http://schemas.openxmlformats.org/officeDocument/2006/relationships/hyperlink" Target="https://tradewise.community/how-many-nodes-ethereum-has-estimating-the-total-number-of-nodes-in-the-ethereum-network/" TargetMode="External"/><Relationship Id="rId55" Type="http://schemas.openxmlformats.org/officeDocument/2006/relationships/hyperlink" Target="https://www.rba.gov.au/payments-and-infrastructure/central-bank-digital-currency/" TargetMode="External"/><Relationship Id="rId76" Type="http://schemas.openxmlformats.org/officeDocument/2006/relationships/hyperlink" Target="https://www.alrc.gov.au/wp-content/uploads/2022/10/FSL7-New-Business-Models-Technologies-and-Practices.pdf" TargetMode="External"/><Relationship Id="rId97" Type="http://schemas.openxmlformats.org/officeDocument/2006/relationships/hyperlink" Target="https://academy.shrimpy.io/lesson/what-is-liquidity-mining" TargetMode="External"/><Relationship Id="rId120" Type="http://schemas.openxmlformats.org/officeDocument/2006/relationships/hyperlink" Target="https://s3-eu-west-2.amazonaws.com/cloud-platform-e218f50a4812967ba1215eaecede923f/uploads/sites/30/2023/06/14.294_LC_Digital-assets-summary_v5_WEB.pdf" TargetMode="External"/><Relationship Id="rId141" Type="http://schemas.openxmlformats.org/officeDocument/2006/relationships/hyperlink" Target="https://www.ato.gov.au/about-ato/who-we-are" TargetMode="External"/><Relationship Id="rId7" Type="http://schemas.openxmlformats.org/officeDocument/2006/relationships/hyperlink" Target="https://parlinfo.aph.gov.au/parlInfo/download/committees/reportsen/024747/toc_pdf/Finalreport.pdf;fileType=application%2Fpdf" TargetMode="External"/><Relationship Id="rId162" Type="http://schemas.openxmlformats.org/officeDocument/2006/relationships/hyperlink" Target="https://www.ato.gov.au/individuals-and-families/investments-and-assets/crypto-asset-investments/what-are-crypto-assets" TargetMode="External"/><Relationship Id="rId183" Type="http://schemas.openxmlformats.org/officeDocument/2006/relationships/hyperlink" Target="https://learn.bybit.com/crypto/why-bitcoin-prices-differ-across-exchanges/" TargetMode="External"/><Relationship Id="rId218" Type="http://schemas.openxmlformats.org/officeDocument/2006/relationships/hyperlink" Target="https://www.ato.gov.au/individuals-and-families/investments-and-assets/crypto-asset-investments/crypto-chain-splits" TargetMode="External"/><Relationship Id="rId239" Type="http://schemas.openxmlformats.org/officeDocument/2006/relationships/hyperlink" Target="https://www.ato.gov.au/about-ato/commitments-and-reporting/in-detail/privacy-and-information-gathering/how-we-use-data-matching/crypto-assets-2014-15-to-2022-23-data-matching-program-protocol/how-we-use-the-data" TargetMode="External"/><Relationship Id="rId250" Type="http://schemas.openxmlformats.org/officeDocument/2006/relationships/hyperlink" Target="https://www.fma.govt.nz/consumer/investing/types-of-investments/cryptocurrencies/" TargetMode="External"/><Relationship Id="rId271" Type="http://schemas.openxmlformats.org/officeDocument/2006/relationships/hyperlink" Target="https://www.irs.gov/pub/irs-drop/rr-19-24.pdf" TargetMode="External"/><Relationship Id="rId292" Type="http://schemas.openxmlformats.org/officeDocument/2006/relationships/hyperlink" Target="https://deepdao.io/organizations" TargetMode="External"/><Relationship Id="rId24" Type="http://schemas.openxmlformats.org/officeDocument/2006/relationships/hyperlink" Target="https://www.researchgate.net/publication/328475892_A_Review_of_Distributed_Ledger_Technologies" TargetMode="External"/><Relationship Id="rId45" Type="http://schemas.openxmlformats.org/officeDocument/2006/relationships/hyperlink" Target="https://www.investopedia.com/how-to-stake-ethereum-7482623" TargetMode="External"/><Relationship Id="rId66" Type="http://schemas.openxmlformats.org/officeDocument/2006/relationships/hyperlink" Target="https://www.bitcoin.com/get-started/what-is-bitcoin-governance/" TargetMode="External"/><Relationship Id="rId87" Type="http://schemas.openxmlformats.org/officeDocument/2006/relationships/hyperlink" Target="https://www.coindesk.com/learn/an-introduction-to-sidechains/" TargetMode="External"/><Relationship Id="rId110" Type="http://schemas.openxmlformats.org/officeDocument/2006/relationships/hyperlink" Target="https://limechain.tech/blog/what-is-gamefi/" TargetMode="External"/><Relationship Id="rId131" Type="http://schemas.openxmlformats.org/officeDocument/2006/relationships/hyperlink" Target="https://www.chainalysis.com/blog/2022-biggest-year-ever-for-crypto-hacking/" TargetMode="External"/><Relationship Id="rId152" Type="http://schemas.openxmlformats.org/officeDocument/2006/relationships/hyperlink" Target="https://www.ato.gov.au/about-ato/ato-advice-and-guidance/ato-advice-products-rulings/public-rulings" TargetMode="External"/><Relationship Id="rId173" Type="http://schemas.openxmlformats.org/officeDocument/2006/relationships/hyperlink" Target="https://www.ird.govt.nz/cryptoassets/individual/buying-selling/acquiring-sell-exchange" TargetMode="External"/><Relationship Id="rId194" Type="http://schemas.openxmlformats.org/officeDocument/2006/relationships/hyperlink" Target="https://www.unicef.org.au/donate-cryptocurrencies" TargetMode="External"/><Relationship Id="rId208" Type="http://schemas.openxmlformats.org/officeDocument/2006/relationships/hyperlink" Target="https://www.ato.gov.au/individuals-and-families/investments-and-assets/crypto-asset-investments/transactions-acquiring-and-disposing-of-crypto-assets/staking-rewards-and-airdrops" TargetMode="External"/><Relationship Id="rId229" Type="http://schemas.openxmlformats.org/officeDocument/2006/relationships/hyperlink" Target="https://www.ato.gov.au/law/view/document?docid=PSR/PS20125/NAT/ATO/00001" TargetMode="External"/><Relationship Id="rId240" Type="http://schemas.openxmlformats.org/officeDocument/2006/relationships/hyperlink" Target="https://www.ato.gov.au/about-ato/commitments-and-reporting/in-detail/privacy-and-information-gathering/how-we-use-data-matching/crypto-assets-2014-15-to-2022-23-data-matching-program-protocol/how-we-use-the-data" TargetMode="External"/><Relationship Id="rId261" Type="http://schemas.openxmlformats.org/officeDocument/2006/relationships/hyperlink" Target="https://www.ird.govt.nz/cryptoassets/taxing/convert-currency" TargetMode="External"/><Relationship Id="rId14" Type="http://schemas.openxmlformats.org/officeDocument/2006/relationships/hyperlink" Target="https://www.oecd.org/tax/tax-policy/taxing-virtual-currencies-an-overview-of-tax-treatments-and-emerging-tax-policy-issues.htm" TargetMode="External"/><Relationship Id="rId35" Type="http://schemas.openxmlformats.org/officeDocument/2006/relationships/hyperlink" Target="https://bitnodes.io/" TargetMode="External"/><Relationship Id="rId56" Type="http://schemas.openxmlformats.org/officeDocument/2006/relationships/hyperlink" Target="https://www.investopedia.com/terms/s/satoshi.asp" TargetMode="External"/><Relationship Id="rId77" Type="http://schemas.openxmlformats.org/officeDocument/2006/relationships/hyperlink" Target="https://lawcom.gov.uk/project/decentralised-autonomous-organisations-daos/" TargetMode="External"/><Relationship Id="rId100" Type="http://schemas.openxmlformats.org/officeDocument/2006/relationships/hyperlink" Target="https://www.kraken.com/learn/custodial-non-custodial-crypto-wallet" TargetMode="External"/><Relationship Id="rId282" Type="http://schemas.openxmlformats.org/officeDocument/2006/relationships/hyperlink" Target="https://taxpolicy.crawford.anu.edu.au/sites/default/files/uploads/taxstudies_crawford_anu_edu_au/2020-12/complete_dst_report_dec_2020_0.pdf" TargetMode="External"/><Relationship Id="rId8" Type="http://schemas.openxmlformats.org/officeDocument/2006/relationships/hyperlink" Target="https://www.fsb.org/2020/04/addressing-the-regulatory-supervisory-and-oversight-challenges-raised-by-global-stablecoin-arrangements-consultative-document/" TargetMode="External"/><Relationship Id="rId98" Type="http://schemas.openxmlformats.org/officeDocument/2006/relationships/hyperlink" Target="https://www.fool.com/terms/l/liquidity-mining/" TargetMode="External"/><Relationship Id="rId121" Type="http://schemas.openxmlformats.org/officeDocument/2006/relationships/hyperlink" Target="https://dx.doi.org/10.2139/ssrn.4416200" TargetMode="External"/><Relationship Id="rId142" Type="http://schemas.openxmlformats.org/officeDocument/2006/relationships/hyperlink" Target="https://www.pwc.com/kz/en/assets/pwc-annual-global-crypto-tax-report-2021.pdf" TargetMode="External"/><Relationship Id="rId163" Type="http://schemas.openxmlformats.org/officeDocument/2006/relationships/hyperlink" Target="https://www.ato.gov.au/businesses-and-organisations/income-deductions-and-concessions/income-and-deductions-for-business/crypto-assets-and-business/crypto-assets-used-in-business" TargetMode="External"/><Relationship Id="rId184" Type="http://schemas.openxmlformats.org/officeDocument/2006/relationships/hyperlink" Target="https://www.ato.gov.au/individuals-and-families/investments-and-assets/crypto-asset-investments/transactions-acquiring-and-disposing-of-crypto-assets/crypto-asset-transactions" TargetMode="External"/><Relationship Id="rId219" Type="http://schemas.openxmlformats.org/officeDocument/2006/relationships/hyperlink" Target="https://www.ato.gov.au/individuals-and-families/investments-and-assets/crypto-asset-investments/crypto-chain-splits" TargetMode="External"/><Relationship Id="rId230" Type="http://schemas.openxmlformats.org/officeDocument/2006/relationships/hyperlink" Target="https://www.ato.gov.au/individuals-and-families/investments-and-assets/crypto-asset-investments/keeping-crypto-records" TargetMode="External"/><Relationship Id="rId251" Type="http://schemas.openxmlformats.org/officeDocument/2006/relationships/hyperlink" Target="https://www.ird.govt.nz/cryptoassets/taxing/income-expenses" TargetMode="External"/><Relationship Id="rId25" Type="http://schemas.openxmlformats.org/officeDocument/2006/relationships/hyperlink" Target="https://www.techtarget.com/searchcio/feature/6-alternatives-to-blockchain-for-businesses-to-consider" TargetMode="External"/><Relationship Id="rId46" Type="http://schemas.openxmlformats.org/officeDocument/2006/relationships/hyperlink" Target="https://www.ledger.com/academy/bitcoin-smart-contracts-and-apps-do-they-even-exist" TargetMode="External"/><Relationship Id="rId67" Type="http://schemas.openxmlformats.org/officeDocument/2006/relationships/hyperlink" Target="https://ethereum.org/en/governance/" TargetMode="External"/><Relationship Id="rId272" Type="http://schemas.openxmlformats.org/officeDocument/2006/relationships/hyperlink" Target="https://www.irs.gov/pub/irs-utl/rev-ruling-2023-14.pdf" TargetMode="External"/><Relationship Id="rId293" Type="http://schemas.openxmlformats.org/officeDocument/2006/relationships/hyperlink" Target="https://www.oecd.org/daf/fin/financial-markets/Why-Decentralised-Finance-DeFi-Matters-and-the-Policy-Implications.pdf" TargetMode="External"/><Relationship Id="rId88" Type="http://schemas.openxmlformats.org/officeDocument/2006/relationships/hyperlink" Target="https://www.coindesk.com/learn/what-are-blockchain-bridges-and-how-do-they-work/" TargetMode="External"/><Relationship Id="rId111" Type="http://schemas.openxmlformats.org/officeDocument/2006/relationships/hyperlink" Target="https://cointelegraph.com/learn/a-beginners-guide-to-the-gamefi-ecosystem" TargetMode="External"/><Relationship Id="rId132" Type="http://schemas.openxmlformats.org/officeDocument/2006/relationships/hyperlink" Target="https://www.chainalysis.com/blog/2023-crypto-crime-report-introduction/" TargetMode="External"/><Relationship Id="rId153" Type="http://schemas.openxmlformats.org/officeDocument/2006/relationships/hyperlink" Target="https://www.ato.gov.au/about-ato/ato-advice-and-guidance/ato-advice-products-rulings/product-rulings" TargetMode="External"/><Relationship Id="rId174" Type="http://schemas.openxmlformats.org/officeDocument/2006/relationships/hyperlink" Target="https://www.gov.uk/hmrc-internal-manuals/cryptoassets-manual/crypto20050" TargetMode="External"/><Relationship Id="rId195" Type="http://schemas.openxmlformats.org/officeDocument/2006/relationships/hyperlink" Target="https://www.oxfam.org.au/donate/different-ways-to-give/donate-crypto-to-oxfam-australia/" TargetMode="External"/><Relationship Id="rId209" Type="http://schemas.openxmlformats.org/officeDocument/2006/relationships/hyperlink" Target="https://www.taxtechnical.ird.govt.nz/-/media/project/ir/tt/pdfs/questions-we-ve-been-asked/2021/qb-21-06.pdf" TargetMode="External"/><Relationship Id="rId220" Type="http://schemas.openxmlformats.org/officeDocument/2006/relationships/hyperlink" Target="https://www.ato.gov.au/individuals-and-families/investments-and-assets/crypto-asset-investments/crypto-chain-splits" TargetMode="External"/><Relationship Id="rId241" Type="http://schemas.openxmlformats.org/officeDocument/2006/relationships/hyperlink" Target="https://www.ato.gov.au/about-ato/commitments-and-reporting/in-detail/privacy-and-information-gathering/how-we-use-data-matching/crypto-assets-2014-15-to-2022-23-data-matching-program-protocol/about-the-crypto-data-matching-program" TargetMode="External"/><Relationship Id="rId15" Type="http://schemas.openxmlformats.org/officeDocument/2006/relationships/hyperlink" Target="https://treasury.gov.au/consultation/c2022-259046" TargetMode="External"/><Relationship Id="rId36" Type="http://schemas.openxmlformats.org/officeDocument/2006/relationships/hyperlink" Target="https://bitnodes.io/nodes/all/" TargetMode="External"/><Relationship Id="rId57" Type="http://schemas.openxmlformats.org/officeDocument/2006/relationships/hyperlink" Target="https://www.ledger.com/academy/bitcoin-smart-contracts-and-apps-do-they-even-exist" TargetMode="External"/><Relationship Id="rId262" Type="http://schemas.openxmlformats.org/officeDocument/2006/relationships/hyperlink" Target="https://www.iras.gov.sg/media/docs/default-source/e-tax/etaxguide_gst_gst-treatment-of-vouchers_2020-07-02.pdf?sfvrsn=d263f579_22" TargetMode="External"/><Relationship Id="rId283" Type="http://schemas.openxmlformats.org/officeDocument/2006/relationships/hyperlink" Target="https://www.ey.com/Publication/vwLUAssets/EY-new-digital-tax-policies-what-when-where-how-and-by-whom/%24FILE/EY-new-digital-tax-policies-what-when-where-how-and-by-whom.pdf" TargetMode="External"/><Relationship Id="rId78" Type="http://schemas.openxmlformats.org/officeDocument/2006/relationships/hyperlink" Target="https://corporatefinanceinstitute.com/resources/cryptocurrency/hard-fork/%3e." TargetMode="External"/><Relationship Id="rId99" Type="http://schemas.openxmlformats.org/officeDocument/2006/relationships/hyperlink" Target="https://help.coinbase.com/en/coinbase/other-topics/legal-policies/what-does-coinbase-do-with-my-digital-assets" TargetMode="External"/><Relationship Id="rId101" Type="http://schemas.openxmlformats.org/officeDocument/2006/relationships/hyperlink" Target="https://yellowcard.io/blog/what-is-crypto-otc-how-does-it-work/" TargetMode="External"/><Relationship Id="rId122" Type="http://schemas.openxmlformats.org/officeDocument/2006/relationships/hyperlink" Target="https://s3-eu-west-2.amazonaws.com/cloud-platform-e218f50a4812967ba1215eaecede923f/uploads/sites/30/2022/07/Digital-Assets-Consultation-Paper-Law-Commission-1.pdf" TargetMode="External"/><Relationship Id="rId143" Type="http://schemas.openxmlformats.org/officeDocument/2006/relationships/hyperlink" Target="https://community.ato.gov.au/s/about" TargetMode="External"/><Relationship Id="rId164" Type="http://schemas.openxmlformats.org/officeDocument/2006/relationships/hyperlink" Target="https://www.ato.gov.au/businesses-and-organisations/income-deductions-and-concessions/income-and-deductions-for-business/crypto-assets-and-business/crypto-assets-used-in-business" TargetMode="External"/><Relationship Id="rId185" Type="http://schemas.openxmlformats.org/officeDocument/2006/relationships/hyperlink" Target="https://www.ato.gov.au/businesses-and-organisations/income-deductions-and-concessions/income-and-deductions-for-business/crypto-assets-and-business/crypto-assets-used-in-business" TargetMode="External"/><Relationship Id="rId9" Type="http://schemas.openxmlformats.org/officeDocument/2006/relationships/hyperlink" Target="https://treasury.gov.au/sites/default/files/2021-08/p2021-198587.pdf" TargetMode="External"/><Relationship Id="rId210" Type="http://schemas.openxmlformats.org/officeDocument/2006/relationships/hyperlink" Target="https://www.iras.gov.sg/media/docs/default-source/e-tax/etaxguide_cit_income-tax-treatment-of-digital-tokens_091020.pdf?sfvrsn=91dbe1f7_17" TargetMode="External"/><Relationship Id="rId26" Type="http://schemas.openxmlformats.org/officeDocument/2006/relationships/hyperlink" Target="https://bitcoin.org/bitcoin.pdf" TargetMode="External"/><Relationship Id="rId231" Type="http://schemas.openxmlformats.org/officeDocument/2006/relationships/hyperlink" Target="https://www.ato.gov.au/businesses-and-organisations/preparing-lodging-and-paying/record-keeping-for-business" TargetMode="External"/><Relationship Id="rId252" Type="http://schemas.openxmlformats.org/officeDocument/2006/relationships/hyperlink" Target="https://www.ird.govt.nz/cryptoassets/individual/mining" TargetMode="External"/><Relationship Id="rId273" Type="http://schemas.openxmlformats.org/officeDocument/2006/relationships/hyperlink" Target="https://www.irs.gov/pub/foia/ig/sbse/notice-2023-27-nft-as-collectibles.pdf" TargetMode="External"/><Relationship Id="rId294" Type="http://schemas.openxmlformats.org/officeDocument/2006/relationships/hyperlink" Target="https://www.oecd.org/daf/fin/financial-markets/Why-Decentralised-Finance-DeFi-Matters-and-the-Policy-Implications.pdf" TargetMode="External"/><Relationship Id="rId47" Type="http://schemas.openxmlformats.org/officeDocument/2006/relationships/hyperlink" Target="https://tradewise.community/how-many-nodes-ethereum-has-estimating-the-total-number-of-nodes-in-the-ethereum-network/" TargetMode="External"/><Relationship Id="rId68" Type="http://schemas.openxmlformats.org/officeDocument/2006/relationships/hyperlink" Target="https://www.bitcoin.com/get-started/what-is-bitcoin-governance/" TargetMode="External"/><Relationship Id="rId89" Type="http://schemas.openxmlformats.org/officeDocument/2006/relationships/hyperlink" Target="https://austreasury-my.sharepoint.com/personal/maree_caulfield_treasury_gov_au/Documents/About%20Us" TargetMode="External"/><Relationship Id="rId112" Type="http://schemas.openxmlformats.org/officeDocument/2006/relationships/hyperlink" Target="https://www.weforum.org/agenda/2022/11/gamefi-finance-shaped-by-crypto-regulations/" TargetMode="External"/><Relationship Id="rId133" Type="http://schemas.openxmlformats.org/officeDocument/2006/relationships/hyperlink" Target="https://www.forbes.com/sites/davidblack/2022/03/11/cryptocurrency-fuels-explosive-growth-of-crime/?sh=3ec097c0618a" TargetMode="External"/><Relationship Id="rId154" Type="http://schemas.openxmlformats.org/officeDocument/2006/relationships/hyperlink" Target="https://www.ato.gov.au/about-ato/ato-advice-and-guidance/ato-advice-products-rulings/class-rulings/when-to-consider-applying-for-a-class-ruling" TargetMode="External"/><Relationship Id="rId175" Type="http://schemas.openxmlformats.org/officeDocument/2006/relationships/hyperlink" Target="https://www.canada.ca/en/revenue-agency/programs/about-canada-revenue-agency-cra/compliance/digital-currency/cryptocurrency-guide.html" TargetMode="External"/><Relationship Id="rId196" Type="http://schemas.openxmlformats.org/officeDocument/2006/relationships/hyperlink" Target="https://www.acnc.gov.au/tools/guides/charities-and-crypto-assets" TargetMode="External"/><Relationship Id="rId200" Type="http://schemas.openxmlformats.org/officeDocument/2006/relationships/hyperlink" Target="https://www.ato.gov.au/businesses-and-organisations/income-deductions-and-concessions/income-and-deductions-for-business/crypto-assets-and-business/crypto-mining" TargetMode="External"/><Relationship Id="rId16" Type="http://schemas.openxmlformats.org/officeDocument/2006/relationships/hyperlink" Target="https://www.alrc.gov.au/inquiry/review-of-the-legislative-framework-for-corporations-and-financial-services-regulation/" TargetMode="External"/><Relationship Id="rId221" Type="http://schemas.openxmlformats.org/officeDocument/2006/relationships/hyperlink" Target="https://www.ato.gov.au/businesses-and-organisations/gst-excise-and-indirect-taxes/gst/in-detail/your-industry/gst-and-crypto-assets/gst-and-trading-digital-currency" TargetMode="External"/><Relationship Id="rId242" Type="http://schemas.openxmlformats.org/officeDocument/2006/relationships/hyperlink" Target="https://www.ato.gov.au/forms-and-instructions/capital-gain-or-capital-loss-worksheet-2023" TargetMode="External"/><Relationship Id="rId263" Type="http://schemas.openxmlformats.org/officeDocument/2006/relationships/hyperlink" Target="https://www.iras.gov.sg/media/docs/default-source/e-tax/etaxguide_cit_income-tax-treatment-of-digital-tokens_091020.pdf?sfvrsn=91dbe1f7_17" TargetMode="External"/><Relationship Id="rId284" Type="http://schemas.openxmlformats.org/officeDocument/2006/relationships/hyperlink" Target="https://www.oecd.org/tax/beps/pillar-one-amount-a-fact-sheet.pdf" TargetMode="External"/><Relationship Id="rId37" Type="http://schemas.openxmlformats.org/officeDocument/2006/relationships/hyperlink" Target="https://ethereum.org/en/developers/docs/consensus-mechanisms/pos/" TargetMode="External"/><Relationship Id="rId58" Type="http://schemas.openxmlformats.org/officeDocument/2006/relationships/hyperlink" Target="https://hbr.org/2022/05/what-is-web3" TargetMode="External"/><Relationship Id="rId79" Type="http://schemas.openxmlformats.org/officeDocument/2006/relationships/hyperlink" Target="https://blog.bitfinex.com/education/the-fork-wars-what-is-bitcoin-independence-day/" TargetMode="External"/><Relationship Id="rId102" Type="http://schemas.openxmlformats.org/officeDocument/2006/relationships/hyperlink" Target="https://www.coindesk.com/learn/2024/01/11/what-are-crypto-otc-desks-and-how-do-they-work/" TargetMode="External"/><Relationship Id="rId123" Type="http://schemas.openxmlformats.org/officeDocument/2006/relationships/hyperlink" Target="https://www.ato.gov.au/law/view/document?docid=TXD/TD201425/NAT/ATO/00001" TargetMode="External"/><Relationship Id="rId144" Type="http://schemas.openxmlformats.org/officeDocument/2006/relationships/hyperlink" Target="https://www.ato.gov.au/individuals-and-families/investments-and-assets/crypto-asset-investments/crypto-asset-as-a-personal-use-asset" TargetMode="External"/><Relationship Id="rId90" Type="http://schemas.openxmlformats.org/officeDocument/2006/relationships/hyperlink" Target="https://www.bitcoin.com/get-started/what-is-weth/" TargetMode="External"/><Relationship Id="rId165" Type="http://schemas.openxmlformats.org/officeDocument/2006/relationships/hyperlink" Target="https://www.ato.gov.au/individuals-and-families/investments-and-assets/capital-gains-tax/shares-and-similar-investments/share-investing-versus-share-trading" TargetMode="External"/><Relationship Id="rId186" Type="http://schemas.openxmlformats.org/officeDocument/2006/relationships/hyperlink" Target="https://www.ato.gov.au/law/view/document?DocID=SGM/market_val&amp;PiT=99991231235958" TargetMode="External"/><Relationship Id="rId211" Type="http://schemas.openxmlformats.org/officeDocument/2006/relationships/hyperlink" Target="https://www.gov.uk/hmrc-internal-manuals/cryptoassets-manual/crypto21250" TargetMode="External"/><Relationship Id="rId232" Type="http://schemas.openxmlformats.org/officeDocument/2006/relationships/hyperlink" Target="https://www.ato.gov.au/businesses-and-organisations/income-deductions-and-concessions/income-and-deductions-for-business/crypto-assets-and-business/crypto-assets-used-in-business" TargetMode="External"/><Relationship Id="rId253" Type="http://schemas.openxmlformats.org/officeDocument/2006/relationships/hyperlink" Target="https://www.ird.govt.nz/cryptoassets/individual/airdrops-and-hard-forks/airdrops" TargetMode="External"/><Relationship Id="rId274" Type="http://schemas.openxmlformats.org/officeDocument/2006/relationships/hyperlink" Target="https://www.irs.gov/irb/2023-34_IRB" TargetMode="External"/><Relationship Id="rId295" Type="http://schemas.openxmlformats.org/officeDocument/2006/relationships/hyperlink" Target="https://www.weforum.org/agenda/2022/11/gamefi-finance-shaped-by-crypto-regulations/" TargetMode="External"/><Relationship Id="rId27" Type="http://schemas.openxmlformats.org/officeDocument/2006/relationships/hyperlink" Target="https://www.linkedin.com/pulse/blockchain-protocols-fundamentals-luis-soares-m-sc-" TargetMode="External"/><Relationship Id="rId48" Type="http://schemas.openxmlformats.org/officeDocument/2006/relationships/hyperlink" Target="https://www.ethernodes.org/countries?synced=1" TargetMode="External"/><Relationship Id="rId69" Type="http://schemas.openxmlformats.org/officeDocument/2006/relationships/hyperlink" Target="https://ethereum.org/en/governance/" TargetMode="External"/><Relationship Id="rId113" Type="http://schemas.openxmlformats.org/officeDocument/2006/relationships/hyperlink" Target="https://www.vice.com/en/article/93bmyv/what-is-the-metaverse-internet-technology-vr" TargetMode="External"/><Relationship Id="rId134" Type="http://schemas.openxmlformats.org/officeDocument/2006/relationships/hyperlink" Target="https://www.bis.org/publ/othp72.pdf" TargetMode="External"/><Relationship Id="rId80" Type="http://schemas.openxmlformats.org/officeDocument/2006/relationships/hyperlink" Target="https://www.investopedia.com/tech/history-bitcoin-hard-forks/" TargetMode="External"/><Relationship Id="rId155" Type="http://schemas.openxmlformats.org/officeDocument/2006/relationships/hyperlink" Target="https://www.ato.gov.au/law/view/document?DocID=PSR/PS20083/NAT/ATO/00001&amp;PiT=99991231235958" TargetMode="External"/><Relationship Id="rId176" Type="http://schemas.openxmlformats.org/officeDocument/2006/relationships/hyperlink" Target="https://www.irs.gov/irb/2014-16_IRB" TargetMode="External"/><Relationship Id="rId197" Type="http://schemas.openxmlformats.org/officeDocument/2006/relationships/hyperlink" Target="https://www.ato.gov.au/individuals-and-families/investments-and-assets/crypto-asset-investments/transactions-acquiring-and-disposing-of-crypto-assets/gifts-and-donations-of-crypto-assets" TargetMode="External"/><Relationship Id="rId201" Type="http://schemas.openxmlformats.org/officeDocument/2006/relationships/hyperlink" Target="https://community.ato.gov.au/s/question/a0J9s0000001ADB/p00015560" TargetMode="External"/><Relationship Id="rId222" Type="http://schemas.openxmlformats.org/officeDocument/2006/relationships/hyperlink" Target="https://treasury.gov.au/sites/default/files/2019-03/Fintech-March-2016-v3.pdf" TargetMode="External"/><Relationship Id="rId243" Type="http://schemas.openxmlformats.org/officeDocument/2006/relationships/hyperlink" Target="https://www.ato.gov.au/forms-and-instructions/capital-gains-tax-schedule-2023" TargetMode="External"/><Relationship Id="rId264" Type="http://schemas.openxmlformats.org/officeDocument/2006/relationships/hyperlink" Target="https://www.iras.gov.sg/media/docs/default-source/e-tax/e-tax-guide_gst_digital-payment-tokens.pdf?sfvrsn=da8cafda_22" TargetMode="External"/><Relationship Id="rId285" Type="http://schemas.openxmlformats.org/officeDocument/2006/relationships/hyperlink" Target="https://search.informit.com.au/documentSummary;dn=321151613629366;res=IELBUS" TargetMode="External"/><Relationship Id="rId17" Type="http://schemas.openxmlformats.org/officeDocument/2006/relationships/hyperlink" Target="https://www.alrc.gov.au/inquiry/review-of-the-legislative-framework-for-corporations-and-financial-services-regulation/terms-of-reference/" TargetMode="External"/><Relationship Id="rId38" Type="http://schemas.openxmlformats.org/officeDocument/2006/relationships/hyperlink" Target="https://www.ledger.com/academy/ethereum-staking-how-to-stake-eth" TargetMode="External"/><Relationship Id="rId59" Type="http://schemas.openxmlformats.org/officeDocument/2006/relationships/hyperlink" Target="https://papers.ssrn.com/sol3/papers.cfm?abstract_id=4254360" TargetMode="External"/><Relationship Id="rId103" Type="http://schemas.openxmlformats.org/officeDocument/2006/relationships/hyperlink" Target="https://www.tastycrypto.com/blog/custodial-wallets-vs-self-custody-wallets-beginners-guide/" TargetMode="External"/><Relationship Id="rId124" Type="http://schemas.openxmlformats.org/officeDocument/2006/relationships/hyperlink" Target="https://www.rba.gov.au/publications/fsr/2022/oct/pdf/financial-stability-review-2022-10.pdf" TargetMode="External"/><Relationship Id="rId70" Type="http://schemas.openxmlformats.org/officeDocument/2006/relationships/hyperlink" Target="https://ethereum.org/en/governance/" TargetMode="External"/><Relationship Id="rId91" Type="http://schemas.openxmlformats.org/officeDocument/2006/relationships/hyperlink" Target="https://www.bitcoin.com/get-started/what-is-weth/" TargetMode="External"/><Relationship Id="rId145" Type="http://schemas.openxmlformats.org/officeDocument/2006/relationships/hyperlink" Target="https://www.ato.gov.au/other-languages/information-in-other-languages/investing/crypto-asset-investments-and-tax" TargetMode="External"/><Relationship Id="rId166" Type="http://schemas.openxmlformats.org/officeDocument/2006/relationships/hyperlink" Target="https://www.ato.gov.au/law/view/document?docid=txr/tr9711/nat/ato/00001" TargetMode="External"/><Relationship Id="rId187" Type="http://schemas.openxmlformats.org/officeDocument/2006/relationships/hyperlink" Target="https://asic.gov.au/regulatory-resources/superannuation-funds/asic-s-role-in-super/" TargetMode="External"/><Relationship Id="rId1" Type="http://schemas.openxmlformats.org/officeDocument/2006/relationships/hyperlink" Target="http://documents.worldbank.org/curated/en/177911513714062215/Distributed-Ledger-Technology-DLT-and-blockchain" TargetMode="External"/><Relationship Id="rId212" Type="http://schemas.openxmlformats.org/officeDocument/2006/relationships/hyperlink" Target="https://taxbit.com/blog/how-does-arizonas-new-crypto-law-impact-taxes-on-airdrops/" TargetMode="External"/><Relationship Id="rId233" Type="http://schemas.openxmlformats.org/officeDocument/2006/relationships/hyperlink" Target="https://cryptotaxcalculator.io/au/crypto-101/how-to-blockchain-explorer/" TargetMode="External"/><Relationship Id="rId254" Type="http://schemas.openxmlformats.org/officeDocument/2006/relationships/hyperlink" Target="https://www.ird.govt.nz/cryptoassets/taxing/cryptoassets-and-gst" TargetMode="External"/><Relationship Id="rId28" Type="http://schemas.openxmlformats.org/officeDocument/2006/relationships/hyperlink" Target="https://river.com/learn/how-bitcoin-fees-work/" TargetMode="External"/><Relationship Id="rId49" Type="http://schemas.openxmlformats.org/officeDocument/2006/relationships/hyperlink" Target="https://www.investopedia.com/terms/u/utxo.asp" TargetMode="External"/><Relationship Id="rId114" Type="http://schemas.openxmlformats.org/officeDocument/2006/relationships/hyperlink" Target="http://www.matthewball.vc/all/forwardtothemetaverseprimer" TargetMode="External"/><Relationship Id="rId275" Type="http://schemas.openxmlformats.org/officeDocument/2006/relationships/hyperlink" Target="https://treasury.gov.au/sites/default/files/2023-02/p2023-370286-teis.pdf" TargetMode="External"/><Relationship Id="rId296" Type="http://schemas.openxmlformats.org/officeDocument/2006/relationships/hyperlink" Target="https://www.businessresearchinsights.com/market-reports/gamefi-market-102420" TargetMode="External"/><Relationship Id="rId60" Type="http://schemas.openxmlformats.org/officeDocument/2006/relationships/hyperlink" Target="https://ethereum.org/en/governance/" TargetMode="External"/><Relationship Id="rId81" Type="http://schemas.openxmlformats.org/officeDocument/2006/relationships/hyperlink" Target="https://www2.deloitte.com/ie/en/pages/technology/articles/DAO-Attack-Analysis.html" TargetMode="External"/><Relationship Id="rId135" Type="http://schemas.openxmlformats.org/officeDocument/2006/relationships/hyperlink" Target="https://www.imf.org/en/Publications/fandd/issues/2022/09/Point-of-View-the-superficial-allure-of-crypto-Hilary-Allen" TargetMode="External"/><Relationship Id="rId156" Type="http://schemas.openxmlformats.org/officeDocument/2006/relationships/hyperlink" Target="https://www.ato.gov.au/about-ato/ato-advice-and-guidance/ato-advice-products-rulings/private-rulings/publishing-of-private-rulings" TargetMode="External"/><Relationship Id="rId177" Type="http://schemas.openxmlformats.org/officeDocument/2006/relationships/hyperlink" Target="https://www.ato.gov.au/law/view/document?docid=CGD/TD33/NAT/ATO/00001&amp;PiT=19940929000001" TargetMode="External"/><Relationship Id="rId198" Type="http://schemas.openxmlformats.org/officeDocument/2006/relationships/hyperlink" Target="https://ministers.treasury.gov.au/ministers/josh-frydenberg-2014/media-releases/measures-boost-philanthropy-australia" TargetMode="External"/><Relationship Id="rId202" Type="http://schemas.openxmlformats.org/officeDocument/2006/relationships/hyperlink" Target="https://www.ato.gov.au/businesses-and-organisations/income-deductions-and-concessions/income-and-deductions-for-business/crypto-assets-and-business/crypto-mining" TargetMode="External"/><Relationship Id="rId223" Type="http://schemas.openxmlformats.org/officeDocument/2006/relationships/hyperlink" Target="https://www.ato.gov.au/businesses-and-organisations/gst-excise-and-indirect-taxes/gst/in-detail/your-industry/gst-and-crypto-assets/gst-and-digital-currency" TargetMode="External"/><Relationship Id="rId244" Type="http://schemas.openxmlformats.org/officeDocument/2006/relationships/hyperlink" Target="https://www.canada.ca/content/dam/cra-arc/formspubs/pbg/5000-s3/5000-s3-22e.pdf" TargetMode="External"/><Relationship Id="rId18" Type="http://schemas.openxmlformats.org/officeDocument/2006/relationships/hyperlink" Target="https://www.alrc.gov.au/wp-content/uploads/2022/10/FSL7-New-Business-Models-Technologies-and-Practices.pdf" TargetMode="External"/><Relationship Id="rId39" Type="http://schemas.openxmlformats.org/officeDocument/2006/relationships/hyperlink" Target="https://www.gemini.com/cryptopedia/what-are-gas-fees-gwei-gas-fees-eth-ether-transaction-fee" TargetMode="External"/><Relationship Id="rId265" Type="http://schemas.openxmlformats.org/officeDocument/2006/relationships/hyperlink" Target="https://www.gov.uk/hmrc-internal-manuals/cryptoassets-manual/crypto10100" TargetMode="External"/><Relationship Id="rId286" Type="http://schemas.openxmlformats.org/officeDocument/2006/relationships/hyperlink" Target="https://cointelegraph.com/learn/what-is-a-dao" TargetMode="External"/><Relationship Id="rId50" Type="http://schemas.openxmlformats.org/officeDocument/2006/relationships/hyperlink" Target="https://academy.binance.com/en/glossary/unspent-transaction-output-utxo" TargetMode="External"/><Relationship Id="rId104" Type="http://schemas.openxmlformats.org/officeDocument/2006/relationships/hyperlink" Target="https://chain.link/education-hub/flash-loans" TargetMode="External"/><Relationship Id="rId125" Type="http://schemas.openxmlformats.org/officeDocument/2006/relationships/hyperlink" Target="https://www.imf.org/en/Publications/fandd/issues/2022/09/Point-of-View-the-superficial-allure-of-crypto-Hilary-Allen" TargetMode="External"/><Relationship Id="rId146" Type="http://schemas.openxmlformats.org/officeDocument/2006/relationships/hyperlink" Target="https://www.gov.uk/hmrc-internal-manuals/cryptoassets-manual" TargetMode="External"/><Relationship Id="rId167" Type="http://schemas.openxmlformats.org/officeDocument/2006/relationships/hyperlink" Target="https://www.ato.gov.au/law/view/document?LocID=%22JUD%2F79ATC4261%22" TargetMode="External"/><Relationship Id="rId188" Type="http://schemas.openxmlformats.org/officeDocument/2006/relationships/hyperlink" Target="https://www.ato.gov.au/individuals-and-families/super-for-individuals-and-families/self-managed-super-funds-smsf/in-detail/statistics/annual-reports/self-managed-super-funds-a-statistical-overview-2020-21/smsf-profile" TargetMode="External"/><Relationship Id="rId71" Type="http://schemas.openxmlformats.org/officeDocument/2006/relationships/hyperlink" Target="https://datarella.com/governance-tokens-the-new-medium-of-power/" TargetMode="External"/><Relationship Id="rId92" Type="http://schemas.openxmlformats.org/officeDocument/2006/relationships/hyperlink" Target="https://www.investopedia.com/tech/why-crypto-users-need-know-about-erc20-token-standard/" TargetMode="External"/><Relationship Id="rId213" Type="http://schemas.openxmlformats.org/officeDocument/2006/relationships/hyperlink" Target="https://www.ato.gov.au/other-languages/information-in-other-languages/investing/crypto-asset-investments-and-tax" TargetMode="External"/><Relationship Id="rId234" Type="http://schemas.openxmlformats.org/officeDocument/2006/relationships/hyperlink" Target="https://www.austrac.gov.au/business/core-guidance/customer-identification-and-verification" TargetMode="External"/><Relationship Id="rId2" Type="http://schemas.openxmlformats.org/officeDocument/2006/relationships/hyperlink" Target="https://www.rba.gov.au/payments-and-infrastructure/central-bank-digital-currency/pdf/australian-cbdc-pilot-for-digital-finance-innovation-project-report.pdf" TargetMode="External"/><Relationship Id="rId29" Type="http://schemas.openxmlformats.org/officeDocument/2006/relationships/hyperlink" Target="https://river.com/learn/terms/b/block-subsidy/" TargetMode="External"/><Relationship Id="rId255" Type="http://schemas.openxmlformats.org/officeDocument/2006/relationships/hyperlink" Target="https://www.ird.govt.nz/cryptoassets/individual/airdrops-and-hard-forks/airdrops" TargetMode="External"/><Relationship Id="rId276" Type="http://schemas.openxmlformats.org/officeDocument/2006/relationships/hyperlink" Target="https://news.bitcoin.com/tax-benefits-for-bitcoin-businesses-in-belarus-extended-until-2025/" TargetMode="External"/><Relationship Id="rId297" Type="http://schemas.openxmlformats.org/officeDocument/2006/relationships/hyperlink" Target="https://www.gov.uk/government/publications/individuals-holding-cryptoassets-uptake-and-understanding" TargetMode="External"/><Relationship Id="rId40" Type="http://schemas.openxmlformats.org/officeDocument/2006/relationships/hyperlink" Target="https://www.britannica.com/money/ethereum-gas-fees-eth" TargetMode="External"/><Relationship Id="rId115" Type="http://schemas.openxmlformats.org/officeDocument/2006/relationships/hyperlink" Target="https://www.mckinsey.com/featured-insights/mckinsey-explainers/what-is-the-metaverse" TargetMode="External"/><Relationship Id="rId136" Type="http://schemas.openxmlformats.org/officeDocument/2006/relationships/hyperlink" Target="https://www.bis.org/publ/othp72.pdf" TargetMode="External"/><Relationship Id="rId157" Type="http://schemas.openxmlformats.org/officeDocument/2006/relationships/hyperlink" Target="https://www.ato.gov.au/law/view/document?DocID=PSR/PS20083/NAT/ATO/00001&amp;PiT=99991231235958" TargetMode="External"/><Relationship Id="rId178" Type="http://schemas.openxmlformats.org/officeDocument/2006/relationships/hyperlink" Target="https://www.ato.gov.au/tax-and-super-professionals/for-tax-professionals/prepare-and-lodge/tax-time/tax-time-toolkits/tax-time-toolkit-for-investors" TargetMode="External"/><Relationship Id="rId61" Type="http://schemas.openxmlformats.org/officeDocument/2006/relationships/hyperlink" Target="https://datarella.com/governance-tokens-the-new-medium-of-power/" TargetMode="External"/><Relationship Id="rId82" Type="http://schemas.openxmlformats.org/officeDocument/2006/relationships/hyperlink" Target="https://www2.deloitte.com/content/dam/Deloitte/de/Documents/Innovation/IE_Cons_BlockchainHardFork.pdf" TargetMode="External"/><Relationship Id="rId199" Type="http://schemas.openxmlformats.org/officeDocument/2006/relationships/hyperlink" Target="https://corporatefinanceinstitute.com/resources/cryptocurrency/hard-fork/" TargetMode="External"/><Relationship Id="rId203" Type="http://schemas.openxmlformats.org/officeDocument/2006/relationships/hyperlink" Target="https://www.ato.gov.au/individuals-and-families/investments-and-assets/crypto-asset-investments/transactions-acquiring-and-disposing-of-crypto-assets/staking-rewards-and-airdrops" TargetMode="External"/><Relationship Id="rId19" Type="http://schemas.openxmlformats.org/officeDocument/2006/relationships/hyperlink" Target="https://www.roymorgan.com/findings/over-1-million-australians-now-own-cryptocurrencies-such-as-bitcoin-ethereum-ripple-cardano-dogecoin-and-shiba-inu" TargetMode="External"/><Relationship Id="rId224" Type="http://schemas.openxmlformats.org/officeDocument/2006/relationships/hyperlink" Target="https://www.ato.gov.au/individuals/investments-and-assets/crypto-asset-investments/transactions---acquiring-and-disposing-of-crypto-assets/non-fungible-tokens/" TargetMode="External"/><Relationship Id="rId245" Type="http://schemas.openxmlformats.org/officeDocument/2006/relationships/hyperlink" Target="https://assets.publishing.service.gov.uk/government/uploads/system/uploads/attachment_data/file/1148477/SA108_2023.pdf" TargetMode="External"/><Relationship Id="rId266" Type="http://schemas.openxmlformats.org/officeDocument/2006/relationships/hyperlink" Target="https://www.gov.uk/hmrc-internal-manuals/cryptoassets-manual/crypto45000%3e." TargetMode="External"/><Relationship Id="rId287" Type="http://schemas.openxmlformats.org/officeDocument/2006/relationships/hyperlink" Target="https://www.chainalysis.com/blog/introduction-to-decentralized-autonomous-organizations-daos/" TargetMode="External"/><Relationship Id="rId30" Type="http://schemas.openxmlformats.org/officeDocument/2006/relationships/hyperlink" Target="https://river.com/learn/what-is-a-bitcoin-halving/" TargetMode="External"/><Relationship Id="rId105" Type="http://schemas.openxmlformats.org/officeDocument/2006/relationships/hyperlink" Target="https://101blockchains.com/crypto-airdrop/?gad_source=1&amp;gclid=CjwKCAiA-vOsBhAAEiwAIWR0TUdcBp9-sqq3iuRZ5Uf8aSPWX-YlIB7NDgHiWPw3Zxf-sJEA3YrKMBoCcdoQAvD_BwE" TargetMode="External"/><Relationship Id="rId126" Type="http://schemas.openxmlformats.org/officeDocument/2006/relationships/hyperlink" Target="https://www.bis.org/publ/othp72.pdf" TargetMode="External"/><Relationship Id="rId147" Type="http://schemas.openxmlformats.org/officeDocument/2006/relationships/hyperlink" Target="https://www.ird.govt.nz/cryptoassets" TargetMode="External"/><Relationship Id="rId168" Type="http://schemas.openxmlformats.org/officeDocument/2006/relationships/hyperlink" Target="https://www.ato.gov.au/law/view/document?docid=txr/tr9711/nat/ato/00001" TargetMode="External"/><Relationship Id="rId51" Type="http://schemas.openxmlformats.org/officeDocument/2006/relationships/hyperlink" Target="https://www.kraken.com/learn/what-is-bitcoin-unspent-transaction-output-utxo" TargetMode="External"/><Relationship Id="rId72" Type="http://schemas.openxmlformats.org/officeDocument/2006/relationships/hyperlink" Target="https://lawcom.gov.uk/project/decentralised-autonomous-organisations-daos/" TargetMode="External"/><Relationship Id="rId93" Type="http://schemas.openxmlformats.org/officeDocument/2006/relationships/hyperlink" Target="https://blog.accubits.com/wrapping-vs-swapping-vs-bridging-an-intro-to-crypto-facelift/" TargetMode="External"/><Relationship Id="rId189" Type="http://schemas.openxmlformats.org/officeDocument/2006/relationships/hyperlink" Target="https://www.ato.gov.au/individuals-and-families/super-for-individuals-and-families/self-managed-super-funds-smsf/in-detail/statistics/annual-reports/self-managed-super-funds-a-statistical-overview-2020-21/investment-profile" TargetMode="External"/><Relationship Id="rId3" Type="http://schemas.openxmlformats.org/officeDocument/2006/relationships/hyperlink" Target="https://treasury.gov.au/sites/default/files/2023-02/c2023-341659-cp.pdf" TargetMode="External"/><Relationship Id="rId214" Type="http://schemas.openxmlformats.org/officeDocument/2006/relationships/hyperlink" Target="https://www.ato.gov.au/other-languages/information-in-other-languages/investing/crypto-asset-investments-and-tax" TargetMode="External"/><Relationship Id="rId235" Type="http://schemas.openxmlformats.org/officeDocument/2006/relationships/hyperlink" Target="https://doi.org/10.1787/896d79d1-en" TargetMode="External"/><Relationship Id="rId256" Type="http://schemas.openxmlformats.org/officeDocument/2006/relationships/hyperlink" Target="https://www.ird.govt.nz/cryptoassets/taxing" TargetMode="External"/><Relationship Id="rId277" Type="http://schemas.openxmlformats.org/officeDocument/2006/relationships/hyperlink" Target="https://cleartax.in/s/cryptocurrency-taxation-guide" TargetMode="External"/><Relationship Id="rId298" Type="http://schemas.openxmlformats.org/officeDocument/2006/relationships/hyperlink" Target="https://www.gov.uk/hmrc-internal-manuals/cryptoassets-manual" TargetMode="External"/><Relationship Id="rId116" Type="http://schemas.openxmlformats.org/officeDocument/2006/relationships/hyperlink" Target="https://www.forbes.com/sites/digital-assets/article/the-metaverse-explained/?sh=7e9423d348bd" TargetMode="External"/><Relationship Id="rId137" Type="http://schemas.openxmlformats.org/officeDocument/2006/relationships/hyperlink" Target="https://swyftx.com/wp-content/uploads/2023/08/Australian-crypto-survey-2023.pdf" TargetMode="External"/><Relationship Id="rId158" Type="http://schemas.openxmlformats.org/officeDocument/2006/relationships/hyperlink" Target="https://www.ato.gov.au/individuals-and-families/investments-and-assets/crypto-asset-investments/transactions-acquiring-and-disposing-of-crypto-assets/staking-rewards-and-airdrops" TargetMode="External"/><Relationship Id="rId20" Type="http://schemas.openxmlformats.org/officeDocument/2006/relationships/hyperlink" Target="https://www.ato.gov.au/media-centre/taking-the-cryptic-out-of-crypto-this-tax-time" TargetMode="External"/><Relationship Id="rId41" Type="http://schemas.openxmlformats.org/officeDocument/2006/relationships/hyperlink" Target="https://piertwo.com/research/relation-between-gas-fees-and-validator-rewards/" TargetMode="External"/><Relationship Id="rId62" Type="http://schemas.openxmlformats.org/officeDocument/2006/relationships/hyperlink" Target="https://hrf.org/devfund" TargetMode="External"/><Relationship Id="rId83" Type="http://schemas.openxmlformats.org/officeDocument/2006/relationships/hyperlink" Target="https://www.investopedia.com/tech/history-bitcoin-hard-forks/" TargetMode="External"/><Relationship Id="rId179" Type="http://schemas.openxmlformats.org/officeDocument/2006/relationships/hyperlink" Target="https://www.ato.gov.au/individuals-and-families/investments-and-assets/crypto-asset-investments/crypto-asset-as-a-personal-use-asset" TargetMode="External"/><Relationship Id="rId190" Type="http://schemas.openxmlformats.org/officeDocument/2006/relationships/hyperlink" Target="https://www.ato.gov.au/individuals-and-families/super-for-individuals-and-families/self-managed-super-funds-smsf/in-detail/smsf-investing/smsf-investing-in-crypto-assets" TargetMode="External"/><Relationship Id="rId204" Type="http://schemas.openxmlformats.org/officeDocument/2006/relationships/hyperlink" Target="https://www.ato.gov.au/individuals-and-families/investments-and-assets/crypto-asset-investments/transactions-acquiring-and-disposing-of-crypto-assets/staking-rewards-and-airdrops" TargetMode="External"/><Relationship Id="rId225" Type="http://schemas.openxmlformats.org/officeDocument/2006/relationships/hyperlink" Target="https://www.ato.gov.au/businesses-and-organisations/gst-excise-and-indirect-taxes/gst/in-detail/your-industry/gst-and-crypto-assets/gst-and-digital-currency" TargetMode="External"/><Relationship Id="rId246" Type="http://schemas.openxmlformats.org/officeDocument/2006/relationships/hyperlink" Target="https://assets.publishing.service.gov.uk/media/641da861ba5ac9000cb1a856/sa905_2023.pdf" TargetMode="External"/><Relationship Id="rId267" Type="http://schemas.openxmlformats.org/officeDocument/2006/relationships/hyperlink" Target="https://www.gov.uk/hmrc-internal-manuals/cryptoassets-manual/crypto10400" TargetMode="External"/><Relationship Id="rId288" Type="http://schemas.openxmlformats.org/officeDocument/2006/relationships/hyperlink" Target="https://www.blockchainandthelaw.com/2023/04/dao-deemed-general-partnership-in-negligence-suit-over-crypto-hack-prompting-decentralized-orgs-to-rethink-corporate-formation/" TargetMode="External"/><Relationship Id="rId106" Type="http://schemas.openxmlformats.org/officeDocument/2006/relationships/hyperlink" Target="https://www.investopedia.com/terms/a/airdrop-cryptocurrency.asp" TargetMode="External"/><Relationship Id="rId127" Type="http://schemas.openxmlformats.org/officeDocument/2006/relationships/hyperlink" Target="https://unu.edu/press-release/un-study-reveals-hidden-environmental-impacts-bitcoin-carbon-not-only-harmful-product" TargetMode="External"/><Relationship Id="rId10" Type="http://schemas.openxmlformats.org/officeDocument/2006/relationships/hyperlink" Target="https://www.aph.gov.au/Parliamentary_Business/Committees/Joint/Corporations_and_Financial_Services/Mobileanddigitalwallet/Report" TargetMode="External"/><Relationship Id="rId31" Type="http://schemas.openxmlformats.org/officeDocument/2006/relationships/hyperlink" Target="https://www.investopedia.com/tech/how-does-bitcoin-mining-work/" TargetMode="External"/><Relationship Id="rId52" Type="http://schemas.openxmlformats.org/officeDocument/2006/relationships/hyperlink" Target="https://www.rain.com/learn/what-is-ethereums-accounts-based-model-and-how-does-it-work" TargetMode="External"/><Relationship Id="rId73" Type="http://schemas.openxmlformats.org/officeDocument/2006/relationships/hyperlink" Target="https://www.iosco.org/library/pubdocs/pdf/IOSCOPD699.pdf" TargetMode="External"/><Relationship Id="rId94" Type="http://schemas.openxmlformats.org/officeDocument/2006/relationships/hyperlink" Target="https://cointelegraph.com/learn/a-beginners-guide-to-understanding-wrapped-tokens-and-wrapped-bitcoin" TargetMode="External"/><Relationship Id="rId148" Type="http://schemas.openxmlformats.org/officeDocument/2006/relationships/hyperlink" Target="https://www.gov.uk/hmrc-internal-manuals/cryptoassets-manual/updates" TargetMode="External"/><Relationship Id="rId169" Type="http://schemas.openxmlformats.org/officeDocument/2006/relationships/hyperlink" Target="https://ethereum.org/en/developers/docs/gas/" TargetMode="External"/><Relationship Id="rId4" Type="http://schemas.openxmlformats.org/officeDocument/2006/relationships/hyperlink" Target="https://lawcom.gov.uk/project/decentralised-autonomous-organisations-daos/" TargetMode="External"/><Relationship Id="rId180" Type="http://schemas.openxmlformats.org/officeDocument/2006/relationships/hyperlink" Target="https://www.ato.gov.au/individuals/investments-and-assets/crypto-asset-investments/transactions---acquiring-and-disposing-of-crypto-assets/non-fungible-tokens/" TargetMode="External"/><Relationship Id="rId215" Type="http://schemas.openxmlformats.org/officeDocument/2006/relationships/hyperlink" Target="https://www.ato.gov.au/individuals-and-families/investments-and-assets/crypto-asset-investments/decentralised-finance-and-wrapping-crypto" TargetMode="External"/><Relationship Id="rId236" Type="http://schemas.openxmlformats.org/officeDocument/2006/relationships/hyperlink" Target="https://treasury.gov.au/media-release/collective-engagement-implement-crypto-asset-reporting-framework" TargetMode="External"/><Relationship Id="rId257" Type="http://schemas.openxmlformats.org/officeDocument/2006/relationships/hyperlink" Target="https://www.ird.govt.nz/cryptoassets/individual/buying-selling" TargetMode="External"/><Relationship Id="rId278" Type="http://schemas.openxmlformats.org/officeDocument/2006/relationships/hyperlink" Target="https://koinly.io/guides/crypto-tax-italy/" TargetMode="External"/><Relationship Id="rId42" Type="http://schemas.openxmlformats.org/officeDocument/2006/relationships/hyperlink" Target="https://ethereum.org/en/developers/docs/intro-to-ether" TargetMode="External"/><Relationship Id="rId84" Type="http://schemas.openxmlformats.org/officeDocument/2006/relationships/hyperlink" Target="https://www3.weforum.org/docs/WEF_DeFi_Policy_Maker_Toolkit_2021.pdf" TargetMode="External"/><Relationship Id="rId138" Type="http://schemas.openxmlformats.org/officeDocument/2006/relationships/hyperlink" Target="https://www.tpb.gov.au/qualifications-and-experience-tax-agents" TargetMode="External"/><Relationship Id="rId191" Type="http://schemas.openxmlformats.org/officeDocument/2006/relationships/hyperlink" Target="https://www.apra.gov.au/sites/default/files/2022-04/Crypto-assets%20-%20Risk%20management%20expectations%20and%20policy%20roadmap.pdf" TargetMode="External"/><Relationship Id="rId205" Type="http://schemas.openxmlformats.org/officeDocument/2006/relationships/hyperlink" Target="https://www.ato.gov.au/individuals-and-families/investments-and-assets/crypto-asset-investments/transactions-acquiring-and-disposing-of-crypto-assets/staking-rewards-and-airdrops" TargetMode="External"/><Relationship Id="rId247" Type="http://schemas.openxmlformats.org/officeDocument/2006/relationships/hyperlink" Target="https://www.irs.gov/pub/irs-pdf/f1040.pdf" TargetMode="External"/><Relationship Id="rId107" Type="http://schemas.openxmlformats.org/officeDocument/2006/relationships/hyperlink" Target="https://www.nfttech.com/newsroom/comparing-the-ico-boom-of-2017-18-and-the-nft-boom-of-2021" TargetMode="External"/><Relationship Id="rId289" Type="http://schemas.openxmlformats.org/officeDocument/2006/relationships/hyperlink" Target="https://www.proskauer.com/blog/from-code-to-consequence-cftc-obtains-default-judgment-against-ooki-dao-for-commodity-exchange-act-violations" TargetMode="External"/><Relationship Id="rId11" Type="http://schemas.openxmlformats.org/officeDocument/2006/relationships/hyperlink" Target="https://treasury.gov.au/publication/p2021-231824" TargetMode="External"/><Relationship Id="rId53" Type="http://schemas.openxmlformats.org/officeDocument/2006/relationships/hyperlink" Target="https://hackernoon.com/bitcoin-utxo-vs-ethereums-account-based-blockchain-transactions-explained-simply-164x37f5" TargetMode="External"/><Relationship Id="rId149" Type="http://schemas.openxmlformats.org/officeDocument/2006/relationships/hyperlink" Target="https://www.ato.gov.au/law/view/document?DocID=PSR/PS20083/NAT/ATO/00001&amp;PiT=99991231235958" TargetMode="External"/><Relationship Id="rId95" Type="http://schemas.openxmlformats.org/officeDocument/2006/relationships/hyperlink" Target="https://komodoplatform.com/en/academy/wrapped-tokens/" TargetMode="External"/><Relationship Id="rId160" Type="http://schemas.openxmlformats.org/officeDocument/2006/relationships/hyperlink" Target="https://www.ato.gov.au/individuals-and-families/investments-and-assets/crypto-asset-investments" TargetMode="External"/><Relationship Id="rId216" Type="http://schemas.openxmlformats.org/officeDocument/2006/relationships/hyperlink" Target="https://www.ato.gov.au/individuals-and-families/investments-and-assets/crypto-asset-investments/decentralised-finance-and-wrapping-crypto" TargetMode="External"/><Relationship Id="rId258" Type="http://schemas.openxmlformats.org/officeDocument/2006/relationships/hyperlink" Target="https://www.ird.govt.nz/cryptoassets/individual/tax-residence" TargetMode="External"/><Relationship Id="rId22" Type="http://schemas.openxmlformats.org/officeDocument/2006/relationships/hyperlink" Target="https://www.imf.org/en/Publications/WP/Issues/2023/09/30/New-Evidence-on-Spillovers-Between-Crypto-Assets-and-Financial-Markets-539476" TargetMode="External"/><Relationship Id="rId64" Type="http://schemas.openxmlformats.org/officeDocument/2006/relationships/hyperlink" Target="https://www.vaneck.com/us/en/investments/ethereum-strategy-etf-efut/overview/" TargetMode="External"/><Relationship Id="rId118" Type="http://schemas.openxmlformats.org/officeDocument/2006/relationships/hyperlink" Target="https://www.blockchain4europe.eu/wp-content/uploads/2021/05/6.6056_JO_Cryptocurrencies_Statement_FINAL_WEB_111119-1.pdf" TargetMode="External"/><Relationship Id="rId171" Type="http://schemas.openxmlformats.org/officeDocument/2006/relationships/hyperlink" Target="https://www.ato.gov.au/law/view/document?DocID=LIT/ICD/NSD1427of2018/00001" TargetMode="External"/><Relationship Id="rId227" Type="http://schemas.openxmlformats.org/officeDocument/2006/relationships/hyperlink" Target="https://taxboard.gov.au/consultation/application-of-gst-to-cross-border-transactions" TargetMode="External"/><Relationship Id="rId269" Type="http://schemas.openxmlformats.org/officeDocument/2006/relationships/hyperlink" Target="https://www.irs.gov/businesses/small-businesses-self-employed/digital-assets" TargetMode="External"/><Relationship Id="rId33" Type="http://schemas.openxmlformats.org/officeDocument/2006/relationships/hyperlink" Target="https://cointelegraph.com/learn/what-is-a-bitcoin-node-a-beginners-guide-on-blockchain-nodes" TargetMode="External"/><Relationship Id="rId129" Type="http://schemas.openxmlformats.org/officeDocument/2006/relationships/hyperlink" Target="https://www.austrac.gov.au/sites/default/files/2022-04/AUSTRAC_FCG_PreventingCriminalAbuseOfDigitalCurrencies_FINAL.pdf" TargetMode="External"/><Relationship Id="rId280" Type="http://schemas.openxmlformats.org/officeDocument/2006/relationships/hyperlink" Target="https://koinly.io/guides/crypto-tax-ital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BA54135A454572ABA3863AC2F6BB91"/>
        <w:category>
          <w:name w:val="General"/>
          <w:gallery w:val="placeholder"/>
        </w:category>
        <w:types>
          <w:type w:val="bbPlcHdr"/>
        </w:types>
        <w:behaviors>
          <w:behavior w:val="content"/>
        </w:behaviors>
        <w:guid w:val="{C345F3FC-92AC-4DD1-8467-4F9C1544D6A3}"/>
      </w:docPartPr>
      <w:docPartBody>
        <w:p w:rsidR="00302EB4" w:rsidRDefault="00302EB4" w:rsidP="00302EB4">
          <w:pPr>
            <w:pStyle w:val="7BBA54135A454572ABA3863AC2F6BB91"/>
          </w:pPr>
          <w:r>
            <w:rPr>
              <w:rStyle w:val="PlaceholderText"/>
            </w:rPr>
            <w:t>Select Board member.</w:t>
          </w:r>
        </w:p>
      </w:docPartBody>
    </w:docPart>
    <w:docPart>
      <w:docPartPr>
        <w:name w:val="3006E383627B48B6A62E79A69BD3AB5F"/>
        <w:category>
          <w:name w:val="General"/>
          <w:gallery w:val="placeholder"/>
        </w:category>
        <w:types>
          <w:type w:val="bbPlcHdr"/>
        </w:types>
        <w:behaviors>
          <w:behavior w:val="content"/>
        </w:behaviors>
        <w:guid w:val="{C23ABB2A-4AB2-4025-926C-2D714FE42B1E}"/>
      </w:docPartPr>
      <w:docPartBody>
        <w:p w:rsidR="00302EB4" w:rsidRDefault="00302EB4" w:rsidP="00302EB4">
          <w:pPr>
            <w:pStyle w:val="3006E383627B48B6A62E79A69BD3AB5F"/>
          </w:pPr>
          <w:r>
            <w:rPr>
              <w:rStyle w:val="PlaceholderText"/>
            </w:rPr>
            <w:t>Choose an item.</w:t>
          </w:r>
        </w:p>
      </w:docPartBody>
    </w:docPart>
    <w:docPart>
      <w:docPartPr>
        <w:name w:val="C2BE234FBBEA41F394476E3E2E2ECA7D"/>
        <w:category>
          <w:name w:val="General"/>
          <w:gallery w:val="placeholder"/>
        </w:category>
        <w:types>
          <w:type w:val="bbPlcHdr"/>
        </w:types>
        <w:behaviors>
          <w:behavior w:val="content"/>
        </w:behaviors>
        <w:guid w:val="{24A30497-D933-4F6E-B89F-848C2403A06F}"/>
      </w:docPartPr>
      <w:docPartBody>
        <w:p w:rsidR="00302EB4" w:rsidRDefault="00302EB4" w:rsidP="00302EB4">
          <w:pPr>
            <w:pStyle w:val="C2BE234FBBEA41F394476E3E2E2ECA7D"/>
          </w:pPr>
          <w:r>
            <w:rPr>
              <w:rStyle w:val="PlaceholderText"/>
            </w:rPr>
            <w:t>Select Board member.</w:t>
          </w:r>
        </w:p>
      </w:docPartBody>
    </w:docPart>
    <w:docPart>
      <w:docPartPr>
        <w:name w:val="25A00F15626945FB9E2FC6054F477086"/>
        <w:category>
          <w:name w:val="General"/>
          <w:gallery w:val="placeholder"/>
        </w:category>
        <w:types>
          <w:type w:val="bbPlcHdr"/>
        </w:types>
        <w:behaviors>
          <w:behavior w:val="content"/>
        </w:behaviors>
        <w:guid w:val="{249076E4-79A3-47B1-83EB-791892B7298B}"/>
      </w:docPartPr>
      <w:docPartBody>
        <w:p w:rsidR="00302EB4" w:rsidRDefault="00302EB4" w:rsidP="00302EB4">
          <w:pPr>
            <w:pStyle w:val="25A00F15626945FB9E2FC6054F47708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YInterstate">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EB4"/>
    <w:rsid w:val="000B0F8A"/>
    <w:rsid w:val="000D29F0"/>
    <w:rsid w:val="000F5438"/>
    <w:rsid w:val="000F6C8A"/>
    <w:rsid w:val="00302EB4"/>
    <w:rsid w:val="003711E9"/>
    <w:rsid w:val="005F439B"/>
    <w:rsid w:val="008C5300"/>
    <w:rsid w:val="00D207CE"/>
    <w:rsid w:val="00D51788"/>
    <w:rsid w:val="00D90A4F"/>
    <w:rsid w:val="00EA0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2EB4"/>
  </w:style>
  <w:style w:type="paragraph" w:customStyle="1" w:styleId="7BBA54135A454572ABA3863AC2F6BB91">
    <w:name w:val="7BBA54135A454572ABA3863AC2F6BB91"/>
    <w:rsid w:val="00302EB4"/>
  </w:style>
  <w:style w:type="paragraph" w:customStyle="1" w:styleId="3006E383627B48B6A62E79A69BD3AB5F">
    <w:name w:val="3006E383627B48B6A62E79A69BD3AB5F"/>
    <w:rsid w:val="00302EB4"/>
  </w:style>
  <w:style w:type="paragraph" w:customStyle="1" w:styleId="C2BE234FBBEA41F394476E3E2E2ECA7D">
    <w:name w:val="C2BE234FBBEA41F394476E3E2E2ECA7D"/>
    <w:rsid w:val="00302EB4"/>
  </w:style>
  <w:style w:type="paragraph" w:customStyle="1" w:styleId="25A00F15626945FB9E2FC6054F477086">
    <w:name w:val="25A00F15626945FB9E2FC6054F477086"/>
    <w:rsid w:val="00302E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oard of Tax">
      <a:dk1>
        <a:sysClr val="windowText" lastClr="000000"/>
      </a:dk1>
      <a:lt1>
        <a:sysClr val="window" lastClr="FFFFFF"/>
      </a:lt1>
      <a:dk2>
        <a:srgbClr val="5F5F5F"/>
      </a:dk2>
      <a:lt2>
        <a:srgbClr val="EEEEEE"/>
      </a:lt2>
      <a:accent1>
        <a:srgbClr val="142147"/>
      </a:accent1>
      <a:accent2>
        <a:srgbClr val="701F4D"/>
      </a:accent2>
      <a:accent3>
        <a:srgbClr val="D4C2A8"/>
      </a:accent3>
      <a:accent4>
        <a:srgbClr val="432B73"/>
      </a:accent4>
      <a:accent5>
        <a:srgbClr val="65ACDC"/>
      </a:accent5>
      <a:accent6>
        <a:srgbClr val="A2A0D5"/>
      </a:accent6>
      <a:hlink>
        <a:srgbClr val="3A6FAF"/>
      </a:hlink>
      <a:folHlink>
        <a:srgbClr val="844D9E"/>
      </a:folHlink>
    </a:clrScheme>
    <a:fontScheme name="Board of Tax">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9BDC2-1833-44AA-BF51-59E8737E9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295</Pages>
  <Words>99597</Words>
  <Characters>539817</Characters>
  <Application>Microsoft Office Word</Application>
  <DocSecurity>0</DocSecurity>
  <Lines>9639</Lines>
  <Paragraphs>4534</Paragraphs>
  <ScaleCrop>false</ScaleCrop>
  <HeadingPairs>
    <vt:vector size="2" baseType="variant">
      <vt:variant>
        <vt:lpstr>Title</vt:lpstr>
      </vt:variant>
      <vt:variant>
        <vt:i4>1</vt:i4>
      </vt:variant>
    </vt:vector>
  </HeadingPairs>
  <TitlesOfParts>
    <vt:vector size="1" baseType="lpstr">
      <vt:lpstr>Review of the tax treatment of digital assets and transactions in Australia</vt:lpstr>
    </vt:vector>
  </TitlesOfParts>
  <Company/>
  <LinksUpToDate>false</LinksUpToDate>
  <CharactersWithSpaces>634880</CharactersWithSpaces>
  <SharedDoc>false</SharedDoc>
  <HLinks>
    <vt:vector size="2196" baseType="variant">
      <vt:variant>
        <vt:i4>4259914</vt:i4>
      </vt:variant>
      <vt:variant>
        <vt:i4>556</vt:i4>
      </vt:variant>
      <vt:variant>
        <vt:i4>0</vt:i4>
      </vt:variant>
      <vt:variant>
        <vt:i4>5</vt:i4>
      </vt:variant>
      <vt:variant>
        <vt:lpwstr>https://www.ato.gov.au/individuals-and-families/investments-and-assets/crypto-asset-investments/crypto-myth-busting-with-tim-loh-interactive-video-transcript</vt:lpwstr>
      </vt:variant>
      <vt:variant>
        <vt:lpwstr/>
      </vt:variant>
      <vt:variant>
        <vt:i4>2687080</vt:i4>
      </vt:variant>
      <vt:variant>
        <vt:i4>553</vt:i4>
      </vt:variant>
      <vt:variant>
        <vt:i4>0</vt:i4>
      </vt:variant>
      <vt:variant>
        <vt:i4>5</vt:i4>
      </vt:variant>
      <vt:variant>
        <vt:lpwstr>https://www.ato.gov.au/media-centre/taking-the-cryptic-out-of-crypto-this-tax-time</vt:lpwstr>
      </vt:variant>
      <vt:variant>
        <vt:lpwstr/>
      </vt:variant>
      <vt:variant>
        <vt:i4>7405614</vt:i4>
      </vt:variant>
      <vt:variant>
        <vt:i4>550</vt:i4>
      </vt:variant>
      <vt:variant>
        <vt:i4>0</vt:i4>
      </vt:variant>
      <vt:variant>
        <vt:i4>5</vt:i4>
      </vt:variant>
      <vt:variant>
        <vt:lpwstr>https://www.ato.gov.au/tax-and-super-professionals/for-tax-professionals/prepare-and-lodge/tax-time/tax-time-toolkits/tax-time-toolkit-for-investors</vt:lpwstr>
      </vt:variant>
      <vt:variant>
        <vt:lpwstr>ato-Taxsmarttipsforcryptoassetsinvestments</vt:lpwstr>
      </vt:variant>
      <vt:variant>
        <vt:i4>6160473</vt:i4>
      </vt:variant>
      <vt:variant>
        <vt:i4>547</vt:i4>
      </vt:variant>
      <vt:variant>
        <vt:i4>0</vt:i4>
      </vt:variant>
      <vt:variant>
        <vt:i4>5</vt:i4>
      </vt:variant>
      <vt:variant>
        <vt:lpwstr>https://www.ato.gov.au/other-languages/information-in-other-languages/investing/crypto-asset-investments-and-tax</vt:lpwstr>
      </vt:variant>
      <vt:variant>
        <vt:lpwstr/>
      </vt:variant>
      <vt:variant>
        <vt:i4>7733349</vt:i4>
      </vt:variant>
      <vt:variant>
        <vt:i4>544</vt:i4>
      </vt:variant>
      <vt:variant>
        <vt:i4>0</vt:i4>
      </vt:variant>
      <vt:variant>
        <vt:i4>5</vt:i4>
      </vt:variant>
      <vt:variant>
        <vt:lpwstr>https://www.ato.gov.au/businesses-and-organisations/gst-excise-and-indirect-taxes/gst/in-detail/your-industry/gst-and-crypto-assets/gst-and-digital-currency-exchanges</vt:lpwstr>
      </vt:variant>
      <vt:variant>
        <vt:lpwstr/>
      </vt:variant>
      <vt:variant>
        <vt:i4>5242952</vt:i4>
      </vt:variant>
      <vt:variant>
        <vt:i4>541</vt:i4>
      </vt:variant>
      <vt:variant>
        <vt:i4>0</vt:i4>
      </vt:variant>
      <vt:variant>
        <vt:i4>5</vt:i4>
      </vt:variant>
      <vt:variant>
        <vt:lpwstr>https://www.ato.gov.au/businesses-and-organisations/gst-excise-and-indirect-taxes/gst/in-detail/your-industry/gst-and-crypto-assets/gst-and-trading-digital-currency</vt:lpwstr>
      </vt:variant>
      <vt:variant>
        <vt:lpwstr/>
      </vt:variant>
      <vt:variant>
        <vt:i4>2818145</vt:i4>
      </vt:variant>
      <vt:variant>
        <vt:i4>538</vt:i4>
      </vt:variant>
      <vt:variant>
        <vt:i4>0</vt:i4>
      </vt:variant>
      <vt:variant>
        <vt:i4>5</vt:i4>
      </vt:variant>
      <vt:variant>
        <vt:lpwstr>https://www.ato.gov.au/businesses-and-organisations/gst-excise-and-indirect-taxes/gst/in-detail/your-industry/gst-and-crypto-assets/gst-and-digital-currency-as-payment</vt:lpwstr>
      </vt:variant>
      <vt:variant>
        <vt:lpwstr/>
      </vt:variant>
      <vt:variant>
        <vt:i4>327763</vt:i4>
      </vt:variant>
      <vt:variant>
        <vt:i4>535</vt:i4>
      </vt:variant>
      <vt:variant>
        <vt:i4>0</vt:i4>
      </vt:variant>
      <vt:variant>
        <vt:i4>5</vt:i4>
      </vt:variant>
      <vt:variant>
        <vt:lpwstr>https://www.ato.gov.au/businesses-and-organisations/gst-excise-and-indirect-taxes/gst/in-detail/your-industry/gst-and-crypto-assets/gst-and-digital-currency</vt:lpwstr>
      </vt:variant>
      <vt:variant>
        <vt:lpwstr/>
      </vt:variant>
      <vt:variant>
        <vt:i4>7012410</vt:i4>
      </vt:variant>
      <vt:variant>
        <vt:i4>532</vt:i4>
      </vt:variant>
      <vt:variant>
        <vt:i4>0</vt:i4>
      </vt:variant>
      <vt:variant>
        <vt:i4>5</vt:i4>
      </vt:variant>
      <vt:variant>
        <vt:lpwstr>https://www.ato.gov.au/businesses-and-organisations/gst-excise-and-indirect-taxes/gst/in-detail/your-industry/gst-and-crypto-assets</vt:lpwstr>
      </vt:variant>
      <vt:variant>
        <vt:lpwstr/>
      </vt:variant>
      <vt:variant>
        <vt:i4>6226026</vt:i4>
      </vt:variant>
      <vt:variant>
        <vt:i4>529</vt:i4>
      </vt:variant>
      <vt:variant>
        <vt:i4>0</vt:i4>
      </vt:variant>
      <vt:variant>
        <vt:i4>5</vt:i4>
      </vt:variant>
      <vt:variant>
        <vt:lpwstr>https://caat-p-001.sitecorecontenthub.cloud/api/public/content/98094883-bacd-4e38-8d1f-26fa62c39780_TaxTimeToolkits_Taxsmarttipsforyourcryptocurrencyinvestments_pdf</vt:lpwstr>
      </vt:variant>
      <vt:variant>
        <vt:lpwstr/>
      </vt:variant>
      <vt:variant>
        <vt:i4>4128870</vt:i4>
      </vt:variant>
      <vt:variant>
        <vt:i4>526</vt:i4>
      </vt:variant>
      <vt:variant>
        <vt:i4>0</vt:i4>
      </vt:variant>
      <vt:variant>
        <vt:i4>5</vt:i4>
      </vt:variant>
      <vt:variant>
        <vt:lpwstr>https://www.ato.gov.au/about-ato/commitments-and-reporting/in-detail/privacy-and-information-gathering/how-we-use-data-matching/crypto-assets-2014-15-to-2022-23-data-matching-program-protocol</vt:lpwstr>
      </vt:variant>
      <vt:variant>
        <vt:lpwstr/>
      </vt:variant>
      <vt:variant>
        <vt:i4>3407984</vt:i4>
      </vt:variant>
      <vt:variant>
        <vt:i4>523</vt:i4>
      </vt:variant>
      <vt:variant>
        <vt:i4>0</vt:i4>
      </vt:variant>
      <vt:variant>
        <vt:i4>5</vt:i4>
      </vt:variant>
      <vt:variant>
        <vt:lpwstr>https://www.ato.gov.au/businesses-and-organisations/income-deductions-and-concessions/income-and-deductions-for-business/crypto-assets-and-business/crypto-assets-used-in-business</vt:lpwstr>
      </vt:variant>
      <vt:variant>
        <vt:lpwstr/>
      </vt:variant>
      <vt:variant>
        <vt:i4>6553722</vt:i4>
      </vt:variant>
      <vt:variant>
        <vt:i4>520</vt:i4>
      </vt:variant>
      <vt:variant>
        <vt:i4>0</vt:i4>
      </vt:variant>
      <vt:variant>
        <vt:i4>5</vt:i4>
      </vt:variant>
      <vt:variant>
        <vt:lpwstr>https://www.ato.gov.au/businesses-and-organisations/income-deductions-and-concessions/income-and-deductions-for-business/crypto-assets-and-business</vt:lpwstr>
      </vt:variant>
      <vt:variant>
        <vt:lpwstr/>
      </vt:variant>
      <vt:variant>
        <vt:i4>1966087</vt:i4>
      </vt:variant>
      <vt:variant>
        <vt:i4>517</vt:i4>
      </vt:variant>
      <vt:variant>
        <vt:i4>0</vt:i4>
      </vt:variant>
      <vt:variant>
        <vt:i4>5</vt:i4>
      </vt:variant>
      <vt:variant>
        <vt:lpwstr>https://www.ato.gov.au/individuals-and-families/super-for-individuals-and-families/self-managed-super-funds-smsf/in-detail/smsf-investing/smsf-investing-in-crypto-assets</vt:lpwstr>
      </vt:variant>
      <vt:variant>
        <vt:lpwstr/>
      </vt:variant>
      <vt:variant>
        <vt:i4>8257650</vt:i4>
      </vt:variant>
      <vt:variant>
        <vt:i4>514</vt:i4>
      </vt:variant>
      <vt:variant>
        <vt:i4>0</vt:i4>
      </vt:variant>
      <vt:variant>
        <vt:i4>5</vt:i4>
      </vt:variant>
      <vt:variant>
        <vt:lpwstr>https://www.ato.gov.au/individuals-and-families/investments-and-assets/crypto-asset-investments/crypto-assets-glossary</vt:lpwstr>
      </vt:variant>
      <vt:variant>
        <vt:lpwstr/>
      </vt:variant>
      <vt:variant>
        <vt:i4>7602288</vt:i4>
      </vt:variant>
      <vt:variant>
        <vt:i4>511</vt:i4>
      </vt:variant>
      <vt:variant>
        <vt:i4>0</vt:i4>
      </vt:variant>
      <vt:variant>
        <vt:i4>5</vt:i4>
      </vt:variant>
      <vt:variant>
        <vt:lpwstr>https://www.ato.gov.au/individuals-and-families/investments-and-assets/crypto-asset-investments/keeping-crypto-records</vt:lpwstr>
      </vt:variant>
      <vt:variant>
        <vt:lpwstr/>
      </vt:variant>
      <vt:variant>
        <vt:i4>786460</vt:i4>
      </vt:variant>
      <vt:variant>
        <vt:i4>508</vt:i4>
      </vt:variant>
      <vt:variant>
        <vt:i4>0</vt:i4>
      </vt:variant>
      <vt:variant>
        <vt:i4>5</vt:i4>
      </vt:variant>
      <vt:variant>
        <vt:lpwstr>https://www.ato.gov.au/individuals-and-families/investments-and-assets/crypto-asset-investments/decentralised-finance-and-wrapping-crypto</vt:lpwstr>
      </vt:variant>
      <vt:variant>
        <vt:lpwstr/>
      </vt:variant>
      <vt:variant>
        <vt:i4>5701726</vt:i4>
      </vt:variant>
      <vt:variant>
        <vt:i4>505</vt:i4>
      </vt:variant>
      <vt:variant>
        <vt:i4>0</vt:i4>
      </vt:variant>
      <vt:variant>
        <vt:i4>5</vt:i4>
      </vt:variant>
      <vt:variant>
        <vt:lpwstr>https://www.ato.gov.au/individuals-and-families/investments-and-assets/crypto-asset-investments/crypto-asset-as-a-personal-use-asset</vt:lpwstr>
      </vt:variant>
      <vt:variant>
        <vt:lpwstr/>
      </vt:variant>
      <vt:variant>
        <vt:i4>3473451</vt:i4>
      </vt:variant>
      <vt:variant>
        <vt:i4>502</vt:i4>
      </vt:variant>
      <vt:variant>
        <vt:i4>0</vt:i4>
      </vt:variant>
      <vt:variant>
        <vt:i4>5</vt:i4>
      </vt:variant>
      <vt:variant>
        <vt:lpwstr>https://www.ato.gov.au/individuals-and-families/investments-and-assets/crypto-asset-investments/crypto-chain-splits</vt:lpwstr>
      </vt:variant>
      <vt:variant>
        <vt:lpwstr/>
      </vt:variant>
      <vt:variant>
        <vt:i4>458774</vt:i4>
      </vt:variant>
      <vt:variant>
        <vt:i4>499</vt:i4>
      </vt:variant>
      <vt:variant>
        <vt:i4>0</vt:i4>
      </vt:variant>
      <vt:variant>
        <vt:i4>5</vt:i4>
      </vt:variant>
      <vt:variant>
        <vt:lpwstr>https://www.ato.gov.au/individuals-and-families/investments-and-assets/crypto-asset-investments/how-to-work-out-and-report-cgt-on-crypto</vt:lpwstr>
      </vt:variant>
      <vt:variant>
        <vt:lpwstr/>
      </vt:variant>
      <vt:variant>
        <vt:i4>1376275</vt:i4>
      </vt:variant>
      <vt:variant>
        <vt:i4>496</vt:i4>
      </vt:variant>
      <vt:variant>
        <vt:i4>0</vt:i4>
      </vt:variant>
      <vt:variant>
        <vt:i4>5</vt:i4>
      </vt:variant>
      <vt:variant>
        <vt:lpwstr>https://www.ato.gov.au/individuals-and-families/investments-and-assets/crypto-asset-investments/transactions-acquiring-and-disposing-of-crypto-assets/loss-or-theft-of-crypto-assets</vt:lpwstr>
      </vt:variant>
      <vt:variant>
        <vt:lpwstr/>
      </vt:variant>
      <vt:variant>
        <vt:i4>4128803</vt:i4>
      </vt:variant>
      <vt:variant>
        <vt:i4>493</vt:i4>
      </vt:variant>
      <vt:variant>
        <vt:i4>0</vt:i4>
      </vt:variant>
      <vt:variant>
        <vt:i4>5</vt:i4>
      </vt:variant>
      <vt:variant>
        <vt:lpwstr>https://www.ato.gov.au/individuals-and-families/investments-and-assets/crypto-asset-investments/transactions-acquiring-and-disposing-of-crypto-assets/gifts-and-donations-of-crypto-assets</vt:lpwstr>
      </vt:variant>
      <vt:variant>
        <vt:lpwstr/>
      </vt:variant>
      <vt:variant>
        <vt:i4>2818101</vt:i4>
      </vt:variant>
      <vt:variant>
        <vt:i4>490</vt:i4>
      </vt:variant>
      <vt:variant>
        <vt:i4>0</vt:i4>
      </vt:variant>
      <vt:variant>
        <vt:i4>5</vt:i4>
      </vt:variant>
      <vt:variant>
        <vt:lpwstr>https://www.ato.gov.au/individuals-and-families/investments-and-assets/crypto-asset-investments/transactions-acquiring-and-disposing-of-crypto-assets/crypto-asset-prizes-and-gambling-winnings</vt:lpwstr>
      </vt:variant>
      <vt:variant>
        <vt:lpwstr/>
      </vt:variant>
      <vt:variant>
        <vt:i4>7012389</vt:i4>
      </vt:variant>
      <vt:variant>
        <vt:i4>487</vt:i4>
      </vt:variant>
      <vt:variant>
        <vt:i4>0</vt:i4>
      </vt:variant>
      <vt:variant>
        <vt:i4>5</vt:i4>
      </vt:variant>
      <vt:variant>
        <vt:lpwstr>https://www.ato.gov.au/individuals-and-families/investments-and-assets/crypto-asset-investments/transactions-acquiring-and-disposing-of-crypto-assets/crypto-asset-transactions-with-gift-cards-or-debit-cards</vt:lpwstr>
      </vt:variant>
      <vt:variant>
        <vt:lpwstr/>
      </vt:variant>
      <vt:variant>
        <vt:i4>7012467</vt:i4>
      </vt:variant>
      <vt:variant>
        <vt:i4>484</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
      </vt:variant>
      <vt:variant>
        <vt:i4>917589</vt:i4>
      </vt:variant>
      <vt:variant>
        <vt:i4>481</vt:i4>
      </vt:variant>
      <vt:variant>
        <vt:i4>0</vt:i4>
      </vt:variant>
      <vt:variant>
        <vt:i4>5</vt:i4>
      </vt:variant>
      <vt:variant>
        <vt:lpwstr>https://www.ato.gov.au/individuals-and-families/investments-and-assets/crypto-asset-investments/transactions-acquiring-and-disposing-of-crypto-assets/non-fungible-tokens</vt:lpwstr>
      </vt:variant>
      <vt:variant>
        <vt:lpwstr/>
      </vt:variant>
      <vt:variant>
        <vt:i4>3932222</vt:i4>
      </vt:variant>
      <vt:variant>
        <vt:i4>478</vt:i4>
      </vt:variant>
      <vt:variant>
        <vt:i4>0</vt:i4>
      </vt:variant>
      <vt:variant>
        <vt:i4>5</vt:i4>
      </vt:variant>
      <vt:variant>
        <vt:lpwstr>https://www.ato.gov.au/individuals-and-families/investments-and-assets/crypto-asset-investments/transactions-acquiring-and-disposing-of-crypto-assets/crypto-to-crypto-exchange-or-swap</vt:lpwstr>
      </vt:variant>
      <vt:variant>
        <vt:lpwstr/>
      </vt:variant>
      <vt:variant>
        <vt:i4>2162785</vt:i4>
      </vt:variant>
      <vt:variant>
        <vt:i4>475</vt:i4>
      </vt:variant>
      <vt:variant>
        <vt:i4>0</vt:i4>
      </vt:variant>
      <vt:variant>
        <vt:i4>5</vt:i4>
      </vt:variant>
      <vt:variant>
        <vt:lpwstr>https://www.ato.gov.au/individuals-and-families/investments-and-assets/crypto-asset-investments/transactions-acquiring-and-disposing-of-crypto-assets/crypto-asset-transactions</vt:lpwstr>
      </vt:variant>
      <vt:variant>
        <vt:lpwstr/>
      </vt:variant>
      <vt:variant>
        <vt:i4>458764</vt:i4>
      </vt:variant>
      <vt:variant>
        <vt:i4>472</vt:i4>
      </vt:variant>
      <vt:variant>
        <vt:i4>0</vt:i4>
      </vt:variant>
      <vt:variant>
        <vt:i4>5</vt:i4>
      </vt:variant>
      <vt:variant>
        <vt:lpwstr>https://www.ato.gov.au/individuals-and-families/investments-and-assets/crypto-asset-investments/transactions-acquiring-and-disposing-of-crypto-assets</vt:lpwstr>
      </vt:variant>
      <vt:variant>
        <vt:lpwstr/>
      </vt:variant>
      <vt:variant>
        <vt:i4>6357042</vt:i4>
      </vt:variant>
      <vt:variant>
        <vt:i4>469</vt:i4>
      </vt:variant>
      <vt:variant>
        <vt:i4>0</vt:i4>
      </vt:variant>
      <vt:variant>
        <vt:i4>5</vt:i4>
      </vt:variant>
      <vt:variant>
        <vt:lpwstr>https://www.ato.gov.au/individuals-and-families/investments-and-assets/crypto-asset-investments/what-are-crypto-assets</vt:lpwstr>
      </vt:variant>
      <vt:variant>
        <vt:lpwstr/>
      </vt:variant>
      <vt:variant>
        <vt:i4>7340078</vt:i4>
      </vt:variant>
      <vt:variant>
        <vt:i4>466</vt:i4>
      </vt:variant>
      <vt:variant>
        <vt:i4>0</vt:i4>
      </vt:variant>
      <vt:variant>
        <vt:i4>5</vt:i4>
      </vt:variant>
      <vt:variant>
        <vt:lpwstr>https://www.ato.gov.au/individuals-and-families/investments-and-assets/crypto-asset-investments</vt:lpwstr>
      </vt:variant>
      <vt:variant>
        <vt:lpwstr/>
      </vt:variant>
      <vt:variant>
        <vt:i4>7929975</vt:i4>
      </vt:variant>
      <vt:variant>
        <vt:i4>463</vt:i4>
      </vt:variant>
      <vt:variant>
        <vt:i4>0</vt:i4>
      </vt:variant>
      <vt:variant>
        <vt:i4>5</vt:i4>
      </vt:variant>
      <vt:variant>
        <vt:lpwstr>https://www.ato.gov.au/law/view/pdf/pbr/td2014-028.pdf</vt:lpwstr>
      </vt:variant>
      <vt:variant>
        <vt:lpwstr/>
      </vt:variant>
      <vt:variant>
        <vt:i4>393301</vt:i4>
      </vt:variant>
      <vt:variant>
        <vt:i4>460</vt:i4>
      </vt:variant>
      <vt:variant>
        <vt:i4>0</vt:i4>
      </vt:variant>
      <vt:variant>
        <vt:i4>5</vt:i4>
      </vt:variant>
      <vt:variant>
        <vt:lpwstr>https://www.ato.gov.au/law/view/document?docid=TXD/TD201427/NAT/ATO/00001</vt:lpwstr>
      </vt:variant>
      <vt:variant>
        <vt:lpwstr/>
      </vt:variant>
      <vt:variant>
        <vt:i4>5767178</vt:i4>
      </vt:variant>
      <vt:variant>
        <vt:i4>457</vt:i4>
      </vt:variant>
      <vt:variant>
        <vt:i4>0</vt:i4>
      </vt:variant>
      <vt:variant>
        <vt:i4>5</vt:i4>
      </vt:variant>
      <vt:variant>
        <vt:lpwstr>https://www.ato.gov.au/law/view/document?docid=TXD%2FTD201426%2FNAT%2FATO%2F00001</vt:lpwstr>
      </vt:variant>
      <vt:variant>
        <vt:lpwstr/>
      </vt:variant>
      <vt:variant>
        <vt:i4>5767177</vt:i4>
      </vt:variant>
      <vt:variant>
        <vt:i4>454</vt:i4>
      </vt:variant>
      <vt:variant>
        <vt:i4>0</vt:i4>
      </vt:variant>
      <vt:variant>
        <vt:i4>5</vt:i4>
      </vt:variant>
      <vt:variant>
        <vt:lpwstr>https://www.ato.gov.au/law/view/document?docid=TXD%2FTD201425%2FNAT%2FATO%2F00001</vt:lpwstr>
      </vt:variant>
      <vt:variant>
        <vt:lpwstr/>
      </vt:variant>
      <vt:variant>
        <vt:i4>8061047</vt:i4>
      </vt:variant>
      <vt:variant>
        <vt:i4>451</vt:i4>
      </vt:variant>
      <vt:variant>
        <vt:i4>0</vt:i4>
      </vt:variant>
      <vt:variant>
        <vt:i4>5</vt:i4>
      </vt:variant>
      <vt:variant>
        <vt:lpwstr>https://www.canada.ca/en/revenue-agency/services/forms-publications/publications/t4002.html</vt:lpwstr>
      </vt:variant>
      <vt:variant>
        <vt:lpwstr/>
      </vt:variant>
      <vt:variant>
        <vt:i4>8257652</vt:i4>
      </vt:variant>
      <vt:variant>
        <vt:i4>448</vt:i4>
      </vt:variant>
      <vt:variant>
        <vt:i4>0</vt:i4>
      </vt:variant>
      <vt:variant>
        <vt:i4>5</vt:i4>
      </vt:variant>
      <vt:variant>
        <vt:lpwstr>https://www.canada.ca/en/revenue-agency/services/forms-publications/publications/t4037.html</vt:lpwstr>
      </vt:variant>
      <vt:variant>
        <vt:lpwstr/>
      </vt:variant>
      <vt:variant>
        <vt:i4>1179718</vt:i4>
      </vt:variant>
      <vt:variant>
        <vt:i4>442</vt:i4>
      </vt:variant>
      <vt:variant>
        <vt:i4>0</vt:i4>
      </vt:variant>
      <vt:variant>
        <vt:i4>5</vt:i4>
      </vt:variant>
      <vt:variant>
        <vt:lpwstr>https://www.ato.gov.au/law/view/document?Docid=PSR/PS200814/NAT/ATO/00001</vt:lpwstr>
      </vt:variant>
      <vt:variant>
        <vt:lpwstr/>
      </vt:variant>
      <vt:variant>
        <vt:i4>983126</vt:i4>
      </vt:variant>
      <vt:variant>
        <vt:i4>439</vt:i4>
      </vt:variant>
      <vt:variant>
        <vt:i4>0</vt:i4>
      </vt:variant>
      <vt:variant>
        <vt:i4>5</vt:i4>
      </vt:variant>
      <vt:variant>
        <vt:lpwstr>https://www.ato.gov.au/law/view/document?docid=TXR/TR20182/NAT/ATO/00001</vt:lpwstr>
      </vt:variant>
      <vt:variant>
        <vt:lpwstr/>
      </vt:variant>
      <vt:variant>
        <vt:i4>4718607</vt:i4>
      </vt:variant>
      <vt:variant>
        <vt:i4>436</vt:i4>
      </vt:variant>
      <vt:variant>
        <vt:i4>0</vt:i4>
      </vt:variant>
      <vt:variant>
        <vt:i4>5</vt:i4>
      </vt:variant>
      <vt:variant>
        <vt:lpwstr>https://www.ato.gov.au/law/view/document?DocID=TXR/TR967/NAT/ATO/00001</vt:lpwstr>
      </vt:variant>
      <vt:variant>
        <vt:lpwstr>:~:text=Section%20262A%20of%20the%20Income,any%20purpose%20of%20the%20Act.</vt:lpwstr>
      </vt:variant>
      <vt:variant>
        <vt:i4>589855</vt:i4>
      </vt:variant>
      <vt:variant>
        <vt:i4>433</vt:i4>
      </vt:variant>
      <vt:variant>
        <vt:i4>0</vt:i4>
      </vt:variant>
      <vt:variant>
        <vt:i4>5</vt:i4>
      </vt:variant>
      <vt:variant>
        <vt:lpwstr>https://www.ato.gov.au/individuals/investments-and-assets/crypto-asset-investments/transactions---acquiring-and-disposing-of-crypto-assets/crypto-asset-transactions/?anchor=ValuingcryptoassetsinAustraliandollars&amp;anchor=ValuingcryptoassetsinAustraliandollars</vt:lpwstr>
      </vt:variant>
      <vt:variant>
        <vt:lpwstr>ValuingcryptoassetsinAustraliandollars</vt:lpwstr>
      </vt:variant>
      <vt:variant>
        <vt:i4>8126500</vt:i4>
      </vt:variant>
      <vt:variant>
        <vt:i4>430</vt:i4>
      </vt:variant>
      <vt:variant>
        <vt:i4>0</vt:i4>
      </vt:variant>
      <vt:variant>
        <vt:i4>5</vt:i4>
      </vt:variant>
      <vt:variant>
        <vt:lpwstr>https://www.ato.gov.au/law/view/document?docid=gst/gstr20022/nat/ato/00001</vt:lpwstr>
      </vt:variant>
      <vt:variant>
        <vt:lpwstr/>
      </vt:variant>
      <vt:variant>
        <vt:i4>5636179</vt:i4>
      </vt:variant>
      <vt:variant>
        <vt:i4>427</vt:i4>
      </vt:variant>
      <vt:variant>
        <vt:i4>0</vt:i4>
      </vt:variant>
      <vt:variant>
        <vt:i4>5</vt:i4>
      </vt:variant>
      <vt:variant>
        <vt:lpwstr>https://www.ato.gov.au/Business/GST/When-to-charge-GST-(and-when-not-to)/GST-free-sales/</vt:lpwstr>
      </vt:variant>
      <vt:variant>
        <vt:lpwstr/>
      </vt:variant>
      <vt:variant>
        <vt:i4>2621491</vt:i4>
      </vt:variant>
      <vt:variant>
        <vt:i4>424</vt:i4>
      </vt:variant>
      <vt:variant>
        <vt:i4>0</vt:i4>
      </vt:variant>
      <vt:variant>
        <vt:i4>5</vt:i4>
      </vt:variant>
      <vt:variant>
        <vt:lpwstr>https://www.ato.gov.au/law/view/document?Mode=type&amp;TOC=%2205%3APublic%20rulings%3ARulings%3AGoods%20and%20services%20tax%3A2017%3A%2304830010000%23GSTR%202017%2F1%20-%20Goods%20and%20services%20tax%26c%20making%20cross-border%20supplies%20to%20Australian%20consumers%3B%22&amp;DOCID=%22GST%2FGSTR20171%2FNAT%2FATO%2F00001%22</vt:lpwstr>
      </vt:variant>
      <vt:variant>
        <vt:lpwstr/>
      </vt:variant>
      <vt:variant>
        <vt:i4>8126500</vt:i4>
      </vt:variant>
      <vt:variant>
        <vt:i4>421</vt:i4>
      </vt:variant>
      <vt:variant>
        <vt:i4>0</vt:i4>
      </vt:variant>
      <vt:variant>
        <vt:i4>5</vt:i4>
      </vt:variant>
      <vt:variant>
        <vt:lpwstr>https://www.ato.gov.au/law/view/document?docid=gst/gstr20022/nat/ato/00001</vt:lpwstr>
      </vt:variant>
      <vt:variant>
        <vt:lpwstr/>
      </vt:variant>
      <vt:variant>
        <vt:i4>5767247</vt:i4>
      </vt:variant>
      <vt:variant>
        <vt:i4>418</vt:i4>
      </vt:variant>
      <vt:variant>
        <vt:i4>0</vt:i4>
      </vt:variant>
      <vt:variant>
        <vt:i4>5</vt:i4>
      </vt:variant>
      <vt:variant>
        <vt:lpwstr>https://www.ato.gov.au/individuals-and-families/your-tax-return/instructions-to-complete-your-tax-return/mytax-instructions/2023/income/other-income/other-income</vt:lpwstr>
      </vt:variant>
      <vt:variant>
        <vt:lpwstr/>
      </vt:variant>
      <vt:variant>
        <vt:i4>5636162</vt:i4>
      </vt:variant>
      <vt:variant>
        <vt:i4>415</vt:i4>
      </vt:variant>
      <vt:variant>
        <vt:i4>0</vt:i4>
      </vt:variant>
      <vt:variant>
        <vt:i4>5</vt:i4>
      </vt:variant>
      <vt:variant>
        <vt:lpwstr>https://www.ato.gov.au/law/view/document?src=mm&amp;pit=99991231235958&amp;arc=false&amp;start=1&amp;pageSize=10&amp;total=7&amp;num=0&amp;docid=TXD/TD201428/NAT/ATO/00001&amp;dc=true&amp;tm=and-basic-TD%202014/25</vt:lpwstr>
      </vt:variant>
      <vt:variant>
        <vt:lpwstr/>
      </vt:variant>
      <vt:variant>
        <vt:i4>6291564</vt:i4>
      </vt:variant>
      <vt:variant>
        <vt:i4>412</vt:i4>
      </vt:variant>
      <vt:variant>
        <vt:i4>0</vt:i4>
      </vt:variant>
      <vt:variant>
        <vt:i4>5</vt:i4>
      </vt:variant>
      <vt:variant>
        <vt:lpwstr>javascript:void(0)</vt:lpwstr>
      </vt:variant>
      <vt:variant>
        <vt:lpwstr/>
      </vt:variant>
      <vt:variant>
        <vt:i4>327759</vt:i4>
      </vt:variant>
      <vt:variant>
        <vt:i4>409</vt:i4>
      </vt:variant>
      <vt:variant>
        <vt:i4>0</vt:i4>
      </vt:variant>
      <vt:variant>
        <vt:i4>5</vt:i4>
      </vt:variant>
      <vt:variant>
        <vt:lpwstr>https://www.ato.gov.au/Individuals/Capital-gains-tax/List-of-CGT-assets-and-exemptions/?anchor=Personaluseassets&amp;anchor=Personaluseassets</vt:lpwstr>
      </vt:variant>
      <vt:variant>
        <vt:lpwstr>Personaluseassets</vt:lpwstr>
      </vt:variant>
      <vt:variant>
        <vt:i4>5242959</vt:i4>
      </vt:variant>
      <vt:variant>
        <vt:i4>406</vt:i4>
      </vt:variant>
      <vt:variant>
        <vt:i4>0</vt:i4>
      </vt:variant>
      <vt:variant>
        <vt:i4>5</vt:i4>
      </vt:variant>
      <vt:variant>
        <vt:lpwstr>https://www.ato.gov.au/law/view/document?DocID=CGD/TD33/NAT/ATO/00001&amp;PiT=99991231235958</vt:lpwstr>
      </vt:variant>
      <vt:variant>
        <vt:lpwstr/>
      </vt:variant>
      <vt:variant>
        <vt:i4>786519</vt:i4>
      </vt:variant>
      <vt:variant>
        <vt:i4>403</vt:i4>
      </vt:variant>
      <vt:variant>
        <vt:i4>0</vt:i4>
      </vt:variant>
      <vt:variant>
        <vt:i4>5</vt:i4>
      </vt:variant>
      <vt:variant>
        <vt:lpwstr>https://www.ato.gov.au/law/view/document?DocID=TXR/TR20191/NAT/ATO/00001</vt:lpwstr>
      </vt:variant>
      <vt:variant>
        <vt:lpwstr/>
      </vt:variant>
      <vt:variant>
        <vt:i4>6946931</vt:i4>
      </vt:variant>
      <vt:variant>
        <vt:i4>400</vt:i4>
      </vt:variant>
      <vt:variant>
        <vt:i4>0</vt:i4>
      </vt:variant>
      <vt:variant>
        <vt:i4>5</vt:i4>
      </vt:variant>
      <vt:variant>
        <vt:lpwstr>https://www.ato.gov.au/law/view/document?DocID=TXR/TR9711/NAT/ATO/00001&amp;PiT=99991231235958</vt:lpwstr>
      </vt:variant>
      <vt:variant>
        <vt:lpwstr/>
      </vt:variant>
      <vt:variant>
        <vt:i4>6291564</vt:i4>
      </vt:variant>
      <vt:variant>
        <vt:i4>397</vt:i4>
      </vt:variant>
      <vt:variant>
        <vt:i4>0</vt:i4>
      </vt:variant>
      <vt:variant>
        <vt:i4>5</vt:i4>
      </vt:variant>
      <vt:variant>
        <vt:lpwstr>javascript:void(0)</vt:lpwstr>
      </vt:variant>
      <vt:variant>
        <vt:lpwstr/>
      </vt:variant>
      <vt:variant>
        <vt:i4>7012478</vt:i4>
      </vt:variant>
      <vt:variant>
        <vt:i4>394</vt:i4>
      </vt:variant>
      <vt:variant>
        <vt:i4>0</vt:i4>
      </vt:variant>
      <vt:variant>
        <vt:i4>5</vt:i4>
      </vt:variant>
      <vt:variant>
        <vt:lpwstr>https://www.ato.gov.au/law/view/pdf/pbr/tr1992-003.pdf</vt:lpwstr>
      </vt:variant>
      <vt:variant>
        <vt:lpwstr/>
      </vt:variant>
      <vt:variant>
        <vt:i4>7012478</vt:i4>
      </vt:variant>
      <vt:variant>
        <vt:i4>391</vt:i4>
      </vt:variant>
      <vt:variant>
        <vt:i4>0</vt:i4>
      </vt:variant>
      <vt:variant>
        <vt:i4>5</vt:i4>
      </vt:variant>
      <vt:variant>
        <vt:lpwstr>https://www.ato.gov.au/law/view/pdf/pbr/tr1992-003.pdf</vt:lpwstr>
      </vt:variant>
      <vt:variant>
        <vt:lpwstr/>
      </vt:variant>
      <vt:variant>
        <vt:i4>3866663</vt:i4>
      </vt:variant>
      <vt:variant>
        <vt:i4>388</vt:i4>
      </vt:variant>
      <vt:variant>
        <vt:i4>0</vt:i4>
      </vt:variant>
      <vt:variant>
        <vt:i4>5</vt:i4>
      </vt:variant>
      <vt:variant>
        <vt:lpwstr>https://www.ato.gov.au/law/view/document?DocID=PSR/PS20083/NAT/ATO/00001&amp;PiT=99991231235958</vt:lpwstr>
      </vt:variant>
      <vt:variant>
        <vt:lpwstr/>
      </vt:variant>
      <vt:variant>
        <vt:i4>2818083</vt:i4>
      </vt:variant>
      <vt:variant>
        <vt:i4>385</vt:i4>
      </vt:variant>
      <vt:variant>
        <vt:i4>0</vt:i4>
      </vt:variant>
      <vt:variant>
        <vt:i4>5</vt:i4>
      </vt:variant>
      <vt:variant>
        <vt:lpwstr>https://www.ato.gov.au/law/view/document?Mode=type&amp;TOC=%2205%3APublic%20rulings%3ADeterminations%3ATaxation%3A2014%3A%2304860250000%23TD%202014%2F25%20-%20Income%20tax%26c%20is%20bitcoin%20a%20%27foreign%20currency%27%20for%20the%20purposes%20of%20Division%20775%20of%20the%20Income%20Tax%20Assessment%20Act%201997%20%3F%3B%22&amp;DOCID=%22TXD%2FTD201425%2FNAT%2FATO%2F00001%22</vt:lpwstr>
      </vt:variant>
      <vt:variant>
        <vt:lpwstr/>
      </vt:variant>
      <vt:variant>
        <vt:i4>393300</vt:i4>
      </vt:variant>
      <vt:variant>
        <vt:i4>382</vt:i4>
      </vt:variant>
      <vt:variant>
        <vt:i4>0</vt:i4>
      </vt:variant>
      <vt:variant>
        <vt:i4>5</vt:i4>
      </vt:variant>
      <vt:variant>
        <vt:lpwstr>https://www.ato.gov.au/law/view/document?docid=TXD/TD201426/NAT/ATO/00001</vt:lpwstr>
      </vt:variant>
      <vt:variant>
        <vt:lpwstr/>
      </vt:variant>
      <vt:variant>
        <vt:i4>7274610</vt:i4>
      </vt:variant>
      <vt:variant>
        <vt:i4>379</vt:i4>
      </vt:variant>
      <vt:variant>
        <vt:i4>0</vt:i4>
      </vt:variant>
      <vt:variant>
        <vt:i4>5</vt:i4>
      </vt:variant>
      <vt:variant>
        <vt:lpwstr>http://www.wsj.com/articles/dubai-aims-to-be-a-city-built-on-blockchain-1493086080</vt:lpwstr>
      </vt:variant>
      <vt:variant>
        <vt:lpwstr/>
      </vt:variant>
      <vt:variant>
        <vt:i4>7274610</vt:i4>
      </vt:variant>
      <vt:variant>
        <vt:i4>376</vt:i4>
      </vt:variant>
      <vt:variant>
        <vt:i4>0</vt:i4>
      </vt:variant>
      <vt:variant>
        <vt:i4>5</vt:i4>
      </vt:variant>
      <vt:variant>
        <vt:lpwstr>http://www.wsj.com/articles/dubai-aims-to-be-a-city-built-on-blockchain-1493086080</vt:lpwstr>
      </vt:variant>
      <vt:variant>
        <vt:lpwstr/>
      </vt:variant>
      <vt:variant>
        <vt:i4>1310813</vt:i4>
      </vt:variant>
      <vt:variant>
        <vt:i4>373</vt:i4>
      </vt:variant>
      <vt:variant>
        <vt:i4>0</vt:i4>
      </vt:variant>
      <vt:variant>
        <vt:i4>5</vt:i4>
      </vt:variant>
      <vt:variant>
        <vt:lpwstr>https://treasury.gov.au/consultation/c2023-427004</vt:lpwstr>
      </vt:variant>
      <vt:variant>
        <vt:lpwstr/>
      </vt:variant>
      <vt:variant>
        <vt:i4>4390943</vt:i4>
      </vt:variant>
      <vt:variant>
        <vt:i4>370</vt:i4>
      </vt:variant>
      <vt:variant>
        <vt:i4>0</vt:i4>
      </vt:variant>
      <vt:variant>
        <vt:i4>5</vt:i4>
      </vt:variant>
      <vt:variant>
        <vt:lpwstr>https://ministers.treasury.gov.au/ministers/jim-chalmers-2022/media-releases/regulation-digital-and-crypto-assets</vt:lpwstr>
      </vt:variant>
      <vt:variant>
        <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7274599</vt:i4>
      </vt:variant>
      <vt:variant>
        <vt:i4>897</vt:i4>
      </vt:variant>
      <vt:variant>
        <vt:i4>0</vt:i4>
      </vt:variant>
      <vt:variant>
        <vt:i4>5</vt:i4>
      </vt:variant>
      <vt:variant>
        <vt:lpwstr>https://www.gov.uk/government/publications/spring-budget-2023-overview-of-tax-legislation-and-rates-ootlar/spring-budget-2023-overview-of-tax-legislation-and-rates-ootlar</vt:lpwstr>
      </vt:variant>
      <vt:variant>
        <vt:lpwstr>Chapter-2</vt:lpwstr>
      </vt:variant>
      <vt:variant>
        <vt:i4>1048603</vt:i4>
      </vt:variant>
      <vt:variant>
        <vt:i4>894</vt:i4>
      </vt:variant>
      <vt:variant>
        <vt:i4>0</vt:i4>
      </vt:variant>
      <vt:variant>
        <vt:i4>5</vt:i4>
      </vt:variant>
      <vt:variant>
        <vt:lpwstr>https://www.gov.uk/hmrc-internal-manuals/cryptoassets-manual</vt:lpwstr>
      </vt:variant>
      <vt:variant>
        <vt:lpwstr/>
      </vt:variant>
      <vt:variant>
        <vt:i4>1769537</vt:i4>
      </vt:variant>
      <vt:variant>
        <vt:i4>891</vt:i4>
      </vt:variant>
      <vt:variant>
        <vt:i4>0</vt:i4>
      </vt:variant>
      <vt:variant>
        <vt:i4>5</vt:i4>
      </vt:variant>
      <vt:variant>
        <vt:lpwstr>https://www.gov.uk/government/publications/individuals-holding-cryptoassets-uptake-and-understanding</vt:lpwstr>
      </vt:variant>
      <vt:variant>
        <vt:lpwstr/>
      </vt:variant>
      <vt:variant>
        <vt:i4>4325467</vt:i4>
      </vt:variant>
      <vt:variant>
        <vt:i4>888</vt:i4>
      </vt:variant>
      <vt:variant>
        <vt:i4>0</vt:i4>
      </vt:variant>
      <vt:variant>
        <vt:i4>5</vt:i4>
      </vt:variant>
      <vt:variant>
        <vt:lpwstr>https://www.businessresearchinsights.com/market-reports/gamefi-market-102420</vt:lpwstr>
      </vt:variant>
      <vt:variant>
        <vt:lpwstr/>
      </vt:variant>
      <vt:variant>
        <vt:i4>7995501</vt:i4>
      </vt:variant>
      <vt:variant>
        <vt:i4>885</vt:i4>
      </vt:variant>
      <vt:variant>
        <vt:i4>0</vt:i4>
      </vt:variant>
      <vt:variant>
        <vt:i4>5</vt:i4>
      </vt:variant>
      <vt:variant>
        <vt:lpwstr>https://www.weforum.org/agenda/2022/11/gamefi-finance-shaped-by-crypto-regulations/</vt:lpwstr>
      </vt:variant>
      <vt:variant>
        <vt:lpwstr/>
      </vt:variant>
      <vt:variant>
        <vt:i4>786505</vt:i4>
      </vt:variant>
      <vt:variant>
        <vt:i4>882</vt:i4>
      </vt:variant>
      <vt:variant>
        <vt:i4>0</vt:i4>
      </vt:variant>
      <vt:variant>
        <vt:i4>5</vt:i4>
      </vt:variant>
      <vt:variant>
        <vt:lpwstr>https://www.oecd.org/daf/fin/financial-markets/Why-Decentralised-Finance-DeFi-Matters-and-the-Policy-Implications.pdf</vt:lpwstr>
      </vt:variant>
      <vt:variant>
        <vt:lpwstr/>
      </vt:variant>
      <vt:variant>
        <vt:i4>786505</vt:i4>
      </vt:variant>
      <vt:variant>
        <vt:i4>879</vt:i4>
      </vt:variant>
      <vt:variant>
        <vt:i4>0</vt:i4>
      </vt:variant>
      <vt:variant>
        <vt:i4>5</vt:i4>
      </vt:variant>
      <vt:variant>
        <vt:lpwstr>https://www.oecd.org/daf/fin/financial-markets/Why-Decentralised-Finance-DeFi-Matters-and-the-Policy-Implications.pdf</vt:lpwstr>
      </vt:variant>
      <vt:variant>
        <vt:lpwstr/>
      </vt:variant>
      <vt:variant>
        <vt:i4>5242896</vt:i4>
      </vt:variant>
      <vt:variant>
        <vt:i4>876</vt:i4>
      </vt:variant>
      <vt:variant>
        <vt:i4>0</vt:i4>
      </vt:variant>
      <vt:variant>
        <vt:i4>5</vt:i4>
      </vt:variant>
      <vt:variant>
        <vt:lpwstr>https://deepdao.io/organizations</vt:lpwstr>
      </vt:variant>
      <vt:variant>
        <vt:lpwstr/>
      </vt:variant>
      <vt:variant>
        <vt:i4>6291497</vt:i4>
      </vt:variant>
      <vt:variant>
        <vt:i4>873</vt:i4>
      </vt:variant>
      <vt:variant>
        <vt:i4>0</vt:i4>
      </vt:variant>
      <vt:variant>
        <vt:i4>5</vt:i4>
      </vt:variant>
      <vt:variant>
        <vt:lpwstr>https://www.coindesk.com/policy/2023/12/22/sec-blasts-purportedly-decentralized-daos-in-17m-settlement-with-barnbridge/</vt:lpwstr>
      </vt:variant>
      <vt:variant>
        <vt:lpwstr/>
      </vt:variant>
      <vt:variant>
        <vt:i4>4784142</vt:i4>
      </vt:variant>
      <vt:variant>
        <vt:i4>870</vt:i4>
      </vt:variant>
      <vt:variant>
        <vt:i4>0</vt:i4>
      </vt:variant>
      <vt:variant>
        <vt:i4>5</vt:i4>
      </vt:variant>
      <vt:variant>
        <vt:lpwstr>https://www.cftc.gov/PressRoom/PressReleases/8715-23</vt:lpwstr>
      </vt:variant>
      <vt:variant>
        <vt:lpwstr/>
      </vt:variant>
      <vt:variant>
        <vt:i4>524316</vt:i4>
      </vt:variant>
      <vt:variant>
        <vt:i4>867</vt:i4>
      </vt:variant>
      <vt:variant>
        <vt:i4>0</vt:i4>
      </vt:variant>
      <vt:variant>
        <vt:i4>5</vt:i4>
      </vt:variant>
      <vt:variant>
        <vt:lpwstr>https://www.proskauer.com/blog/from-code-to-consequence-cftc-obtains-default-judgment-against-ooki-dao-for-commodity-exchange-act-violations</vt:lpwstr>
      </vt:variant>
      <vt:variant>
        <vt:lpwstr/>
      </vt:variant>
      <vt:variant>
        <vt:i4>6488162</vt:i4>
      </vt:variant>
      <vt:variant>
        <vt:i4>864</vt:i4>
      </vt:variant>
      <vt:variant>
        <vt:i4>0</vt:i4>
      </vt:variant>
      <vt:variant>
        <vt:i4>5</vt:i4>
      </vt:variant>
      <vt:variant>
        <vt:lpwstr>https://www.blockchainandthelaw.com/2023/04/dao-deemed-general-partnership-in-negligence-suit-over-crypto-hack-prompting-decentralized-orgs-to-rethink-corporate-formation/</vt:lpwstr>
      </vt:variant>
      <vt:variant>
        <vt:lpwstr/>
      </vt:variant>
      <vt:variant>
        <vt:i4>458763</vt:i4>
      </vt:variant>
      <vt:variant>
        <vt:i4>861</vt:i4>
      </vt:variant>
      <vt:variant>
        <vt:i4>0</vt:i4>
      </vt:variant>
      <vt:variant>
        <vt:i4>5</vt:i4>
      </vt:variant>
      <vt:variant>
        <vt:lpwstr>https://www.chainalysis.com/blog/introduction-to-decentralized-autonomous-organizations-daos/</vt:lpwstr>
      </vt:variant>
      <vt:variant>
        <vt:lpwstr/>
      </vt:variant>
      <vt:variant>
        <vt:i4>5242908</vt:i4>
      </vt:variant>
      <vt:variant>
        <vt:i4>858</vt:i4>
      </vt:variant>
      <vt:variant>
        <vt:i4>0</vt:i4>
      </vt:variant>
      <vt:variant>
        <vt:i4>5</vt:i4>
      </vt:variant>
      <vt:variant>
        <vt:lpwstr>https://cointelegraph.com/learn/what-is-a-dao</vt:lpwstr>
      </vt:variant>
      <vt:variant>
        <vt:lpwstr/>
      </vt:variant>
      <vt:variant>
        <vt:i4>1441799</vt:i4>
      </vt:variant>
      <vt:variant>
        <vt:i4>855</vt:i4>
      </vt:variant>
      <vt:variant>
        <vt:i4>0</vt:i4>
      </vt:variant>
      <vt:variant>
        <vt:i4>5</vt:i4>
      </vt:variant>
      <vt:variant>
        <vt:lpwstr>https://search.informit.com.au/documentSummary;dn=321151613629366;res=IELBUS</vt:lpwstr>
      </vt:variant>
      <vt:variant>
        <vt:lpwstr/>
      </vt:variant>
      <vt:variant>
        <vt:i4>786454</vt:i4>
      </vt:variant>
      <vt:variant>
        <vt:i4>852</vt:i4>
      </vt:variant>
      <vt:variant>
        <vt:i4>0</vt:i4>
      </vt:variant>
      <vt:variant>
        <vt:i4>5</vt:i4>
      </vt:variant>
      <vt:variant>
        <vt:lpwstr>https://www.oecd.org/tax/beps/pillar-one-amount-a-fact-sheet.pdf</vt:lpwstr>
      </vt:variant>
      <vt:variant>
        <vt:lpwstr/>
      </vt:variant>
      <vt:variant>
        <vt:i4>196623</vt:i4>
      </vt:variant>
      <vt:variant>
        <vt:i4>849</vt:i4>
      </vt:variant>
      <vt:variant>
        <vt:i4>0</vt:i4>
      </vt:variant>
      <vt:variant>
        <vt:i4>5</vt:i4>
      </vt:variant>
      <vt:variant>
        <vt:lpwstr>https://www.ey.com/Publication/vwLUAssets/EY-new-digital-tax-policies-what-when-where-how-and-by-whom/%24FILE/EY-new-digital-tax-policies-what-when-where-how-and-by-whom.pdf</vt:lpwstr>
      </vt:variant>
      <vt:variant>
        <vt:lpwstr/>
      </vt:variant>
      <vt:variant>
        <vt:i4>2818135</vt:i4>
      </vt:variant>
      <vt:variant>
        <vt:i4>846</vt:i4>
      </vt:variant>
      <vt:variant>
        <vt:i4>0</vt:i4>
      </vt:variant>
      <vt:variant>
        <vt:i4>5</vt:i4>
      </vt:variant>
      <vt:variant>
        <vt:lpwstr>https://taxpolicy.crawford.anu.edu.au/sites/default/files/uploads/taxstudies_crawford_anu_edu_au/2020-12/complete_dst_report_dec_2020_0.pdf</vt:lpwstr>
      </vt:variant>
      <vt:variant>
        <vt:lpwstr/>
      </vt:variant>
      <vt:variant>
        <vt:i4>2621490</vt:i4>
      </vt:variant>
      <vt:variant>
        <vt:i4>843</vt:i4>
      </vt:variant>
      <vt:variant>
        <vt:i4>0</vt:i4>
      </vt:variant>
      <vt:variant>
        <vt:i4>5</vt:i4>
      </vt:variant>
      <vt:variant>
        <vt:lpwstr>https://www.bloomberg.com/news/newsletters/2022-10-18/portugal-s-new-crypto-taxes-can-t-stop-the-party</vt:lpwstr>
      </vt:variant>
      <vt:variant>
        <vt:lpwstr/>
      </vt:variant>
      <vt:variant>
        <vt:i4>7667771</vt:i4>
      </vt:variant>
      <vt:variant>
        <vt:i4>840</vt:i4>
      </vt:variant>
      <vt:variant>
        <vt:i4>0</vt:i4>
      </vt:variant>
      <vt:variant>
        <vt:i4>5</vt:i4>
      </vt:variant>
      <vt:variant>
        <vt:lpwstr>https://koinly.io/guides/crypto-tax-italy/</vt:lpwstr>
      </vt:variant>
      <vt:variant>
        <vt:lpwstr/>
      </vt:variant>
      <vt:variant>
        <vt:i4>5177412</vt:i4>
      </vt:variant>
      <vt:variant>
        <vt:i4>837</vt:i4>
      </vt:variant>
      <vt:variant>
        <vt:i4>0</vt:i4>
      </vt:variant>
      <vt:variant>
        <vt:i4>5</vt:i4>
      </vt:variant>
      <vt:variant>
        <vt:lpwstr>https://tokentax.co/blog/crypto-tax-portugal</vt:lpwstr>
      </vt:variant>
      <vt:variant>
        <vt:lpwstr/>
      </vt:variant>
      <vt:variant>
        <vt:i4>7667771</vt:i4>
      </vt:variant>
      <vt:variant>
        <vt:i4>834</vt:i4>
      </vt:variant>
      <vt:variant>
        <vt:i4>0</vt:i4>
      </vt:variant>
      <vt:variant>
        <vt:i4>5</vt:i4>
      </vt:variant>
      <vt:variant>
        <vt:lpwstr>https://koinly.io/guides/crypto-tax-italy/</vt:lpwstr>
      </vt:variant>
      <vt:variant>
        <vt:lpwstr/>
      </vt:variant>
      <vt:variant>
        <vt:i4>3080251</vt:i4>
      </vt:variant>
      <vt:variant>
        <vt:i4>831</vt:i4>
      </vt:variant>
      <vt:variant>
        <vt:i4>0</vt:i4>
      </vt:variant>
      <vt:variant>
        <vt:i4>5</vt:i4>
      </vt:variant>
      <vt:variant>
        <vt:lpwstr>https://cleartax.in/s/cryptocurrency-taxation-guide</vt:lpwstr>
      </vt:variant>
      <vt:variant>
        <vt:lpwstr/>
      </vt:variant>
      <vt:variant>
        <vt:i4>1245202</vt:i4>
      </vt:variant>
      <vt:variant>
        <vt:i4>828</vt:i4>
      </vt:variant>
      <vt:variant>
        <vt:i4>0</vt:i4>
      </vt:variant>
      <vt:variant>
        <vt:i4>5</vt:i4>
      </vt:variant>
      <vt:variant>
        <vt:lpwstr>https://news.bitcoin.com/tax-benefits-for-bitcoin-businesses-in-belarus-extended-until-2025/</vt:lpwstr>
      </vt:variant>
      <vt:variant>
        <vt:lpwstr/>
      </vt:variant>
      <vt:variant>
        <vt:i4>4391000</vt:i4>
      </vt:variant>
      <vt:variant>
        <vt:i4>825</vt:i4>
      </vt:variant>
      <vt:variant>
        <vt:i4>0</vt:i4>
      </vt:variant>
      <vt:variant>
        <vt:i4>5</vt:i4>
      </vt:variant>
      <vt:variant>
        <vt:lpwstr>https://treasury.gov.au/sites/default/files/2023-02/p2023-370286-teis.pdf</vt:lpwstr>
      </vt:variant>
      <vt:variant>
        <vt:lpwstr/>
      </vt:variant>
      <vt:variant>
        <vt:i4>1310768</vt:i4>
      </vt:variant>
      <vt:variant>
        <vt:i4>822</vt:i4>
      </vt:variant>
      <vt:variant>
        <vt:i4>0</vt:i4>
      </vt:variant>
      <vt:variant>
        <vt:i4>5</vt:i4>
      </vt:variant>
      <vt:variant>
        <vt:lpwstr>https://www.irs.gov/irb/2023-34_IRB</vt:lpwstr>
      </vt:variant>
      <vt:variant>
        <vt:lpwstr/>
      </vt:variant>
      <vt:variant>
        <vt:i4>6422648</vt:i4>
      </vt:variant>
      <vt:variant>
        <vt:i4>819</vt:i4>
      </vt:variant>
      <vt:variant>
        <vt:i4>0</vt:i4>
      </vt:variant>
      <vt:variant>
        <vt:i4>5</vt:i4>
      </vt:variant>
      <vt:variant>
        <vt:lpwstr>https://www.irs.gov/pub/foia/ig/sbse/notice-2023-27-nft-as-collectibles.pdf</vt:lpwstr>
      </vt:variant>
      <vt:variant>
        <vt:lpwstr/>
      </vt:variant>
      <vt:variant>
        <vt:i4>3539067</vt:i4>
      </vt:variant>
      <vt:variant>
        <vt:i4>816</vt:i4>
      </vt:variant>
      <vt:variant>
        <vt:i4>0</vt:i4>
      </vt:variant>
      <vt:variant>
        <vt:i4>5</vt:i4>
      </vt:variant>
      <vt:variant>
        <vt:lpwstr>https://www.irs.gov/pub/irs-utl/rev-ruling-2023-14.pdf</vt:lpwstr>
      </vt:variant>
      <vt:variant>
        <vt:lpwstr/>
      </vt:variant>
      <vt:variant>
        <vt:i4>5046349</vt:i4>
      </vt:variant>
      <vt:variant>
        <vt:i4>813</vt:i4>
      </vt:variant>
      <vt:variant>
        <vt:i4>0</vt:i4>
      </vt:variant>
      <vt:variant>
        <vt:i4>5</vt:i4>
      </vt:variant>
      <vt:variant>
        <vt:lpwstr>https://www.irs.gov/pub/irs-drop/rr-19-24.pdf</vt:lpwstr>
      </vt:variant>
      <vt:variant>
        <vt:lpwstr/>
      </vt:variant>
      <vt:variant>
        <vt:i4>6619141</vt:i4>
      </vt:variant>
      <vt:variant>
        <vt:i4>810</vt:i4>
      </vt:variant>
      <vt:variant>
        <vt:i4>0</vt:i4>
      </vt:variant>
      <vt:variant>
        <vt:i4>5</vt:i4>
      </vt:variant>
      <vt:variant>
        <vt:lpwstr>https://www.irs.gov/irb/2014-16_IRB</vt:lpwstr>
      </vt:variant>
      <vt:variant>
        <vt:lpwstr>NOT-2014-21</vt:lpwstr>
      </vt:variant>
      <vt:variant>
        <vt:i4>851979</vt:i4>
      </vt:variant>
      <vt:variant>
        <vt:i4>807</vt:i4>
      </vt:variant>
      <vt:variant>
        <vt:i4>0</vt:i4>
      </vt:variant>
      <vt:variant>
        <vt:i4>5</vt:i4>
      </vt:variant>
      <vt:variant>
        <vt:lpwstr>https://www.irs.gov/businesses/small-businesses-self-employed/digital-assets</vt:lpwstr>
      </vt:variant>
      <vt:variant>
        <vt:lpwstr/>
      </vt:variant>
      <vt:variant>
        <vt:i4>4980826</vt:i4>
      </vt:variant>
      <vt:variant>
        <vt:i4>804</vt:i4>
      </vt:variant>
      <vt:variant>
        <vt:i4>0</vt:i4>
      </vt:variant>
      <vt:variant>
        <vt:i4>5</vt:i4>
      </vt:variant>
      <vt:variant>
        <vt:lpwstr>https://www.gov.uk/hmrc-internal-manuals/cryptoassets-manual/crypto23000</vt:lpwstr>
      </vt:variant>
      <vt:variant>
        <vt:lpwstr/>
      </vt:variant>
      <vt:variant>
        <vt:i4>4915289</vt:i4>
      </vt:variant>
      <vt:variant>
        <vt:i4>801</vt:i4>
      </vt:variant>
      <vt:variant>
        <vt:i4>0</vt:i4>
      </vt:variant>
      <vt:variant>
        <vt:i4>5</vt:i4>
      </vt:variant>
      <vt:variant>
        <vt:lpwstr>https://www.gov.uk/hmrc-internal-manuals/cryptoassets-manual/crypto10400</vt:lpwstr>
      </vt:variant>
      <vt:variant>
        <vt:lpwstr/>
      </vt:variant>
      <vt:variant>
        <vt:i4>5701660</vt:i4>
      </vt:variant>
      <vt:variant>
        <vt:i4>798</vt:i4>
      </vt:variant>
      <vt:variant>
        <vt:i4>0</vt:i4>
      </vt:variant>
      <vt:variant>
        <vt:i4>5</vt:i4>
      </vt:variant>
      <vt:variant>
        <vt:lpwstr>https://www.gov.uk/hmrc-internal-manuals/cryptoassets-manual/crypto45000%3e.</vt:lpwstr>
      </vt:variant>
      <vt:variant>
        <vt:lpwstr/>
      </vt:variant>
      <vt:variant>
        <vt:i4>5111897</vt:i4>
      </vt:variant>
      <vt:variant>
        <vt:i4>795</vt:i4>
      </vt:variant>
      <vt:variant>
        <vt:i4>0</vt:i4>
      </vt:variant>
      <vt:variant>
        <vt:i4>5</vt:i4>
      </vt:variant>
      <vt:variant>
        <vt:lpwstr>https://www.gov.uk/hmrc-internal-manuals/cryptoassets-manual/crypto10100</vt:lpwstr>
      </vt:variant>
      <vt:variant>
        <vt:lpwstr/>
      </vt:variant>
      <vt:variant>
        <vt:i4>131134</vt:i4>
      </vt:variant>
      <vt:variant>
        <vt:i4>792</vt:i4>
      </vt:variant>
      <vt:variant>
        <vt:i4>0</vt:i4>
      </vt:variant>
      <vt:variant>
        <vt:i4>5</vt:i4>
      </vt:variant>
      <vt:variant>
        <vt:lpwstr>https://www.iras.gov.sg/media/docs/default-source/e-tax/e-tax-guide_gst_digital-payment-tokens.pdf?sfvrsn=da8cafda_22</vt:lpwstr>
      </vt:variant>
      <vt:variant>
        <vt:lpwstr/>
      </vt:variant>
      <vt:variant>
        <vt:i4>262212</vt:i4>
      </vt:variant>
      <vt:variant>
        <vt:i4>789</vt:i4>
      </vt:variant>
      <vt:variant>
        <vt:i4>0</vt:i4>
      </vt:variant>
      <vt:variant>
        <vt:i4>5</vt:i4>
      </vt:variant>
      <vt:variant>
        <vt:lpwstr>https://www.iras.gov.sg/media/docs/default-source/e-tax/etaxguide_cit_income-tax-treatment-of-digital-tokens_091020.pdf?sfvrsn=91dbe1f7_17</vt:lpwstr>
      </vt:variant>
      <vt:variant>
        <vt:lpwstr/>
      </vt:variant>
      <vt:variant>
        <vt:i4>7405678</vt:i4>
      </vt:variant>
      <vt:variant>
        <vt:i4>786</vt:i4>
      </vt:variant>
      <vt:variant>
        <vt:i4>0</vt:i4>
      </vt:variant>
      <vt:variant>
        <vt:i4>5</vt:i4>
      </vt:variant>
      <vt:variant>
        <vt:lpwstr>https://www.iras.gov.sg/media/docs/default-source/e-tax/etaxguide_gst_gst-treatment-of-vouchers_2020-07-02.pdf?sfvrsn=d263f579_22</vt:lpwstr>
      </vt:variant>
      <vt:variant>
        <vt:lpwstr/>
      </vt:variant>
      <vt:variant>
        <vt:i4>6094923</vt:i4>
      </vt:variant>
      <vt:variant>
        <vt:i4>783</vt:i4>
      </vt:variant>
      <vt:variant>
        <vt:i4>0</vt:i4>
      </vt:variant>
      <vt:variant>
        <vt:i4>5</vt:i4>
      </vt:variant>
      <vt:variant>
        <vt:lpwstr>https://www.ird.govt.nz/cryptoassets/taxing/convert-currency</vt:lpwstr>
      </vt:variant>
      <vt:variant>
        <vt:lpwstr/>
      </vt:variant>
      <vt:variant>
        <vt:i4>6619253</vt:i4>
      </vt:variant>
      <vt:variant>
        <vt:i4>780</vt:i4>
      </vt:variant>
      <vt:variant>
        <vt:i4>0</vt:i4>
      </vt:variant>
      <vt:variant>
        <vt:i4>5</vt:i4>
      </vt:variant>
      <vt:variant>
        <vt:lpwstr>https://www.ird.govt.nz/cryptoassets/taxing/record-keeping</vt:lpwstr>
      </vt:variant>
      <vt:variant>
        <vt:lpwstr/>
      </vt:variant>
      <vt:variant>
        <vt:i4>5701663</vt:i4>
      </vt:variant>
      <vt:variant>
        <vt:i4>777</vt:i4>
      </vt:variant>
      <vt:variant>
        <vt:i4>0</vt:i4>
      </vt:variant>
      <vt:variant>
        <vt:i4>5</vt:i4>
      </vt:variant>
      <vt:variant>
        <vt:lpwstr>https://www.taxtechnical.ird.govt.nz/rulings/public/2023/br-pub-23-07</vt:lpwstr>
      </vt:variant>
      <vt:variant>
        <vt:lpwstr/>
      </vt:variant>
      <vt:variant>
        <vt:i4>5308511</vt:i4>
      </vt:variant>
      <vt:variant>
        <vt:i4>774</vt:i4>
      </vt:variant>
      <vt:variant>
        <vt:i4>0</vt:i4>
      </vt:variant>
      <vt:variant>
        <vt:i4>5</vt:i4>
      </vt:variant>
      <vt:variant>
        <vt:lpwstr>https://www.ird.govt.nz/cryptoassets/individual/tax-residence</vt:lpwstr>
      </vt:variant>
      <vt:variant>
        <vt:lpwstr/>
      </vt:variant>
      <vt:variant>
        <vt:i4>8192103</vt:i4>
      </vt:variant>
      <vt:variant>
        <vt:i4>771</vt:i4>
      </vt:variant>
      <vt:variant>
        <vt:i4>0</vt:i4>
      </vt:variant>
      <vt:variant>
        <vt:i4>5</vt:i4>
      </vt:variant>
      <vt:variant>
        <vt:lpwstr>https://www.ird.govt.nz/cryptoassets/individual/buying-selling</vt:lpwstr>
      </vt:variant>
      <vt:variant>
        <vt:lpwstr/>
      </vt:variant>
      <vt:variant>
        <vt:i4>2359335</vt:i4>
      </vt:variant>
      <vt:variant>
        <vt:i4>768</vt:i4>
      </vt:variant>
      <vt:variant>
        <vt:i4>0</vt:i4>
      </vt:variant>
      <vt:variant>
        <vt:i4>5</vt:i4>
      </vt:variant>
      <vt:variant>
        <vt:lpwstr>https://www.ird.govt.nz/cryptoassets/taxing</vt:lpwstr>
      </vt:variant>
      <vt:variant>
        <vt:lpwstr/>
      </vt:variant>
      <vt:variant>
        <vt:i4>917588</vt:i4>
      </vt:variant>
      <vt:variant>
        <vt:i4>765</vt:i4>
      </vt:variant>
      <vt:variant>
        <vt:i4>0</vt:i4>
      </vt:variant>
      <vt:variant>
        <vt:i4>5</vt:i4>
      </vt:variant>
      <vt:variant>
        <vt:lpwstr>https://www.ird.govt.nz/cryptoassets/individual/airdrops-and-hard-forks/airdrops</vt:lpwstr>
      </vt:variant>
      <vt:variant>
        <vt:lpwstr/>
      </vt:variant>
      <vt:variant>
        <vt:i4>8192101</vt:i4>
      </vt:variant>
      <vt:variant>
        <vt:i4>762</vt:i4>
      </vt:variant>
      <vt:variant>
        <vt:i4>0</vt:i4>
      </vt:variant>
      <vt:variant>
        <vt:i4>5</vt:i4>
      </vt:variant>
      <vt:variant>
        <vt:lpwstr>https://www.ird.govt.nz/cryptoassets/taxing/cryptoassets-and-gst</vt:lpwstr>
      </vt:variant>
      <vt:variant>
        <vt:lpwstr>:~:text=If%20you%20receive%20cryptoassets%20as,GST%20rules%20apply%20from%20there.</vt:lpwstr>
      </vt:variant>
      <vt:variant>
        <vt:i4>917588</vt:i4>
      </vt:variant>
      <vt:variant>
        <vt:i4>759</vt:i4>
      </vt:variant>
      <vt:variant>
        <vt:i4>0</vt:i4>
      </vt:variant>
      <vt:variant>
        <vt:i4>5</vt:i4>
      </vt:variant>
      <vt:variant>
        <vt:lpwstr>https://www.ird.govt.nz/cryptoassets/individual/airdrops-and-hard-forks/airdrops</vt:lpwstr>
      </vt:variant>
      <vt:variant>
        <vt:lpwstr/>
      </vt:variant>
      <vt:variant>
        <vt:i4>1900633</vt:i4>
      </vt:variant>
      <vt:variant>
        <vt:i4>756</vt:i4>
      </vt:variant>
      <vt:variant>
        <vt:i4>0</vt:i4>
      </vt:variant>
      <vt:variant>
        <vt:i4>5</vt:i4>
      </vt:variant>
      <vt:variant>
        <vt:lpwstr>https://www.ird.govt.nz/cryptoassets/individual/mining</vt:lpwstr>
      </vt:variant>
      <vt:variant>
        <vt:lpwstr>:~:text=Mining%20cryptoassets%20and%20tax,will%20be%20subject%20to%20GST.&amp;text=However%2C%20as%20the%20service%20is,it%20will%20be%20zero%20rated.</vt:lpwstr>
      </vt:variant>
      <vt:variant>
        <vt:i4>7405668</vt:i4>
      </vt:variant>
      <vt:variant>
        <vt:i4>753</vt:i4>
      </vt:variant>
      <vt:variant>
        <vt:i4>0</vt:i4>
      </vt:variant>
      <vt:variant>
        <vt:i4>5</vt:i4>
      </vt:variant>
      <vt:variant>
        <vt:lpwstr>https://www.ird.govt.nz/cryptoassets/taxing/income-expenses</vt:lpwstr>
      </vt:variant>
      <vt:variant>
        <vt:lpwstr/>
      </vt:variant>
      <vt:variant>
        <vt:i4>5898329</vt:i4>
      </vt:variant>
      <vt:variant>
        <vt:i4>750</vt:i4>
      </vt:variant>
      <vt:variant>
        <vt:i4>0</vt:i4>
      </vt:variant>
      <vt:variant>
        <vt:i4>5</vt:i4>
      </vt:variant>
      <vt:variant>
        <vt:lpwstr>https://www.fma.govt.nz/consumer/investing/types-of-investments/cryptocurrencies/</vt:lpwstr>
      </vt:variant>
      <vt:variant>
        <vt:lpwstr/>
      </vt:variant>
      <vt:variant>
        <vt:i4>4128805</vt:i4>
      </vt:variant>
      <vt:variant>
        <vt:i4>747</vt:i4>
      </vt:variant>
      <vt:variant>
        <vt:i4>0</vt:i4>
      </vt:variant>
      <vt:variant>
        <vt:i4>5</vt:i4>
      </vt:variant>
      <vt:variant>
        <vt:lpwstr>https://www.canada.ca/en/revenue-agency/programs/about-canada-revenue-agency-cra/compliance/digital-currency/cryptocurrency-guide.html</vt:lpwstr>
      </vt:variant>
      <vt:variant>
        <vt:lpwstr/>
      </vt:variant>
      <vt:variant>
        <vt:i4>6029388</vt:i4>
      </vt:variant>
      <vt:variant>
        <vt:i4>744</vt:i4>
      </vt:variant>
      <vt:variant>
        <vt:i4>0</vt:i4>
      </vt:variant>
      <vt:variant>
        <vt:i4>5</vt:i4>
      </vt:variant>
      <vt:variant>
        <vt:lpwstr>https://www.irs.gov/pub/irs-pdf/i8949.pdf</vt:lpwstr>
      </vt:variant>
      <vt:variant>
        <vt:lpwstr/>
      </vt:variant>
      <vt:variant>
        <vt:i4>5570627</vt:i4>
      </vt:variant>
      <vt:variant>
        <vt:i4>741</vt:i4>
      </vt:variant>
      <vt:variant>
        <vt:i4>0</vt:i4>
      </vt:variant>
      <vt:variant>
        <vt:i4>5</vt:i4>
      </vt:variant>
      <vt:variant>
        <vt:lpwstr>https://www.irs.gov/pub/irs-pdf/f1040.pdf</vt:lpwstr>
      </vt:variant>
      <vt:variant>
        <vt:lpwstr/>
      </vt:variant>
      <vt:variant>
        <vt:i4>6094896</vt:i4>
      </vt:variant>
      <vt:variant>
        <vt:i4>738</vt:i4>
      </vt:variant>
      <vt:variant>
        <vt:i4>0</vt:i4>
      </vt:variant>
      <vt:variant>
        <vt:i4>5</vt:i4>
      </vt:variant>
      <vt:variant>
        <vt:lpwstr>https://assets.publishing.service.gov.uk/media/641da861ba5ac9000cb1a856/sa905_2023.pdf</vt:lpwstr>
      </vt:variant>
      <vt:variant>
        <vt:lpwstr/>
      </vt:variant>
      <vt:variant>
        <vt:i4>2490403</vt:i4>
      </vt:variant>
      <vt:variant>
        <vt:i4>735</vt:i4>
      </vt:variant>
      <vt:variant>
        <vt:i4>0</vt:i4>
      </vt:variant>
      <vt:variant>
        <vt:i4>5</vt:i4>
      </vt:variant>
      <vt:variant>
        <vt:lpwstr>https://assets.publishing.service.gov.uk/government/uploads/system/uploads/attachment_data/file/1148477/SA108_2023.pdf</vt:lpwstr>
      </vt:variant>
      <vt:variant>
        <vt:lpwstr/>
      </vt:variant>
      <vt:variant>
        <vt:i4>8060962</vt:i4>
      </vt:variant>
      <vt:variant>
        <vt:i4>732</vt:i4>
      </vt:variant>
      <vt:variant>
        <vt:i4>0</vt:i4>
      </vt:variant>
      <vt:variant>
        <vt:i4>5</vt:i4>
      </vt:variant>
      <vt:variant>
        <vt:lpwstr>https://www.canada.ca/content/dam/cra-arc/formspubs/pbg/5000-s3/5000-s3-22e.pdf</vt:lpwstr>
      </vt:variant>
      <vt:variant>
        <vt:lpwstr/>
      </vt:variant>
      <vt:variant>
        <vt:i4>5963790</vt:i4>
      </vt:variant>
      <vt:variant>
        <vt:i4>729</vt:i4>
      </vt:variant>
      <vt:variant>
        <vt:i4>0</vt:i4>
      </vt:variant>
      <vt:variant>
        <vt:i4>5</vt:i4>
      </vt:variant>
      <vt:variant>
        <vt:lpwstr>https://www.ato.gov.au/forms-and-instructions/capital-gains-tax-schedule-2023</vt:lpwstr>
      </vt:variant>
      <vt:variant>
        <vt:lpwstr/>
      </vt:variant>
      <vt:variant>
        <vt:i4>5308429</vt:i4>
      </vt:variant>
      <vt:variant>
        <vt:i4>726</vt:i4>
      </vt:variant>
      <vt:variant>
        <vt:i4>0</vt:i4>
      </vt:variant>
      <vt:variant>
        <vt:i4>5</vt:i4>
      </vt:variant>
      <vt:variant>
        <vt:lpwstr>https://www.ato.gov.au/forms-and-instructions/capital-gain-or-capital-loss-worksheet-2023</vt:lpwstr>
      </vt:variant>
      <vt:variant>
        <vt:lpwstr/>
      </vt:variant>
      <vt:variant>
        <vt:i4>3342436</vt:i4>
      </vt:variant>
      <vt:variant>
        <vt:i4>723</vt:i4>
      </vt:variant>
      <vt:variant>
        <vt:i4>0</vt:i4>
      </vt:variant>
      <vt:variant>
        <vt:i4>5</vt:i4>
      </vt:variant>
      <vt:variant>
        <vt:lpwstr>https://www.ato.gov.au/about-ato/commitments-and-reporting/in-detail/privacy-and-information-gathering/how-we-use-data-matching/crypto-assets-2014-15-to-2022-23-data-matching-program-protocol/about-the-crypto-data-matching-program</vt:lpwstr>
      </vt:variant>
      <vt:variant>
        <vt:lpwstr/>
      </vt:variant>
      <vt:variant>
        <vt:i4>2490421</vt:i4>
      </vt:variant>
      <vt:variant>
        <vt:i4>720</vt:i4>
      </vt:variant>
      <vt:variant>
        <vt:i4>0</vt:i4>
      </vt:variant>
      <vt:variant>
        <vt:i4>5</vt:i4>
      </vt:variant>
      <vt:variant>
        <vt:lpwstr>https://www.ato.gov.au/about-ato/commitments-and-reporting/in-detail/privacy-and-information-gathering/how-we-use-data-matching/crypto-assets-2014-15-to-2022-23-data-matching-program-protocol/how-we-use-the-data</vt:lpwstr>
      </vt:variant>
      <vt:variant>
        <vt:lpwstr/>
      </vt:variant>
      <vt:variant>
        <vt:i4>2490421</vt:i4>
      </vt:variant>
      <vt:variant>
        <vt:i4>717</vt:i4>
      </vt:variant>
      <vt:variant>
        <vt:i4>0</vt:i4>
      </vt:variant>
      <vt:variant>
        <vt:i4>5</vt:i4>
      </vt:variant>
      <vt:variant>
        <vt:lpwstr>https://www.ato.gov.au/about-ato/commitments-and-reporting/in-detail/privacy-and-information-gathering/how-we-use-data-matching/crypto-assets-2014-15-to-2022-23-data-matching-program-protocol/how-we-use-the-data</vt:lpwstr>
      </vt:variant>
      <vt:variant>
        <vt:lpwstr/>
      </vt:variant>
      <vt:variant>
        <vt:i4>2293876</vt:i4>
      </vt:variant>
      <vt:variant>
        <vt:i4>714</vt:i4>
      </vt:variant>
      <vt:variant>
        <vt:i4>0</vt:i4>
      </vt:variant>
      <vt:variant>
        <vt:i4>5</vt:i4>
      </vt:variant>
      <vt:variant>
        <vt:lpwstr>https://www.ato.gov.au/General/Gen/Crypto-assets-2014-15-to-2022-23-data-matching-program-protocol/</vt:lpwstr>
      </vt:variant>
      <vt:variant>
        <vt:lpwstr/>
      </vt:variant>
      <vt:variant>
        <vt:i4>1048584</vt:i4>
      </vt:variant>
      <vt:variant>
        <vt:i4>711</vt:i4>
      </vt:variant>
      <vt:variant>
        <vt:i4>0</vt:i4>
      </vt:variant>
      <vt:variant>
        <vt:i4>5</vt:i4>
      </vt:variant>
      <vt:variant>
        <vt:lpwstr>https://www.ato.gov.au/about-ato/commitments-and-reporting/information-and-privacy/data-matching/</vt:lpwstr>
      </vt:variant>
      <vt:variant>
        <vt:lpwstr/>
      </vt:variant>
      <vt:variant>
        <vt:i4>655439</vt:i4>
      </vt:variant>
      <vt:variant>
        <vt:i4>708</vt:i4>
      </vt:variant>
      <vt:variant>
        <vt:i4>0</vt:i4>
      </vt:variant>
      <vt:variant>
        <vt:i4>5</vt:i4>
      </vt:variant>
      <vt:variant>
        <vt:lpwstr>https://treasury.gov.au/media-release/collective-engagement-implement-crypto-asset-reporting-framework</vt:lpwstr>
      </vt:variant>
      <vt:variant>
        <vt:lpwstr>:~:text=%22To%20keep%20pace%20with%20the,the%20OECD%20%E2%80%93%20the%20Crypto%2DAsset</vt:lpwstr>
      </vt:variant>
      <vt:variant>
        <vt:i4>2818090</vt:i4>
      </vt:variant>
      <vt:variant>
        <vt:i4>705</vt:i4>
      </vt:variant>
      <vt:variant>
        <vt:i4>0</vt:i4>
      </vt:variant>
      <vt:variant>
        <vt:i4>5</vt:i4>
      </vt:variant>
      <vt:variant>
        <vt:lpwstr>https://doi.org/10.1787/896d79d1-en</vt:lpwstr>
      </vt:variant>
      <vt:variant>
        <vt:lpwstr/>
      </vt:variant>
      <vt:variant>
        <vt:i4>2949236</vt:i4>
      </vt:variant>
      <vt:variant>
        <vt:i4>702</vt:i4>
      </vt:variant>
      <vt:variant>
        <vt:i4>0</vt:i4>
      </vt:variant>
      <vt:variant>
        <vt:i4>5</vt:i4>
      </vt:variant>
      <vt:variant>
        <vt:lpwstr>https://www.austrac.gov.au/business/core-guidance/customer-identification-and-verification</vt:lpwstr>
      </vt:variant>
      <vt:variant>
        <vt:lpwstr/>
      </vt:variant>
      <vt:variant>
        <vt:i4>1966166</vt:i4>
      </vt:variant>
      <vt:variant>
        <vt:i4>699</vt:i4>
      </vt:variant>
      <vt:variant>
        <vt:i4>0</vt:i4>
      </vt:variant>
      <vt:variant>
        <vt:i4>5</vt:i4>
      </vt:variant>
      <vt:variant>
        <vt:lpwstr>https://cryptotaxcalculator.io/au/crypto-101/how-to-blockchain-explorer/</vt:lpwstr>
      </vt:variant>
      <vt:variant>
        <vt:lpwstr/>
      </vt:variant>
      <vt:variant>
        <vt:i4>3407984</vt:i4>
      </vt:variant>
      <vt:variant>
        <vt:i4>696</vt:i4>
      </vt:variant>
      <vt:variant>
        <vt:i4>0</vt:i4>
      </vt:variant>
      <vt:variant>
        <vt:i4>5</vt:i4>
      </vt:variant>
      <vt:variant>
        <vt:lpwstr>https://www.ato.gov.au/businesses-and-organisations/income-deductions-and-concessions/income-and-deductions-for-business/crypto-assets-and-business/crypto-assets-used-in-business</vt:lpwstr>
      </vt:variant>
      <vt:variant>
        <vt:lpwstr/>
      </vt:variant>
      <vt:variant>
        <vt:i4>1441879</vt:i4>
      </vt:variant>
      <vt:variant>
        <vt:i4>693</vt:i4>
      </vt:variant>
      <vt:variant>
        <vt:i4>0</vt:i4>
      </vt:variant>
      <vt:variant>
        <vt:i4>5</vt:i4>
      </vt:variant>
      <vt:variant>
        <vt:lpwstr>https://www.ato.gov.au/businesses-and-organisations/preparing-lodging-and-paying/record-keeping-for-business</vt:lpwstr>
      </vt:variant>
      <vt:variant>
        <vt:lpwstr/>
      </vt:variant>
      <vt:variant>
        <vt:i4>7602288</vt:i4>
      </vt:variant>
      <vt:variant>
        <vt:i4>690</vt:i4>
      </vt:variant>
      <vt:variant>
        <vt:i4>0</vt:i4>
      </vt:variant>
      <vt:variant>
        <vt:i4>5</vt:i4>
      </vt:variant>
      <vt:variant>
        <vt:lpwstr>https://www.ato.gov.au/individuals-and-families/investments-and-assets/crypto-asset-investments/keeping-crypto-records</vt:lpwstr>
      </vt:variant>
      <vt:variant>
        <vt:lpwstr/>
      </vt:variant>
      <vt:variant>
        <vt:i4>524374</vt:i4>
      </vt:variant>
      <vt:variant>
        <vt:i4>687</vt:i4>
      </vt:variant>
      <vt:variant>
        <vt:i4>0</vt:i4>
      </vt:variant>
      <vt:variant>
        <vt:i4>5</vt:i4>
      </vt:variant>
      <vt:variant>
        <vt:lpwstr>https://www.ato.gov.au/law/view/document?docid=PSR/PS20125/NAT/ATO/00001</vt:lpwstr>
      </vt:variant>
      <vt:variant>
        <vt:lpwstr/>
      </vt:variant>
      <vt:variant>
        <vt:i4>1245276</vt:i4>
      </vt:variant>
      <vt:variant>
        <vt:i4>684</vt:i4>
      </vt:variant>
      <vt:variant>
        <vt:i4>0</vt:i4>
      </vt:variant>
      <vt:variant>
        <vt:i4>5</vt:i4>
      </vt:variant>
      <vt:variant>
        <vt:lpwstr>https://www.ato.gov.au/law/view/document?docid=GST/GSTR20022A10/NAT/ATO/00001&amp;PiT=20230322000001</vt:lpwstr>
      </vt:variant>
      <vt:variant>
        <vt:lpwstr/>
      </vt:variant>
      <vt:variant>
        <vt:i4>65601</vt:i4>
      </vt:variant>
      <vt:variant>
        <vt:i4>681</vt:i4>
      </vt:variant>
      <vt:variant>
        <vt:i4>0</vt:i4>
      </vt:variant>
      <vt:variant>
        <vt:i4>5</vt:i4>
      </vt:variant>
      <vt:variant>
        <vt:lpwstr>https://taxboard.gov.au/consultation/application-of-gst-to-cross-border-transactions</vt:lpwstr>
      </vt:variant>
      <vt:variant>
        <vt:lpwstr/>
      </vt:variant>
      <vt:variant>
        <vt:i4>5242952</vt:i4>
      </vt:variant>
      <vt:variant>
        <vt:i4>678</vt:i4>
      </vt:variant>
      <vt:variant>
        <vt:i4>0</vt:i4>
      </vt:variant>
      <vt:variant>
        <vt:i4>5</vt:i4>
      </vt:variant>
      <vt:variant>
        <vt:lpwstr>https://www.ato.gov.au/businesses-and-organisations/gst-excise-and-indirect-taxes/gst/in-detail/your-industry/gst-and-crypto-assets/gst-and-trading-digital-currency</vt:lpwstr>
      </vt:variant>
      <vt:variant>
        <vt:lpwstr/>
      </vt:variant>
      <vt:variant>
        <vt:i4>327763</vt:i4>
      </vt:variant>
      <vt:variant>
        <vt:i4>675</vt:i4>
      </vt:variant>
      <vt:variant>
        <vt:i4>0</vt:i4>
      </vt:variant>
      <vt:variant>
        <vt:i4>5</vt:i4>
      </vt:variant>
      <vt:variant>
        <vt:lpwstr>https://www.ato.gov.au/businesses-and-organisations/gst-excise-and-indirect-taxes/gst/in-detail/your-industry/gst-and-crypto-assets/gst-and-digital-currency</vt:lpwstr>
      </vt:variant>
      <vt:variant>
        <vt:lpwstr/>
      </vt:variant>
      <vt:variant>
        <vt:i4>3801193</vt:i4>
      </vt:variant>
      <vt:variant>
        <vt:i4>672</vt:i4>
      </vt:variant>
      <vt:variant>
        <vt:i4>0</vt:i4>
      </vt:variant>
      <vt:variant>
        <vt:i4>5</vt:i4>
      </vt:variant>
      <vt:variant>
        <vt:lpwstr>https://www.ato.gov.au/individuals/investments-and-assets/crypto-asset-investments/transactions---acquiring-and-disposing-of-crypto-assets/non-fungible-tokens/</vt:lpwstr>
      </vt:variant>
      <vt:variant>
        <vt:lpwstr/>
      </vt:variant>
      <vt:variant>
        <vt:i4>327763</vt:i4>
      </vt:variant>
      <vt:variant>
        <vt:i4>669</vt:i4>
      </vt:variant>
      <vt:variant>
        <vt:i4>0</vt:i4>
      </vt:variant>
      <vt:variant>
        <vt:i4>5</vt:i4>
      </vt:variant>
      <vt:variant>
        <vt:lpwstr>https://www.ato.gov.au/businesses-and-organisations/gst-excise-and-indirect-taxes/gst/in-detail/your-industry/gst-and-crypto-assets/gst-and-digital-currency</vt:lpwstr>
      </vt:variant>
      <vt:variant>
        <vt:lpwstr/>
      </vt:variant>
      <vt:variant>
        <vt:i4>4587590</vt:i4>
      </vt:variant>
      <vt:variant>
        <vt:i4>666</vt:i4>
      </vt:variant>
      <vt:variant>
        <vt:i4>0</vt:i4>
      </vt:variant>
      <vt:variant>
        <vt:i4>5</vt:i4>
      </vt:variant>
      <vt:variant>
        <vt:lpwstr>https://treasury.gov.au/sites/default/files/2019-03/Fintech-March-2016-v3.pdf</vt:lpwstr>
      </vt:variant>
      <vt:variant>
        <vt:lpwstr/>
      </vt:variant>
      <vt:variant>
        <vt:i4>5242952</vt:i4>
      </vt:variant>
      <vt:variant>
        <vt:i4>663</vt:i4>
      </vt:variant>
      <vt:variant>
        <vt:i4>0</vt:i4>
      </vt:variant>
      <vt:variant>
        <vt:i4>5</vt:i4>
      </vt:variant>
      <vt:variant>
        <vt:lpwstr>https://www.ato.gov.au/businesses-and-organisations/gst-excise-and-indirect-taxes/gst/in-detail/your-industry/gst-and-crypto-assets/gst-and-trading-digital-currency</vt:lpwstr>
      </vt:variant>
      <vt:variant>
        <vt:lpwstr/>
      </vt:variant>
      <vt:variant>
        <vt:i4>3473451</vt:i4>
      </vt:variant>
      <vt:variant>
        <vt:i4>657</vt:i4>
      </vt:variant>
      <vt:variant>
        <vt:i4>0</vt:i4>
      </vt:variant>
      <vt:variant>
        <vt:i4>5</vt:i4>
      </vt:variant>
      <vt:variant>
        <vt:lpwstr>https://www.ato.gov.au/individuals-and-families/investments-and-assets/crypto-asset-investments/crypto-chain-splits</vt:lpwstr>
      </vt:variant>
      <vt:variant>
        <vt:lpwstr/>
      </vt:variant>
      <vt:variant>
        <vt:i4>3473451</vt:i4>
      </vt:variant>
      <vt:variant>
        <vt:i4>654</vt:i4>
      </vt:variant>
      <vt:variant>
        <vt:i4>0</vt:i4>
      </vt:variant>
      <vt:variant>
        <vt:i4>5</vt:i4>
      </vt:variant>
      <vt:variant>
        <vt:lpwstr>https://www.ato.gov.au/individuals-and-families/investments-and-assets/crypto-asset-investments/crypto-chain-splits</vt:lpwstr>
      </vt:variant>
      <vt:variant>
        <vt:lpwstr/>
      </vt:variant>
      <vt:variant>
        <vt:i4>3473451</vt:i4>
      </vt:variant>
      <vt:variant>
        <vt:i4>651</vt:i4>
      </vt:variant>
      <vt:variant>
        <vt:i4>0</vt:i4>
      </vt:variant>
      <vt:variant>
        <vt:i4>5</vt:i4>
      </vt:variant>
      <vt:variant>
        <vt:lpwstr>https://www.ato.gov.au/individuals-and-families/investments-and-assets/crypto-asset-investments/crypto-chain-splits</vt:lpwstr>
      </vt:variant>
      <vt:variant>
        <vt:lpwstr/>
      </vt:variant>
      <vt:variant>
        <vt:i4>3473451</vt:i4>
      </vt:variant>
      <vt:variant>
        <vt:i4>648</vt:i4>
      </vt:variant>
      <vt:variant>
        <vt:i4>0</vt:i4>
      </vt:variant>
      <vt:variant>
        <vt:i4>5</vt:i4>
      </vt:variant>
      <vt:variant>
        <vt:lpwstr>https://www.ato.gov.au/individuals-and-families/investments-and-assets/crypto-asset-investments/crypto-chain-splits</vt:lpwstr>
      </vt:variant>
      <vt:variant>
        <vt:lpwstr/>
      </vt:variant>
      <vt:variant>
        <vt:i4>786460</vt:i4>
      </vt:variant>
      <vt:variant>
        <vt:i4>642</vt:i4>
      </vt:variant>
      <vt:variant>
        <vt:i4>0</vt:i4>
      </vt:variant>
      <vt:variant>
        <vt:i4>5</vt:i4>
      </vt:variant>
      <vt:variant>
        <vt:lpwstr>https://www.ato.gov.au/individuals-and-families/investments-and-assets/crypto-asset-investments/decentralised-finance-and-wrapping-crypto</vt:lpwstr>
      </vt:variant>
      <vt:variant>
        <vt:lpwstr/>
      </vt:variant>
      <vt:variant>
        <vt:i4>786460</vt:i4>
      </vt:variant>
      <vt:variant>
        <vt:i4>639</vt:i4>
      </vt:variant>
      <vt:variant>
        <vt:i4>0</vt:i4>
      </vt:variant>
      <vt:variant>
        <vt:i4>5</vt:i4>
      </vt:variant>
      <vt:variant>
        <vt:lpwstr>https://www.ato.gov.au/individuals-and-families/investments-and-assets/crypto-asset-investments/decentralised-finance-and-wrapping-crypto</vt:lpwstr>
      </vt:variant>
      <vt:variant>
        <vt:lpwstr/>
      </vt:variant>
      <vt:variant>
        <vt:i4>6160473</vt:i4>
      </vt:variant>
      <vt:variant>
        <vt:i4>636</vt:i4>
      </vt:variant>
      <vt:variant>
        <vt:i4>0</vt:i4>
      </vt:variant>
      <vt:variant>
        <vt:i4>5</vt:i4>
      </vt:variant>
      <vt:variant>
        <vt:lpwstr>https://www.ato.gov.au/other-languages/information-in-other-languages/investing/crypto-asset-investments-and-tax</vt:lpwstr>
      </vt:variant>
      <vt:variant>
        <vt:lpwstr/>
      </vt:variant>
      <vt:variant>
        <vt:i4>6160473</vt:i4>
      </vt:variant>
      <vt:variant>
        <vt:i4>633</vt:i4>
      </vt:variant>
      <vt:variant>
        <vt:i4>0</vt:i4>
      </vt:variant>
      <vt:variant>
        <vt:i4>5</vt:i4>
      </vt:variant>
      <vt:variant>
        <vt:lpwstr>https://www.ato.gov.au/other-languages/information-in-other-languages/investing/crypto-asset-investments-and-tax</vt:lpwstr>
      </vt:variant>
      <vt:variant>
        <vt:lpwstr/>
      </vt:variant>
      <vt:variant>
        <vt:i4>3080228</vt:i4>
      </vt:variant>
      <vt:variant>
        <vt:i4>630</vt:i4>
      </vt:variant>
      <vt:variant>
        <vt:i4>0</vt:i4>
      </vt:variant>
      <vt:variant>
        <vt:i4>5</vt:i4>
      </vt:variant>
      <vt:variant>
        <vt:lpwstr>https://taxbit.com/blog/how-does-arizonas-new-crypto-law-impact-taxes-on-airdrops/</vt:lpwstr>
      </vt:variant>
      <vt:variant>
        <vt:lpwstr/>
      </vt:variant>
      <vt:variant>
        <vt:i4>5111901</vt:i4>
      </vt:variant>
      <vt:variant>
        <vt:i4>627</vt:i4>
      </vt:variant>
      <vt:variant>
        <vt:i4>0</vt:i4>
      </vt:variant>
      <vt:variant>
        <vt:i4>5</vt:i4>
      </vt:variant>
      <vt:variant>
        <vt:lpwstr>https://www.gov.uk/hmrc-internal-manuals/cryptoassets-manual/crypto21250</vt:lpwstr>
      </vt:variant>
      <vt:variant>
        <vt:lpwstr/>
      </vt:variant>
      <vt:variant>
        <vt:i4>262212</vt:i4>
      </vt:variant>
      <vt:variant>
        <vt:i4>624</vt:i4>
      </vt:variant>
      <vt:variant>
        <vt:i4>0</vt:i4>
      </vt:variant>
      <vt:variant>
        <vt:i4>5</vt:i4>
      </vt:variant>
      <vt:variant>
        <vt:lpwstr>https://www.iras.gov.sg/media/docs/default-source/e-tax/etaxguide_cit_income-tax-treatment-of-digital-tokens_091020.pdf?sfvrsn=91dbe1f7_17</vt:lpwstr>
      </vt:variant>
      <vt:variant>
        <vt:lpwstr/>
      </vt:variant>
      <vt:variant>
        <vt:i4>5374017</vt:i4>
      </vt:variant>
      <vt:variant>
        <vt:i4>621</vt:i4>
      </vt:variant>
      <vt:variant>
        <vt:i4>0</vt:i4>
      </vt:variant>
      <vt:variant>
        <vt:i4>5</vt:i4>
      </vt:variant>
      <vt:variant>
        <vt:lpwstr>https://www.taxtechnical.ird.govt.nz/-/media/project/ir/tt/pdfs/questions-we-ve-been-asked/2021/qb-21-06.pdf</vt:lpwstr>
      </vt:variant>
      <vt:variant>
        <vt:lpwstr/>
      </vt:variant>
      <vt:variant>
        <vt:i4>3539052</vt:i4>
      </vt:variant>
      <vt:variant>
        <vt:i4>618</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ato-Airdropsandincometaxtreatment</vt:lpwstr>
      </vt:variant>
      <vt:variant>
        <vt:i4>3539052</vt:i4>
      </vt:variant>
      <vt:variant>
        <vt:i4>615</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ato-Airdropsandincometaxtreatment</vt:lpwstr>
      </vt:variant>
      <vt:variant>
        <vt:i4>3539052</vt:i4>
      </vt:variant>
      <vt:variant>
        <vt:i4>612</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ato-Airdropsandincometaxtreatment</vt:lpwstr>
      </vt:variant>
      <vt:variant>
        <vt:i4>7012467</vt:i4>
      </vt:variant>
      <vt:variant>
        <vt:i4>609</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
      </vt:variant>
      <vt:variant>
        <vt:i4>7012467</vt:i4>
      </vt:variant>
      <vt:variant>
        <vt:i4>606</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
      </vt:variant>
      <vt:variant>
        <vt:i4>7012467</vt:i4>
      </vt:variant>
      <vt:variant>
        <vt:i4>603</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
      </vt:variant>
      <vt:variant>
        <vt:i4>4915274</vt:i4>
      </vt:variant>
      <vt:variant>
        <vt:i4>600</vt:i4>
      </vt:variant>
      <vt:variant>
        <vt:i4>0</vt:i4>
      </vt:variant>
      <vt:variant>
        <vt:i4>5</vt:i4>
      </vt:variant>
      <vt:variant>
        <vt:lpwstr>https://www.ato.gov.au/businesses-and-organisations/income-deductions-and-concessions/income-and-deductions-for-business/crypto-assets-and-business/crypto-mining</vt:lpwstr>
      </vt:variant>
      <vt:variant>
        <vt:lpwstr/>
      </vt:variant>
      <vt:variant>
        <vt:i4>5898331</vt:i4>
      </vt:variant>
      <vt:variant>
        <vt:i4>597</vt:i4>
      </vt:variant>
      <vt:variant>
        <vt:i4>0</vt:i4>
      </vt:variant>
      <vt:variant>
        <vt:i4>5</vt:i4>
      </vt:variant>
      <vt:variant>
        <vt:lpwstr>https://community.ato.gov.au/s/question/a0J9s0000001ADB/p00015560</vt:lpwstr>
      </vt:variant>
      <vt:variant>
        <vt:lpwstr/>
      </vt:variant>
      <vt:variant>
        <vt:i4>4915274</vt:i4>
      </vt:variant>
      <vt:variant>
        <vt:i4>594</vt:i4>
      </vt:variant>
      <vt:variant>
        <vt:i4>0</vt:i4>
      </vt:variant>
      <vt:variant>
        <vt:i4>5</vt:i4>
      </vt:variant>
      <vt:variant>
        <vt:lpwstr>https://www.ato.gov.au/businesses-and-organisations/income-deductions-and-concessions/income-and-deductions-for-business/crypto-assets-and-business/crypto-mining</vt:lpwstr>
      </vt:variant>
      <vt:variant>
        <vt:lpwstr/>
      </vt:variant>
      <vt:variant>
        <vt:i4>196639</vt:i4>
      </vt:variant>
      <vt:variant>
        <vt:i4>591</vt:i4>
      </vt:variant>
      <vt:variant>
        <vt:i4>0</vt:i4>
      </vt:variant>
      <vt:variant>
        <vt:i4>5</vt:i4>
      </vt:variant>
      <vt:variant>
        <vt:lpwstr>https://corporatefinanceinstitute.com/resources/cryptocurrency/hard-fork/</vt:lpwstr>
      </vt:variant>
      <vt:variant>
        <vt:lpwstr/>
      </vt:variant>
      <vt:variant>
        <vt:i4>851985</vt:i4>
      </vt:variant>
      <vt:variant>
        <vt:i4>588</vt:i4>
      </vt:variant>
      <vt:variant>
        <vt:i4>0</vt:i4>
      </vt:variant>
      <vt:variant>
        <vt:i4>5</vt:i4>
      </vt:variant>
      <vt:variant>
        <vt:lpwstr>https://ministers.treasury.gov.au/ministers/josh-frydenberg-2014/media-releases/measures-boost-philanthropy-australia</vt:lpwstr>
      </vt:variant>
      <vt:variant>
        <vt:lpwstr/>
      </vt:variant>
      <vt:variant>
        <vt:i4>4128803</vt:i4>
      </vt:variant>
      <vt:variant>
        <vt:i4>585</vt:i4>
      </vt:variant>
      <vt:variant>
        <vt:i4>0</vt:i4>
      </vt:variant>
      <vt:variant>
        <vt:i4>5</vt:i4>
      </vt:variant>
      <vt:variant>
        <vt:lpwstr>https://www.ato.gov.au/individuals-and-families/investments-and-assets/crypto-asset-investments/transactions-acquiring-and-disposing-of-crypto-assets/gifts-and-donations-of-crypto-assets</vt:lpwstr>
      </vt:variant>
      <vt:variant>
        <vt:lpwstr/>
      </vt:variant>
      <vt:variant>
        <vt:i4>720919</vt:i4>
      </vt:variant>
      <vt:variant>
        <vt:i4>582</vt:i4>
      </vt:variant>
      <vt:variant>
        <vt:i4>0</vt:i4>
      </vt:variant>
      <vt:variant>
        <vt:i4>5</vt:i4>
      </vt:variant>
      <vt:variant>
        <vt:lpwstr>https://www.acnc.gov.au/tools/guides/charities-and-crypto-assets</vt:lpwstr>
      </vt:variant>
      <vt:variant>
        <vt:lpwstr/>
      </vt:variant>
      <vt:variant>
        <vt:i4>6029385</vt:i4>
      </vt:variant>
      <vt:variant>
        <vt:i4>579</vt:i4>
      </vt:variant>
      <vt:variant>
        <vt:i4>0</vt:i4>
      </vt:variant>
      <vt:variant>
        <vt:i4>5</vt:i4>
      </vt:variant>
      <vt:variant>
        <vt:lpwstr>https://www.oxfam.org.au/donate/different-ways-to-give/donate-crypto-to-oxfam-australia/</vt:lpwstr>
      </vt:variant>
      <vt:variant>
        <vt:lpwstr>:~:text=The%20Australian%20Taxation%20Office%20considers,and%20will%20be%20tax%20deductible.</vt:lpwstr>
      </vt:variant>
      <vt:variant>
        <vt:i4>1179648</vt:i4>
      </vt:variant>
      <vt:variant>
        <vt:i4>576</vt:i4>
      </vt:variant>
      <vt:variant>
        <vt:i4>0</vt:i4>
      </vt:variant>
      <vt:variant>
        <vt:i4>5</vt:i4>
      </vt:variant>
      <vt:variant>
        <vt:lpwstr>https://www.unicef.org.au/donate-cryptocurrencies</vt:lpwstr>
      </vt:variant>
      <vt:variant>
        <vt:lpwstr/>
      </vt:variant>
      <vt:variant>
        <vt:i4>1900550</vt:i4>
      </vt:variant>
      <vt:variant>
        <vt:i4>573</vt:i4>
      </vt:variant>
      <vt:variant>
        <vt:i4>0</vt:i4>
      </vt:variant>
      <vt:variant>
        <vt:i4>5</vt:i4>
      </vt:variant>
      <vt:variant>
        <vt:lpwstr>https://www.unsw.edu.au/news/2022/05/major-crypto-gift-boosts-unsw-s-fight-against-future-pandemics</vt:lpwstr>
      </vt:variant>
      <vt:variant>
        <vt:lpwstr>:~:text=UNSW%20Sydney%20has%20received%20the,providing%20pandemic%20early%20warning%20signals.</vt:lpwstr>
      </vt:variant>
      <vt:variant>
        <vt:i4>3407984</vt:i4>
      </vt:variant>
      <vt:variant>
        <vt:i4>570</vt:i4>
      </vt:variant>
      <vt:variant>
        <vt:i4>0</vt:i4>
      </vt:variant>
      <vt:variant>
        <vt:i4>5</vt:i4>
      </vt:variant>
      <vt:variant>
        <vt:lpwstr>https://www.ato.gov.au/businesses-and-organisations/income-deductions-and-concessions/income-and-deductions-for-business/crypto-assets-and-business/crypto-assets-used-in-business</vt:lpwstr>
      </vt:variant>
      <vt:variant>
        <vt:lpwstr/>
      </vt:variant>
      <vt:variant>
        <vt:i4>6881407</vt:i4>
      </vt:variant>
      <vt:variant>
        <vt:i4>567</vt:i4>
      </vt:variant>
      <vt:variant>
        <vt:i4>0</vt:i4>
      </vt:variant>
      <vt:variant>
        <vt:i4>5</vt:i4>
      </vt:variant>
      <vt:variant>
        <vt:lpwstr>https://www.apra.gov.au/sites/default/files/2022-04/Crypto-assets - Risk management expectations and policy roadmap.pdf</vt:lpwstr>
      </vt:variant>
      <vt:variant>
        <vt:lpwstr/>
      </vt:variant>
      <vt:variant>
        <vt:i4>4194391</vt:i4>
      </vt:variant>
      <vt:variant>
        <vt:i4>564</vt:i4>
      </vt:variant>
      <vt:variant>
        <vt:i4>0</vt:i4>
      </vt:variant>
      <vt:variant>
        <vt:i4>5</vt:i4>
      </vt:variant>
      <vt:variant>
        <vt:lpwstr>https://www.ato.gov.au/individuals-and-families/super-for-individuals-and-families/self-managed-super-funds-smsf/in-detail/smsf-investing/smsf-investing-in-crypto-assets</vt:lpwstr>
      </vt:variant>
      <vt:variant>
        <vt:lpwstr>Acquiring_crypto_assets</vt:lpwstr>
      </vt:variant>
      <vt:variant>
        <vt:i4>2097254</vt:i4>
      </vt:variant>
      <vt:variant>
        <vt:i4>561</vt:i4>
      </vt:variant>
      <vt:variant>
        <vt:i4>0</vt:i4>
      </vt:variant>
      <vt:variant>
        <vt:i4>5</vt:i4>
      </vt:variant>
      <vt:variant>
        <vt:lpwstr>https://www.ato.gov.au/individuals-and-families/super-for-individuals-and-families/self-managed-super-funds-smsf/in-detail/statistics/annual-reports/self-managed-super-funds-a-statistical-overview-2020-21/investment-profile</vt:lpwstr>
      </vt:variant>
      <vt:variant>
        <vt:lpwstr/>
      </vt:variant>
      <vt:variant>
        <vt:i4>5177347</vt:i4>
      </vt:variant>
      <vt:variant>
        <vt:i4>558</vt:i4>
      </vt:variant>
      <vt:variant>
        <vt:i4>0</vt:i4>
      </vt:variant>
      <vt:variant>
        <vt:i4>5</vt:i4>
      </vt:variant>
      <vt:variant>
        <vt:lpwstr>https://www.ato.gov.au/individuals-and-families/super-for-individuals-and-families/self-managed-super-funds-smsf/in-detail/statistics/annual-reports/self-managed-super-funds-a-statistical-overview-2020-21/smsf-profile</vt:lpwstr>
      </vt:variant>
      <vt:variant>
        <vt:lpwstr/>
      </vt:variant>
      <vt:variant>
        <vt:i4>7864417</vt:i4>
      </vt:variant>
      <vt:variant>
        <vt:i4>555</vt:i4>
      </vt:variant>
      <vt:variant>
        <vt:i4>0</vt:i4>
      </vt:variant>
      <vt:variant>
        <vt:i4>5</vt:i4>
      </vt:variant>
      <vt:variant>
        <vt:lpwstr>https://asic.gov.au/regulatory-resources/superannuation-funds/asic-s-role-in-super/</vt:lpwstr>
      </vt:variant>
      <vt:variant>
        <vt:lpwstr>:~:text=APRA%20and%20the%20Australian%20Taxation,managed%20superannuation%20funds%20(SMSFs).</vt:lpwstr>
      </vt:variant>
      <vt:variant>
        <vt:i4>7340121</vt:i4>
      </vt:variant>
      <vt:variant>
        <vt:i4>552</vt:i4>
      </vt:variant>
      <vt:variant>
        <vt:i4>0</vt:i4>
      </vt:variant>
      <vt:variant>
        <vt:i4>5</vt:i4>
      </vt:variant>
      <vt:variant>
        <vt:lpwstr>https://www.ato.gov.au/law/view/document?DocID=SGM/market_val&amp;PiT=99991231235958</vt:lpwstr>
      </vt:variant>
      <vt:variant>
        <vt:lpwstr/>
      </vt:variant>
      <vt:variant>
        <vt:i4>3407984</vt:i4>
      </vt:variant>
      <vt:variant>
        <vt:i4>549</vt:i4>
      </vt:variant>
      <vt:variant>
        <vt:i4>0</vt:i4>
      </vt:variant>
      <vt:variant>
        <vt:i4>5</vt:i4>
      </vt:variant>
      <vt:variant>
        <vt:lpwstr>https://www.ato.gov.au/businesses-and-organisations/income-deductions-and-concessions/income-and-deductions-for-business/crypto-assets-and-business/crypto-assets-used-in-business</vt:lpwstr>
      </vt:variant>
      <vt:variant>
        <vt:lpwstr/>
      </vt:variant>
      <vt:variant>
        <vt:i4>5046277</vt:i4>
      </vt:variant>
      <vt:variant>
        <vt:i4>546</vt:i4>
      </vt:variant>
      <vt:variant>
        <vt:i4>0</vt:i4>
      </vt:variant>
      <vt:variant>
        <vt:i4>5</vt:i4>
      </vt:variant>
      <vt:variant>
        <vt:lpwstr>https://www.ato.gov.au/individuals-and-families/investments-and-assets/crypto-asset-investments/transactions-acquiring-and-disposing-of-crypto-assets/crypto-asset-transactions</vt:lpwstr>
      </vt:variant>
      <vt:variant>
        <vt:lpwstr>ValuingcryptoassetsinAustraliandollars</vt:lpwstr>
      </vt:variant>
      <vt:variant>
        <vt:i4>7798839</vt:i4>
      </vt:variant>
      <vt:variant>
        <vt:i4>543</vt:i4>
      </vt:variant>
      <vt:variant>
        <vt:i4>0</vt:i4>
      </vt:variant>
      <vt:variant>
        <vt:i4>5</vt:i4>
      </vt:variant>
      <vt:variant>
        <vt:lpwstr>https://learn.bybit.com/crypto/why-bitcoin-prices-differ-across-exchanges/</vt:lpwstr>
      </vt:variant>
      <vt:variant>
        <vt:lpwstr/>
      </vt:variant>
      <vt:variant>
        <vt:i4>2031700</vt:i4>
      </vt:variant>
      <vt:variant>
        <vt:i4>540</vt:i4>
      </vt:variant>
      <vt:variant>
        <vt:i4>0</vt:i4>
      </vt:variant>
      <vt:variant>
        <vt:i4>5</vt:i4>
      </vt:variant>
      <vt:variant>
        <vt:lpwstr>https://www.blockchain4europe.eu/wp-content/uploads/2021/05/6.6056_JO_Cryptocurrencies_Statement_FINAL_WEB_111119-1.pdf</vt:lpwstr>
      </vt:variant>
      <vt:variant>
        <vt:lpwstr/>
      </vt:variant>
      <vt:variant>
        <vt:i4>3407992</vt:i4>
      </vt:variant>
      <vt:variant>
        <vt:i4>537</vt:i4>
      </vt:variant>
      <vt:variant>
        <vt:i4>0</vt:i4>
      </vt:variant>
      <vt:variant>
        <vt:i4>5</vt:i4>
      </vt:variant>
      <vt:variant>
        <vt:lpwstr>https://www.sec.gov/litigation/complaints/2022/comp-pr2022-167.pdf</vt:lpwstr>
      </vt:variant>
      <vt:variant>
        <vt:lpwstr/>
      </vt:variant>
      <vt:variant>
        <vt:i4>3801193</vt:i4>
      </vt:variant>
      <vt:variant>
        <vt:i4>534</vt:i4>
      </vt:variant>
      <vt:variant>
        <vt:i4>0</vt:i4>
      </vt:variant>
      <vt:variant>
        <vt:i4>5</vt:i4>
      </vt:variant>
      <vt:variant>
        <vt:lpwstr>https://www.ato.gov.au/individuals/investments-and-assets/crypto-asset-investments/transactions---acquiring-and-disposing-of-crypto-assets/non-fungible-tokens/</vt:lpwstr>
      </vt:variant>
      <vt:variant>
        <vt:lpwstr/>
      </vt:variant>
      <vt:variant>
        <vt:i4>5701726</vt:i4>
      </vt:variant>
      <vt:variant>
        <vt:i4>531</vt:i4>
      </vt:variant>
      <vt:variant>
        <vt:i4>0</vt:i4>
      </vt:variant>
      <vt:variant>
        <vt:i4>5</vt:i4>
      </vt:variant>
      <vt:variant>
        <vt:lpwstr>https://www.ato.gov.au/individuals-and-families/investments-and-assets/crypto-asset-investments/crypto-asset-as-a-personal-use-asset</vt:lpwstr>
      </vt:variant>
      <vt:variant>
        <vt:lpwstr/>
      </vt:variant>
      <vt:variant>
        <vt:i4>78</vt:i4>
      </vt:variant>
      <vt:variant>
        <vt:i4>528</vt:i4>
      </vt:variant>
      <vt:variant>
        <vt:i4>0</vt:i4>
      </vt:variant>
      <vt:variant>
        <vt:i4>5</vt:i4>
      </vt:variant>
      <vt:variant>
        <vt:lpwstr>https://www.ato.gov.au/tax-and-super-professionals/for-tax-professionals/prepare-and-lodge/tax-time/tax-time-toolkits/tax-time-toolkit-for-investors</vt:lpwstr>
      </vt:variant>
      <vt:variant>
        <vt:lpwstr>ato-Capitalgainstaxonthesalesofsharesorunits</vt:lpwstr>
      </vt:variant>
      <vt:variant>
        <vt:i4>6619141</vt:i4>
      </vt:variant>
      <vt:variant>
        <vt:i4>525</vt:i4>
      </vt:variant>
      <vt:variant>
        <vt:i4>0</vt:i4>
      </vt:variant>
      <vt:variant>
        <vt:i4>5</vt:i4>
      </vt:variant>
      <vt:variant>
        <vt:lpwstr>https://www.irs.gov/irb/2014-16_IRB</vt:lpwstr>
      </vt:variant>
      <vt:variant>
        <vt:lpwstr>NOT-2014-21</vt:lpwstr>
      </vt:variant>
      <vt:variant>
        <vt:i4>4128805</vt:i4>
      </vt:variant>
      <vt:variant>
        <vt:i4>522</vt:i4>
      </vt:variant>
      <vt:variant>
        <vt:i4>0</vt:i4>
      </vt:variant>
      <vt:variant>
        <vt:i4>5</vt:i4>
      </vt:variant>
      <vt:variant>
        <vt:lpwstr>https://www.canada.ca/en/revenue-agency/programs/about-canada-revenue-agency-cra/compliance/digital-currency/cryptocurrency-guide.html</vt:lpwstr>
      </vt:variant>
      <vt:variant>
        <vt:lpwstr/>
      </vt:variant>
      <vt:variant>
        <vt:i4>4980828</vt:i4>
      </vt:variant>
      <vt:variant>
        <vt:i4>519</vt:i4>
      </vt:variant>
      <vt:variant>
        <vt:i4>0</vt:i4>
      </vt:variant>
      <vt:variant>
        <vt:i4>5</vt:i4>
      </vt:variant>
      <vt:variant>
        <vt:lpwstr>https://www.gov.uk/hmrc-internal-manuals/cryptoassets-manual/crypto20050</vt:lpwstr>
      </vt:variant>
      <vt:variant>
        <vt:lpwstr/>
      </vt:variant>
      <vt:variant>
        <vt:i4>2293862</vt:i4>
      </vt:variant>
      <vt:variant>
        <vt:i4>516</vt:i4>
      </vt:variant>
      <vt:variant>
        <vt:i4>0</vt:i4>
      </vt:variant>
      <vt:variant>
        <vt:i4>5</vt:i4>
      </vt:variant>
      <vt:variant>
        <vt:lpwstr>https://www.ird.govt.nz/cryptoassets/individual/buying-selling/acquiring-sell-exchange</vt:lpwstr>
      </vt:variant>
      <vt:variant>
        <vt:lpwstr/>
      </vt:variant>
      <vt:variant>
        <vt:i4>1114202</vt:i4>
      </vt:variant>
      <vt:variant>
        <vt:i4>513</vt:i4>
      </vt:variant>
      <vt:variant>
        <vt:i4>0</vt:i4>
      </vt:variant>
      <vt:variant>
        <vt:i4>5</vt:i4>
      </vt:variant>
      <vt:variant>
        <vt:lpwstr>https://ethereum.org/en/eth/</vt:lpwstr>
      </vt:variant>
      <vt:variant>
        <vt:lpwstr/>
      </vt:variant>
      <vt:variant>
        <vt:i4>2228344</vt:i4>
      </vt:variant>
      <vt:variant>
        <vt:i4>510</vt:i4>
      </vt:variant>
      <vt:variant>
        <vt:i4>0</vt:i4>
      </vt:variant>
      <vt:variant>
        <vt:i4>5</vt:i4>
      </vt:variant>
      <vt:variant>
        <vt:lpwstr>https://www.ato.gov.au/law/view/document?DocID=LIT/ICD/NSD1427of2018/00001</vt:lpwstr>
      </vt:variant>
      <vt:variant>
        <vt:lpwstr>:~:text=This%20Decision%20impact%20statement%20outlines,business%20operation%20or%20commercial%20transaction%27.</vt:lpwstr>
      </vt:variant>
      <vt:variant>
        <vt:i4>6094934</vt:i4>
      </vt:variant>
      <vt:variant>
        <vt:i4>507</vt:i4>
      </vt:variant>
      <vt:variant>
        <vt:i4>0</vt:i4>
      </vt:variant>
      <vt:variant>
        <vt:i4>5</vt:i4>
      </vt:variant>
      <vt:variant>
        <vt:lpwstr>https://www.ato.gov.au/law/view/document?Mode=type&amp;TOC=%2205%3APublic%20rulings%3ARulings%3ATaxation%3A1992%3A%2305080000004%23TR%2092%2F4%20-%20Income%20tax%26c%20whether%20losses%20on%20isolated%20transactions%20are%20deductible%3B%22&amp;DOCID=%22TXR%2FTR924%2FNAT%2FATO%2F00001%22</vt:lpwstr>
      </vt:variant>
      <vt:variant>
        <vt:lpwstr>LawTimeLine</vt:lpwstr>
      </vt:variant>
      <vt:variant>
        <vt:i4>5570572</vt:i4>
      </vt:variant>
      <vt:variant>
        <vt:i4>504</vt:i4>
      </vt:variant>
      <vt:variant>
        <vt:i4>0</vt:i4>
      </vt:variant>
      <vt:variant>
        <vt:i4>5</vt:i4>
      </vt:variant>
      <vt:variant>
        <vt:lpwstr>https://ethereum.org/en/developers/docs/gas/</vt:lpwstr>
      </vt:variant>
      <vt:variant>
        <vt:lpwstr/>
      </vt:variant>
      <vt:variant>
        <vt:i4>196633</vt:i4>
      </vt:variant>
      <vt:variant>
        <vt:i4>501</vt:i4>
      </vt:variant>
      <vt:variant>
        <vt:i4>0</vt:i4>
      </vt:variant>
      <vt:variant>
        <vt:i4>5</vt:i4>
      </vt:variant>
      <vt:variant>
        <vt:lpwstr>https://www.ato.gov.au/law/view/document?docid=txr/tr9711/nat/ato/00001</vt:lpwstr>
      </vt:variant>
      <vt:variant>
        <vt:lpwstr>:~:text=of%20all%20changes.%5D-,What%20this%20Ruling%20is%20about,a%20business%20of%20primary%20production.</vt:lpwstr>
      </vt:variant>
      <vt:variant>
        <vt:i4>1572939</vt:i4>
      </vt:variant>
      <vt:variant>
        <vt:i4>498</vt:i4>
      </vt:variant>
      <vt:variant>
        <vt:i4>0</vt:i4>
      </vt:variant>
      <vt:variant>
        <vt:i4>5</vt:i4>
      </vt:variant>
      <vt:variant>
        <vt:lpwstr>https://www.ato.gov.au/law/view/document?LocID=%22JUD%2F79ATC4261%22</vt:lpwstr>
      </vt:variant>
      <vt:variant>
        <vt:lpwstr/>
      </vt:variant>
      <vt:variant>
        <vt:i4>196633</vt:i4>
      </vt:variant>
      <vt:variant>
        <vt:i4>495</vt:i4>
      </vt:variant>
      <vt:variant>
        <vt:i4>0</vt:i4>
      </vt:variant>
      <vt:variant>
        <vt:i4>5</vt:i4>
      </vt:variant>
      <vt:variant>
        <vt:lpwstr>https://www.ato.gov.au/law/view/document?docid=txr/tr9711/nat/ato/00001</vt:lpwstr>
      </vt:variant>
      <vt:variant>
        <vt:lpwstr>:~:text=of%20all%20changes.%5D-,What%20this%20Ruling%20is%20about,a%20business%20of%20primary%20production.</vt:lpwstr>
      </vt:variant>
      <vt:variant>
        <vt:i4>655380</vt:i4>
      </vt:variant>
      <vt:variant>
        <vt:i4>492</vt:i4>
      </vt:variant>
      <vt:variant>
        <vt:i4>0</vt:i4>
      </vt:variant>
      <vt:variant>
        <vt:i4>5</vt:i4>
      </vt:variant>
      <vt:variant>
        <vt:lpwstr>https://www.ato.gov.au/individuals-and-families/investments-and-assets/capital-gains-tax/shares-and-similar-investments/share-investing-versus-share-trading</vt:lpwstr>
      </vt:variant>
      <vt:variant>
        <vt:lpwstr/>
      </vt:variant>
      <vt:variant>
        <vt:i4>3014782</vt:i4>
      </vt:variant>
      <vt:variant>
        <vt:i4>489</vt:i4>
      </vt:variant>
      <vt:variant>
        <vt:i4>0</vt:i4>
      </vt:variant>
      <vt:variant>
        <vt:i4>5</vt:i4>
      </vt:variant>
      <vt:variant>
        <vt:lpwstr>https://www.ato.gov.au/businesses-and-organisations/income-deductions-and-concessions/income-and-deductions-for-business/crypto-assets-and-business/crypto-assets-used-in-business</vt:lpwstr>
      </vt:variant>
      <vt:variant>
        <vt:lpwstr>Areyouinbusiness</vt:lpwstr>
      </vt:variant>
      <vt:variant>
        <vt:i4>3014782</vt:i4>
      </vt:variant>
      <vt:variant>
        <vt:i4>486</vt:i4>
      </vt:variant>
      <vt:variant>
        <vt:i4>0</vt:i4>
      </vt:variant>
      <vt:variant>
        <vt:i4>5</vt:i4>
      </vt:variant>
      <vt:variant>
        <vt:lpwstr>https://www.ato.gov.au/businesses-and-organisations/income-deductions-and-concessions/income-and-deductions-for-business/crypto-assets-and-business/crypto-assets-used-in-business</vt:lpwstr>
      </vt:variant>
      <vt:variant>
        <vt:lpwstr>Areyouinbusiness</vt:lpwstr>
      </vt:variant>
      <vt:variant>
        <vt:i4>6357042</vt:i4>
      </vt:variant>
      <vt:variant>
        <vt:i4>483</vt:i4>
      </vt:variant>
      <vt:variant>
        <vt:i4>0</vt:i4>
      </vt:variant>
      <vt:variant>
        <vt:i4>5</vt:i4>
      </vt:variant>
      <vt:variant>
        <vt:lpwstr>https://www.ato.gov.au/individuals-and-families/investments-and-assets/crypto-asset-investments/what-are-crypto-assets</vt:lpwstr>
      </vt:variant>
      <vt:variant>
        <vt:lpwstr/>
      </vt:variant>
      <vt:variant>
        <vt:i4>4915202</vt:i4>
      </vt:variant>
      <vt:variant>
        <vt:i4>480</vt:i4>
      </vt:variant>
      <vt:variant>
        <vt:i4>0</vt:i4>
      </vt:variant>
      <vt:variant>
        <vt:i4>5</vt:i4>
      </vt:variant>
      <vt:variant>
        <vt:lpwstr>https://www.ato.gov.au/businesses-and-organisations/starting-registering-or-closing-a-business/starting-your-own-business/are-you-in-business</vt:lpwstr>
      </vt:variant>
      <vt:variant>
        <vt:lpwstr/>
      </vt:variant>
      <vt:variant>
        <vt:i4>7340078</vt:i4>
      </vt:variant>
      <vt:variant>
        <vt:i4>477</vt:i4>
      </vt:variant>
      <vt:variant>
        <vt:i4>0</vt:i4>
      </vt:variant>
      <vt:variant>
        <vt:i4>5</vt:i4>
      </vt:variant>
      <vt:variant>
        <vt:lpwstr>https://www.ato.gov.au/individuals-and-families/investments-and-assets/crypto-asset-investments</vt:lpwstr>
      </vt:variant>
      <vt:variant>
        <vt:lpwstr/>
      </vt:variant>
      <vt:variant>
        <vt:i4>3473519</vt:i4>
      </vt:variant>
      <vt:variant>
        <vt:i4>474</vt:i4>
      </vt:variant>
      <vt:variant>
        <vt:i4>0</vt:i4>
      </vt:variant>
      <vt:variant>
        <vt:i4>5</vt:i4>
      </vt:variant>
      <vt:variant>
        <vt:lpwstr>https://www.visualcapitalist.com/cp/the-cost-of-mining-bitcoin-in-198-different-countries/</vt:lpwstr>
      </vt:variant>
      <vt:variant>
        <vt:lpwstr/>
      </vt:variant>
      <vt:variant>
        <vt:i4>7012467</vt:i4>
      </vt:variant>
      <vt:variant>
        <vt:i4>471</vt:i4>
      </vt:variant>
      <vt:variant>
        <vt:i4>0</vt:i4>
      </vt:variant>
      <vt:variant>
        <vt:i4>5</vt:i4>
      </vt:variant>
      <vt:variant>
        <vt:lpwstr>https://www.ato.gov.au/individuals-and-families/investments-and-assets/crypto-asset-investments/transactions-acquiring-and-disposing-of-crypto-assets/staking-rewards-and-airdrops</vt:lpwstr>
      </vt:variant>
      <vt:variant>
        <vt:lpwstr/>
      </vt:variant>
      <vt:variant>
        <vt:i4>3866663</vt:i4>
      </vt:variant>
      <vt:variant>
        <vt:i4>468</vt:i4>
      </vt:variant>
      <vt:variant>
        <vt:i4>0</vt:i4>
      </vt:variant>
      <vt:variant>
        <vt:i4>5</vt:i4>
      </vt:variant>
      <vt:variant>
        <vt:lpwstr>https://www.ato.gov.au/law/view/document?DocID=PSR/PS20083/NAT/ATO/00001&amp;PiT=99991231235958</vt:lpwstr>
      </vt:variant>
      <vt:variant>
        <vt:lpwstr/>
      </vt:variant>
      <vt:variant>
        <vt:i4>3670072</vt:i4>
      </vt:variant>
      <vt:variant>
        <vt:i4>465</vt:i4>
      </vt:variant>
      <vt:variant>
        <vt:i4>0</vt:i4>
      </vt:variant>
      <vt:variant>
        <vt:i4>5</vt:i4>
      </vt:variant>
      <vt:variant>
        <vt:lpwstr>https://www.ato.gov.au/about-ato/ato-advice-and-guidance/ato-advice-products-rulings/private-rulings/publishing-of-private-rulings</vt:lpwstr>
      </vt:variant>
      <vt:variant>
        <vt:lpwstr/>
      </vt:variant>
      <vt:variant>
        <vt:i4>3866663</vt:i4>
      </vt:variant>
      <vt:variant>
        <vt:i4>462</vt:i4>
      </vt:variant>
      <vt:variant>
        <vt:i4>0</vt:i4>
      </vt:variant>
      <vt:variant>
        <vt:i4>5</vt:i4>
      </vt:variant>
      <vt:variant>
        <vt:lpwstr>https://www.ato.gov.au/law/view/document?DocID=PSR/PS20083/NAT/ATO/00001&amp;PiT=99991231235958</vt:lpwstr>
      </vt:variant>
      <vt:variant>
        <vt:lpwstr/>
      </vt:variant>
      <vt:variant>
        <vt:i4>6684776</vt:i4>
      </vt:variant>
      <vt:variant>
        <vt:i4>459</vt:i4>
      </vt:variant>
      <vt:variant>
        <vt:i4>0</vt:i4>
      </vt:variant>
      <vt:variant>
        <vt:i4>5</vt:i4>
      </vt:variant>
      <vt:variant>
        <vt:lpwstr>https://www.ato.gov.au/about-ato/ato-advice-and-guidance/ato-advice-products-rulings/class-rulings/when-to-consider-applying-for-a-class-ruling</vt:lpwstr>
      </vt:variant>
      <vt:variant>
        <vt:lpwstr/>
      </vt:variant>
      <vt:variant>
        <vt:i4>1245202</vt:i4>
      </vt:variant>
      <vt:variant>
        <vt:i4>456</vt:i4>
      </vt:variant>
      <vt:variant>
        <vt:i4>0</vt:i4>
      </vt:variant>
      <vt:variant>
        <vt:i4>5</vt:i4>
      </vt:variant>
      <vt:variant>
        <vt:lpwstr>https://www.ato.gov.au/about-ato/ato-advice-and-guidance/ato-advice-products-rulings/product-rulings</vt:lpwstr>
      </vt:variant>
      <vt:variant>
        <vt:lpwstr/>
      </vt:variant>
      <vt:variant>
        <vt:i4>2293819</vt:i4>
      </vt:variant>
      <vt:variant>
        <vt:i4>453</vt:i4>
      </vt:variant>
      <vt:variant>
        <vt:i4>0</vt:i4>
      </vt:variant>
      <vt:variant>
        <vt:i4>5</vt:i4>
      </vt:variant>
      <vt:variant>
        <vt:lpwstr>https://www.ato.gov.au/about-ato/ato-advice-and-guidance/ato-advice-products-rulings/public-rulings</vt:lpwstr>
      </vt:variant>
      <vt:variant>
        <vt:lpwstr/>
      </vt:variant>
      <vt:variant>
        <vt:i4>393306</vt:i4>
      </vt:variant>
      <vt:variant>
        <vt:i4>450</vt:i4>
      </vt:variant>
      <vt:variant>
        <vt:i4>0</vt:i4>
      </vt:variant>
      <vt:variant>
        <vt:i4>5</vt:i4>
      </vt:variant>
      <vt:variant>
        <vt:lpwstr>https://www.ato.gov.au/law/view/document?docid=TXD/TD201428/NAT/ATO/00001</vt:lpwstr>
      </vt:variant>
      <vt:variant>
        <vt:lpwstr/>
      </vt:variant>
      <vt:variant>
        <vt:i4>393301</vt:i4>
      </vt:variant>
      <vt:variant>
        <vt:i4>447</vt:i4>
      </vt:variant>
      <vt:variant>
        <vt:i4>0</vt:i4>
      </vt:variant>
      <vt:variant>
        <vt:i4>5</vt:i4>
      </vt:variant>
      <vt:variant>
        <vt:lpwstr>https://www.ato.gov.au/law/view/document?docid=TXD/TD201427/NAT/ATO/00001</vt:lpwstr>
      </vt:variant>
      <vt:variant>
        <vt:lpwstr/>
      </vt:variant>
      <vt:variant>
        <vt:i4>3866663</vt:i4>
      </vt:variant>
      <vt:variant>
        <vt:i4>444</vt:i4>
      </vt:variant>
      <vt:variant>
        <vt:i4>0</vt:i4>
      </vt:variant>
      <vt:variant>
        <vt:i4>5</vt:i4>
      </vt:variant>
      <vt:variant>
        <vt:lpwstr>https://www.ato.gov.au/law/view/document?DocID=PSR/PS20083/NAT/ATO/00001&amp;PiT=99991231235958</vt:lpwstr>
      </vt:variant>
      <vt:variant>
        <vt:lpwstr/>
      </vt:variant>
      <vt:variant>
        <vt:i4>393280</vt:i4>
      </vt:variant>
      <vt:variant>
        <vt:i4>441</vt:i4>
      </vt:variant>
      <vt:variant>
        <vt:i4>0</vt:i4>
      </vt:variant>
      <vt:variant>
        <vt:i4>5</vt:i4>
      </vt:variant>
      <vt:variant>
        <vt:lpwstr>https://www.gov.uk/hmrc-internal-manuals/cryptoassets-manual/updates</vt:lpwstr>
      </vt:variant>
      <vt:variant>
        <vt:lpwstr/>
      </vt:variant>
      <vt:variant>
        <vt:i4>4587520</vt:i4>
      </vt:variant>
      <vt:variant>
        <vt:i4>438</vt:i4>
      </vt:variant>
      <vt:variant>
        <vt:i4>0</vt:i4>
      </vt:variant>
      <vt:variant>
        <vt:i4>5</vt:i4>
      </vt:variant>
      <vt:variant>
        <vt:lpwstr>https://www.ird.govt.nz/cryptoassets</vt:lpwstr>
      </vt:variant>
      <vt:variant>
        <vt:lpwstr/>
      </vt:variant>
      <vt:variant>
        <vt:i4>1048603</vt:i4>
      </vt:variant>
      <vt:variant>
        <vt:i4>435</vt:i4>
      </vt:variant>
      <vt:variant>
        <vt:i4>0</vt:i4>
      </vt:variant>
      <vt:variant>
        <vt:i4>5</vt:i4>
      </vt:variant>
      <vt:variant>
        <vt:lpwstr>https://www.gov.uk/hmrc-internal-manuals/cryptoassets-manual</vt:lpwstr>
      </vt:variant>
      <vt:variant>
        <vt:lpwstr/>
      </vt:variant>
      <vt:variant>
        <vt:i4>6160473</vt:i4>
      </vt:variant>
      <vt:variant>
        <vt:i4>432</vt:i4>
      </vt:variant>
      <vt:variant>
        <vt:i4>0</vt:i4>
      </vt:variant>
      <vt:variant>
        <vt:i4>5</vt:i4>
      </vt:variant>
      <vt:variant>
        <vt:lpwstr>https://www.ato.gov.au/other-languages/information-in-other-languages/investing/crypto-asset-investments-and-tax</vt:lpwstr>
      </vt:variant>
      <vt:variant>
        <vt:lpwstr/>
      </vt:variant>
      <vt:variant>
        <vt:i4>5701726</vt:i4>
      </vt:variant>
      <vt:variant>
        <vt:i4>429</vt:i4>
      </vt:variant>
      <vt:variant>
        <vt:i4>0</vt:i4>
      </vt:variant>
      <vt:variant>
        <vt:i4>5</vt:i4>
      </vt:variant>
      <vt:variant>
        <vt:lpwstr>https://www.ato.gov.au/individuals-and-families/investments-and-assets/crypto-asset-investments/crypto-asset-as-a-personal-use-asset</vt:lpwstr>
      </vt:variant>
      <vt:variant>
        <vt:lpwstr/>
      </vt:variant>
      <vt:variant>
        <vt:i4>4194370</vt:i4>
      </vt:variant>
      <vt:variant>
        <vt:i4>426</vt:i4>
      </vt:variant>
      <vt:variant>
        <vt:i4>0</vt:i4>
      </vt:variant>
      <vt:variant>
        <vt:i4>5</vt:i4>
      </vt:variant>
      <vt:variant>
        <vt:lpwstr>https://community.ato.gov.au/s/about</vt:lpwstr>
      </vt:variant>
      <vt:variant>
        <vt:lpwstr/>
      </vt:variant>
      <vt:variant>
        <vt:i4>851994</vt:i4>
      </vt:variant>
      <vt:variant>
        <vt:i4>423</vt:i4>
      </vt:variant>
      <vt:variant>
        <vt:i4>0</vt:i4>
      </vt:variant>
      <vt:variant>
        <vt:i4>5</vt:i4>
      </vt:variant>
      <vt:variant>
        <vt:lpwstr>https://www.pwc.com/kz/en/assets/pwc-annual-global-crypto-tax-report-2021.pdf</vt:lpwstr>
      </vt:variant>
      <vt:variant>
        <vt:lpwstr/>
      </vt:variant>
      <vt:variant>
        <vt:i4>6422577</vt:i4>
      </vt:variant>
      <vt:variant>
        <vt:i4>420</vt:i4>
      </vt:variant>
      <vt:variant>
        <vt:i4>0</vt:i4>
      </vt:variant>
      <vt:variant>
        <vt:i4>5</vt:i4>
      </vt:variant>
      <vt:variant>
        <vt:lpwstr>https://www.ato.gov.au/about-ato/who-we-are</vt:lpwstr>
      </vt:variant>
      <vt:variant>
        <vt:lpwstr/>
      </vt:variant>
      <vt:variant>
        <vt:i4>2687082</vt:i4>
      </vt:variant>
      <vt:variant>
        <vt:i4>417</vt:i4>
      </vt:variant>
      <vt:variant>
        <vt:i4>0</vt:i4>
      </vt:variant>
      <vt:variant>
        <vt:i4>5</vt:i4>
      </vt:variant>
      <vt:variant>
        <vt:lpwstr>https://www.ato.gov.au/about-ato/consultation/consultation-groups/stewardship-groups/national-tax-liaison-group</vt:lpwstr>
      </vt:variant>
      <vt:variant>
        <vt:lpwstr/>
      </vt:variant>
      <vt:variant>
        <vt:i4>655428</vt:i4>
      </vt:variant>
      <vt:variant>
        <vt:i4>414</vt:i4>
      </vt:variant>
      <vt:variant>
        <vt:i4>0</vt:i4>
      </vt:variant>
      <vt:variant>
        <vt:i4>5</vt:i4>
      </vt:variant>
      <vt:variant>
        <vt:lpwstr>https://www.tpb.gov.au/continuing-professional-education</vt:lpwstr>
      </vt:variant>
      <vt:variant>
        <vt:lpwstr/>
      </vt:variant>
      <vt:variant>
        <vt:i4>3735665</vt:i4>
      </vt:variant>
      <vt:variant>
        <vt:i4>411</vt:i4>
      </vt:variant>
      <vt:variant>
        <vt:i4>0</vt:i4>
      </vt:variant>
      <vt:variant>
        <vt:i4>5</vt:i4>
      </vt:variant>
      <vt:variant>
        <vt:lpwstr>https://www.tpb.gov.au/qualifications-and-experience-tax-agents</vt:lpwstr>
      </vt:variant>
      <vt:variant>
        <vt:lpwstr/>
      </vt:variant>
      <vt:variant>
        <vt:i4>2752567</vt:i4>
      </vt:variant>
      <vt:variant>
        <vt:i4>408</vt:i4>
      </vt:variant>
      <vt:variant>
        <vt:i4>0</vt:i4>
      </vt:variant>
      <vt:variant>
        <vt:i4>5</vt:i4>
      </vt:variant>
      <vt:variant>
        <vt:lpwstr>https://swyftx.com/wp-content/uploads/2023/08/Australian-crypto-survey-2023.pdf</vt:lpwstr>
      </vt:variant>
      <vt:variant>
        <vt:lpwstr/>
      </vt:variant>
      <vt:variant>
        <vt:i4>3211298</vt:i4>
      </vt:variant>
      <vt:variant>
        <vt:i4>405</vt:i4>
      </vt:variant>
      <vt:variant>
        <vt:i4>0</vt:i4>
      </vt:variant>
      <vt:variant>
        <vt:i4>5</vt:i4>
      </vt:variant>
      <vt:variant>
        <vt:lpwstr>https://www.bis.org/publ/othp72.pdf</vt:lpwstr>
      </vt:variant>
      <vt:variant>
        <vt:lpwstr/>
      </vt:variant>
      <vt:variant>
        <vt:i4>1769559</vt:i4>
      </vt:variant>
      <vt:variant>
        <vt:i4>402</vt:i4>
      </vt:variant>
      <vt:variant>
        <vt:i4>0</vt:i4>
      </vt:variant>
      <vt:variant>
        <vt:i4>5</vt:i4>
      </vt:variant>
      <vt:variant>
        <vt:lpwstr>https://www.imf.org/en/Publications/fandd/issues/2022/09/Point-of-View-the-superficial-allure-of-crypto-Hilary-Allen</vt:lpwstr>
      </vt:variant>
      <vt:variant>
        <vt:lpwstr/>
      </vt:variant>
      <vt:variant>
        <vt:i4>3211298</vt:i4>
      </vt:variant>
      <vt:variant>
        <vt:i4>399</vt:i4>
      </vt:variant>
      <vt:variant>
        <vt:i4>0</vt:i4>
      </vt:variant>
      <vt:variant>
        <vt:i4>5</vt:i4>
      </vt:variant>
      <vt:variant>
        <vt:lpwstr>https://www.bis.org/publ/othp72.pdf</vt:lpwstr>
      </vt:variant>
      <vt:variant>
        <vt:lpwstr/>
      </vt:variant>
      <vt:variant>
        <vt:i4>3735662</vt:i4>
      </vt:variant>
      <vt:variant>
        <vt:i4>396</vt:i4>
      </vt:variant>
      <vt:variant>
        <vt:i4>0</vt:i4>
      </vt:variant>
      <vt:variant>
        <vt:i4>5</vt:i4>
      </vt:variant>
      <vt:variant>
        <vt:lpwstr>https://www.forbes.com/sites/davidblack/2022/03/11/cryptocurrency-fuels-explosive-growth-of-crime/?sh=3ec097c0618a</vt:lpwstr>
      </vt:variant>
      <vt:variant>
        <vt:lpwstr/>
      </vt:variant>
      <vt:variant>
        <vt:i4>3342460</vt:i4>
      </vt:variant>
      <vt:variant>
        <vt:i4>393</vt:i4>
      </vt:variant>
      <vt:variant>
        <vt:i4>0</vt:i4>
      </vt:variant>
      <vt:variant>
        <vt:i4>5</vt:i4>
      </vt:variant>
      <vt:variant>
        <vt:lpwstr>https://www.chainalysis.com/blog/2023-crypto-crime-report-introduction/</vt:lpwstr>
      </vt:variant>
      <vt:variant>
        <vt:lpwstr/>
      </vt:variant>
      <vt:variant>
        <vt:i4>3145848</vt:i4>
      </vt:variant>
      <vt:variant>
        <vt:i4>390</vt:i4>
      </vt:variant>
      <vt:variant>
        <vt:i4>0</vt:i4>
      </vt:variant>
      <vt:variant>
        <vt:i4>5</vt:i4>
      </vt:variant>
      <vt:variant>
        <vt:lpwstr>https://www.chainalysis.com/blog/2022-biggest-year-ever-for-crypto-hacking/</vt:lpwstr>
      </vt:variant>
      <vt:variant>
        <vt:lpwstr/>
      </vt:variant>
      <vt:variant>
        <vt:i4>5832725</vt:i4>
      </vt:variant>
      <vt:variant>
        <vt:i4>387</vt:i4>
      </vt:variant>
      <vt:variant>
        <vt:i4>0</vt:i4>
      </vt:variant>
      <vt:variant>
        <vt:i4>5</vt:i4>
      </vt:variant>
      <vt:variant>
        <vt:lpwstr>https://www.austrac.gov.au/business/how-comply-guidance-and-resources/guidance-resources/preventing-criminal-abuse-digital-currencies</vt:lpwstr>
      </vt:variant>
      <vt:variant>
        <vt:lpwstr/>
      </vt:variant>
      <vt:variant>
        <vt:i4>5636158</vt:i4>
      </vt:variant>
      <vt:variant>
        <vt:i4>384</vt:i4>
      </vt:variant>
      <vt:variant>
        <vt:i4>0</vt:i4>
      </vt:variant>
      <vt:variant>
        <vt:i4>5</vt:i4>
      </vt:variant>
      <vt:variant>
        <vt:lpwstr>https://www.austrac.gov.au/sites/default/files/2022-04/AUSTRAC_FCG_PreventingCriminalAbuseOfDigitalCurrencies_FINAL.pdf</vt:lpwstr>
      </vt:variant>
      <vt:variant>
        <vt:lpwstr/>
      </vt:variant>
      <vt:variant>
        <vt:i4>4980753</vt:i4>
      </vt:variant>
      <vt:variant>
        <vt:i4>381</vt:i4>
      </vt:variant>
      <vt:variant>
        <vt:i4>0</vt:i4>
      </vt:variant>
      <vt:variant>
        <vt:i4>5</vt:i4>
      </vt:variant>
      <vt:variant>
        <vt:lpwstr>https://www.investopedia.com/tech/whats-environmental-impact-cryptocurrency/</vt:lpwstr>
      </vt:variant>
      <vt:variant>
        <vt:lpwstr/>
      </vt:variant>
      <vt:variant>
        <vt:i4>7143547</vt:i4>
      </vt:variant>
      <vt:variant>
        <vt:i4>378</vt:i4>
      </vt:variant>
      <vt:variant>
        <vt:i4>0</vt:i4>
      </vt:variant>
      <vt:variant>
        <vt:i4>5</vt:i4>
      </vt:variant>
      <vt:variant>
        <vt:lpwstr>https://unu.edu/press-release/un-study-reveals-hidden-environmental-impacts-bitcoin-carbon-not-only-harmful-product</vt:lpwstr>
      </vt:variant>
      <vt:variant>
        <vt:lpwstr/>
      </vt:variant>
      <vt:variant>
        <vt:i4>3211298</vt:i4>
      </vt:variant>
      <vt:variant>
        <vt:i4>375</vt:i4>
      </vt:variant>
      <vt:variant>
        <vt:i4>0</vt:i4>
      </vt:variant>
      <vt:variant>
        <vt:i4>5</vt:i4>
      </vt:variant>
      <vt:variant>
        <vt:lpwstr>https://www.bis.org/publ/othp72.pdf</vt:lpwstr>
      </vt:variant>
      <vt:variant>
        <vt:lpwstr/>
      </vt:variant>
      <vt:variant>
        <vt:i4>1769559</vt:i4>
      </vt:variant>
      <vt:variant>
        <vt:i4>372</vt:i4>
      </vt:variant>
      <vt:variant>
        <vt:i4>0</vt:i4>
      </vt:variant>
      <vt:variant>
        <vt:i4>5</vt:i4>
      </vt:variant>
      <vt:variant>
        <vt:lpwstr>https://www.imf.org/en/Publications/fandd/issues/2022/09/Point-of-View-the-superficial-allure-of-crypto-Hilary-Allen</vt:lpwstr>
      </vt:variant>
      <vt:variant>
        <vt:lpwstr/>
      </vt:variant>
      <vt:variant>
        <vt:i4>7077936</vt:i4>
      </vt:variant>
      <vt:variant>
        <vt:i4>369</vt:i4>
      </vt:variant>
      <vt:variant>
        <vt:i4>0</vt:i4>
      </vt:variant>
      <vt:variant>
        <vt:i4>5</vt:i4>
      </vt:variant>
      <vt:variant>
        <vt:lpwstr>https://www.rba.gov.au/publications/fsr/2022/oct/pdf/financial-stability-review-2022-10.pdf</vt:lpwstr>
      </vt:variant>
      <vt:variant>
        <vt:lpwstr/>
      </vt:variant>
      <vt:variant>
        <vt:i4>393303</vt:i4>
      </vt:variant>
      <vt:variant>
        <vt:i4>366</vt:i4>
      </vt:variant>
      <vt:variant>
        <vt:i4>0</vt:i4>
      </vt:variant>
      <vt:variant>
        <vt:i4>5</vt:i4>
      </vt:variant>
      <vt:variant>
        <vt:lpwstr>https://www.ato.gov.au/law/view/document?docid=TXD/TD201425/NAT/ATO/00001</vt:lpwstr>
      </vt:variant>
      <vt:variant>
        <vt:lpwstr/>
      </vt:variant>
      <vt:variant>
        <vt:i4>7798882</vt:i4>
      </vt:variant>
      <vt:variant>
        <vt:i4>363</vt:i4>
      </vt:variant>
      <vt:variant>
        <vt:i4>0</vt:i4>
      </vt:variant>
      <vt:variant>
        <vt:i4>5</vt:i4>
      </vt:variant>
      <vt:variant>
        <vt:lpwstr>https://s3-eu-west-2.amazonaws.com/cloud-platform-e218f50a4812967ba1215eaecede923f/uploads/sites/30/2022/07/Digital-Assets-Consultation-Paper-Law-Commission-1.pdf</vt:lpwstr>
      </vt:variant>
      <vt:variant>
        <vt:lpwstr/>
      </vt:variant>
      <vt:variant>
        <vt:i4>6684706</vt:i4>
      </vt:variant>
      <vt:variant>
        <vt:i4>360</vt:i4>
      </vt:variant>
      <vt:variant>
        <vt:i4>0</vt:i4>
      </vt:variant>
      <vt:variant>
        <vt:i4>5</vt:i4>
      </vt:variant>
      <vt:variant>
        <vt:lpwstr>https://dx.doi.org/10.2139/ssrn.4416200</vt:lpwstr>
      </vt:variant>
      <vt:variant>
        <vt:lpwstr/>
      </vt:variant>
      <vt:variant>
        <vt:i4>7929983</vt:i4>
      </vt:variant>
      <vt:variant>
        <vt:i4>357</vt:i4>
      </vt:variant>
      <vt:variant>
        <vt:i4>0</vt:i4>
      </vt:variant>
      <vt:variant>
        <vt:i4>5</vt:i4>
      </vt:variant>
      <vt:variant>
        <vt:lpwstr>https://s3-eu-west-2.amazonaws.com/cloud-platform-e218f50a4812967ba1215eaecede923f/uploads/sites/30/2023/06/14.294_LC_Digital-assets-summary_v5_WEB.pdf</vt:lpwstr>
      </vt:variant>
      <vt:variant>
        <vt:lpwstr/>
      </vt:variant>
      <vt:variant>
        <vt:i4>393300</vt:i4>
      </vt:variant>
      <vt:variant>
        <vt:i4>354</vt:i4>
      </vt:variant>
      <vt:variant>
        <vt:i4>0</vt:i4>
      </vt:variant>
      <vt:variant>
        <vt:i4>5</vt:i4>
      </vt:variant>
      <vt:variant>
        <vt:lpwstr>https://www.ato.gov.au/law/view/document?docid=TXD/TD201426/NAT/ATO/00001</vt:lpwstr>
      </vt:variant>
      <vt:variant>
        <vt:lpwstr/>
      </vt:variant>
      <vt:variant>
        <vt:i4>2031700</vt:i4>
      </vt:variant>
      <vt:variant>
        <vt:i4>351</vt:i4>
      </vt:variant>
      <vt:variant>
        <vt:i4>0</vt:i4>
      </vt:variant>
      <vt:variant>
        <vt:i4>5</vt:i4>
      </vt:variant>
      <vt:variant>
        <vt:lpwstr>https://www.blockchain4europe.eu/wp-content/uploads/2021/05/6.6056_JO_Cryptocurrencies_Statement_FINAL_WEB_111119-1.pdf</vt:lpwstr>
      </vt:variant>
      <vt:variant>
        <vt:lpwstr/>
      </vt:variant>
      <vt:variant>
        <vt:i4>5832773</vt:i4>
      </vt:variant>
      <vt:variant>
        <vt:i4>348</vt:i4>
      </vt:variant>
      <vt:variant>
        <vt:i4>0</vt:i4>
      </vt:variant>
      <vt:variant>
        <vt:i4>5</vt:i4>
      </vt:variant>
      <vt:variant>
        <vt:lpwstr>https://assets.publishing.service.gov.uk/government/uploads/system/uploads/attachment_data/file/752070/cryptoassets_taskforce_final_report_final_web.pdf</vt:lpwstr>
      </vt:variant>
      <vt:variant>
        <vt:lpwstr/>
      </vt:variant>
      <vt:variant>
        <vt:i4>4718600</vt:i4>
      </vt:variant>
      <vt:variant>
        <vt:i4>345</vt:i4>
      </vt:variant>
      <vt:variant>
        <vt:i4>0</vt:i4>
      </vt:variant>
      <vt:variant>
        <vt:i4>5</vt:i4>
      </vt:variant>
      <vt:variant>
        <vt:lpwstr>https://www.forbes.com/sites/digital-assets/article/the-metaverse-explained/?sh=7e9423d348bd</vt:lpwstr>
      </vt:variant>
      <vt:variant>
        <vt:lpwstr/>
      </vt:variant>
      <vt:variant>
        <vt:i4>655434</vt:i4>
      </vt:variant>
      <vt:variant>
        <vt:i4>342</vt:i4>
      </vt:variant>
      <vt:variant>
        <vt:i4>0</vt:i4>
      </vt:variant>
      <vt:variant>
        <vt:i4>5</vt:i4>
      </vt:variant>
      <vt:variant>
        <vt:lpwstr>https://www.mckinsey.com/featured-insights/mckinsey-explainers/what-is-the-metaverse</vt:lpwstr>
      </vt:variant>
      <vt:variant>
        <vt:lpwstr/>
      </vt:variant>
      <vt:variant>
        <vt:i4>5963807</vt:i4>
      </vt:variant>
      <vt:variant>
        <vt:i4>339</vt:i4>
      </vt:variant>
      <vt:variant>
        <vt:i4>0</vt:i4>
      </vt:variant>
      <vt:variant>
        <vt:i4>5</vt:i4>
      </vt:variant>
      <vt:variant>
        <vt:lpwstr>http://www.matthewball.vc/all/forwardtothemetaverseprimer</vt:lpwstr>
      </vt:variant>
      <vt:variant>
        <vt:lpwstr/>
      </vt:variant>
      <vt:variant>
        <vt:i4>7602215</vt:i4>
      </vt:variant>
      <vt:variant>
        <vt:i4>336</vt:i4>
      </vt:variant>
      <vt:variant>
        <vt:i4>0</vt:i4>
      </vt:variant>
      <vt:variant>
        <vt:i4>5</vt:i4>
      </vt:variant>
      <vt:variant>
        <vt:lpwstr>https://www.vice.com/en/article/93bmyv/what-is-the-metaverse-internet-technology-vr</vt:lpwstr>
      </vt:variant>
      <vt:variant>
        <vt:lpwstr/>
      </vt:variant>
      <vt:variant>
        <vt:i4>7995501</vt:i4>
      </vt:variant>
      <vt:variant>
        <vt:i4>333</vt:i4>
      </vt:variant>
      <vt:variant>
        <vt:i4>0</vt:i4>
      </vt:variant>
      <vt:variant>
        <vt:i4>5</vt:i4>
      </vt:variant>
      <vt:variant>
        <vt:lpwstr>https://www.weforum.org/agenda/2022/11/gamefi-finance-shaped-by-crypto-regulations/</vt:lpwstr>
      </vt:variant>
      <vt:variant>
        <vt:lpwstr/>
      </vt:variant>
      <vt:variant>
        <vt:i4>5308496</vt:i4>
      </vt:variant>
      <vt:variant>
        <vt:i4>330</vt:i4>
      </vt:variant>
      <vt:variant>
        <vt:i4>0</vt:i4>
      </vt:variant>
      <vt:variant>
        <vt:i4>5</vt:i4>
      </vt:variant>
      <vt:variant>
        <vt:lpwstr>https://cointelegraph.com/learn/a-beginners-guide-to-the-gamefi-ecosystem</vt:lpwstr>
      </vt:variant>
      <vt:variant>
        <vt:lpwstr/>
      </vt:variant>
      <vt:variant>
        <vt:i4>2621498</vt:i4>
      </vt:variant>
      <vt:variant>
        <vt:i4>327</vt:i4>
      </vt:variant>
      <vt:variant>
        <vt:i4>0</vt:i4>
      </vt:variant>
      <vt:variant>
        <vt:i4>5</vt:i4>
      </vt:variant>
      <vt:variant>
        <vt:lpwstr>https://limechain.tech/blog/what-is-gamefi/</vt:lpwstr>
      </vt:variant>
      <vt:variant>
        <vt:lpwstr/>
      </vt:variant>
      <vt:variant>
        <vt:i4>1376277</vt:i4>
      </vt:variant>
      <vt:variant>
        <vt:i4>324</vt:i4>
      </vt:variant>
      <vt:variant>
        <vt:i4>0</vt:i4>
      </vt:variant>
      <vt:variant>
        <vt:i4>5</vt:i4>
      </vt:variant>
      <vt:variant>
        <vt:lpwstr>https://www.nfttech.com/newsroom/comparing-the-ico-boom-of-2017-18-and-the-nft-boom-of-2021</vt:lpwstr>
      </vt:variant>
      <vt:variant>
        <vt:lpwstr>:~:text=At%20their%20peak%2C%20ICOs%20had,angel%20and%20seed%20VC%20investments</vt:lpwstr>
      </vt:variant>
      <vt:variant>
        <vt:i4>1376277</vt:i4>
      </vt:variant>
      <vt:variant>
        <vt:i4>321</vt:i4>
      </vt:variant>
      <vt:variant>
        <vt:i4>0</vt:i4>
      </vt:variant>
      <vt:variant>
        <vt:i4>5</vt:i4>
      </vt:variant>
      <vt:variant>
        <vt:lpwstr>https://www.nfttech.com/newsroom/comparing-the-ico-boom-of-2017-18-and-the-nft-boom-of-2021</vt:lpwstr>
      </vt:variant>
      <vt:variant>
        <vt:lpwstr>:~:text=At%20their%20peak%2C%20ICOs%20had,angel%20and%20seed%20VC%20investments</vt:lpwstr>
      </vt:variant>
      <vt:variant>
        <vt:i4>1376277</vt:i4>
      </vt:variant>
      <vt:variant>
        <vt:i4>318</vt:i4>
      </vt:variant>
      <vt:variant>
        <vt:i4>0</vt:i4>
      </vt:variant>
      <vt:variant>
        <vt:i4>5</vt:i4>
      </vt:variant>
      <vt:variant>
        <vt:lpwstr>https://www.nfttech.com/newsroom/comparing-the-ico-boom-of-2017-18-and-the-nft-boom-of-2021</vt:lpwstr>
      </vt:variant>
      <vt:variant>
        <vt:lpwstr>:~:text=At%20their%20peak%2C%20ICOs%20had,angel%20and%20seed%20VC%20investments</vt:lpwstr>
      </vt:variant>
      <vt:variant>
        <vt:i4>7143546</vt:i4>
      </vt:variant>
      <vt:variant>
        <vt:i4>315</vt:i4>
      </vt:variant>
      <vt:variant>
        <vt:i4>0</vt:i4>
      </vt:variant>
      <vt:variant>
        <vt:i4>5</vt:i4>
      </vt:variant>
      <vt:variant>
        <vt:lpwstr>https://www.investopedia.com/terms/a/airdrop-cryptocurrency.asp</vt:lpwstr>
      </vt:variant>
      <vt:variant>
        <vt:lpwstr/>
      </vt:variant>
      <vt:variant>
        <vt:i4>7602209</vt:i4>
      </vt:variant>
      <vt:variant>
        <vt:i4>312</vt:i4>
      </vt:variant>
      <vt:variant>
        <vt:i4>0</vt:i4>
      </vt:variant>
      <vt:variant>
        <vt:i4>5</vt:i4>
      </vt:variant>
      <vt:variant>
        <vt:lpwstr>https://101blockchains.com/crypto-airdrop/?gad_source=1&amp;gclid=CjwKCAiA-vOsBhAAEiwAIWR0TUdcBp9-sqq3iuRZ5Uf8aSPWX-YlIB7NDgHiWPw3Zxf-sJEA3YrKMBoCcdoQAvD_BwE</vt:lpwstr>
      </vt:variant>
      <vt:variant>
        <vt:lpwstr/>
      </vt:variant>
      <vt:variant>
        <vt:i4>5308505</vt:i4>
      </vt:variant>
      <vt:variant>
        <vt:i4>309</vt:i4>
      </vt:variant>
      <vt:variant>
        <vt:i4>0</vt:i4>
      </vt:variant>
      <vt:variant>
        <vt:i4>5</vt:i4>
      </vt:variant>
      <vt:variant>
        <vt:lpwstr>https://chain.link/education-hub/flash-loans</vt:lpwstr>
      </vt:variant>
      <vt:variant>
        <vt:lpwstr/>
      </vt:variant>
      <vt:variant>
        <vt:i4>6553715</vt:i4>
      </vt:variant>
      <vt:variant>
        <vt:i4>306</vt:i4>
      </vt:variant>
      <vt:variant>
        <vt:i4>0</vt:i4>
      </vt:variant>
      <vt:variant>
        <vt:i4>5</vt:i4>
      </vt:variant>
      <vt:variant>
        <vt:lpwstr>https://www.tastycrypto.com/blog/custodial-wallets-vs-self-custody-wallets-beginners-guide/</vt:lpwstr>
      </vt:variant>
      <vt:variant>
        <vt:lpwstr/>
      </vt:variant>
      <vt:variant>
        <vt:i4>6684709</vt:i4>
      </vt:variant>
      <vt:variant>
        <vt:i4>303</vt:i4>
      </vt:variant>
      <vt:variant>
        <vt:i4>0</vt:i4>
      </vt:variant>
      <vt:variant>
        <vt:i4>5</vt:i4>
      </vt:variant>
      <vt:variant>
        <vt:lpwstr>https://www.coindesk.com/learn/2024/01/11/what-are-crypto-otc-desks-and-how-do-they-work/</vt:lpwstr>
      </vt:variant>
      <vt:variant>
        <vt:lpwstr>:~:text=Crypto%20OTC%20desks%20exist%20to,about%20their%20intention%20or%20transaction</vt:lpwstr>
      </vt:variant>
      <vt:variant>
        <vt:i4>7012403</vt:i4>
      </vt:variant>
      <vt:variant>
        <vt:i4>300</vt:i4>
      </vt:variant>
      <vt:variant>
        <vt:i4>0</vt:i4>
      </vt:variant>
      <vt:variant>
        <vt:i4>5</vt:i4>
      </vt:variant>
      <vt:variant>
        <vt:lpwstr>https://yellowcard.io/blog/what-is-crypto-otc-how-does-it-work/</vt:lpwstr>
      </vt:variant>
      <vt:variant>
        <vt:lpwstr/>
      </vt:variant>
      <vt:variant>
        <vt:i4>6815784</vt:i4>
      </vt:variant>
      <vt:variant>
        <vt:i4>297</vt:i4>
      </vt:variant>
      <vt:variant>
        <vt:i4>0</vt:i4>
      </vt:variant>
      <vt:variant>
        <vt:i4>5</vt:i4>
      </vt:variant>
      <vt:variant>
        <vt:lpwstr>https://www.kraken.com/learn/custodial-non-custodial-crypto-wallet</vt:lpwstr>
      </vt:variant>
      <vt:variant>
        <vt:lpwstr/>
      </vt:variant>
      <vt:variant>
        <vt:i4>3145841</vt:i4>
      </vt:variant>
      <vt:variant>
        <vt:i4>294</vt:i4>
      </vt:variant>
      <vt:variant>
        <vt:i4>0</vt:i4>
      </vt:variant>
      <vt:variant>
        <vt:i4>5</vt:i4>
      </vt:variant>
      <vt:variant>
        <vt:lpwstr>https://help.coinbase.com/en/coinbase/other-topics/legal-policies/what-does-coinbase-do-with-my-digital-assets</vt:lpwstr>
      </vt:variant>
      <vt:variant>
        <vt:lpwstr>:~:text=Coinbase.com%20is%20a%20centralized,a%20hosted%20digital%20asset%20wallet</vt:lpwstr>
      </vt:variant>
      <vt:variant>
        <vt:i4>7995497</vt:i4>
      </vt:variant>
      <vt:variant>
        <vt:i4>291</vt:i4>
      </vt:variant>
      <vt:variant>
        <vt:i4>0</vt:i4>
      </vt:variant>
      <vt:variant>
        <vt:i4>5</vt:i4>
      </vt:variant>
      <vt:variant>
        <vt:lpwstr>https://www.fool.com/terms/l/liquidity-mining/</vt:lpwstr>
      </vt:variant>
      <vt:variant>
        <vt:lpwstr/>
      </vt:variant>
      <vt:variant>
        <vt:i4>2359350</vt:i4>
      </vt:variant>
      <vt:variant>
        <vt:i4>288</vt:i4>
      </vt:variant>
      <vt:variant>
        <vt:i4>0</vt:i4>
      </vt:variant>
      <vt:variant>
        <vt:i4>5</vt:i4>
      </vt:variant>
      <vt:variant>
        <vt:lpwstr>https://academy.shrimpy.io/lesson/what-is-liquidity-mining</vt:lpwstr>
      </vt:variant>
      <vt:variant>
        <vt:lpwstr/>
      </vt:variant>
      <vt:variant>
        <vt:i4>8192096</vt:i4>
      </vt:variant>
      <vt:variant>
        <vt:i4>285</vt:i4>
      </vt:variant>
      <vt:variant>
        <vt:i4>0</vt:i4>
      </vt:variant>
      <vt:variant>
        <vt:i4>5</vt:i4>
      </vt:variant>
      <vt:variant>
        <vt:lpwstr>https://www.coindesk.com/learn/what-are-wrapped-tokens/</vt:lpwstr>
      </vt:variant>
      <vt:variant>
        <vt:lpwstr/>
      </vt:variant>
      <vt:variant>
        <vt:i4>5636168</vt:i4>
      </vt:variant>
      <vt:variant>
        <vt:i4>282</vt:i4>
      </vt:variant>
      <vt:variant>
        <vt:i4>0</vt:i4>
      </vt:variant>
      <vt:variant>
        <vt:i4>5</vt:i4>
      </vt:variant>
      <vt:variant>
        <vt:lpwstr>https://komodoplatform.com/en/academy/wrapped-tokens/</vt:lpwstr>
      </vt:variant>
      <vt:variant>
        <vt:lpwstr/>
      </vt:variant>
      <vt:variant>
        <vt:i4>4456460</vt:i4>
      </vt:variant>
      <vt:variant>
        <vt:i4>279</vt:i4>
      </vt:variant>
      <vt:variant>
        <vt:i4>0</vt:i4>
      </vt:variant>
      <vt:variant>
        <vt:i4>5</vt:i4>
      </vt:variant>
      <vt:variant>
        <vt:lpwstr>https://cointelegraph.com/learn/a-beginners-guide-to-understanding-wrapped-tokens-and-wrapped-bitcoin</vt:lpwstr>
      </vt:variant>
      <vt:variant>
        <vt:lpwstr/>
      </vt:variant>
      <vt:variant>
        <vt:i4>3473517</vt:i4>
      </vt:variant>
      <vt:variant>
        <vt:i4>276</vt:i4>
      </vt:variant>
      <vt:variant>
        <vt:i4>0</vt:i4>
      </vt:variant>
      <vt:variant>
        <vt:i4>5</vt:i4>
      </vt:variant>
      <vt:variant>
        <vt:lpwstr>https://blog.accubits.com/wrapping-vs-swapping-vs-bridging-an-intro-to-crypto-facelift/</vt:lpwstr>
      </vt:variant>
      <vt:variant>
        <vt:lpwstr/>
      </vt:variant>
      <vt:variant>
        <vt:i4>7405610</vt:i4>
      </vt:variant>
      <vt:variant>
        <vt:i4>273</vt:i4>
      </vt:variant>
      <vt:variant>
        <vt:i4>0</vt:i4>
      </vt:variant>
      <vt:variant>
        <vt:i4>5</vt:i4>
      </vt:variant>
      <vt:variant>
        <vt:lpwstr>https://www.investopedia.com/tech/why-crypto-users-need-know-about-erc20-token-standard/</vt:lpwstr>
      </vt:variant>
      <vt:variant>
        <vt:lpwstr>:~:text=ERC20%20is%20a%20community%2Dproposed,elements%20must%20all%20be%20present</vt:lpwstr>
      </vt:variant>
      <vt:variant>
        <vt:i4>1310723</vt:i4>
      </vt:variant>
      <vt:variant>
        <vt:i4>270</vt:i4>
      </vt:variant>
      <vt:variant>
        <vt:i4>0</vt:i4>
      </vt:variant>
      <vt:variant>
        <vt:i4>5</vt:i4>
      </vt:variant>
      <vt:variant>
        <vt:lpwstr>https://www.bitcoin.com/get-started/what-is-weth/</vt:lpwstr>
      </vt:variant>
      <vt:variant>
        <vt:lpwstr/>
      </vt:variant>
      <vt:variant>
        <vt:i4>1310723</vt:i4>
      </vt:variant>
      <vt:variant>
        <vt:i4>267</vt:i4>
      </vt:variant>
      <vt:variant>
        <vt:i4>0</vt:i4>
      </vt:variant>
      <vt:variant>
        <vt:i4>5</vt:i4>
      </vt:variant>
      <vt:variant>
        <vt:lpwstr>https://www.bitcoin.com/get-started/what-is-weth/</vt:lpwstr>
      </vt:variant>
      <vt:variant>
        <vt:lpwstr/>
      </vt:variant>
      <vt:variant>
        <vt:i4>5570571</vt:i4>
      </vt:variant>
      <vt:variant>
        <vt:i4>264</vt:i4>
      </vt:variant>
      <vt:variant>
        <vt:i4>0</vt:i4>
      </vt:variant>
      <vt:variant>
        <vt:i4>5</vt:i4>
      </vt:variant>
      <vt:variant>
        <vt:lpwstr>https://austreasury-my.sharepoint.com/personal/maree_caulfield_treasury_gov_au/Documents/About Us</vt:lpwstr>
      </vt:variant>
      <vt:variant>
        <vt:lpwstr/>
      </vt:variant>
      <vt:variant>
        <vt:i4>5898321</vt:i4>
      </vt:variant>
      <vt:variant>
        <vt:i4>261</vt:i4>
      </vt:variant>
      <vt:variant>
        <vt:i4>0</vt:i4>
      </vt:variant>
      <vt:variant>
        <vt:i4>5</vt:i4>
      </vt:variant>
      <vt:variant>
        <vt:lpwstr>https://www.coindesk.com/learn/what-are-blockchain-bridges-and-how-do-they-work/</vt:lpwstr>
      </vt:variant>
      <vt:variant>
        <vt:lpwstr/>
      </vt:variant>
      <vt:variant>
        <vt:i4>6094912</vt:i4>
      </vt:variant>
      <vt:variant>
        <vt:i4>258</vt:i4>
      </vt:variant>
      <vt:variant>
        <vt:i4>0</vt:i4>
      </vt:variant>
      <vt:variant>
        <vt:i4>5</vt:i4>
      </vt:variant>
      <vt:variant>
        <vt:lpwstr>https://www.coindesk.com/learn/an-introduction-to-sidechains/</vt:lpwstr>
      </vt:variant>
      <vt:variant>
        <vt:lpwstr/>
      </vt:variant>
      <vt:variant>
        <vt:i4>4325467</vt:i4>
      </vt:variant>
      <vt:variant>
        <vt:i4>255</vt:i4>
      </vt:variant>
      <vt:variant>
        <vt:i4>0</vt:i4>
      </vt:variant>
      <vt:variant>
        <vt:i4>5</vt:i4>
      </vt:variant>
      <vt:variant>
        <vt:lpwstr>https://crypto.com/university/what-are-sidechains-scaling-blockchain</vt:lpwstr>
      </vt:variant>
      <vt:variant>
        <vt:lpwstr/>
      </vt:variant>
      <vt:variant>
        <vt:i4>786505</vt:i4>
      </vt:variant>
      <vt:variant>
        <vt:i4>252</vt:i4>
      </vt:variant>
      <vt:variant>
        <vt:i4>0</vt:i4>
      </vt:variant>
      <vt:variant>
        <vt:i4>5</vt:i4>
      </vt:variant>
      <vt:variant>
        <vt:lpwstr>https://www.oecd.org/daf/fin/financial-markets/Why-Decentralised-Finance-DeFi-Matters-and-the-Policy-Implications.pdf</vt:lpwstr>
      </vt:variant>
      <vt:variant>
        <vt:lpwstr/>
      </vt:variant>
      <vt:variant>
        <vt:i4>1310839</vt:i4>
      </vt:variant>
      <vt:variant>
        <vt:i4>249</vt:i4>
      </vt:variant>
      <vt:variant>
        <vt:i4>0</vt:i4>
      </vt:variant>
      <vt:variant>
        <vt:i4>5</vt:i4>
      </vt:variant>
      <vt:variant>
        <vt:lpwstr>https://www3.weforum.org/docs/WEF_DeFi_Policy_Maker_Toolkit_2021.pdf</vt:lpwstr>
      </vt:variant>
      <vt:variant>
        <vt:lpwstr/>
      </vt:variant>
      <vt:variant>
        <vt:i4>1703941</vt:i4>
      </vt:variant>
      <vt:variant>
        <vt:i4>246</vt:i4>
      </vt:variant>
      <vt:variant>
        <vt:i4>0</vt:i4>
      </vt:variant>
      <vt:variant>
        <vt:i4>5</vt:i4>
      </vt:variant>
      <vt:variant>
        <vt:lpwstr>https://www.investopedia.com/tech/history-bitcoin-hard-forks/</vt:lpwstr>
      </vt:variant>
      <vt:variant>
        <vt:lpwstr/>
      </vt:variant>
      <vt:variant>
        <vt:i4>2162726</vt:i4>
      </vt:variant>
      <vt:variant>
        <vt:i4>243</vt:i4>
      </vt:variant>
      <vt:variant>
        <vt:i4>0</vt:i4>
      </vt:variant>
      <vt:variant>
        <vt:i4>5</vt:i4>
      </vt:variant>
      <vt:variant>
        <vt:lpwstr>https://www2.deloitte.com/content/dam/Deloitte/de/Documents/Innovation/IE_Cons_BlockchainHardFork.pdf</vt:lpwstr>
      </vt:variant>
      <vt:variant>
        <vt:lpwstr/>
      </vt:variant>
      <vt:variant>
        <vt:i4>7798841</vt:i4>
      </vt:variant>
      <vt:variant>
        <vt:i4>240</vt:i4>
      </vt:variant>
      <vt:variant>
        <vt:i4>0</vt:i4>
      </vt:variant>
      <vt:variant>
        <vt:i4>5</vt:i4>
      </vt:variant>
      <vt:variant>
        <vt:lpwstr>https://www2.deloitte.com/ie/en/pages/technology/articles/DAO-Attack-Analysis.html</vt:lpwstr>
      </vt:variant>
      <vt:variant>
        <vt:lpwstr/>
      </vt:variant>
      <vt:variant>
        <vt:i4>1703941</vt:i4>
      </vt:variant>
      <vt:variant>
        <vt:i4>237</vt:i4>
      </vt:variant>
      <vt:variant>
        <vt:i4>0</vt:i4>
      </vt:variant>
      <vt:variant>
        <vt:i4>5</vt:i4>
      </vt:variant>
      <vt:variant>
        <vt:lpwstr>https://www.investopedia.com/tech/history-bitcoin-hard-forks/</vt:lpwstr>
      </vt:variant>
      <vt:variant>
        <vt:lpwstr/>
      </vt:variant>
      <vt:variant>
        <vt:i4>4718680</vt:i4>
      </vt:variant>
      <vt:variant>
        <vt:i4>234</vt:i4>
      </vt:variant>
      <vt:variant>
        <vt:i4>0</vt:i4>
      </vt:variant>
      <vt:variant>
        <vt:i4>5</vt:i4>
      </vt:variant>
      <vt:variant>
        <vt:lpwstr>https://blog.bitfinex.com/education/the-fork-wars-what-is-bitcoin-independence-day/</vt:lpwstr>
      </vt:variant>
      <vt:variant>
        <vt:lpwstr>:~:text=This%20group%20initiated%20a%20hard,in%20August%202017%20as%20well</vt:lpwstr>
      </vt:variant>
      <vt:variant>
        <vt:i4>4390915</vt:i4>
      </vt:variant>
      <vt:variant>
        <vt:i4>231</vt:i4>
      </vt:variant>
      <vt:variant>
        <vt:i4>0</vt:i4>
      </vt:variant>
      <vt:variant>
        <vt:i4>5</vt:i4>
      </vt:variant>
      <vt:variant>
        <vt:lpwstr>https://corporatefinanceinstitute.com/resources/cryptocurrency/hard-fork/%3e.</vt:lpwstr>
      </vt:variant>
      <vt:variant>
        <vt:lpwstr/>
      </vt:variant>
      <vt:variant>
        <vt:i4>6619187</vt:i4>
      </vt:variant>
      <vt:variant>
        <vt:i4>228</vt:i4>
      </vt:variant>
      <vt:variant>
        <vt:i4>0</vt:i4>
      </vt:variant>
      <vt:variant>
        <vt:i4>5</vt:i4>
      </vt:variant>
      <vt:variant>
        <vt:lpwstr>https://lawcom.gov.uk/project/decentralised-autonomous-organisations-daos/</vt:lpwstr>
      </vt:variant>
      <vt:variant>
        <vt:lpwstr/>
      </vt:variant>
      <vt:variant>
        <vt:i4>3932202</vt:i4>
      </vt:variant>
      <vt:variant>
        <vt:i4>225</vt:i4>
      </vt:variant>
      <vt:variant>
        <vt:i4>0</vt:i4>
      </vt:variant>
      <vt:variant>
        <vt:i4>5</vt:i4>
      </vt:variant>
      <vt:variant>
        <vt:lpwstr>https://www.alrc.gov.au/wp-content/uploads/2022/10/FSL7-New-Business-Models-Technologies-and-Practices.pdf</vt:lpwstr>
      </vt:variant>
      <vt:variant>
        <vt:lpwstr/>
      </vt:variant>
      <vt:variant>
        <vt:i4>5111902</vt:i4>
      </vt:variant>
      <vt:variant>
        <vt:i4>222</vt:i4>
      </vt:variant>
      <vt:variant>
        <vt:i4>0</vt:i4>
      </vt:variant>
      <vt:variant>
        <vt:i4>5</vt:i4>
      </vt:variant>
      <vt:variant>
        <vt:lpwstr>https://datarella.com/governance-tokens-the-new-medium-of-power/</vt:lpwstr>
      </vt:variant>
      <vt:variant>
        <vt:lpwstr/>
      </vt:variant>
      <vt:variant>
        <vt:i4>1441870</vt:i4>
      </vt:variant>
      <vt:variant>
        <vt:i4>219</vt:i4>
      </vt:variant>
      <vt:variant>
        <vt:i4>0</vt:i4>
      </vt:variant>
      <vt:variant>
        <vt:i4>5</vt:i4>
      </vt:variant>
      <vt:variant>
        <vt:lpwstr>https://funds.galaxy.com/crypto-101/what-are-daos</vt:lpwstr>
      </vt:variant>
      <vt:variant>
        <vt:lpwstr/>
      </vt:variant>
      <vt:variant>
        <vt:i4>131153</vt:i4>
      </vt:variant>
      <vt:variant>
        <vt:i4>216</vt:i4>
      </vt:variant>
      <vt:variant>
        <vt:i4>0</vt:i4>
      </vt:variant>
      <vt:variant>
        <vt:i4>5</vt:i4>
      </vt:variant>
      <vt:variant>
        <vt:lpwstr>https://www.iosco.org/library/pubdocs/pdf/IOSCOPD699.pdf</vt:lpwstr>
      </vt:variant>
      <vt:variant>
        <vt:lpwstr/>
      </vt:variant>
      <vt:variant>
        <vt:i4>6619187</vt:i4>
      </vt:variant>
      <vt:variant>
        <vt:i4>213</vt:i4>
      </vt:variant>
      <vt:variant>
        <vt:i4>0</vt:i4>
      </vt:variant>
      <vt:variant>
        <vt:i4>5</vt:i4>
      </vt:variant>
      <vt:variant>
        <vt:lpwstr>https://lawcom.gov.uk/project/decentralised-autonomous-organisations-daos/</vt:lpwstr>
      </vt:variant>
      <vt:variant>
        <vt:lpwstr/>
      </vt:variant>
      <vt:variant>
        <vt:i4>5111902</vt:i4>
      </vt:variant>
      <vt:variant>
        <vt:i4>210</vt:i4>
      </vt:variant>
      <vt:variant>
        <vt:i4>0</vt:i4>
      </vt:variant>
      <vt:variant>
        <vt:i4>5</vt:i4>
      </vt:variant>
      <vt:variant>
        <vt:lpwstr>https://datarella.com/governance-tokens-the-new-medium-of-power/</vt:lpwstr>
      </vt:variant>
      <vt:variant>
        <vt:lpwstr/>
      </vt:variant>
      <vt:variant>
        <vt:i4>2424886</vt:i4>
      </vt:variant>
      <vt:variant>
        <vt:i4>207</vt:i4>
      </vt:variant>
      <vt:variant>
        <vt:i4>0</vt:i4>
      </vt:variant>
      <vt:variant>
        <vt:i4>5</vt:i4>
      </vt:variant>
      <vt:variant>
        <vt:lpwstr>https://ethereum.org/en/governance/</vt:lpwstr>
      </vt:variant>
      <vt:variant>
        <vt:lpwstr/>
      </vt:variant>
      <vt:variant>
        <vt:i4>2424886</vt:i4>
      </vt:variant>
      <vt:variant>
        <vt:i4>204</vt:i4>
      </vt:variant>
      <vt:variant>
        <vt:i4>0</vt:i4>
      </vt:variant>
      <vt:variant>
        <vt:i4>5</vt:i4>
      </vt:variant>
      <vt:variant>
        <vt:lpwstr>https://ethereum.org/en/governance/</vt:lpwstr>
      </vt:variant>
      <vt:variant>
        <vt:lpwstr/>
      </vt:variant>
      <vt:variant>
        <vt:i4>3670134</vt:i4>
      </vt:variant>
      <vt:variant>
        <vt:i4>201</vt:i4>
      </vt:variant>
      <vt:variant>
        <vt:i4>0</vt:i4>
      </vt:variant>
      <vt:variant>
        <vt:i4>5</vt:i4>
      </vt:variant>
      <vt:variant>
        <vt:lpwstr>https://www.bitcoin.com/get-started/what-is-bitcoin-governance/</vt:lpwstr>
      </vt:variant>
      <vt:variant>
        <vt:lpwstr/>
      </vt:variant>
      <vt:variant>
        <vt:i4>2424886</vt:i4>
      </vt:variant>
      <vt:variant>
        <vt:i4>198</vt:i4>
      </vt:variant>
      <vt:variant>
        <vt:i4>0</vt:i4>
      </vt:variant>
      <vt:variant>
        <vt:i4>5</vt:i4>
      </vt:variant>
      <vt:variant>
        <vt:lpwstr>https://ethereum.org/en/governance/</vt:lpwstr>
      </vt:variant>
      <vt:variant>
        <vt:lpwstr/>
      </vt:variant>
      <vt:variant>
        <vt:i4>3670134</vt:i4>
      </vt:variant>
      <vt:variant>
        <vt:i4>195</vt:i4>
      </vt:variant>
      <vt:variant>
        <vt:i4>0</vt:i4>
      </vt:variant>
      <vt:variant>
        <vt:i4>5</vt:i4>
      </vt:variant>
      <vt:variant>
        <vt:lpwstr>https://www.bitcoin.com/get-started/what-is-bitcoin-governance/</vt:lpwstr>
      </vt:variant>
      <vt:variant>
        <vt:lpwstr/>
      </vt:variant>
      <vt:variant>
        <vt:i4>2424886</vt:i4>
      </vt:variant>
      <vt:variant>
        <vt:i4>192</vt:i4>
      </vt:variant>
      <vt:variant>
        <vt:i4>0</vt:i4>
      </vt:variant>
      <vt:variant>
        <vt:i4>5</vt:i4>
      </vt:variant>
      <vt:variant>
        <vt:lpwstr>https://ethereum.org/en/governance/</vt:lpwstr>
      </vt:variant>
      <vt:variant>
        <vt:lpwstr/>
      </vt:variant>
      <vt:variant>
        <vt:i4>589913</vt:i4>
      </vt:variant>
      <vt:variant>
        <vt:i4>189</vt:i4>
      </vt:variant>
      <vt:variant>
        <vt:i4>0</vt:i4>
      </vt:variant>
      <vt:variant>
        <vt:i4>5</vt:i4>
      </vt:variant>
      <vt:variant>
        <vt:lpwstr>https://www.vaneck.com/us/en/investments/ethereum-strategy-etf-efut/overview/</vt:lpwstr>
      </vt:variant>
      <vt:variant>
        <vt:lpwstr/>
      </vt:variant>
      <vt:variant>
        <vt:i4>5701745</vt:i4>
      </vt:variant>
      <vt:variant>
        <vt:i4>186</vt:i4>
      </vt:variant>
      <vt:variant>
        <vt:i4>0</vt:i4>
      </vt:variant>
      <vt:variant>
        <vt:i4>5</vt:i4>
      </vt:variant>
      <vt:variant>
        <vt:lpwstr>https://twitter.com/vaneck_us/status/1707888406758367303</vt:lpwstr>
      </vt:variant>
      <vt:variant>
        <vt:lpwstr/>
      </vt:variant>
      <vt:variant>
        <vt:i4>8192033</vt:i4>
      </vt:variant>
      <vt:variant>
        <vt:i4>183</vt:i4>
      </vt:variant>
      <vt:variant>
        <vt:i4>0</vt:i4>
      </vt:variant>
      <vt:variant>
        <vt:i4>5</vt:i4>
      </vt:variant>
      <vt:variant>
        <vt:lpwstr>https://hrf.org/devfund</vt:lpwstr>
      </vt:variant>
      <vt:variant>
        <vt:lpwstr/>
      </vt:variant>
      <vt:variant>
        <vt:i4>5111902</vt:i4>
      </vt:variant>
      <vt:variant>
        <vt:i4>180</vt:i4>
      </vt:variant>
      <vt:variant>
        <vt:i4>0</vt:i4>
      </vt:variant>
      <vt:variant>
        <vt:i4>5</vt:i4>
      </vt:variant>
      <vt:variant>
        <vt:lpwstr>https://datarella.com/governance-tokens-the-new-medium-of-power/</vt:lpwstr>
      </vt:variant>
      <vt:variant>
        <vt:lpwstr/>
      </vt:variant>
      <vt:variant>
        <vt:i4>2424886</vt:i4>
      </vt:variant>
      <vt:variant>
        <vt:i4>177</vt:i4>
      </vt:variant>
      <vt:variant>
        <vt:i4>0</vt:i4>
      </vt:variant>
      <vt:variant>
        <vt:i4>5</vt:i4>
      </vt:variant>
      <vt:variant>
        <vt:lpwstr>https://ethereum.org/en/governance/</vt:lpwstr>
      </vt:variant>
      <vt:variant>
        <vt:lpwstr/>
      </vt:variant>
      <vt:variant>
        <vt:i4>3604556</vt:i4>
      </vt:variant>
      <vt:variant>
        <vt:i4>174</vt:i4>
      </vt:variant>
      <vt:variant>
        <vt:i4>0</vt:i4>
      </vt:variant>
      <vt:variant>
        <vt:i4>5</vt:i4>
      </vt:variant>
      <vt:variant>
        <vt:lpwstr>https://papers.ssrn.com/sol3/papers.cfm?abstract_id=4254360</vt:lpwstr>
      </vt:variant>
      <vt:variant>
        <vt:lpwstr/>
      </vt:variant>
      <vt:variant>
        <vt:i4>1245205</vt:i4>
      </vt:variant>
      <vt:variant>
        <vt:i4>171</vt:i4>
      </vt:variant>
      <vt:variant>
        <vt:i4>0</vt:i4>
      </vt:variant>
      <vt:variant>
        <vt:i4>5</vt:i4>
      </vt:variant>
      <vt:variant>
        <vt:lpwstr>https://hbr.org/2022/05/what-is-web3</vt:lpwstr>
      </vt:variant>
      <vt:variant>
        <vt:lpwstr/>
      </vt:variant>
      <vt:variant>
        <vt:i4>4063335</vt:i4>
      </vt:variant>
      <vt:variant>
        <vt:i4>168</vt:i4>
      </vt:variant>
      <vt:variant>
        <vt:i4>0</vt:i4>
      </vt:variant>
      <vt:variant>
        <vt:i4>5</vt:i4>
      </vt:variant>
      <vt:variant>
        <vt:lpwstr>https://www.ledger.com/academy/bitcoin-smart-contracts-and-apps-do-they-even-exist</vt:lpwstr>
      </vt:variant>
      <vt:variant>
        <vt:lpwstr/>
      </vt:variant>
      <vt:variant>
        <vt:i4>4587538</vt:i4>
      </vt:variant>
      <vt:variant>
        <vt:i4>165</vt:i4>
      </vt:variant>
      <vt:variant>
        <vt:i4>0</vt:i4>
      </vt:variant>
      <vt:variant>
        <vt:i4>5</vt:i4>
      </vt:variant>
      <vt:variant>
        <vt:lpwstr>https://www.investopedia.com/terms/s/satoshi.asp</vt:lpwstr>
      </vt:variant>
      <vt:variant>
        <vt:lpwstr/>
      </vt:variant>
      <vt:variant>
        <vt:i4>4587525</vt:i4>
      </vt:variant>
      <vt:variant>
        <vt:i4>162</vt:i4>
      </vt:variant>
      <vt:variant>
        <vt:i4>0</vt:i4>
      </vt:variant>
      <vt:variant>
        <vt:i4>5</vt:i4>
      </vt:variant>
      <vt:variant>
        <vt:lpwstr>https://www.rba.gov.au/payments-and-infrastructure/central-bank-digital-currency/</vt:lpwstr>
      </vt:variant>
      <vt:variant>
        <vt:lpwstr/>
      </vt:variant>
      <vt:variant>
        <vt:i4>4587525</vt:i4>
      </vt:variant>
      <vt:variant>
        <vt:i4>159</vt:i4>
      </vt:variant>
      <vt:variant>
        <vt:i4>0</vt:i4>
      </vt:variant>
      <vt:variant>
        <vt:i4>5</vt:i4>
      </vt:variant>
      <vt:variant>
        <vt:lpwstr>https://www.rba.gov.au/payments-and-infrastructure/central-bank-digital-currency/</vt:lpwstr>
      </vt:variant>
      <vt:variant>
        <vt:lpwstr/>
      </vt:variant>
      <vt:variant>
        <vt:i4>2031700</vt:i4>
      </vt:variant>
      <vt:variant>
        <vt:i4>156</vt:i4>
      </vt:variant>
      <vt:variant>
        <vt:i4>0</vt:i4>
      </vt:variant>
      <vt:variant>
        <vt:i4>5</vt:i4>
      </vt:variant>
      <vt:variant>
        <vt:lpwstr>https://hackernoon.com/bitcoin-utxo-vs-ethereums-account-based-blockchain-transactions-explained-simply-164x37f5</vt:lpwstr>
      </vt:variant>
      <vt:variant>
        <vt:lpwstr/>
      </vt:variant>
      <vt:variant>
        <vt:i4>6684711</vt:i4>
      </vt:variant>
      <vt:variant>
        <vt:i4>153</vt:i4>
      </vt:variant>
      <vt:variant>
        <vt:i4>0</vt:i4>
      </vt:variant>
      <vt:variant>
        <vt:i4>5</vt:i4>
      </vt:variant>
      <vt:variant>
        <vt:lpwstr>https://www.rain.com/learn/what-is-ethereums-accounts-based-model-and-how-does-it-work</vt:lpwstr>
      </vt:variant>
      <vt:variant>
        <vt:lpwstr/>
      </vt:variant>
      <vt:variant>
        <vt:i4>4194309</vt:i4>
      </vt:variant>
      <vt:variant>
        <vt:i4>150</vt:i4>
      </vt:variant>
      <vt:variant>
        <vt:i4>0</vt:i4>
      </vt:variant>
      <vt:variant>
        <vt:i4>5</vt:i4>
      </vt:variant>
      <vt:variant>
        <vt:lpwstr>https://www.kraken.com/learn/what-is-bitcoin-unspent-transaction-output-utxo</vt:lpwstr>
      </vt:variant>
      <vt:variant>
        <vt:lpwstr/>
      </vt:variant>
      <vt:variant>
        <vt:i4>7471162</vt:i4>
      </vt:variant>
      <vt:variant>
        <vt:i4>147</vt:i4>
      </vt:variant>
      <vt:variant>
        <vt:i4>0</vt:i4>
      </vt:variant>
      <vt:variant>
        <vt:i4>5</vt:i4>
      </vt:variant>
      <vt:variant>
        <vt:lpwstr>https://academy.binance.com/en/glossary/unspent-transaction-output-utxo</vt:lpwstr>
      </vt:variant>
      <vt:variant>
        <vt:lpwstr/>
      </vt:variant>
      <vt:variant>
        <vt:i4>1835091</vt:i4>
      </vt:variant>
      <vt:variant>
        <vt:i4>144</vt:i4>
      </vt:variant>
      <vt:variant>
        <vt:i4>0</vt:i4>
      </vt:variant>
      <vt:variant>
        <vt:i4>5</vt:i4>
      </vt:variant>
      <vt:variant>
        <vt:lpwstr>https://www.investopedia.com/terms/u/utxo.asp</vt:lpwstr>
      </vt:variant>
      <vt:variant>
        <vt:lpwstr/>
      </vt:variant>
      <vt:variant>
        <vt:i4>1376273</vt:i4>
      </vt:variant>
      <vt:variant>
        <vt:i4>141</vt:i4>
      </vt:variant>
      <vt:variant>
        <vt:i4>0</vt:i4>
      </vt:variant>
      <vt:variant>
        <vt:i4>5</vt:i4>
      </vt:variant>
      <vt:variant>
        <vt:lpwstr>https://www.ethernodes.org/countries?synced=1</vt:lpwstr>
      </vt:variant>
      <vt:variant>
        <vt:lpwstr/>
      </vt:variant>
      <vt:variant>
        <vt:i4>524374</vt:i4>
      </vt:variant>
      <vt:variant>
        <vt:i4>138</vt:i4>
      </vt:variant>
      <vt:variant>
        <vt:i4>0</vt:i4>
      </vt:variant>
      <vt:variant>
        <vt:i4>5</vt:i4>
      </vt:variant>
      <vt:variant>
        <vt:lpwstr>https://tradewise.community/how-many-nodes-ethereum-has-estimating-the-total-number-of-nodes-in-the-ethereum-network/</vt:lpwstr>
      </vt:variant>
      <vt:variant>
        <vt:lpwstr/>
      </vt:variant>
      <vt:variant>
        <vt:i4>4063335</vt:i4>
      </vt:variant>
      <vt:variant>
        <vt:i4>135</vt:i4>
      </vt:variant>
      <vt:variant>
        <vt:i4>0</vt:i4>
      </vt:variant>
      <vt:variant>
        <vt:i4>5</vt:i4>
      </vt:variant>
      <vt:variant>
        <vt:lpwstr>https://www.ledger.com/academy/bitcoin-smart-contracts-and-apps-do-they-even-exist</vt:lpwstr>
      </vt:variant>
      <vt:variant>
        <vt:lpwstr/>
      </vt:variant>
      <vt:variant>
        <vt:i4>8257577</vt:i4>
      </vt:variant>
      <vt:variant>
        <vt:i4>132</vt:i4>
      </vt:variant>
      <vt:variant>
        <vt:i4>0</vt:i4>
      </vt:variant>
      <vt:variant>
        <vt:i4>5</vt:i4>
      </vt:variant>
      <vt:variant>
        <vt:lpwstr>https://www.investopedia.com/how-to-stake-ethereum-7482623</vt:lpwstr>
      </vt:variant>
      <vt:variant>
        <vt:lpwstr>:~:text=Randomly%20chosen%20validators%20holding%20a,portions%20of%20network%20transaction%20fees</vt:lpwstr>
      </vt:variant>
      <vt:variant>
        <vt:i4>1245250</vt:i4>
      </vt:variant>
      <vt:variant>
        <vt:i4>129</vt:i4>
      </vt:variant>
      <vt:variant>
        <vt:i4>0</vt:i4>
      </vt:variant>
      <vt:variant>
        <vt:i4>5</vt:i4>
      </vt:variant>
      <vt:variant>
        <vt:lpwstr>https://coincodex.com/article/31766/how-many-ethereum-are-there/</vt:lpwstr>
      </vt:variant>
      <vt:variant>
        <vt:lpwstr/>
      </vt:variant>
      <vt:variant>
        <vt:i4>4784133</vt:i4>
      </vt:variant>
      <vt:variant>
        <vt:i4>126</vt:i4>
      </vt:variant>
      <vt:variant>
        <vt:i4>0</vt:i4>
      </vt:variant>
      <vt:variant>
        <vt:i4>5</vt:i4>
      </vt:variant>
      <vt:variant>
        <vt:lpwstr>https://101blockchains.com/ether-eth/</vt:lpwstr>
      </vt:variant>
      <vt:variant>
        <vt:lpwstr/>
      </vt:variant>
      <vt:variant>
        <vt:i4>3801122</vt:i4>
      </vt:variant>
      <vt:variant>
        <vt:i4>123</vt:i4>
      </vt:variant>
      <vt:variant>
        <vt:i4>0</vt:i4>
      </vt:variant>
      <vt:variant>
        <vt:i4>5</vt:i4>
      </vt:variant>
      <vt:variant>
        <vt:lpwstr>https://ethereum.org/en/developers/docs/intro-to-ether</vt:lpwstr>
      </vt:variant>
      <vt:variant>
        <vt:lpwstr/>
      </vt:variant>
      <vt:variant>
        <vt:i4>5767232</vt:i4>
      </vt:variant>
      <vt:variant>
        <vt:i4>120</vt:i4>
      </vt:variant>
      <vt:variant>
        <vt:i4>0</vt:i4>
      </vt:variant>
      <vt:variant>
        <vt:i4>5</vt:i4>
      </vt:variant>
      <vt:variant>
        <vt:lpwstr>https://piertwo.com/research/relation-between-gas-fees-and-validator-rewards/</vt:lpwstr>
      </vt:variant>
      <vt:variant>
        <vt:lpwstr/>
      </vt:variant>
      <vt:variant>
        <vt:i4>2883643</vt:i4>
      </vt:variant>
      <vt:variant>
        <vt:i4>117</vt:i4>
      </vt:variant>
      <vt:variant>
        <vt:i4>0</vt:i4>
      </vt:variant>
      <vt:variant>
        <vt:i4>5</vt:i4>
      </vt:variant>
      <vt:variant>
        <vt:lpwstr>https://www.britannica.com/money/ethereum-gas-fees-eth</vt:lpwstr>
      </vt:variant>
      <vt:variant>
        <vt:lpwstr/>
      </vt:variant>
      <vt:variant>
        <vt:i4>73</vt:i4>
      </vt:variant>
      <vt:variant>
        <vt:i4>114</vt:i4>
      </vt:variant>
      <vt:variant>
        <vt:i4>0</vt:i4>
      </vt:variant>
      <vt:variant>
        <vt:i4>5</vt:i4>
      </vt:variant>
      <vt:variant>
        <vt:lpwstr>https://www.gemini.com/cryptopedia/what-are-gas-fees-gwei-gas-fees-eth-ether-transaction-fee</vt:lpwstr>
      </vt:variant>
      <vt:variant>
        <vt:lpwstr/>
      </vt:variant>
      <vt:variant>
        <vt:i4>458759</vt:i4>
      </vt:variant>
      <vt:variant>
        <vt:i4>111</vt:i4>
      </vt:variant>
      <vt:variant>
        <vt:i4>0</vt:i4>
      </vt:variant>
      <vt:variant>
        <vt:i4>5</vt:i4>
      </vt:variant>
      <vt:variant>
        <vt:lpwstr>https://www.ledger.com/academy/ethereum-staking-how-to-stake-eth</vt:lpwstr>
      </vt:variant>
      <vt:variant>
        <vt:lpwstr>:~:text=If%20you%20attempt%20to%20undermine,to%20earn%20a%20passive%20income</vt:lpwstr>
      </vt:variant>
      <vt:variant>
        <vt:i4>5308507</vt:i4>
      </vt:variant>
      <vt:variant>
        <vt:i4>108</vt:i4>
      </vt:variant>
      <vt:variant>
        <vt:i4>0</vt:i4>
      </vt:variant>
      <vt:variant>
        <vt:i4>5</vt:i4>
      </vt:variant>
      <vt:variant>
        <vt:lpwstr>https://ethereum.org/en/developers/docs/consensus-mechanisms/pos/</vt:lpwstr>
      </vt:variant>
      <vt:variant>
        <vt:lpwstr/>
      </vt:variant>
      <vt:variant>
        <vt:i4>2162793</vt:i4>
      </vt:variant>
      <vt:variant>
        <vt:i4>105</vt:i4>
      </vt:variant>
      <vt:variant>
        <vt:i4>0</vt:i4>
      </vt:variant>
      <vt:variant>
        <vt:i4>5</vt:i4>
      </vt:variant>
      <vt:variant>
        <vt:lpwstr>https://bitnodes.io/nodes/all/</vt:lpwstr>
      </vt:variant>
      <vt:variant>
        <vt:lpwstr/>
      </vt:variant>
      <vt:variant>
        <vt:i4>4653085</vt:i4>
      </vt:variant>
      <vt:variant>
        <vt:i4>102</vt:i4>
      </vt:variant>
      <vt:variant>
        <vt:i4>0</vt:i4>
      </vt:variant>
      <vt:variant>
        <vt:i4>5</vt:i4>
      </vt:variant>
      <vt:variant>
        <vt:lpwstr>https://bitnodes.io/</vt:lpwstr>
      </vt:variant>
      <vt:variant>
        <vt:lpwstr/>
      </vt:variant>
      <vt:variant>
        <vt:i4>524374</vt:i4>
      </vt:variant>
      <vt:variant>
        <vt:i4>99</vt:i4>
      </vt:variant>
      <vt:variant>
        <vt:i4>0</vt:i4>
      </vt:variant>
      <vt:variant>
        <vt:i4>5</vt:i4>
      </vt:variant>
      <vt:variant>
        <vt:lpwstr>https://tradewise.community/how-many-nodes-ethereum-has-estimating-the-total-number-of-nodes-in-the-ethereum-network/</vt:lpwstr>
      </vt:variant>
      <vt:variant>
        <vt:lpwstr/>
      </vt:variant>
      <vt:variant>
        <vt:i4>5898314</vt:i4>
      </vt:variant>
      <vt:variant>
        <vt:i4>96</vt:i4>
      </vt:variant>
      <vt:variant>
        <vt:i4>0</vt:i4>
      </vt:variant>
      <vt:variant>
        <vt:i4>5</vt:i4>
      </vt:variant>
      <vt:variant>
        <vt:lpwstr>https://cointelegraph.com/learn/what-is-a-bitcoin-node-a-beginners-guide-on-blockchain-nodes</vt:lpwstr>
      </vt:variant>
      <vt:variant>
        <vt:lpwstr/>
      </vt:variant>
      <vt:variant>
        <vt:i4>7929907</vt:i4>
      </vt:variant>
      <vt:variant>
        <vt:i4>93</vt:i4>
      </vt:variant>
      <vt:variant>
        <vt:i4>0</vt:i4>
      </vt:variant>
      <vt:variant>
        <vt:i4>5</vt:i4>
      </vt:variant>
      <vt:variant>
        <vt:lpwstr>https://www.investopedia.com/tech/how-does-bitcoin-mining-work/</vt:lpwstr>
      </vt:variant>
      <vt:variant>
        <vt:lpwstr/>
      </vt:variant>
      <vt:variant>
        <vt:i4>7929907</vt:i4>
      </vt:variant>
      <vt:variant>
        <vt:i4>90</vt:i4>
      </vt:variant>
      <vt:variant>
        <vt:i4>0</vt:i4>
      </vt:variant>
      <vt:variant>
        <vt:i4>5</vt:i4>
      </vt:variant>
      <vt:variant>
        <vt:lpwstr>https://www.investopedia.com/tech/how-does-bitcoin-mining-work/</vt:lpwstr>
      </vt:variant>
      <vt:variant>
        <vt:lpwstr/>
      </vt:variant>
      <vt:variant>
        <vt:i4>2490479</vt:i4>
      </vt:variant>
      <vt:variant>
        <vt:i4>87</vt:i4>
      </vt:variant>
      <vt:variant>
        <vt:i4>0</vt:i4>
      </vt:variant>
      <vt:variant>
        <vt:i4>5</vt:i4>
      </vt:variant>
      <vt:variant>
        <vt:lpwstr>https://river.com/learn/what-is-a-bitcoin-halving/</vt:lpwstr>
      </vt:variant>
      <vt:variant>
        <vt:lpwstr/>
      </vt:variant>
      <vt:variant>
        <vt:i4>2883627</vt:i4>
      </vt:variant>
      <vt:variant>
        <vt:i4>84</vt:i4>
      </vt:variant>
      <vt:variant>
        <vt:i4>0</vt:i4>
      </vt:variant>
      <vt:variant>
        <vt:i4>5</vt:i4>
      </vt:variant>
      <vt:variant>
        <vt:lpwstr>https://river.com/learn/terms/b/block-subsidy/</vt:lpwstr>
      </vt:variant>
      <vt:variant>
        <vt:lpwstr/>
      </vt:variant>
      <vt:variant>
        <vt:i4>8061049</vt:i4>
      </vt:variant>
      <vt:variant>
        <vt:i4>81</vt:i4>
      </vt:variant>
      <vt:variant>
        <vt:i4>0</vt:i4>
      </vt:variant>
      <vt:variant>
        <vt:i4>5</vt:i4>
      </vt:variant>
      <vt:variant>
        <vt:lpwstr>https://river.com/learn/how-bitcoin-fees-work/</vt:lpwstr>
      </vt:variant>
      <vt:variant>
        <vt:lpwstr/>
      </vt:variant>
      <vt:variant>
        <vt:i4>2752622</vt:i4>
      </vt:variant>
      <vt:variant>
        <vt:i4>78</vt:i4>
      </vt:variant>
      <vt:variant>
        <vt:i4>0</vt:i4>
      </vt:variant>
      <vt:variant>
        <vt:i4>5</vt:i4>
      </vt:variant>
      <vt:variant>
        <vt:lpwstr>https://www.linkedin.com/pulse/blockchain-protocols-fundamentals-luis-soares-m-sc-</vt:lpwstr>
      </vt:variant>
      <vt:variant>
        <vt:lpwstr>:~:text=Blockchain%20protocols%20are%20the%20underlying,security%2C%20consistency%2C%20and%20reliability.</vt:lpwstr>
      </vt:variant>
      <vt:variant>
        <vt:i4>2621496</vt:i4>
      </vt:variant>
      <vt:variant>
        <vt:i4>75</vt:i4>
      </vt:variant>
      <vt:variant>
        <vt:i4>0</vt:i4>
      </vt:variant>
      <vt:variant>
        <vt:i4>5</vt:i4>
      </vt:variant>
      <vt:variant>
        <vt:lpwstr>https://bitcoin.org/bitcoin.pdf</vt:lpwstr>
      </vt:variant>
      <vt:variant>
        <vt:lpwstr/>
      </vt:variant>
      <vt:variant>
        <vt:i4>7733359</vt:i4>
      </vt:variant>
      <vt:variant>
        <vt:i4>72</vt:i4>
      </vt:variant>
      <vt:variant>
        <vt:i4>0</vt:i4>
      </vt:variant>
      <vt:variant>
        <vt:i4>5</vt:i4>
      </vt:variant>
      <vt:variant>
        <vt:lpwstr>https://www.techtarget.com/searchcio/feature/6-alternatives-to-blockchain-for-businesses-to-consider</vt:lpwstr>
      </vt:variant>
      <vt:variant>
        <vt:lpwstr>:~:text=Attractive%20alternatives%20to%20blockchain%20for,structure%20for%20maintaining%20the%20ledger</vt:lpwstr>
      </vt:variant>
      <vt:variant>
        <vt:i4>7077991</vt:i4>
      </vt:variant>
      <vt:variant>
        <vt:i4>69</vt:i4>
      </vt:variant>
      <vt:variant>
        <vt:i4>0</vt:i4>
      </vt:variant>
      <vt:variant>
        <vt:i4>5</vt:i4>
      </vt:variant>
      <vt:variant>
        <vt:lpwstr>https://www.researchgate.net/publication/328475892_A_Review_of_Distributed_Ledger_Technologies</vt:lpwstr>
      </vt:variant>
      <vt:variant>
        <vt:lpwstr/>
      </vt:variant>
      <vt:variant>
        <vt:i4>327759</vt:i4>
      </vt:variant>
      <vt:variant>
        <vt:i4>66</vt:i4>
      </vt:variant>
      <vt:variant>
        <vt:i4>0</vt:i4>
      </vt:variant>
      <vt:variant>
        <vt:i4>5</vt:i4>
      </vt:variant>
      <vt:variant>
        <vt:lpwstr>https://www.nasdaq.com/solutions/marketplace-technology/about-digital-assets</vt:lpwstr>
      </vt:variant>
      <vt:variant>
        <vt:lpwstr/>
      </vt:variant>
      <vt:variant>
        <vt:i4>196703</vt:i4>
      </vt:variant>
      <vt:variant>
        <vt:i4>63</vt:i4>
      </vt:variant>
      <vt:variant>
        <vt:i4>0</vt:i4>
      </vt:variant>
      <vt:variant>
        <vt:i4>5</vt:i4>
      </vt:variant>
      <vt:variant>
        <vt:lpwstr>https://www.imf.org/en/Publications/WP/Issues/2023/09/30/New-Evidence-on-Spillovers-Between-Crypto-Assets-and-Financial-Markets-539476</vt:lpwstr>
      </vt:variant>
      <vt:variant>
        <vt:lpwstr>:~:text=Crypto%20assets%20predominantly%20transmit%20spillovers,shocks%2C%20generating%20financial%20stability%20risks.</vt:lpwstr>
      </vt:variant>
      <vt:variant>
        <vt:i4>2752567</vt:i4>
      </vt:variant>
      <vt:variant>
        <vt:i4>60</vt:i4>
      </vt:variant>
      <vt:variant>
        <vt:i4>0</vt:i4>
      </vt:variant>
      <vt:variant>
        <vt:i4>5</vt:i4>
      </vt:variant>
      <vt:variant>
        <vt:lpwstr>https://swyftx.com/wp-content/uploads/2023/08/Australian-crypto-survey-2023.pdf</vt:lpwstr>
      </vt:variant>
      <vt:variant>
        <vt:lpwstr/>
      </vt:variant>
      <vt:variant>
        <vt:i4>2687080</vt:i4>
      </vt:variant>
      <vt:variant>
        <vt:i4>57</vt:i4>
      </vt:variant>
      <vt:variant>
        <vt:i4>0</vt:i4>
      </vt:variant>
      <vt:variant>
        <vt:i4>5</vt:i4>
      </vt:variant>
      <vt:variant>
        <vt:lpwstr>https://www.ato.gov.au/media-centre/taking-the-cryptic-out-of-crypto-this-tax-time</vt:lpwstr>
      </vt:variant>
      <vt:variant>
        <vt:lpwstr/>
      </vt:variant>
      <vt:variant>
        <vt:i4>1376273</vt:i4>
      </vt:variant>
      <vt:variant>
        <vt:i4>54</vt:i4>
      </vt:variant>
      <vt:variant>
        <vt:i4>0</vt:i4>
      </vt:variant>
      <vt:variant>
        <vt:i4>5</vt:i4>
      </vt:variant>
      <vt:variant>
        <vt:lpwstr>https://www.roymorgan.com/findings/over-1-million-australians-now-own-cryptocurrencies-such-as-bitcoin-ethereum-ripple-cardano-dogecoin-and-shiba-inu</vt:lpwstr>
      </vt:variant>
      <vt:variant>
        <vt:lpwstr/>
      </vt:variant>
      <vt:variant>
        <vt:i4>3932202</vt:i4>
      </vt:variant>
      <vt:variant>
        <vt:i4>51</vt:i4>
      </vt:variant>
      <vt:variant>
        <vt:i4>0</vt:i4>
      </vt:variant>
      <vt:variant>
        <vt:i4>5</vt:i4>
      </vt:variant>
      <vt:variant>
        <vt:lpwstr>https://www.alrc.gov.au/wp-content/uploads/2022/10/FSL7-New-Business-Models-Technologies-and-Practices.pdf</vt:lpwstr>
      </vt:variant>
      <vt:variant>
        <vt:lpwstr/>
      </vt:variant>
      <vt:variant>
        <vt:i4>3342380</vt:i4>
      </vt:variant>
      <vt:variant>
        <vt:i4>48</vt:i4>
      </vt:variant>
      <vt:variant>
        <vt:i4>0</vt:i4>
      </vt:variant>
      <vt:variant>
        <vt:i4>5</vt:i4>
      </vt:variant>
      <vt:variant>
        <vt:lpwstr>https://www.alrc.gov.au/inquiry/review-of-the-legislative-framework-for-corporations-and-financial-services-regulation/terms-of-reference/</vt:lpwstr>
      </vt:variant>
      <vt:variant>
        <vt:lpwstr/>
      </vt:variant>
      <vt:variant>
        <vt:i4>2949165</vt:i4>
      </vt:variant>
      <vt:variant>
        <vt:i4>45</vt:i4>
      </vt:variant>
      <vt:variant>
        <vt:i4>0</vt:i4>
      </vt:variant>
      <vt:variant>
        <vt:i4>5</vt:i4>
      </vt:variant>
      <vt:variant>
        <vt:lpwstr>https://www.alrc.gov.au/inquiry/review-of-the-legislative-framework-for-corporations-and-financial-services-regulation/</vt:lpwstr>
      </vt:variant>
      <vt:variant>
        <vt:lpwstr/>
      </vt:variant>
      <vt:variant>
        <vt:i4>1638490</vt:i4>
      </vt:variant>
      <vt:variant>
        <vt:i4>42</vt:i4>
      </vt:variant>
      <vt:variant>
        <vt:i4>0</vt:i4>
      </vt:variant>
      <vt:variant>
        <vt:i4>5</vt:i4>
      </vt:variant>
      <vt:variant>
        <vt:lpwstr>https://treasury.gov.au/consultation/c2022-259046</vt:lpwstr>
      </vt:variant>
      <vt:variant>
        <vt:lpwstr/>
      </vt:variant>
      <vt:variant>
        <vt:i4>2687011</vt:i4>
      </vt:variant>
      <vt:variant>
        <vt:i4>39</vt:i4>
      </vt:variant>
      <vt:variant>
        <vt:i4>0</vt:i4>
      </vt:variant>
      <vt:variant>
        <vt:i4>5</vt:i4>
      </vt:variant>
      <vt:variant>
        <vt:lpwstr>https://www.oecd.org/tax/tax-policy/taxing-virtual-currencies-an-overview-of-tax-treatments-and-emerging-tax-policy-issues.htm</vt:lpwstr>
      </vt:variant>
      <vt:variant>
        <vt:lpwstr/>
      </vt:variant>
      <vt:variant>
        <vt:i4>3407981</vt:i4>
      </vt:variant>
      <vt:variant>
        <vt:i4>36</vt:i4>
      </vt:variant>
      <vt:variant>
        <vt:i4>0</vt:i4>
      </vt:variant>
      <vt:variant>
        <vt:i4>5</vt:i4>
      </vt:variant>
      <vt:variant>
        <vt:lpwstr>https://www.oecd.org/tax/exchange-of-tax-information/secretary-general-mathias-cormann-welcomes-pledge-by-48-countries-to-implement-global-tax-transparency-standard-for-crypto-assets.htm</vt:lpwstr>
      </vt:variant>
      <vt:variant>
        <vt:lpwstr/>
      </vt:variant>
      <vt:variant>
        <vt:i4>2818090</vt:i4>
      </vt:variant>
      <vt:variant>
        <vt:i4>33</vt:i4>
      </vt:variant>
      <vt:variant>
        <vt:i4>0</vt:i4>
      </vt:variant>
      <vt:variant>
        <vt:i4>5</vt:i4>
      </vt:variant>
      <vt:variant>
        <vt:lpwstr>https://doi.org/10.1787/896d79d1-en</vt:lpwstr>
      </vt:variant>
      <vt:variant>
        <vt:lpwstr/>
      </vt:variant>
      <vt:variant>
        <vt:i4>851991</vt:i4>
      </vt:variant>
      <vt:variant>
        <vt:i4>30</vt:i4>
      </vt:variant>
      <vt:variant>
        <vt:i4>0</vt:i4>
      </vt:variant>
      <vt:variant>
        <vt:i4>5</vt:i4>
      </vt:variant>
      <vt:variant>
        <vt:lpwstr>https://treasury.gov.au/publication/p2021-231824</vt:lpwstr>
      </vt:variant>
      <vt:variant>
        <vt:lpwstr/>
      </vt:variant>
      <vt:variant>
        <vt:i4>7209061</vt:i4>
      </vt:variant>
      <vt:variant>
        <vt:i4>27</vt:i4>
      </vt:variant>
      <vt:variant>
        <vt:i4>0</vt:i4>
      </vt:variant>
      <vt:variant>
        <vt:i4>5</vt:i4>
      </vt:variant>
      <vt:variant>
        <vt:lpwstr>https://www.aph.gov.au/Parliamentary_Business/Committees/Joint/Corporations_and_Financial_Services/Mobileanddigitalwallet/Report</vt:lpwstr>
      </vt:variant>
      <vt:variant>
        <vt:lpwstr/>
      </vt:variant>
      <vt:variant>
        <vt:i4>524379</vt:i4>
      </vt:variant>
      <vt:variant>
        <vt:i4>24</vt:i4>
      </vt:variant>
      <vt:variant>
        <vt:i4>0</vt:i4>
      </vt:variant>
      <vt:variant>
        <vt:i4>5</vt:i4>
      </vt:variant>
      <vt:variant>
        <vt:lpwstr>https://treasury.gov.au/sites/default/files/2021-08/p2021-198587.pdf</vt:lpwstr>
      </vt:variant>
      <vt:variant>
        <vt:lpwstr/>
      </vt:variant>
      <vt:variant>
        <vt:i4>2424866</vt:i4>
      </vt:variant>
      <vt:variant>
        <vt:i4>21</vt:i4>
      </vt:variant>
      <vt:variant>
        <vt:i4>0</vt:i4>
      </vt:variant>
      <vt:variant>
        <vt:i4>5</vt:i4>
      </vt:variant>
      <vt:variant>
        <vt:lpwstr>https://www.fsb.org/2020/04/addressing-the-regulatory-supervisory-and-oversight-challenges-raised-by-global-stablecoin-arrangements-consultative-document/</vt:lpwstr>
      </vt:variant>
      <vt:variant>
        <vt:lpwstr/>
      </vt:variant>
      <vt:variant>
        <vt:i4>3932163</vt:i4>
      </vt:variant>
      <vt:variant>
        <vt:i4>18</vt:i4>
      </vt:variant>
      <vt:variant>
        <vt:i4>0</vt:i4>
      </vt:variant>
      <vt:variant>
        <vt:i4>5</vt:i4>
      </vt:variant>
      <vt:variant>
        <vt:lpwstr>https://parlinfo.aph.gov.au/parlInfo/download/committees/reportsen/024747/toc_pdf/Finalreport.pdf;fileType=application%2Fpdf</vt:lpwstr>
      </vt:variant>
      <vt:variant>
        <vt:lpwstr/>
      </vt:variant>
      <vt:variant>
        <vt:i4>327759</vt:i4>
      </vt:variant>
      <vt:variant>
        <vt:i4>15</vt:i4>
      </vt:variant>
      <vt:variant>
        <vt:i4>0</vt:i4>
      </vt:variant>
      <vt:variant>
        <vt:i4>5</vt:i4>
      </vt:variant>
      <vt:variant>
        <vt:lpwstr>https://www.nasdaq.com/solutions/marketplace-technology/about-digital-assets</vt:lpwstr>
      </vt:variant>
      <vt:variant>
        <vt:lpwstr/>
      </vt:variant>
      <vt:variant>
        <vt:i4>2687011</vt:i4>
      </vt:variant>
      <vt:variant>
        <vt:i4>12</vt:i4>
      </vt:variant>
      <vt:variant>
        <vt:i4>0</vt:i4>
      </vt:variant>
      <vt:variant>
        <vt:i4>5</vt:i4>
      </vt:variant>
      <vt:variant>
        <vt:lpwstr>https://www.oecd.org/tax/tax-policy/taxing-virtual-currencies-an-overview-of-tax-treatments-and-emerging-tax-policy-issues.htm</vt:lpwstr>
      </vt:variant>
      <vt:variant>
        <vt:lpwstr/>
      </vt:variant>
      <vt:variant>
        <vt:i4>6619187</vt:i4>
      </vt:variant>
      <vt:variant>
        <vt:i4>9</vt:i4>
      </vt:variant>
      <vt:variant>
        <vt:i4>0</vt:i4>
      </vt:variant>
      <vt:variant>
        <vt:i4>5</vt:i4>
      </vt:variant>
      <vt:variant>
        <vt:lpwstr>https://lawcom.gov.uk/project/decentralised-autonomous-organisations-daos/</vt:lpwstr>
      </vt:variant>
      <vt:variant>
        <vt:lpwstr/>
      </vt:variant>
      <vt:variant>
        <vt:i4>3473441</vt:i4>
      </vt:variant>
      <vt:variant>
        <vt:i4>6</vt:i4>
      </vt:variant>
      <vt:variant>
        <vt:i4>0</vt:i4>
      </vt:variant>
      <vt:variant>
        <vt:i4>5</vt:i4>
      </vt:variant>
      <vt:variant>
        <vt:lpwstr>https://treasury.gov.au/sites/default/files/2023-02/c2023-341659-cp.pdf</vt:lpwstr>
      </vt:variant>
      <vt:variant>
        <vt:lpwstr/>
      </vt:variant>
      <vt:variant>
        <vt:i4>786460</vt:i4>
      </vt:variant>
      <vt:variant>
        <vt:i4>3</vt:i4>
      </vt:variant>
      <vt:variant>
        <vt:i4>0</vt:i4>
      </vt:variant>
      <vt:variant>
        <vt:i4>5</vt:i4>
      </vt:variant>
      <vt:variant>
        <vt:lpwstr>https://www.rba.gov.au/payments-and-infrastructure/central-bank-digital-currency/pdf/australian-cbdc-pilot-for-digital-finance-innovation-project-report.pdf</vt:lpwstr>
      </vt:variant>
      <vt:variant>
        <vt:lpwstr/>
      </vt:variant>
      <vt:variant>
        <vt:i4>1638421</vt:i4>
      </vt:variant>
      <vt:variant>
        <vt:i4>0</vt:i4>
      </vt:variant>
      <vt:variant>
        <vt:i4>0</vt:i4>
      </vt:variant>
      <vt:variant>
        <vt:i4>5</vt:i4>
      </vt:variant>
      <vt:variant>
        <vt:lpwstr>http://documents.worldbank.org/curated/en/177911513714062215/Distributed-Ledger-Technology-DLT-and-blockchain</vt:lpwstr>
      </vt:variant>
      <vt:variant>
        <vt:lpwstr/>
      </vt:variant>
      <vt:variant>
        <vt:i4>1900629</vt:i4>
      </vt:variant>
      <vt:variant>
        <vt:i4>0</vt:i4>
      </vt:variant>
      <vt:variant>
        <vt:i4>0</vt:i4>
      </vt:variant>
      <vt:variant>
        <vt:i4>5</vt:i4>
      </vt:variant>
      <vt:variant>
        <vt:lpwstr>https://www.stylemanual.gov.au/referencing-and-attribution/documentary-note</vt:lpwstr>
      </vt:variant>
      <vt:variant>
        <vt:lpwstr>put_reference_markers_in_the_right_place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tax treatment of digital assets and transactions in Australia</dc:title>
  <dc:subject/>
  <dc:creator/>
  <cp:keywords/>
  <dc:description/>
  <cp:lastModifiedBy/>
  <cp:revision>1</cp:revision>
  <dcterms:created xsi:type="dcterms:W3CDTF">2024-05-21T02:55:00Z</dcterms:created>
  <dcterms:modified xsi:type="dcterms:W3CDTF">2024-05-21T02:56:00Z</dcterms:modified>
  <cp:contentStatus/>
</cp:coreProperties>
</file>