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7FE0" w14:textId="1C36324D" w:rsidR="00E83F26" w:rsidRDefault="002D1219" w:rsidP="00E83F26">
      <w:pPr>
        <w:spacing w:after="2640"/>
        <w:jc w:val="center"/>
      </w:pPr>
      <w:r w:rsidRPr="00E83F26">
        <w:rPr>
          <w:b/>
          <w:caps/>
          <w:noProof/>
        </w:rPr>
        <w:drawing>
          <wp:anchor distT="0" distB="0" distL="114300" distR="114300" simplePos="0" relativeHeight="251658240" behindDoc="1" locked="0" layoutInCell="1" allowOverlap="1" wp14:anchorId="2A87EF2A" wp14:editId="49F713CC">
            <wp:simplePos x="0" y="0"/>
            <wp:positionH relativeFrom="page">
              <wp:align>right</wp:align>
            </wp:positionH>
            <wp:positionV relativeFrom="margin">
              <wp:posOffset>-470535</wp:posOffset>
            </wp:positionV>
            <wp:extent cx="7557135" cy="1008024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Cover_heading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7135" cy="10080245"/>
                    </a:xfrm>
                    <a:prstGeom prst="rect">
                      <a:avLst/>
                    </a:prstGeom>
                  </pic:spPr>
                </pic:pic>
              </a:graphicData>
            </a:graphic>
            <wp14:sizeRelH relativeFrom="margin">
              <wp14:pctWidth>0</wp14:pctWidth>
            </wp14:sizeRelH>
            <wp14:sizeRelV relativeFrom="margin">
              <wp14:pctHeight>0</wp14:pctHeight>
            </wp14:sizeRelV>
          </wp:anchor>
        </w:drawing>
      </w:r>
    </w:p>
    <w:p w14:paraId="1E4C13E6" w14:textId="7CD8A506" w:rsidR="00ED71F3" w:rsidRDefault="00ED71F3" w:rsidP="00436DED">
      <w:pPr>
        <w:pStyle w:val="Title"/>
        <w:spacing w:before="240"/>
      </w:pPr>
      <w:r w:rsidRPr="00ED71F3">
        <w:t>Review of the Tax Treatment of Digital Assets and Transactions</w:t>
      </w:r>
    </w:p>
    <w:p w14:paraId="1421BDF8" w14:textId="18ACE719" w:rsidR="00436DED" w:rsidRPr="005526CF" w:rsidRDefault="00436DED" w:rsidP="005526CF">
      <w:pPr>
        <w:jc w:val="right"/>
        <w:rPr>
          <w:rFonts w:asciiTheme="minorHAnsi" w:eastAsiaTheme="majorEastAsia" w:hAnsiTheme="minorHAnsi" w:cstheme="majorBidi"/>
          <w:iCs/>
          <w:color w:val="FFFFFF" w:themeColor="background1"/>
          <w:spacing w:val="15"/>
          <w:sz w:val="44"/>
          <w:szCs w:val="24"/>
        </w:rPr>
      </w:pPr>
      <w:r w:rsidRPr="005526CF">
        <w:rPr>
          <w:rFonts w:asciiTheme="minorHAnsi" w:eastAsiaTheme="majorEastAsia" w:hAnsiTheme="minorHAnsi" w:cstheme="majorBidi"/>
          <w:iCs/>
          <w:color w:val="FFFFFF" w:themeColor="background1"/>
          <w:spacing w:val="15"/>
          <w:sz w:val="44"/>
          <w:szCs w:val="24"/>
        </w:rPr>
        <w:t>Consultation Guide</w:t>
      </w:r>
    </w:p>
    <w:p w14:paraId="420315C6" w14:textId="77777777" w:rsidR="00AE0F89" w:rsidRPr="00AE0F89" w:rsidRDefault="00AE0F89" w:rsidP="00AE0F89"/>
    <w:p w14:paraId="100C7B61" w14:textId="51B8EAE8" w:rsidR="009F602D" w:rsidRPr="009F602D" w:rsidRDefault="009F602D" w:rsidP="009F602D"/>
    <w:p w14:paraId="2C4E95C9" w14:textId="1784C074" w:rsidR="00E83F26" w:rsidRPr="006B5D7C" w:rsidRDefault="00E83F26" w:rsidP="006B5D7C">
      <w:pPr>
        <w:pStyle w:val="Title"/>
      </w:pPr>
    </w:p>
    <w:p w14:paraId="5DD4F897" w14:textId="6674A244" w:rsidR="00E83F26" w:rsidRPr="00AE0F89" w:rsidRDefault="00353E86" w:rsidP="006B5D7C">
      <w:pPr>
        <w:pStyle w:val="Subtitle"/>
        <w:rPr>
          <w:color w:val="FFFFFF" w:themeColor="background1"/>
        </w:rPr>
      </w:pPr>
      <w:r>
        <w:rPr>
          <w:color w:val="FFFFFF" w:themeColor="background1"/>
        </w:rPr>
        <w:br/>
      </w:r>
      <w:r w:rsidR="00AD0C90" w:rsidRPr="00616E4D">
        <w:rPr>
          <w:color w:val="FFFFFF" w:themeColor="background1"/>
        </w:rPr>
        <w:t>August</w:t>
      </w:r>
      <w:r w:rsidRPr="00616E4D">
        <w:rPr>
          <w:color w:val="FFFFFF" w:themeColor="background1"/>
        </w:rPr>
        <w:t xml:space="preserve"> 2022</w:t>
      </w:r>
    </w:p>
    <w:p w14:paraId="2B419F28" w14:textId="77777777" w:rsidR="00A43962" w:rsidRPr="006B5D7C" w:rsidRDefault="00A43962" w:rsidP="006B5D7C">
      <w:pPr>
        <w:jc w:val="right"/>
        <w:rPr>
          <w:sz w:val="44"/>
          <w:szCs w:val="44"/>
        </w:rPr>
        <w:sectPr w:rsidR="00A43962" w:rsidRPr="006B5D7C" w:rsidSect="001D57F0">
          <w:headerReference w:type="even" r:id="rId14"/>
          <w:headerReference w:type="default" r:id="rId15"/>
          <w:footerReference w:type="even" r:id="rId16"/>
          <w:footerReference w:type="default" r:id="rId17"/>
          <w:headerReference w:type="first" r:id="rId18"/>
          <w:footerReference w:type="first" r:id="rId19"/>
          <w:pgSz w:w="11909" w:h="16834" w:code="9"/>
          <w:pgMar w:top="1701" w:right="1134" w:bottom="1701" w:left="1134" w:header="851" w:footer="851" w:gutter="0"/>
          <w:cols w:space="708"/>
          <w:titlePg/>
          <w:docGrid w:linePitch="360"/>
        </w:sectPr>
      </w:pPr>
    </w:p>
    <w:p w14:paraId="0F8382DF" w14:textId="24B3D775" w:rsidR="00A43962" w:rsidRDefault="00A43962" w:rsidP="006B5D7C">
      <w:r w:rsidRPr="006B5D7C">
        <w:lastRenderedPageBreak/>
        <w:t xml:space="preserve">© </w:t>
      </w:r>
      <w:r w:rsidRPr="00661BF0">
        <w:t xml:space="preserve">Commonwealth </w:t>
      </w:r>
      <w:r w:rsidRPr="00616E4D">
        <w:t>of Australia 20</w:t>
      </w:r>
      <w:r w:rsidR="00E57B78" w:rsidRPr="00616E4D">
        <w:t>22</w:t>
      </w:r>
    </w:p>
    <w:p w14:paraId="43406779" w14:textId="1CFC5952" w:rsidR="00A43962" w:rsidRPr="00086F82" w:rsidRDefault="00A43962" w:rsidP="006256BA">
      <w:pPr>
        <w:rPr>
          <w:rFonts w:cstheme="minorBidi"/>
          <w:sz w:val="24"/>
          <w:szCs w:val="24"/>
        </w:rPr>
      </w:pPr>
      <w:r w:rsidRPr="002F1BC2">
        <w:t>This publication is available for your use under a</w:t>
      </w:r>
      <w:r w:rsidRPr="00476F09">
        <w:rPr>
          <w:rFonts w:cstheme="minorHAnsi"/>
          <w:sz w:val="24"/>
          <w:szCs w:val="24"/>
        </w:rPr>
        <w:t xml:space="preserve"> </w:t>
      </w:r>
      <w:hyperlink r:id="rId2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rsidR="00616E4D">
        <w:t xml:space="preserve">. </w:t>
      </w:r>
      <w:r w:rsidRPr="002F1BC2">
        <w:t>The full licence terms are available from</w:t>
      </w:r>
      <w:r w:rsidR="00616E4D">
        <w:rPr>
          <w:rFonts w:cstheme="minorHAnsi"/>
          <w:sz w:val="24"/>
          <w:szCs w:val="24"/>
        </w:rPr>
        <w:t xml:space="preserve"> </w:t>
      </w:r>
      <w:hyperlink r:id="rId21" w:history="1">
        <w:r w:rsidR="00616E4D" w:rsidRPr="00E169A4">
          <w:rPr>
            <w:rStyle w:val="Hyperlink"/>
          </w:rPr>
          <w:t>http://creativecommons.org/licenses/by/3.0/au/legalcode</w:t>
        </w:r>
      </w:hyperlink>
      <w:r w:rsidRPr="006627B4">
        <w:rPr>
          <w:rStyle w:val="Hyperlink"/>
        </w:rPr>
        <w:t>.</w:t>
      </w:r>
      <w:r w:rsidRPr="00D06A21">
        <w:rPr>
          <w:sz w:val="24"/>
          <w:szCs w:val="24"/>
        </w:rPr>
        <w:t xml:space="preserve"> </w:t>
      </w:r>
    </w:p>
    <w:p w14:paraId="18CE6B38" w14:textId="77777777" w:rsidR="00A43962" w:rsidRDefault="00A43962" w:rsidP="006256BA">
      <w:pPr>
        <w:pStyle w:val="ChartGraphic"/>
        <w:spacing w:after="120"/>
        <w:jc w:val="left"/>
      </w:pPr>
      <w:r w:rsidRPr="00E56DFB">
        <w:rPr>
          <w:noProof/>
        </w:rPr>
        <w:drawing>
          <wp:inline distT="0" distB="0" distL="0" distR="0" wp14:anchorId="56832D5A" wp14:editId="016FBE73">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1F40A27" w14:textId="77777777" w:rsidR="00A43962" w:rsidRPr="006627B4" w:rsidRDefault="00A43962" w:rsidP="006256BA">
      <w:r w:rsidRPr="006627B4">
        <w:t>Use of Treasury material under a</w:t>
      </w:r>
      <w:r w:rsidRPr="00476F09">
        <w:rPr>
          <w:rFonts w:cstheme="minorHAnsi"/>
          <w:sz w:val="24"/>
          <w:szCs w:val="24"/>
        </w:rPr>
        <w:t xml:space="preserve"> </w:t>
      </w:r>
      <w:hyperlink r:id="rId23"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4A364698" w14:textId="77777777" w:rsidR="00A43962" w:rsidRPr="006256BA" w:rsidRDefault="00A43962" w:rsidP="006256BA">
      <w:pPr>
        <w:rPr>
          <w:b/>
        </w:rPr>
      </w:pPr>
      <w:r w:rsidRPr="006256BA">
        <w:rPr>
          <w:b/>
        </w:rPr>
        <w:t>Treasury material used ‘as supplied’.</w:t>
      </w:r>
    </w:p>
    <w:p w14:paraId="1F3F198D" w14:textId="77777777" w:rsidR="00A43962" w:rsidRPr="00476F09" w:rsidRDefault="00A43962" w:rsidP="006256BA">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2C3F204" w14:textId="72D59F14" w:rsidR="00A43962" w:rsidRPr="00A13A11" w:rsidRDefault="00A43962" w:rsidP="00A43962">
      <w:pPr>
        <w:ind w:firstLine="720"/>
      </w:pPr>
      <w:r w:rsidRPr="002F1BC2">
        <w:rPr>
          <w:i/>
        </w:rPr>
        <w:t xml:space="preserve">Source: </w:t>
      </w:r>
      <w:r>
        <w:rPr>
          <w:i/>
        </w:rPr>
        <w:t>The Board of Taxation</w:t>
      </w:r>
    </w:p>
    <w:p w14:paraId="42285B58" w14:textId="77777777" w:rsidR="00A43962" w:rsidRPr="006256BA" w:rsidRDefault="00A43962" w:rsidP="006256BA">
      <w:pPr>
        <w:rPr>
          <w:b/>
        </w:rPr>
      </w:pPr>
      <w:r w:rsidRPr="006256BA">
        <w:rPr>
          <w:b/>
        </w:rPr>
        <w:t>Derivative material</w:t>
      </w:r>
    </w:p>
    <w:p w14:paraId="21451B48" w14:textId="77777777" w:rsidR="00A43962" w:rsidRPr="006627B4" w:rsidRDefault="00A43962" w:rsidP="006256BA">
      <w:r w:rsidRPr="006627B4">
        <w:t xml:space="preserve">If you have modified or transformed Treasury material, or derived new material from those of the Treasury in any way, then Treasury prefers the following attribution: </w:t>
      </w:r>
    </w:p>
    <w:p w14:paraId="73346A9A" w14:textId="5E1BB5E2" w:rsidR="00A43962" w:rsidRPr="006627B4" w:rsidRDefault="00A43962" w:rsidP="00A43962">
      <w:pPr>
        <w:ind w:firstLine="720"/>
      </w:pPr>
      <w:r w:rsidRPr="002F1BC2">
        <w:rPr>
          <w:i/>
        </w:rPr>
        <w:t xml:space="preserve">Based on </w:t>
      </w:r>
      <w:r>
        <w:rPr>
          <w:i/>
        </w:rPr>
        <w:t>the Board of Taxation</w:t>
      </w:r>
      <w:r w:rsidRPr="002F1BC2">
        <w:rPr>
          <w:i/>
        </w:rPr>
        <w:t xml:space="preserve"> data</w:t>
      </w:r>
      <w:r w:rsidRPr="006627B4">
        <w:t xml:space="preserve"> </w:t>
      </w:r>
    </w:p>
    <w:p w14:paraId="3CEA80CB" w14:textId="77777777" w:rsidR="00A43962" w:rsidRPr="006256BA" w:rsidRDefault="00A43962" w:rsidP="006256BA">
      <w:pPr>
        <w:spacing w:before="240"/>
        <w:rPr>
          <w:b/>
        </w:rPr>
      </w:pPr>
      <w:r w:rsidRPr="006256BA">
        <w:rPr>
          <w:b/>
        </w:rPr>
        <w:t>Use of the Coat of Arms</w:t>
      </w:r>
    </w:p>
    <w:p w14:paraId="0B5BC67D" w14:textId="0CAC7F18" w:rsidR="00A43962" w:rsidRPr="006627B4" w:rsidRDefault="00820CAF" w:rsidP="00820CAF">
      <w:r w:rsidRPr="00820CAF">
        <w:t>The terms under which the Coat of Arms can be used are set out on the Department of the Prime Minister and Cabinet website (see</w:t>
      </w:r>
      <w:r w:rsidR="00616E4D">
        <w:t xml:space="preserve"> </w:t>
      </w:r>
      <w:hyperlink r:id="rId24" w:history="1">
        <w:r w:rsidRPr="00522C0B">
          <w:rPr>
            <w:rStyle w:val="Hyperlink"/>
          </w:rPr>
          <w:t>www.pmc.gov.au/government/commonwealth-coat-arms</w:t>
        </w:r>
      </w:hyperlink>
      <w:r w:rsidR="00616E4D">
        <w:rPr>
          <w:rStyle w:val="Hyperlink"/>
        </w:rPr>
        <w:t>)</w:t>
      </w:r>
      <w:r w:rsidRPr="00820CAF">
        <w:t>.</w:t>
      </w:r>
    </w:p>
    <w:p w14:paraId="5ADA5B9C" w14:textId="77777777" w:rsidR="00A43962" w:rsidRPr="006627B4" w:rsidRDefault="00A43962" w:rsidP="006256BA">
      <w:pPr>
        <w:spacing w:before="240"/>
        <w:rPr>
          <w:b/>
        </w:rPr>
      </w:pPr>
      <w:r>
        <w:rPr>
          <w:b/>
        </w:rPr>
        <w:t>Other u</w:t>
      </w:r>
      <w:r w:rsidRPr="006627B4">
        <w:rPr>
          <w:b/>
        </w:rPr>
        <w:t>ses</w:t>
      </w:r>
    </w:p>
    <w:p w14:paraId="05F96457" w14:textId="77777777" w:rsidR="00A43962" w:rsidRPr="006627B4" w:rsidRDefault="00A43962" w:rsidP="00A43962">
      <w:r>
        <w:t>E</w:t>
      </w:r>
      <w:r w:rsidRPr="006627B4">
        <w:t>nquiries regarding this licence and any other use of this document are welcome at:</w:t>
      </w:r>
    </w:p>
    <w:p w14:paraId="4B8B09F6" w14:textId="77777777" w:rsidR="00A43962" w:rsidRPr="002F1BC2" w:rsidRDefault="00A43962" w:rsidP="006256BA">
      <w:pPr>
        <w:ind w:left="720"/>
        <w:rPr>
          <w:rStyle w:val="Hyperlink"/>
        </w:rPr>
      </w:pPr>
      <w:r w:rsidRPr="006256BA">
        <w:t>Manager</w:t>
      </w:r>
      <w:r w:rsidRPr="006256BA">
        <w:br/>
        <w:t>Media and Speeches Unit</w:t>
      </w:r>
      <w:r w:rsidRPr="006256BA">
        <w:br/>
        <w:t>The Treasury</w:t>
      </w:r>
      <w:r w:rsidRPr="006256BA">
        <w:br/>
        <w:t>Langton Crescent</w:t>
      </w:r>
      <w:r w:rsidRPr="006627B4">
        <w:t xml:space="preserve">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5" w:history="1">
        <w:r w:rsidRPr="00B31CFB">
          <w:rPr>
            <w:rStyle w:val="Hyperlink"/>
          </w:rPr>
          <w:t>medialiaison@treasury.gov.au</w:t>
        </w:r>
      </w:hyperlink>
    </w:p>
    <w:p w14:paraId="300A1097" w14:textId="77777777" w:rsidR="006256BA" w:rsidRDefault="006256BA" w:rsidP="006256BA">
      <w:pPr>
        <w:sectPr w:rsidR="006256BA" w:rsidSect="001D57F0">
          <w:headerReference w:type="even" r:id="rId26"/>
          <w:headerReference w:type="default" r:id="rId27"/>
          <w:headerReference w:type="first" r:id="rId28"/>
          <w:footerReference w:type="first" r:id="rId29"/>
          <w:pgSz w:w="11909" w:h="16834" w:code="9"/>
          <w:pgMar w:top="1701" w:right="1134" w:bottom="1701" w:left="1134" w:header="851" w:footer="851" w:gutter="0"/>
          <w:cols w:space="708"/>
          <w:titlePg/>
          <w:docGrid w:linePitch="360"/>
        </w:sectPr>
      </w:pPr>
    </w:p>
    <w:p w14:paraId="0D2B2BC1" w14:textId="53B2A18F" w:rsidR="006256BA" w:rsidRDefault="006256BA">
      <w:pPr>
        <w:pStyle w:val="ContentsHeading"/>
      </w:pPr>
      <w:r>
        <w:lastRenderedPageBreak/>
        <w:t>Contents</w:t>
      </w:r>
    </w:p>
    <w:p w14:paraId="5A4E0EC5" w14:textId="41427DE9" w:rsidR="006731F1" w:rsidRDefault="00785BA4">
      <w:pPr>
        <w:pStyle w:val="TOC1"/>
        <w:rPr>
          <w:rFonts w:eastAsiaTheme="minorEastAsia" w:cstheme="minorBidi"/>
          <w:b w:val="0"/>
          <w:noProof/>
          <w:color w:val="auto"/>
        </w:rPr>
      </w:pPr>
      <w:r>
        <w:rPr>
          <w:b w:val="0"/>
          <w:smallCaps/>
        </w:rPr>
        <w:fldChar w:fldCharType="begin"/>
      </w:r>
      <w:r>
        <w:rPr>
          <w:b w:val="0"/>
        </w:rPr>
        <w:instrText xml:space="preserve"> TOC \o "1-1" \t "Heading 2,2,PreChapterHeading,1" </w:instrText>
      </w:r>
      <w:r>
        <w:rPr>
          <w:b w:val="0"/>
          <w:smallCaps/>
        </w:rPr>
        <w:fldChar w:fldCharType="separate"/>
      </w:r>
      <w:r w:rsidR="006731F1">
        <w:rPr>
          <w:noProof/>
        </w:rPr>
        <w:t>The Board’s Review</w:t>
      </w:r>
      <w:r w:rsidR="006731F1">
        <w:rPr>
          <w:noProof/>
        </w:rPr>
        <w:tab/>
      </w:r>
      <w:r w:rsidR="006731F1">
        <w:rPr>
          <w:noProof/>
        </w:rPr>
        <w:fldChar w:fldCharType="begin"/>
      </w:r>
      <w:r w:rsidR="006731F1">
        <w:rPr>
          <w:noProof/>
        </w:rPr>
        <w:instrText xml:space="preserve"> PAGEREF _Toc111632921 \h </w:instrText>
      </w:r>
      <w:r w:rsidR="006731F1">
        <w:rPr>
          <w:noProof/>
        </w:rPr>
      </w:r>
      <w:r w:rsidR="006731F1">
        <w:rPr>
          <w:noProof/>
        </w:rPr>
        <w:fldChar w:fldCharType="separate"/>
      </w:r>
      <w:r w:rsidR="006731F1">
        <w:rPr>
          <w:noProof/>
        </w:rPr>
        <w:t>4</w:t>
      </w:r>
      <w:r w:rsidR="006731F1">
        <w:rPr>
          <w:noProof/>
        </w:rPr>
        <w:fldChar w:fldCharType="end"/>
      </w:r>
    </w:p>
    <w:p w14:paraId="7F99751A" w14:textId="6B48CBC6" w:rsidR="006731F1" w:rsidRDefault="006731F1">
      <w:pPr>
        <w:pStyle w:val="TOC1"/>
        <w:rPr>
          <w:rFonts w:eastAsiaTheme="minorEastAsia" w:cstheme="minorBidi"/>
          <w:b w:val="0"/>
          <w:noProof/>
          <w:color w:val="auto"/>
        </w:rPr>
      </w:pPr>
      <w:r>
        <w:rPr>
          <w:noProof/>
        </w:rPr>
        <w:t>Review and Consultation Process</w:t>
      </w:r>
      <w:r>
        <w:rPr>
          <w:noProof/>
        </w:rPr>
        <w:tab/>
      </w:r>
      <w:r>
        <w:rPr>
          <w:noProof/>
        </w:rPr>
        <w:fldChar w:fldCharType="begin"/>
      </w:r>
      <w:r>
        <w:rPr>
          <w:noProof/>
        </w:rPr>
        <w:instrText xml:space="preserve"> PAGEREF _Toc111632922 \h </w:instrText>
      </w:r>
      <w:r>
        <w:rPr>
          <w:noProof/>
        </w:rPr>
      </w:r>
      <w:r>
        <w:rPr>
          <w:noProof/>
        </w:rPr>
        <w:fldChar w:fldCharType="separate"/>
      </w:r>
      <w:r>
        <w:rPr>
          <w:noProof/>
        </w:rPr>
        <w:t>6</w:t>
      </w:r>
      <w:r>
        <w:rPr>
          <w:noProof/>
        </w:rPr>
        <w:fldChar w:fldCharType="end"/>
      </w:r>
    </w:p>
    <w:p w14:paraId="3D2E68F9" w14:textId="5E183E1D" w:rsidR="006731F1" w:rsidRDefault="006731F1">
      <w:pPr>
        <w:pStyle w:val="TOC2"/>
        <w:rPr>
          <w:rFonts w:eastAsiaTheme="minorEastAsia" w:cstheme="minorBidi"/>
          <w:noProof/>
          <w:color w:val="auto"/>
          <w:sz w:val="22"/>
          <w:szCs w:val="22"/>
        </w:rPr>
      </w:pPr>
      <w:r>
        <w:rPr>
          <w:noProof/>
        </w:rPr>
        <w:t>Timetable</w:t>
      </w:r>
      <w:r>
        <w:rPr>
          <w:noProof/>
        </w:rPr>
        <w:tab/>
      </w:r>
      <w:r>
        <w:rPr>
          <w:noProof/>
        </w:rPr>
        <w:fldChar w:fldCharType="begin"/>
      </w:r>
      <w:r>
        <w:rPr>
          <w:noProof/>
        </w:rPr>
        <w:instrText xml:space="preserve"> PAGEREF _Toc111632923 \h </w:instrText>
      </w:r>
      <w:r>
        <w:rPr>
          <w:noProof/>
        </w:rPr>
      </w:r>
      <w:r>
        <w:rPr>
          <w:noProof/>
        </w:rPr>
        <w:fldChar w:fldCharType="separate"/>
      </w:r>
      <w:r>
        <w:rPr>
          <w:noProof/>
        </w:rPr>
        <w:t>6</w:t>
      </w:r>
      <w:r>
        <w:rPr>
          <w:noProof/>
        </w:rPr>
        <w:fldChar w:fldCharType="end"/>
      </w:r>
    </w:p>
    <w:p w14:paraId="387DDC1E" w14:textId="7D0673AA" w:rsidR="006731F1" w:rsidRDefault="006731F1">
      <w:pPr>
        <w:pStyle w:val="TOC1"/>
        <w:rPr>
          <w:rFonts w:eastAsiaTheme="minorEastAsia" w:cstheme="minorBidi"/>
          <w:b w:val="0"/>
          <w:noProof/>
          <w:color w:val="auto"/>
        </w:rPr>
      </w:pPr>
      <w:r>
        <w:rPr>
          <w:noProof/>
        </w:rPr>
        <w:t>Overview of Crypto Assets</w:t>
      </w:r>
      <w:r>
        <w:rPr>
          <w:noProof/>
        </w:rPr>
        <w:tab/>
      </w:r>
      <w:r>
        <w:rPr>
          <w:noProof/>
        </w:rPr>
        <w:fldChar w:fldCharType="begin"/>
      </w:r>
      <w:r>
        <w:rPr>
          <w:noProof/>
        </w:rPr>
        <w:instrText xml:space="preserve"> PAGEREF _Toc111632924 \h </w:instrText>
      </w:r>
      <w:r>
        <w:rPr>
          <w:noProof/>
        </w:rPr>
      </w:r>
      <w:r>
        <w:rPr>
          <w:noProof/>
        </w:rPr>
        <w:fldChar w:fldCharType="separate"/>
      </w:r>
      <w:r>
        <w:rPr>
          <w:noProof/>
        </w:rPr>
        <w:t>7</w:t>
      </w:r>
      <w:r>
        <w:rPr>
          <w:noProof/>
        </w:rPr>
        <w:fldChar w:fldCharType="end"/>
      </w:r>
    </w:p>
    <w:p w14:paraId="4F724590" w14:textId="0A53C7D2" w:rsidR="006731F1" w:rsidRDefault="006731F1">
      <w:pPr>
        <w:pStyle w:val="TOC2"/>
        <w:rPr>
          <w:rFonts w:eastAsiaTheme="minorEastAsia" w:cstheme="minorBidi"/>
          <w:noProof/>
          <w:color w:val="auto"/>
          <w:sz w:val="22"/>
          <w:szCs w:val="22"/>
        </w:rPr>
      </w:pPr>
      <w:r>
        <w:rPr>
          <w:noProof/>
        </w:rPr>
        <w:t>Appropriate policy framework</w:t>
      </w:r>
      <w:r>
        <w:rPr>
          <w:noProof/>
        </w:rPr>
        <w:tab/>
      </w:r>
      <w:r>
        <w:rPr>
          <w:noProof/>
        </w:rPr>
        <w:fldChar w:fldCharType="begin"/>
      </w:r>
      <w:r>
        <w:rPr>
          <w:noProof/>
        </w:rPr>
        <w:instrText xml:space="preserve"> PAGEREF _Toc111632925 \h </w:instrText>
      </w:r>
      <w:r>
        <w:rPr>
          <w:noProof/>
        </w:rPr>
      </w:r>
      <w:r>
        <w:rPr>
          <w:noProof/>
        </w:rPr>
        <w:fldChar w:fldCharType="separate"/>
      </w:r>
      <w:r>
        <w:rPr>
          <w:noProof/>
        </w:rPr>
        <w:t>8</w:t>
      </w:r>
      <w:r>
        <w:rPr>
          <w:noProof/>
        </w:rPr>
        <w:fldChar w:fldCharType="end"/>
      </w:r>
    </w:p>
    <w:p w14:paraId="6DE376E8" w14:textId="0714377F" w:rsidR="006731F1" w:rsidRDefault="006731F1">
      <w:pPr>
        <w:pStyle w:val="TOC2"/>
        <w:rPr>
          <w:rFonts w:eastAsiaTheme="minorEastAsia" w:cstheme="minorBidi"/>
          <w:noProof/>
          <w:color w:val="auto"/>
          <w:sz w:val="22"/>
          <w:szCs w:val="22"/>
        </w:rPr>
      </w:pPr>
      <w:r>
        <w:rPr>
          <w:noProof/>
        </w:rPr>
        <w:t>Current tax treatment of crypto assets</w:t>
      </w:r>
      <w:r>
        <w:rPr>
          <w:noProof/>
        </w:rPr>
        <w:tab/>
      </w:r>
      <w:r>
        <w:rPr>
          <w:noProof/>
        </w:rPr>
        <w:fldChar w:fldCharType="begin"/>
      </w:r>
      <w:r>
        <w:rPr>
          <w:noProof/>
        </w:rPr>
        <w:instrText xml:space="preserve"> PAGEREF _Toc111632926 \h </w:instrText>
      </w:r>
      <w:r>
        <w:rPr>
          <w:noProof/>
        </w:rPr>
      </w:r>
      <w:r>
        <w:rPr>
          <w:noProof/>
        </w:rPr>
        <w:fldChar w:fldCharType="separate"/>
      </w:r>
      <w:r>
        <w:rPr>
          <w:noProof/>
        </w:rPr>
        <w:t>8</w:t>
      </w:r>
      <w:r>
        <w:rPr>
          <w:noProof/>
        </w:rPr>
        <w:fldChar w:fldCharType="end"/>
      </w:r>
    </w:p>
    <w:p w14:paraId="4A559B11" w14:textId="2A5CDBC6" w:rsidR="006731F1" w:rsidRDefault="006731F1">
      <w:pPr>
        <w:pStyle w:val="TOC2"/>
        <w:rPr>
          <w:rFonts w:eastAsiaTheme="minorEastAsia" w:cstheme="minorBidi"/>
          <w:noProof/>
          <w:color w:val="auto"/>
          <w:sz w:val="22"/>
          <w:szCs w:val="22"/>
        </w:rPr>
      </w:pPr>
      <w:r>
        <w:rPr>
          <w:noProof/>
        </w:rPr>
        <w:t>Relevant reports</w:t>
      </w:r>
      <w:r>
        <w:rPr>
          <w:noProof/>
        </w:rPr>
        <w:tab/>
      </w:r>
      <w:r>
        <w:rPr>
          <w:noProof/>
        </w:rPr>
        <w:fldChar w:fldCharType="begin"/>
      </w:r>
      <w:r>
        <w:rPr>
          <w:noProof/>
        </w:rPr>
        <w:instrText xml:space="preserve"> PAGEREF _Toc111632927 \h </w:instrText>
      </w:r>
      <w:r>
        <w:rPr>
          <w:noProof/>
        </w:rPr>
      </w:r>
      <w:r>
        <w:rPr>
          <w:noProof/>
        </w:rPr>
        <w:fldChar w:fldCharType="separate"/>
      </w:r>
      <w:r>
        <w:rPr>
          <w:noProof/>
        </w:rPr>
        <w:t>11</w:t>
      </w:r>
      <w:r>
        <w:rPr>
          <w:noProof/>
        </w:rPr>
        <w:fldChar w:fldCharType="end"/>
      </w:r>
    </w:p>
    <w:p w14:paraId="512AAD85" w14:textId="436E7E9F" w:rsidR="006731F1" w:rsidRDefault="006731F1">
      <w:pPr>
        <w:pStyle w:val="TOC1"/>
        <w:rPr>
          <w:rFonts w:eastAsiaTheme="minorEastAsia" w:cstheme="minorBidi"/>
          <w:b w:val="0"/>
          <w:noProof/>
          <w:color w:val="auto"/>
        </w:rPr>
      </w:pPr>
      <w:r>
        <w:rPr>
          <w:noProof/>
        </w:rPr>
        <w:t>Consultation questions</w:t>
      </w:r>
      <w:r>
        <w:rPr>
          <w:noProof/>
        </w:rPr>
        <w:tab/>
      </w:r>
      <w:r>
        <w:rPr>
          <w:noProof/>
        </w:rPr>
        <w:fldChar w:fldCharType="begin"/>
      </w:r>
      <w:r>
        <w:rPr>
          <w:noProof/>
        </w:rPr>
        <w:instrText xml:space="preserve"> PAGEREF _Toc111632928 \h </w:instrText>
      </w:r>
      <w:r>
        <w:rPr>
          <w:noProof/>
        </w:rPr>
      </w:r>
      <w:r>
        <w:rPr>
          <w:noProof/>
        </w:rPr>
        <w:fldChar w:fldCharType="separate"/>
      </w:r>
      <w:r>
        <w:rPr>
          <w:noProof/>
        </w:rPr>
        <w:t>13</w:t>
      </w:r>
      <w:r>
        <w:rPr>
          <w:noProof/>
        </w:rPr>
        <w:fldChar w:fldCharType="end"/>
      </w:r>
    </w:p>
    <w:p w14:paraId="6D4FB90E" w14:textId="54B243EB" w:rsidR="006731F1" w:rsidRDefault="006731F1">
      <w:pPr>
        <w:pStyle w:val="TOC1"/>
        <w:rPr>
          <w:rFonts w:eastAsiaTheme="minorEastAsia" w:cstheme="minorBidi"/>
          <w:b w:val="0"/>
          <w:noProof/>
          <w:color w:val="auto"/>
        </w:rPr>
      </w:pPr>
      <w:r>
        <w:rPr>
          <w:noProof/>
        </w:rPr>
        <w:t>How to participate</w:t>
      </w:r>
      <w:r>
        <w:rPr>
          <w:noProof/>
        </w:rPr>
        <w:tab/>
      </w:r>
      <w:r>
        <w:rPr>
          <w:noProof/>
        </w:rPr>
        <w:fldChar w:fldCharType="begin"/>
      </w:r>
      <w:r>
        <w:rPr>
          <w:noProof/>
        </w:rPr>
        <w:instrText xml:space="preserve"> PAGEREF _Toc111632929 \h </w:instrText>
      </w:r>
      <w:r>
        <w:rPr>
          <w:noProof/>
        </w:rPr>
      </w:r>
      <w:r>
        <w:rPr>
          <w:noProof/>
        </w:rPr>
        <w:fldChar w:fldCharType="separate"/>
      </w:r>
      <w:r>
        <w:rPr>
          <w:noProof/>
        </w:rPr>
        <w:t>15</w:t>
      </w:r>
      <w:r>
        <w:rPr>
          <w:noProof/>
        </w:rPr>
        <w:fldChar w:fldCharType="end"/>
      </w:r>
    </w:p>
    <w:p w14:paraId="267B43F3" w14:textId="1399BAE8" w:rsidR="006731F1" w:rsidRDefault="006731F1">
      <w:pPr>
        <w:pStyle w:val="TOC2"/>
        <w:rPr>
          <w:rFonts w:eastAsiaTheme="minorEastAsia" w:cstheme="minorBidi"/>
          <w:noProof/>
          <w:color w:val="auto"/>
          <w:sz w:val="22"/>
          <w:szCs w:val="22"/>
        </w:rPr>
      </w:pPr>
      <w:r>
        <w:rPr>
          <w:noProof/>
        </w:rPr>
        <w:t>Consultations</w:t>
      </w:r>
      <w:r>
        <w:rPr>
          <w:noProof/>
        </w:rPr>
        <w:tab/>
      </w:r>
      <w:r>
        <w:rPr>
          <w:noProof/>
        </w:rPr>
        <w:fldChar w:fldCharType="begin"/>
      </w:r>
      <w:r>
        <w:rPr>
          <w:noProof/>
        </w:rPr>
        <w:instrText xml:space="preserve"> PAGEREF _Toc111632930 \h </w:instrText>
      </w:r>
      <w:r>
        <w:rPr>
          <w:noProof/>
        </w:rPr>
      </w:r>
      <w:r>
        <w:rPr>
          <w:noProof/>
        </w:rPr>
        <w:fldChar w:fldCharType="separate"/>
      </w:r>
      <w:r>
        <w:rPr>
          <w:noProof/>
        </w:rPr>
        <w:t>15</w:t>
      </w:r>
      <w:r>
        <w:rPr>
          <w:noProof/>
        </w:rPr>
        <w:fldChar w:fldCharType="end"/>
      </w:r>
    </w:p>
    <w:p w14:paraId="61EA907A" w14:textId="2C27FF48" w:rsidR="006731F1" w:rsidRDefault="006731F1">
      <w:pPr>
        <w:pStyle w:val="TOC2"/>
        <w:rPr>
          <w:rFonts w:eastAsiaTheme="minorEastAsia" w:cstheme="minorBidi"/>
          <w:noProof/>
          <w:color w:val="auto"/>
          <w:sz w:val="22"/>
          <w:szCs w:val="22"/>
        </w:rPr>
      </w:pPr>
      <w:r>
        <w:rPr>
          <w:noProof/>
        </w:rPr>
        <w:t>Submissions</w:t>
      </w:r>
      <w:r>
        <w:rPr>
          <w:noProof/>
        </w:rPr>
        <w:tab/>
      </w:r>
      <w:r>
        <w:rPr>
          <w:noProof/>
        </w:rPr>
        <w:fldChar w:fldCharType="begin"/>
      </w:r>
      <w:r>
        <w:rPr>
          <w:noProof/>
        </w:rPr>
        <w:instrText xml:space="preserve"> PAGEREF _Toc111632931 \h </w:instrText>
      </w:r>
      <w:r>
        <w:rPr>
          <w:noProof/>
        </w:rPr>
      </w:r>
      <w:r>
        <w:rPr>
          <w:noProof/>
        </w:rPr>
        <w:fldChar w:fldCharType="separate"/>
      </w:r>
      <w:r>
        <w:rPr>
          <w:noProof/>
        </w:rPr>
        <w:t>15</w:t>
      </w:r>
      <w:r>
        <w:rPr>
          <w:noProof/>
        </w:rPr>
        <w:fldChar w:fldCharType="end"/>
      </w:r>
    </w:p>
    <w:p w14:paraId="7EB571EE" w14:textId="6C5AAC6B" w:rsidR="006731F1" w:rsidRDefault="006731F1">
      <w:pPr>
        <w:pStyle w:val="TOC2"/>
        <w:rPr>
          <w:rFonts w:eastAsiaTheme="minorEastAsia" w:cstheme="minorBidi"/>
          <w:noProof/>
          <w:color w:val="auto"/>
          <w:sz w:val="22"/>
          <w:szCs w:val="22"/>
        </w:rPr>
      </w:pPr>
      <w:r>
        <w:rPr>
          <w:noProof/>
        </w:rPr>
        <w:t>Contact information</w:t>
      </w:r>
      <w:r>
        <w:rPr>
          <w:noProof/>
        </w:rPr>
        <w:tab/>
      </w:r>
      <w:r>
        <w:rPr>
          <w:noProof/>
        </w:rPr>
        <w:fldChar w:fldCharType="begin"/>
      </w:r>
      <w:r>
        <w:rPr>
          <w:noProof/>
        </w:rPr>
        <w:instrText xml:space="preserve"> PAGEREF _Toc111632932 \h </w:instrText>
      </w:r>
      <w:r>
        <w:rPr>
          <w:noProof/>
        </w:rPr>
      </w:r>
      <w:r>
        <w:rPr>
          <w:noProof/>
        </w:rPr>
        <w:fldChar w:fldCharType="separate"/>
      </w:r>
      <w:r>
        <w:rPr>
          <w:noProof/>
        </w:rPr>
        <w:t>16</w:t>
      </w:r>
      <w:r>
        <w:rPr>
          <w:noProof/>
        </w:rPr>
        <w:fldChar w:fldCharType="end"/>
      </w:r>
    </w:p>
    <w:p w14:paraId="11E0C0F5" w14:textId="01AFA247" w:rsidR="006731F1" w:rsidRDefault="006731F1">
      <w:pPr>
        <w:pStyle w:val="TOC1"/>
        <w:rPr>
          <w:rFonts w:eastAsiaTheme="minorEastAsia" w:cstheme="minorBidi"/>
          <w:b w:val="0"/>
          <w:noProof/>
          <w:color w:val="auto"/>
        </w:rPr>
      </w:pPr>
      <w:r>
        <w:rPr>
          <w:noProof/>
        </w:rPr>
        <w:t>Definitions</w:t>
      </w:r>
      <w:r>
        <w:rPr>
          <w:noProof/>
        </w:rPr>
        <w:tab/>
      </w:r>
      <w:r>
        <w:rPr>
          <w:noProof/>
        </w:rPr>
        <w:fldChar w:fldCharType="begin"/>
      </w:r>
      <w:r>
        <w:rPr>
          <w:noProof/>
        </w:rPr>
        <w:instrText xml:space="preserve"> PAGEREF _Toc111632933 \h </w:instrText>
      </w:r>
      <w:r>
        <w:rPr>
          <w:noProof/>
        </w:rPr>
      </w:r>
      <w:r>
        <w:rPr>
          <w:noProof/>
        </w:rPr>
        <w:fldChar w:fldCharType="separate"/>
      </w:r>
      <w:r>
        <w:rPr>
          <w:noProof/>
        </w:rPr>
        <w:t>17</w:t>
      </w:r>
      <w:r>
        <w:rPr>
          <w:noProof/>
        </w:rPr>
        <w:fldChar w:fldCharType="end"/>
      </w:r>
    </w:p>
    <w:p w14:paraId="4216D542" w14:textId="76573677" w:rsidR="006256BA" w:rsidRDefault="00785BA4">
      <w:r>
        <w:rPr>
          <w:rFonts w:ascii="Arial Bold" w:hAnsi="Arial Bold"/>
          <w:b/>
          <w:color w:val="000080"/>
        </w:rPr>
        <w:fldChar w:fldCharType="end"/>
      </w:r>
    </w:p>
    <w:p w14:paraId="01002CFB" w14:textId="77777777" w:rsidR="006256BA" w:rsidRDefault="006256BA" w:rsidP="00AD0BB8">
      <w:pPr>
        <w:spacing w:before="240"/>
        <w:sectPr w:rsidR="006256BA" w:rsidSect="005526CF">
          <w:headerReference w:type="even" r:id="rId30"/>
          <w:headerReference w:type="default" r:id="rId31"/>
          <w:footerReference w:type="even" r:id="rId32"/>
          <w:footerReference w:type="default" r:id="rId33"/>
          <w:headerReference w:type="first" r:id="rId34"/>
          <w:footerReference w:type="first" r:id="rId35"/>
          <w:pgSz w:w="11906" w:h="16838" w:code="9"/>
          <w:pgMar w:top="2835" w:right="1134" w:bottom="1701" w:left="1134" w:header="851" w:footer="851" w:gutter="0"/>
          <w:pgNumType w:fmt="lowerRoman"/>
          <w:cols w:space="708"/>
          <w:titlePg/>
          <w:docGrid w:linePitch="360"/>
        </w:sectPr>
      </w:pPr>
    </w:p>
    <w:p w14:paraId="4A27D03A" w14:textId="7409900B" w:rsidR="001B0859" w:rsidRDefault="001B0859" w:rsidP="001B0859">
      <w:pPr>
        <w:pStyle w:val="Heading1"/>
      </w:pPr>
      <w:bookmarkStart w:id="0" w:name="_Toc73533743"/>
      <w:bookmarkStart w:id="1" w:name="_Toc111632921"/>
      <w:r>
        <w:lastRenderedPageBreak/>
        <w:t xml:space="preserve">The Board’s </w:t>
      </w:r>
      <w:r w:rsidR="008373F8">
        <w:t>R</w:t>
      </w:r>
      <w:r>
        <w:t>eview</w:t>
      </w:r>
      <w:bookmarkEnd w:id="0"/>
      <w:bookmarkEnd w:id="1"/>
    </w:p>
    <w:p w14:paraId="226AEC0E" w14:textId="7A7B2AA2" w:rsidR="000C2ADC" w:rsidRDefault="00BB5981" w:rsidP="00BB5981">
      <w:pPr>
        <w:rPr>
          <w:color w:val="17365D" w:themeColor="text2" w:themeShade="BF"/>
          <w:sz w:val="28"/>
          <w:szCs w:val="28"/>
        </w:rPr>
      </w:pPr>
      <w:r w:rsidRPr="000633AA">
        <w:rPr>
          <w:color w:val="17365D" w:themeColor="text2" w:themeShade="BF"/>
          <w:sz w:val="28"/>
          <w:szCs w:val="28"/>
        </w:rPr>
        <w:t xml:space="preserve">On 21 March 2022, the </w:t>
      </w:r>
      <w:r w:rsidR="009D7A17" w:rsidRPr="000633AA">
        <w:rPr>
          <w:color w:val="17365D" w:themeColor="text2" w:themeShade="BF"/>
          <w:sz w:val="28"/>
          <w:szCs w:val="28"/>
        </w:rPr>
        <w:t xml:space="preserve">former </w:t>
      </w:r>
      <w:r w:rsidRPr="000633AA">
        <w:rPr>
          <w:color w:val="17365D" w:themeColor="text2" w:themeShade="BF"/>
          <w:sz w:val="28"/>
          <w:szCs w:val="28"/>
        </w:rPr>
        <w:t>Government released the Terms of Reference</w:t>
      </w:r>
      <w:r w:rsidRPr="00BB5981">
        <w:rPr>
          <w:color w:val="17365D" w:themeColor="text2" w:themeShade="BF"/>
          <w:sz w:val="28"/>
          <w:szCs w:val="28"/>
        </w:rPr>
        <w:t xml:space="preserve"> for a review to be undertaken by the Board of Taxation (the Board) into the appropriate policy framework for the taxation of digital assets and transactions in Australia.</w:t>
      </w:r>
    </w:p>
    <w:p w14:paraId="621F938B" w14:textId="1411179A" w:rsidR="005B668D" w:rsidRDefault="005B668D" w:rsidP="00BB5981">
      <w:pPr>
        <w:rPr>
          <w:color w:val="17365D" w:themeColor="text2" w:themeShade="BF"/>
          <w:sz w:val="28"/>
          <w:szCs w:val="28"/>
        </w:rPr>
      </w:pPr>
      <w:r>
        <w:rPr>
          <w:color w:val="17365D" w:themeColor="text2" w:themeShade="BF"/>
          <w:sz w:val="28"/>
          <w:szCs w:val="28"/>
        </w:rPr>
        <w:t>The</w:t>
      </w:r>
      <w:r w:rsidR="007E3BA0">
        <w:rPr>
          <w:color w:val="17365D" w:themeColor="text2" w:themeShade="BF"/>
          <w:sz w:val="28"/>
          <w:szCs w:val="28"/>
        </w:rPr>
        <w:t xml:space="preserve"> current</w:t>
      </w:r>
      <w:r>
        <w:rPr>
          <w:color w:val="17365D" w:themeColor="text2" w:themeShade="BF"/>
          <w:sz w:val="28"/>
          <w:szCs w:val="28"/>
        </w:rPr>
        <w:t xml:space="preserve"> Government notes</w:t>
      </w:r>
      <w:r w:rsidR="00815466">
        <w:rPr>
          <w:color w:val="17365D" w:themeColor="text2" w:themeShade="BF"/>
          <w:sz w:val="28"/>
          <w:szCs w:val="28"/>
        </w:rPr>
        <w:t xml:space="preserve"> </w:t>
      </w:r>
      <w:r>
        <w:rPr>
          <w:color w:val="17365D" w:themeColor="text2" w:themeShade="BF"/>
          <w:sz w:val="28"/>
          <w:szCs w:val="28"/>
        </w:rPr>
        <w:t xml:space="preserve">that this </w:t>
      </w:r>
      <w:r w:rsidR="007E3BA0">
        <w:rPr>
          <w:color w:val="17365D" w:themeColor="text2" w:themeShade="BF"/>
          <w:sz w:val="28"/>
          <w:szCs w:val="28"/>
        </w:rPr>
        <w:t xml:space="preserve">review </w:t>
      </w:r>
      <w:r w:rsidR="00201BB4">
        <w:rPr>
          <w:color w:val="17365D" w:themeColor="text2" w:themeShade="BF"/>
          <w:sz w:val="28"/>
          <w:szCs w:val="28"/>
        </w:rPr>
        <w:t xml:space="preserve">is </w:t>
      </w:r>
      <w:r w:rsidR="00B31143">
        <w:rPr>
          <w:color w:val="17365D" w:themeColor="text2" w:themeShade="BF"/>
          <w:sz w:val="28"/>
          <w:szCs w:val="28"/>
        </w:rPr>
        <w:t>in line</w:t>
      </w:r>
      <w:r w:rsidR="00201BB4">
        <w:rPr>
          <w:color w:val="17365D" w:themeColor="text2" w:themeShade="BF"/>
          <w:sz w:val="28"/>
          <w:szCs w:val="28"/>
        </w:rPr>
        <w:t xml:space="preserve"> with its commitment </w:t>
      </w:r>
      <w:r w:rsidR="00815466">
        <w:rPr>
          <w:color w:val="17365D" w:themeColor="text2" w:themeShade="BF"/>
          <w:sz w:val="28"/>
          <w:szCs w:val="28"/>
        </w:rPr>
        <w:t>to improve transparency in our tax system</w:t>
      </w:r>
      <w:r w:rsidR="00020C92">
        <w:rPr>
          <w:color w:val="17365D" w:themeColor="text2" w:themeShade="BF"/>
          <w:sz w:val="28"/>
          <w:szCs w:val="28"/>
        </w:rPr>
        <w:t xml:space="preserve"> and</w:t>
      </w:r>
      <w:r w:rsidR="00F90E57" w:rsidRPr="00020C92">
        <w:rPr>
          <w:color w:val="17365D" w:themeColor="text2" w:themeShade="BF"/>
          <w:sz w:val="28"/>
          <w:szCs w:val="28"/>
        </w:rPr>
        <w:t xml:space="preserve"> </w:t>
      </w:r>
      <w:r w:rsidR="00815466" w:rsidRPr="00020C92">
        <w:rPr>
          <w:color w:val="17365D" w:themeColor="text2" w:themeShade="BF"/>
          <w:sz w:val="28"/>
          <w:szCs w:val="28"/>
        </w:rPr>
        <w:t>ensur</w:t>
      </w:r>
      <w:r w:rsidR="00020C92" w:rsidRPr="00020C92">
        <w:rPr>
          <w:color w:val="17365D" w:themeColor="text2" w:themeShade="BF"/>
          <w:sz w:val="28"/>
          <w:szCs w:val="28"/>
        </w:rPr>
        <w:t>e</w:t>
      </w:r>
      <w:r w:rsidR="00020C92">
        <w:rPr>
          <w:color w:val="17365D" w:themeColor="text2" w:themeShade="BF"/>
          <w:sz w:val="28"/>
          <w:szCs w:val="28"/>
        </w:rPr>
        <w:t>s</w:t>
      </w:r>
      <w:r w:rsidR="00815466">
        <w:rPr>
          <w:color w:val="17365D" w:themeColor="text2" w:themeShade="BF"/>
          <w:sz w:val="28"/>
          <w:szCs w:val="28"/>
        </w:rPr>
        <w:t xml:space="preserve"> the global system is more robust</w:t>
      </w:r>
      <w:r w:rsidR="00020C92">
        <w:rPr>
          <w:color w:val="17365D" w:themeColor="text2" w:themeShade="BF"/>
          <w:sz w:val="28"/>
          <w:szCs w:val="28"/>
        </w:rPr>
        <w:t>. This</w:t>
      </w:r>
      <w:r w:rsidR="00C35127">
        <w:rPr>
          <w:color w:val="17365D" w:themeColor="text2" w:themeShade="BF"/>
          <w:sz w:val="28"/>
          <w:szCs w:val="28"/>
        </w:rPr>
        <w:t xml:space="preserve"> </w:t>
      </w:r>
      <w:r w:rsidR="007E3BA0">
        <w:rPr>
          <w:color w:val="17365D" w:themeColor="text2" w:themeShade="BF"/>
          <w:sz w:val="28"/>
          <w:szCs w:val="28"/>
        </w:rPr>
        <w:t xml:space="preserve">is </w:t>
      </w:r>
      <w:r w:rsidR="00B31143">
        <w:rPr>
          <w:color w:val="17365D" w:themeColor="text2" w:themeShade="BF"/>
          <w:sz w:val="28"/>
          <w:szCs w:val="28"/>
        </w:rPr>
        <w:t xml:space="preserve">aligned </w:t>
      </w:r>
      <w:r w:rsidR="00C35127">
        <w:rPr>
          <w:color w:val="17365D" w:themeColor="text2" w:themeShade="BF"/>
          <w:sz w:val="28"/>
          <w:szCs w:val="28"/>
        </w:rPr>
        <w:t xml:space="preserve">with the Government’s recent announcement </w:t>
      </w:r>
      <w:r w:rsidR="00EB353B">
        <w:rPr>
          <w:color w:val="17365D" w:themeColor="text2" w:themeShade="BF"/>
          <w:sz w:val="28"/>
          <w:szCs w:val="28"/>
        </w:rPr>
        <w:t xml:space="preserve">confirming that </w:t>
      </w:r>
      <w:r w:rsidR="00C35127">
        <w:rPr>
          <w:color w:val="17365D" w:themeColor="text2" w:themeShade="BF"/>
          <w:sz w:val="28"/>
          <w:szCs w:val="28"/>
        </w:rPr>
        <w:t xml:space="preserve">cryptocurrency </w:t>
      </w:r>
      <w:r w:rsidR="00885DF2">
        <w:rPr>
          <w:color w:val="17365D" w:themeColor="text2" w:themeShade="BF"/>
          <w:sz w:val="28"/>
          <w:szCs w:val="28"/>
        </w:rPr>
        <w:t xml:space="preserve">will continue to </w:t>
      </w:r>
      <w:r w:rsidR="00C35127">
        <w:rPr>
          <w:color w:val="17365D" w:themeColor="text2" w:themeShade="BF"/>
          <w:sz w:val="28"/>
          <w:szCs w:val="28"/>
        </w:rPr>
        <w:t>not</w:t>
      </w:r>
      <w:r w:rsidR="00885DF2">
        <w:rPr>
          <w:color w:val="17365D" w:themeColor="text2" w:themeShade="BF"/>
          <w:sz w:val="28"/>
          <w:szCs w:val="28"/>
        </w:rPr>
        <w:t xml:space="preserve"> be regarded as</w:t>
      </w:r>
      <w:r w:rsidR="00C35127">
        <w:rPr>
          <w:color w:val="17365D" w:themeColor="text2" w:themeShade="BF"/>
          <w:sz w:val="28"/>
          <w:szCs w:val="28"/>
        </w:rPr>
        <w:t xml:space="preserve"> foreign currency</w:t>
      </w:r>
      <w:r w:rsidR="00257CA2">
        <w:rPr>
          <w:color w:val="17365D" w:themeColor="text2" w:themeShade="BF"/>
          <w:sz w:val="28"/>
          <w:szCs w:val="28"/>
        </w:rPr>
        <w:t xml:space="preserve"> for tax purposes</w:t>
      </w:r>
      <w:r w:rsidR="00C35127">
        <w:rPr>
          <w:color w:val="17365D" w:themeColor="text2" w:themeShade="BF"/>
          <w:sz w:val="28"/>
          <w:szCs w:val="28"/>
        </w:rPr>
        <w:t>.</w:t>
      </w:r>
    </w:p>
    <w:p w14:paraId="6970C8FA" w14:textId="34407FB6" w:rsidR="00BB5981" w:rsidRPr="00BB5981" w:rsidRDefault="00BB5981" w:rsidP="001173EF">
      <w:pPr>
        <w:pStyle w:val="Heading3"/>
      </w:pPr>
      <w:r w:rsidRPr="00BB5981">
        <w:t>Background</w:t>
      </w:r>
    </w:p>
    <w:p w14:paraId="3870F7A5" w14:textId="15BE18D1" w:rsidR="00173CD9" w:rsidRPr="00BB5981" w:rsidRDefault="00173CD9" w:rsidP="00FC6AA0">
      <w:r w:rsidRPr="00BB5981">
        <w:t xml:space="preserve">On 8 December 2021, the </w:t>
      </w:r>
      <w:r w:rsidR="009D7A17">
        <w:t xml:space="preserve">former </w:t>
      </w:r>
      <w:r w:rsidRPr="00BB5981">
        <w:t>Treasurer announced</w:t>
      </w:r>
      <w:r w:rsidR="00D80961">
        <w:t>,</w:t>
      </w:r>
      <w:r w:rsidRPr="00BB5981">
        <w:t xml:space="preserve"> as part of a broader response to a review </w:t>
      </w:r>
      <w:r w:rsidR="00502B97">
        <w:t>of</w:t>
      </w:r>
      <w:r w:rsidR="00502B97" w:rsidRPr="00BB5981">
        <w:t xml:space="preserve"> </w:t>
      </w:r>
      <w:r w:rsidRPr="00BB5981">
        <w:t xml:space="preserve">Australia’s payments system and the regulation of digital assets, that the Government would task the Board with undertaking a review into the appropriate policy framework for the taxation of digital transactions and assets </w:t>
      </w:r>
      <w:r w:rsidR="00D3049C">
        <w:t>(</w:t>
      </w:r>
      <w:r w:rsidR="009E7162">
        <w:t xml:space="preserve">also known as </w:t>
      </w:r>
      <w:r w:rsidR="00D3049C">
        <w:t xml:space="preserve">crypto assets) </w:t>
      </w:r>
      <w:r w:rsidRPr="00BB5981">
        <w:t>in Australia.</w:t>
      </w:r>
    </w:p>
    <w:p w14:paraId="4A5A367B" w14:textId="77777777" w:rsidR="00F05E4B" w:rsidRPr="00F05E4B" w:rsidRDefault="00F05E4B" w:rsidP="001173EF">
      <w:pPr>
        <w:pStyle w:val="Heading3"/>
      </w:pPr>
      <w:r w:rsidRPr="00F05E4B">
        <w:t>Terms of Reference</w:t>
      </w:r>
    </w:p>
    <w:p w14:paraId="01E8DF8F" w14:textId="2F7FE99C" w:rsidR="00F05E4B" w:rsidRPr="00F05E4B" w:rsidRDefault="00F05E4B" w:rsidP="00F05E4B">
      <w:pPr>
        <w:rPr>
          <w:lang w:val="en"/>
        </w:rPr>
      </w:pPr>
      <w:r w:rsidRPr="00F05E4B">
        <w:t xml:space="preserve">With reference to Australia’s strong competitive position as an early adopter of digital transactions and assets relative to other jurisdictions, and without increasing the overall tax burden, the Board is asked to: </w:t>
      </w:r>
    </w:p>
    <w:p w14:paraId="5DD52061" w14:textId="77777777" w:rsidR="00F05E4B" w:rsidRPr="00F05E4B" w:rsidRDefault="00F05E4B" w:rsidP="00F05E4B">
      <w:pPr>
        <w:numPr>
          <w:ilvl w:val="0"/>
          <w:numId w:val="28"/>
        </w:numPr>
      </w:pPr>
      <w:r w:rsidRPr="00F05E4B">
        <w:t>Consider the current Australian taxation treatment of digital assets and transactions and emerging tax policy issues;</w:t>
      </w:r>
    </w:p>
    <w:p w14:paraId="54480241" w14:textId="77777777" w:rsidR="00F05E4B" w:rsidRPr="00F05E4B" w:rsidRDefault="00F05E4B" w:rsidP="00F05E4B">
      <w:pPr>
        <w:numPr>
          <w:ilvl w:val="0"/>
          <w:numId w:val="28"/>
        </w:numPr>
      </w:pPr>
      <w:r w:rsidRPr="00F05E4B">
        <w:t>Consider the awareness of the taxation treatment by both retail and wholesale investors and those transacting in digital assets as part of their business;</w:t>
      </w:r>
    </w:p>
    <w:p w14:paraId="698B605C" w14:textId="58AB596D" w:rsidR="00F05E4B" w:rsidRPr="00F05E4B" w:rsidRDefault="00F05E4B" w:rsidP="00F05E4B">
      <w:pPr>
        <w:numPr>
          <w:ilvl w:val="0"/>
          <w:numId w:val="28"/>
        </w:numPr>
      </w:pPr>
      <w:r w:rsidRPr="00F05E4B">
        <w:t>Consider the characteristics and features of digital assets and transactions in the market, including the rapid evolution of technology supporting the broader digital asset ecosystem</w:t>
      </w:r>
      <w:r w:rsidR="00252BDA">
        <w:t>;</w:t>
      </w:r>
    </w:p>
    <w:p w14:paraId="22FCA714" w14:textId="77777777" w:rsidR="00F05E4B" w:rsidRPr="00F05E4B" w:rsidRDefault="00F05E4B" w:rsidP="00F05E4B">
      <w:pPr>
        <w:numPr>
          <w:ilvl w:val="0"/>
          <w:numId w:val="28"/>
        </w:numPr>
      </w:pPr>
      <w:r w:rsidRPr="00F05E4B">
        <w:t>Analyse the taxation of digital assets and transactions in comparative jurisdictions and consider how international experience may inform the taxation of digital assets and transactions in Australia; and</w:t>
      </w:r>
    </w:p>
    <w:p w14:paraId="51A27531" w14:textId="77777777" w:rsidR="00F05E4B" w:rsidRPr="00F05E4B" w:rsidRDefault="00F05E4B" w:rsidP="00F05E4B">
      <w:pPr>
        <w:numPr>
          <w:ilvl w:val="0"/>
          <w:numId w:val="28"/>
        </w:numPr>
      </w:pPr>
      <w:r w:rsidRPr="00F05E4B">
        <w:t>Consider whether or not any changes to Australia’s taxation laws and/or their administration are warranted in the context of digital assets and transactions, both for retail and wholesale investors.</w:t>
      </w:r>
    </w:p>
    <w:p w14:paraId="7B7D8FC6" w14:textId="546E0EB0" w:rsidR="00F05E4B" w:rsidRPr="00F05E4B" w:rsidRDefault="00F05E4B" w:rsidP="00F05E4B">
      <w:r w:rsidRPr="00F05E4B">
        <w:lastRenderedPageBreak/>
        <w:t xml:space="preserve">In carrying out the </w:t>
      </w:r>
      <w:r w:rsidR="00502B97">
        <w:t>T</w:t>
      </w:r>
      <w:r w:rsidRPr="00F05E4B">
        <w:t xml:space="preserve">erms of </w:t>
      </w:r>
      <w:r w:rsidR="00502B97">
        <w:t>R</w:t>
      </w:r>
      <w:r w:rsidRPr="00F05E4B">
        <w:t xml:space="preserve">eference, the Board </w:t>
      </w:r>
      <w:r w:rsidR="008373F8">
        <w:t>is asked to</w:t>
      </w:r>
      <w:r w:rsidR="008373F8" w:rsidRPr="00F05E4B">
        <w:t xml:space="preserve"> </w:t>
      </w:r>
      <w:r w:rsidRPr="00F05E4B">
        <w:t xml:space="preserve">consult with taxpayers, tax representative bodies, industry stakeholders and academics.  </w:t>
      </w:r>
    </w:p>
    <w:p w14:paraId="1B019B50" w14:textId="77777777" w:rsidR="00F05E4B" w:rsidRPr="00F05E4B" w:rsidRDefault="00F05E4B" w:rsidP="001173EF">
      <w:pPr>
        <w:pStyle w:val="Heading3"/>
      </w:pPr>
      <w:r w:rsidRPr="00F05E4B">
        <w:t xml:space="preserve">Timing </w:t>
      </w:r>
    </w:p>
    <w:p w14:paraId="27B0139F" w14:textId="11DA71CD" w:rsidR="00F05E4B" w:rsidRPr="00F05E4B" w:rsidRDefault="00F05E4B" w:rsidP="00F05E4B">
      <w:r w:rsidRPr="00F05E4B">
        <w:t xml:space="preserve">The Board is asked to report back to the Government </w:t>
      </w:r>
      <w:r w:rsidRPr="00E169A4">
        <w:t xml:space="preserve">by </w:t>
      </w:r>
      <w:r w:rsidR="00784C6C" w:rsidRPr="00013D19">
        <w:t>31 December</w:t>
      </w:r>
      <w:r w:rsidR="00B14359" w:rsidRPr="00013D19">
        <w:t xml:space="preserve"> </w:t>
      </w:r>
      <w:r w:rsidRPr="00013D19">
        <w:t>2022</w:t>
      </w:r>
      <w:r w:rsidR="00616E4D" w:rsidRPr="00E169A4">
        <w:t>.</w:t>
      </w:r>
    </w:p>
    <w:p w14:paraId="0F466F48" w14:textId="088D357E" w:rsidR="001B0859" w:rsidRPr="005044AB" w:rsidRDefault="00D064D5" w:rsidP="001B0859">
      <w:pPr>
        <w:pStyle w:val="Heading1"/>
      </w:pPr>
      <w:bookmarkStart w:id="2" w:name="_Toc73533744"/>
      <w:bookmarkStart w:id="3" w:name="_Toc111632922"/>
      <w:r>
        <w:lastRenderedPageBreak/>
        <w:t xml:space="preserve">Review and </w:t>
      </w:r>
      <w:r w:rsidR="001B0859" w:rsidRPr="005044AB">
        <w:t>Consultation</w:t>
      </w:r>
      <w:r w:rsidR="001B0859">
        <w:t xml:space="preserve"> </w:t>
      </w:r>
      <w:r>
        <w:t>P</w:t>
      </w:r>
      <w:r w:rsidR="001B0859">
        <w:t>rocess</w:t>
      </w:r>
      <w:bookmarkEnd w:id="2"/>
      <w:bookmarkEnd w:id="3"/>
    </w:p>
    <w:p w14:paraId="168776C8" w14:textId="15AC45D1" w:rsidR="00016D82" w:rsidRDefault="001B0859" w:rsidP="001B0859">
      <w:pPr>
        <w:pStyle w:val="Introductionparagraph"/>
      </w:pPr>
      <w:r w:rsidRPr="003E687D">
        <w:t xml:space="preserve">The </w:t>
      </w:r>
      <w:r>
        <w:t>Board</w:t>
      </w:r>
      <w:r w:rsidRPr="004415EA">
        <w:t xml:space="preserve"> lo</w:t>
      </w:r>
      <w:r>
        <w:t xml:space="preserve">oks forward to working with the community </w:t>
      </w:r>
      <w:r w:rsidRPr="004415EA">
        <w:t xml:space="preserve">in developing the Board’s advice to Government. </w:t>
      </w:r>
      <w:r w:rsidR="00DB24CC">
        <w:t>T</w:t>
      </w:r>
      <w:r w:rsidR="00393AD8" w:rsidRPr="00806AE6">
        <w:t>he Board will undertake a</w:t>
      </w:r>
      <w:r w:rsidR="00B31143">
        <w:t>n</w:t>
      </w:r>
      <w:r w:rsidR="00393AD8" w:rsidRPr="00806AE6">
        <w:t xml:space="preserve"> external consultation process, working closely and collaboratively with the Treasury</w:t>
      </w:r>
      <w:r w:rsidR="008373F8">
        <w:t xml:space="preserve"> and </w:t>
      </w:r>
      <w:r w:rsidR="00684AF0">
        <w:t xml:space="preserve">the </w:t>
      </w:r>
      <w:r w:rsidR="00393AD8" w:rsidRPr="00806AE6">
        <w:t>Australian Taxation Office</w:t>
      </w:r>
      <w:r w:rsidR="005526CF">
        <w:t xml:space="preserve"> (ATO)</w:t>
      </w:r>
      <w:r w:rsidR="00DB24CC">
        <w:t>.</w:t>
      </w:r>
    </w:p>
    <w:p w14:paraId="581A6AC9" w14:textId="2FBD3DE2" w:rsidR="00502B97" w:rsidRDefault="00D064D5" w:rsidP="001B0859">
      <w:r w:rsidRPr="005526CF">
        <w:t xml:space="preserve">The Board has appointed Board members Mr Anthony Klein </w:t>
      </w:r>
      <w:r w:rsidR="001155A7" w:rsidRPr="005526CF">
        <w:t xml:space="preserve">(Chair of the Working Group) </w:t>
      </w:r>
      <w:r w:rsidRPr="005526CF">
        <w:t>and Ms</w:t>
      </w:r>
      <w:r w:rsidR="00C202C1">
        <w:t> </w:t>
      </w:r>
      <w:r w:rsidRPr="005526CF">
        <w:t>Tanya</w:t>
      </w:r>
      <w:r w:rsidR="00C202C1">
        <w:t> </w:t>
      </w:r>
      <w:r w:rsidRPr="005526CF">
        <w:t xml:space="preserve">Titman to oversee the review. They will be assisted by a working group comprising </w:t>
      </w:r>
      <w:r w:rsidR="00DB63F5" w:rsidRPr="005526CF">
        <w:t xml:space="preserve">Board members, </w:t>
      </w:r>
      <w:r w:rsidRPr="005526CF">
        <w:t xml:space="preserve">industry experts, academic experts, members of the tax profession, and representatives of the Treasury, and the </w:t>
      </w:r>
      <w:r w:rsidR="005526CF" w:rsidRPr="005526CF">
        <w:t xml:space="preserve">ATO. </w:t>
      </w:r>
    </w:p>
    <w:p w14:paraId="3E67896E" w14:textId="530DEBC3" w:rsidR="001B0859" w:rsidRDefault="001B0859" w:rsidP="001B0859">
      <w:r>
        <w:t xml:space="preserve">Interested parties may contribute to the review by participating in one of the consultation activities conducted by the Board or through online submissions. Set out below is an indicative timeframe for consultation. Further information will be made available at: </w:t>
      </w:r>
      <w:hyperlink r:id="rId36" w:history="1">
        <w:r w:rsidRPr="006A5F6C">
          <w:rPr>
            <w:rStyle w:val="Hyperlink"/>
          </w:rPr>
          <w:t>www.taxboard.gov.au</w:t>
        </w:r>
      </w:hyperlink>
      <w:r>
        <w:t>.</w:t>
      </w:r>
    </w:p>
    <w:p w14:paraId="154DAB77" w14:textId="2F5CD01C" w:rsidR="003E1A43" w:rsidRDefault="003E1A43" w:rsidP="003E1A43">
      <w:pPr>
        <w:pStyle w:val="Heading2"/>
      </w:pPr>
      <w:bookmarkStart w:id="4" w:name="_Toc111632923"/>
      <w:r>
        <w:t>Timetable</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614"/>
        <w:gridCol w:w="7017"/>
      </w:tblGrid>
      <w:tr w:rsidR="001B0859" w:rsidRPr="001852CD" w14:paraId="63D2C6FC" w14:textId="77777777" w:rsidTr="00213642">
        <w:tc>
          <w:tcPr>
            <w:tcW w:w="2614" w:type="dxa"/>
            <w:shd w:val="clear" w:color="auto" w:fill="D9D9D9" w:themeFill="background1" w:themeFillShade="D9"/>
          </w:tcPr>
          <w:p w14:paraId="08A0ED60" w14:textId="4FB7CFF7" w:rsidR="001B0859" w:rsidRPr="00FA09DF" w:rsidRDefault="00AD0C90" w:rsidP="00B43626">
            <w:pPr>
              <w:pStyle w:val="TableHeadingContinued"/>
              <w:spacing w:before="0"/>
              <w:rPr>
                <w:sz w:val="24"/>
                <w:szCs w:val="24"/>
              </w:rPr>
            </w:pPr>
            <w:r w:rsidRPr="00FA09DF">
              <w:rPr>
                <w:sz w:val="24"/>
                <w:szCs w:val="24"/>
              </w:rPr>
              <w:t>Aug</w:t>
            </w:r>
            <w:r w:rsidR="00616E4D" w:rsidRPr="00FA09DF">
              <w:rPr>
                <w:sz w:val="24"/>
                <w:szCs w:val="24"/>
              </w:rPr>
              <w:t>ust</w:t>
            </w:r>
            <w:r w:rsidRPr="00FA09DF">
              <w:rPr>
                <w:sz w:val="24"/>
                <w:szCs w:val="24"/>
              </w:rPr>
              <w:t xml:space="preserve"> 2022</w:t>
            </w:r>
          </w:p>
        </w:tc>
        <w:tc>
          <w:tcPr>
            <w:tcW w:w="7017" w:type="dxa"/>
            <w:shd w:val="clear" w:color="auto" w:fill="D9D9D9" w:themeFill="background1" w:themeFillShade="D9"/>
          </w:tcPr>
          <w:p w14:paraId="20BF3EA3" w14:textId="77777777" w:rsidR="001B0859" w:rsidRPr="00540DFB" w:rsidRDefault="001B0859" w:rsidP="00B43626">
            <w:pPr>
              <w:pStyle w:val="TableHeadingContinued"/>
              <w:spacing w:before="0"/>
              <w:rPr>
                <w:sz w:val="24"/>
                <w:szCs w:val="24"/>
              </w:rPr>
            </w:pPr>
            <w:r w:rsidRPr="00540DFB">
              <w:rPr>
                <w:sz w:val="24"/>
                <w:szCs w:val="24"/>
              </w:rPr>
              <w:t>Consultation guide – released</w:t>
            </w:r>
          </w:p>
        </w:tc>
      </w:tr>
      <w:tr w:rsidR="001B0859" w:rsidRPr="00C33EDC" w14:paraId="18E2CC74" w14:textId="77777777" w:rsidTr="00213642">
        <w:tc>
          <w:tcPr>
            <w:tcW w:w="2614" w:type="dxa"/>
            <w:shd w:val="clear" w:color="auto" w:fill="FFFFFF" w:themeFill="background1"/>
          </w:tcPr>
          <w:p w14:paraId="28288E3C" w14:textId="77777777" w:rsidR="001B0859" w:rsidRPr="00C33EDC" w:rsidRDefault="001B0859" w:rsidP="00B43626">
            <w:pPr>
              <w:pStyle w:val="SingleParagraph"/>
            </w:pPr>
          </w:p>
        </w:tc>
        <w:tc>
          <w:tcPr>
            <w:tcW w:w="7017" w:type="dxa"/>
            <w:shd w:val="clear" w:color="auto" w:fill="FFFFFF" w:themeFill="background1"/>
          </w:tcPr>
          <w:p w14:paraId="32763C76" w14:textId="171DE57E" w:rsidR="001B0859" w:rsidRDefault="001B0859" w:rsidP="00B43626">
            <w:pPr>
              <w:spacing w:before="60" w:afterLines="30" w:after="72"/>
              <w:rPr>
                <w:b/>
                <w:bCs/>
                <w:color w:val="1F497D" w:themeColor="text2"/>
              </w:rPr>
            </w:pPr>
            <w:r w:rsidRPr="00C33EDC">
              <w:t xml:space="preserve">This </w:t>
            </w:r>
            <w:r w:rsidR="00E47403">
              <w:t>C</w:t>
            </w:r>
            <w:r w:rsidRPr="00C33EDC">
              <w:t xml:space="preserve">onsultation </w:t>
            </w:r>
            <w:r w:rsidR="00E47403">
              <w:t>G</w:t>
            </w:r>
            <w:r w:rsidRPr="00C33EDC">
              <w:t xml:space="preserve">uide </w:t>
            </w:r>
            <w:r>
              <w:t xml:space="preserve">will be </w:t>
            </w:r>
            <w:r w:rsidRPr="00E169A4">
              <w:t xml:space="preserve">released in </w:t>
            </w:r>
            <w:r w:rsidR="00AD0C90" w:rsidRPr="00FA09DF">
              <w:t>August</w:t>
            </w:r>
            <w:r w:rsidR="0026784E" w:rsidRPr="00FA09DF">
              <w:t xml:space="preserve"> </w:t>
            </w:r>
            <w:r w:rsidRPr="00FA09DF">
              <w:t>202</w:t>
            </w:r>
            <w:r w:rsidR="00070F51" w:rsidRPr="00FA09DF">
              <w:t>2</w:t>
            </w:r>
            <w:r w:rsidR="00616E4D" w:rsidRPr="00E169A4">
              <w:t>.</w:t>
            </w:r>
          </w:p>
          <w:p w14:paraId="36E561B9" w14:textId="04C91D50" w:rsidR="00616E4D" w:rsidRPr="00C33EDC" w:rsidRDefault="00616E4D" w:rsidP="00B43626">
            <w:pPr>
              <w:spacing w:before="60" w:afterLines="30" w:after="72"/>
              <w:rPr>
                <w:b/>
                <w:bCs/>
                <w:color w:val="1F497D" w:themeColor="text2"/>
              </w:rPr>
            </w:pPr>
          </w:p>
        </w:tc>
      </w:tr>
      <w:tr w:rsidR="001B0859" w:rsidRPr="001852CD" w14:paraId="70B9A219" w14:textId="77777777" w:rsidTr="00213642">
        <w:tc>
          <w:tcPr>
            <w:tcW w:w="2614" w:type="dxa"/>
            <w:shd w:val="clear" w:color="auto" w:fill="D9D9D9" w:themeFill="background1" w:themeFillShade="D9"/>
          </w:tcPr>
          <w:p w14:paraId="4FCA343D" w14:textId="10CF6833" w:rsidR="001B0859" w:rsidRPr="00540DFB" w:rsidRDefault="00616E4D" w:rsidP="00B43626">
            <w:pPr>
              <w:pStyle w:val="TableHeadingContinued"/>
              <w:spacing w:before="0"/>
              <w:rPr>
                <w:sz w:val="24"/>
                <w:szCs w:val="24"/>
              </w:rPr>
            </w:pPr>
            <w:r>
              <w:rPr>
                <w:sz w:val="24"/>
                <w:szCs w:val="24"/>
              </w:rPr>
              <w:t>September 2022</w:t>
            </w:r>
          </w:p>
        </w:tc>
        <w:tc>
          <w:tcPr>
            <w:tcW w:w="7017" w:type="dxa"/>
            <w:shd w:val="clear" w:color="auto" w:fill="D9D9D9" w:themeFill="background1" w:themeFillShade="D9"/>
          </w:tcPr>
          <w:p w14:paraId="1B42E78C" w14:textId="7BE88C60" w:rsidR="001B0859" w:rsidRPr="00540DFB" w:rsidRDefault="001B0859" w:rsidP="00B43626">
            <w:pPr>
              <w:pStyle w:val="TableHeadingContinued"/>
              <w:spacing w:before="0"/>
              <w:rPr>
                <w:bCs/>
                <w:color w:val="1F497D" w:themeColor="text2"/>
                <w:sz w:val="24"/>
                <w:szCs w:val="24"/>
              </w:rPr>
            </w:pPr>
            <w:r w:rsidRPr="00540DFB">
              <w:rPr>
                <w:sz w:val="24"/>
                <w:szCs w:val="24"/>
              </w:rPr>
              <w:t>Consultation</w:t>
            </w:r>
            <w:r w:rsidR="00362E5C">
              <w:rPr>
                <w:sz w:val="24"/>
                <w:szCs w:val="24"/>
              </w:rPr>
              <w:t xml:space="preserve">s </w:t>
            </w:r>
            <w:r>
              <w:rPr>
                <w:sz w:val="24"/>
                <w:szCs w:val="24"/>
              </w:rPr>
              <w:t>and submissions</w:t>
            </w:r>
          </w:p>
        </w:tc>
      </w:tr>
      <w:tr w:rsidR="001B0859" w:rsidRPr="00C33EDC" w14:paraId="2A8E0D8C" w14:textId="77777777" w:rsidTr="00213642">
        <w:tc>
          <w:tcPr>
            <w:tcW w:w="2614" w:type="dxa"/>
            <w:shd w:val="clear" w:color="auto" w:fill="FFFFFF" w:themeFill="background1"/>
          </w:tcPr>
          <w:p w14:paraId="1C8C9AC9" w14:textId="77777777" w:rsidR="001B0859" w:rsidRPr="00C33EDC" w:rsidRDefault="001B0859" w:rsidP="00B43626">
            <w:pPr>
              <w:pStyle w:val="SingleParagraph"/>
            </w:pPr>
          </w:p>
        </w:tc>
        <w:tc>
          <w:tcPr>
            <w:tcW w:w="7017" w:type="dxa"/>
            <w:shd w:val="clear" w:color="auto" w:fill="FFFFFF" w:themeFill="background1"/>
          </w:tcPr>
          <w:p w14:paraId="0AA6B23A" w14:textId="287358A2" w:rsidR="00883A3A" w:rsidRDefault="001B0859" w:rsidP="00B50FE9">
            <w:pPr>
              <w:spacing w:before="60" w:after="60"/>
            </w:pPr>
            <w:r w:rsidRPr="00C33EDC">
              <w:t xml:space="preserve">The </w:t>
            </w:r>
            <w:r>
              <w:t>Board will</w:t>
            </w:r>
            <w:r w:rsidRPr="00C33EDC">
              <w:t xml:space="preserve"> </w:t>
            </w:r>
            <w:r>
              <w:t>hold a series of</w:t>
            </w:r>
            <w:r w:rsidRPr="00C33EDC">
              <w:t xml:space="preserve"> </w:t>
            </w:r>
            <w:r w:rsidR="000B1A76">
              <w:t xml:space="preserve">consultations </w:t>
            </w:r>
            <w:r>
              <w:t>to</w:t>
            </w:r>
            <w:r w:rsidR="00724E4F">
              <w:t>:</w:t>
            </w:r>
          </w:p>
          <w:p w14:paraId="67FB5EA7" w14:textId="53D803A7" w:rsidR="00883A3A" w:rsidRDefault="0004311D" w:rsidP="00C92B4D">
            <w:pPr>
              <w:pStyle w:val="Bullet"/>
              <w:ind w:left="540" w:hanging="180"/>
            </w:pPr>
            <w:r>
              <w:t xml:space="preserve">assist with identifying </w:t>
            </w:r>
            <w:r w:rsidRPr="00B50FE9">
              <w:t>emerging tax policy issues</w:t>
            </w:r>
            <w:r>
              <w:t xml:space="preserve"> associated with </w:t>
            </w:r>
            <w:r w:rsidR="009E7162">
              <w:t>crypto</w:t>
            </w:r>
            <w:r>
              <w:t xml:space="preserve"> </w:t>
            </w:r>
            <w:proofErr w:type="gramStart"/>
            <w:r>
              <w:t>assets</w:t>
            </w:r>
            <w:r w:rsidR="00724E4F">
              <w:t>;</w:t>
            </w:r>
            <w:proofErr w:type="gramEnd"/>
            <w:r w:rsidR="005526CF">
              <w:t xml:space="preserve"> </w:t>
            </w:r>
          </w:p>
          <w:p w14:paraId="14F9D29E" w14:textId="1D85F0D2" w:rsidR="00883A3A" w:rsidRDefault="0004311D" w:rsidP="00C92B4D">
            <w:pPr>
              <w:pStyle w:val="Bullet"/>
              <w:ind w:left="540" w:hanging="180"/>
            </w:pPr>
            <w:r>
              <w:t xml:space="preserve">consider </w:t>
            </w:r>
            <w:r w:rsidR="003825E4" w:rsidRPr="003825E4">
              <w:t xml:space="preserve">the </w:t>
            </w:r>
            <w:r w:rsidR="0077742E">
              <w:t xml:space="preserve">current tax treatment of </w:t>
            </w:r>
            <w:r w:rsidR="009E7162">
              <w:t>crypto</w:t>
            </w:r>
            <w:r w:rsidR="0077742E">
              <w:t xml:space="preserve"> assets</w:t>
            </w:r>
            <w:r w:rsidR="00724E4F">
              <w:t>; and</w:t>
            </w:r>
            <w:r w:rsidR="005526CF">
              <w:t xml:space="preserve"> </w:t>
            </w:r>
          </w:p>
          <w:p w14:paraId="55520042" w14:textId="6EC3305B" w:rsidR="001B0859" w:rsidRDefault="005526CF" w:rsidP="00C92B4D">
            <w:pPr>
              <w:pStyle w:val="Bullet"/>
              <w:ind w:left="540" w:hanging="180"/>
            </w:pPr>
            <w:r>
              <w:t>consider the</w:t>
            </w:r>
            <w:r w:rsidR="0077742E">
              <w:t xml:space="preserve"> </w:t>
            </w:r>
            <w:r w:rsidR="003825E4" w:rsidRPr="003825E4">
              <w:t xml:space="preserve">awareness of the tax treatment by both retail and wholesale investors and those transacting in </w:t>
            </w:r>
            <w:r w:rsidR="009E7162">
              <w:t>crypto</w:t>
            </w:r>
            <w:r w:rsidR="003825E4" w:rsidRPr="003825E4">
              <w:t xml:space="preserve"> assets</w:t>
            </w:r>
            <w:r>
              <w:t>.</w:t>
            </w:r>
          </w:p>
          <w:p w14:paraId="5E231B74" w14:textId="2D0FF796" w:rsidR="001B0859" w:rsidRDefault="001B0859" w:rsidP="00B43626">
            <w:pPr>
              <w:spacing w:before="60" w:afterLines="30" w:after="72"/>
            </w:pPr>
            <w:r>
              <w:t>More detailed information on session times and how to register is included in ‘</w:t>
            </w:r>
            <w:r w:rsidRPr="0006574A">
              <w:rPr>
                <w:i/>
              </w:rPr>
              <w:t>How to participate’</w:t>
            </w:r>
            <w:r>
              <w:t xml:space="preserve"> on pag</w:t>
            </w:r>
            <w:r w:rsidRPr="00013D19">
              <w:t xml:space="preserve">e </w:t>
            </w:r>
            <w:r w:rsidR="0051010E" w:rsidRPr="00FA09DF">
              <w:t>1</w:t>
            </w:r>
            <w:r w:rsidR="00B31143" w:rsidRPr="00FA09DF">
              <w:t>5</w:t>
            </w:r>
            <w:r w:rsidRPr="00A40D7D">
              <w:t xml:space="preserve"> of</w:t>
            </w:r>
            <w:r>
              <w:t xml:space="preserve"> this </w:t>
            </w:r>
            <w:r w:rsidR="00CD54EE">
              <w:t>C</w:t>
            </w:r>
            <w:r>
              <w:t xml:space="preserve">onsultation </w:t>
            </w:r>
            <w:r w:rsidR="00CD54EE">
              <w:t>G</w:t>
            </w:r>
            <w:r>
              <w:t xml:space="preserve">uide. </w:t>
            </w:r>
          </w:p>
          <w:p w14:paraId="03E1116D" w14:textId="574D9B48" w:rsidR="001B0859" w:rsidRDefault="001B0859" w:rsidP="00B43626">
            <w:pPr>
              <w:spacing w:before="60" w:afterLines="30" w:after="72"/>
            </w:pPr>
            <w:r w:rsidRPr="00D50F8C">
              <w:t xml:space="preserve">Any written submissions to this </w:t>
            </w:r>
            <w:r w:rsidR="00CD54EE">
              <w:t>Consultation G</w:t>
            </w:r>
            <w:r w:rsidRPr="00D50F8C">
              <w:t xml:space="preserve">uide </w:t>
            </w:r>
            <w:r w:rsidR="00435AB1">
              <w:t>are due</w:t>
            </w:r>
            <w:r w:rsidRPr="00D50F8C">
              <w:t xml:space="preserve"> </w:t>
            </w:r>
            <w:r w:rsidR="006D7646">
              <w:t xml:space="preserve">by </w:t>
            </w:r>
            <w:r w:rsidR="00616E4D" w:rsidRPr="00FA09DF">
              <w:rPr>
                <w:b/>
                <w:bCs/>
              </w:rPr>
              <w:t>3</w:t>
            </w:r>
            <w:r w:rsidR="00A40D7D">
              <w:rPr>
                <w:b/>
                <w:bCs/>
              </w:rPr>
              <w:t>0 September</w:t>
            </w:r>
            <w:r w:rsidR="00616E4D" w:rsidRPr="00FA09DF">
              <w:rPr>
                <w:b/>
                <w:bCs/>
              </w:rPr>
              <w:t xml:space="preserve"> 2022</w:t>
            </w:r>
            <w:r w:rsidR="00616E4D">
              <w:t>.</w:t>
            </w:r>
            <w:r w:rsidRPr="00D50F8C">
              <w:t xml:space="preserve"> </w:t>
            </w:r>
            <w:r w:rsidRPr="004E02E3">
              <w:t>All submissions will be published on the Board’s website</w:t>
            </w:r>
            <w:r w:rsidR="0004311D">
              <w:t xml:space="preserve"> once the review has been completed</w:t>
            </w:r>
            <w:r w:rsidRPr="004E02E3">
              <w:t xml:space="preserve"> except where the submission is made on a confidential basis.</w:t>
            </w:r>
          </w:p>
          <w:p w14:paraId="6C6645BB" w14:textId="77777777" w:rsidR="001B0859" w:rsidRPr="00D50F8C" w:rsidRDefault="001B0859" w:rsidP="00B43626">
            <w:pPr>
              <w:spacing w:before="60" w:afterLines="30" w:after="72"/>
              <w:rPr>
                <w:b/>
                <w:bCs/>
                <w:color w:val="1F497D" w:themeColor="text2"/>
              </w:rPr>
            </w:pPr>
          </w:p>
        </w:tc>
      </w:tr>
      <w:tr w:rsidR="001B0859" w:rsidRPr="001852CD" w14:paraId="2AFE5739" w14:textId="77777777" w:rsidTr="00213642">
        <w:tc>
          <w:tcPr>
            <w:tcW w:w="2614" w:type="dxa"/>
            <w:shd w:val="clear" w:color="auto" w:fill="D9D9D9" w:themeFill="background1" w:themeFillShade="D9"/>
          </w:tcPr>
          <w:p w14:paraId="26AA7C04" w14:textId="4B7AECB1" w:rsidR="001B0859" w:rsidRPr="00540DFB" w:rsidRDefault="00AD0C90" w:rsidP="00B43626">
            <w:pPr>
              <w:pStyle w:val="TableHeadingContinued"/>
              <w:spacing w:before="0"/>
              <w:rPr>
                <w:bCs/>
                <w:color w:val="1F497D" w:themeColor="text2"/>
                <w:sz w:val="24"/>
                <w:szCs w:val="24"/>
              </w:rPr>
            </w:pPr>
            <w:r w:rsidRPr="00FA09DF">
              <w:rPr>
                <w:sz w:val="24"/>
                <w:szCs w:val="24"/>
              </w:rPr>
              <w:t>December 2022</w:t>
            </w:r>
          </w:p>
        </w:tc>
        <w:tc>
          <w:tcPr>
            <w:tcW w:w="7017" w:type="dxa"/>
            <w:shd w:val="clear" w:color="auto" w:fill="D9D9D9" w:themeFill="background1" w:themeFillShade="D9"/>
          </w:tcPr>
          <w:p w14:paraId="75647C38" w14:textId="77777777" w:rsidR="001B0859" w:rsidRPr="00540DFB" w:rsidRDefault="001B0859" w:rsidP="00B43626">
            <w:pPr>
              <w:pStyle w:val="TableHeadingContinued"/>
              <w:spacing w:before="0"/>
              <w:rPr>
                <w:bCs/>
                <w:color w:val="1F497D" w:themeColor="text2"/>
                <w:sz w:val="24"/>
                <w:szCs w:val="24"/>
              </w:rPr>
            </w:pPr>
            <w:r w:rsidRPr="00540DFB">
              <w:rPr>
                <w:sz w:val="24"/>
                <w:szCs w:val="24"/>
              </w:rPr>
              <w:t>Final report</w:t>
            </w:r>
          </w:p>
        </w:tc>
      </w:tr>
      <w:tr w:rsidR="001B0859" w:rsidRPr="00C33EDC" w14:paraId="5BFB53B0" w14:textId="77777777" w:rsidTr="00213642">
        <w:tc>
          <w:tcPr>
            <w:tcW w:w="2614" w:type="dxa"/>
            <w:shd w:val="clear" w:color="auto" w:fill="FFFFFF" w:themeFill="background1"/>
          </w:tcPr>
          <w:p w14:paraId="7A64E851" w14:textId="77777777" w:rsidR="001B0859" w:rsidRPr="00C33EDC" w:rsidRDefault="001B0859" w:rsidP="00B43626"/>
        </w:tc>
        <w:tc>
          <w:tcPr>
            <w:tcW w:w="7017" w:type="dxa"/>
            <w:shd w:val="clear" w:color="auto" w:fill="FFFFFF" w:themeFill="background1"/>
          </w:tcPr>
          <w:p w14:paraId="0C3157A0" w14:textId="15E80DB5" w:rsidR="001B0859" w:rsidRPr="00C33EDC" w:rsidRDefault="001B0859" w:rsidP="00B43626">
            <w:pPr>
              <w:spacing w:before="60" w:afterLines="30" w:after="72"/>
              <w:rPr>
                <w:bCs/>
              </w:rPr>
            </w:pPr>
            <w:r w:rsidRPr="00C33EDC">
              <w:rPr>
                <w:bCs/>
              </w:rPr>
              <w:t xml:space="preserve">The Board is </w:t>
            </w:r>
            <w:r>
              <w:rPr>
                <w:bCs/>
              </w:rPr>
              <w:t xml:space="preserve">required to report to the Government </w:t>
            </w:r>
            <w:r w:rsidRPr="00E169A4">
              <w:rPr>
                <w:bCs/>
              </w:rPr>
              <w:t xml:space="preserve">by </w:t>
            </w:r>
            <w:r w:rsidR="00AD0C90" w:rsidRPr="00FA09DF">
              <w:rPr>
                <w:bCs/>
              </w:rPr>
              <w:t>31 December 2022</w:t>
            </w:r>
            <w:r w:rsidRPr="00616E4D">
              <w:rPr>
                <w:bCs/>
              </w:rPr>
              <w:t>.</w:t>
            </w:r>
          </w:p>
        </w:tc>
      </w:tr>
    </w:tbl>
    <w:p w14:paraId="0357141D" w14:textId="686F0BE7" w:rsidR="00255925" w:rsidRPr="00213642" w:rsidRDefault="00255925" w:rsidP="00255925">
      <w:pPr>
        <w:rPr>
          <w:color w:val="002060"/>
          <w:sz w:val="28"/>
          <w:szCs w:val="32"/>
        </w:rPr>
      </w:pPr>
    </w:p>
    <w:p w14:paraId="6E61A366" w14:textId="51B7D1E2" w:rsidR="000C3B36" w:rsidRPr="001500FF" w:rsidRDefault="00A3220C" w:rsidP="000633AA">
      <w:pPr>
        <w:pStyle w:val="Heading1"/>
      </w:pPr>
      <w:bookmarkStart w:id="5" w:name="_Toc111632924"/>
      <w:r w:rsidRPr="001155A7">
        <w:lastRenderedPageBreak/>
        <w:t xml:space="preserve">Overview </w:t>
      </w:r>
      <w:r w:rsidR="001155A7">
        <w:t xml:space="preserve">of </w:t>
      </w:r>
      <w:r w:rsidR="00B73F19">
        <w:t xml:space="preserve">Crypto </w:t>
      </w:r>
      <w:r w:rsidR="001155A7">
        <w:t>Assets</w:t>
      </w:r>
      <w:bookmarkEnd w:id="5"/>
      <w:r w:rsidR="001155A7">
        <w:t xml:space="preserve"> </w:t>
      </w:r>
    </w:p>
    <w:p w14:paraId="77E332F6" w14:textId="512302DA" w:rsidR="00D064D5" w:rsidRPr="001155A7" w:rsidRDefault="000C3B36" w:rsidP="000C3B36">
      <w:pPr>
        <w:rPr>
          <w:color w:val="002060"/>
          <w:sz w:val="28"/>
          <w:szCs w:val="32"/>
        </w:rPr>
      </w:pPr>
      <w:r w:rsidRPr="001155A7">
        <w:rPr>
          <w:color w:val="002060"/>
          <w:sz w:val="28"/>
          <w:szCs w:val="32"/>
        </w:rPr>
        <w:t xml:space="preserve">The digital economy presents challenges not only for traditional areas of law such as contract law, but also for tax law. </w:t>
      </w:r>
    </w:p>
    <w:p w14:paraId="2328DB7D" w14:textId="47313F55" w:rsidR="008D4D7B" w:rsidRDefault="000C3B36" w:rsidP="000C3B36">
      <w:r w:rsidRPr="000C3B36">
        <w:t xml:space="preserve">The inherent characteristics of the internet mean that digitisation (as exemplified by </w:t>
      </w:r>
      <w:r w:rsidR="00477CF4" w:rsidRPr="000C3B36">
        <w:t>crypto</w:t>
      </w:r>
      <w:r w:rsidR="00477CF4">
        <w:t xml:space="preserve"> assets</w:t>
      </w:r>
      <w:r w:rsidRPr="000C3B36">
        <w:t xml:space="preserve">) </w:t>
      </w:r>
      <w:r w:rsidR="0051010E">
        <w:t xml:space="preserve">potentially </w:t>
      </w:r>
      <w:r w:rsidRPr="000C3B36">
        <w:t>challenges fundamental concepts of tax law such as</w:t>
      </w:r>
      <w:r w:rsidR="0051010E">
        <w:t xml:space="preserve"> identification of a</w:t>
      </w:r>
      <w:r w:rsidR="001B61EC">
        <w:t xml:space="preserve"> </w:t>
      </w:r>
      <w:r w:rsidRPr="000C3B36">
        <w:t>taxpayer’s residence, the source of income</w:t>
      </w:r>
      <w:r w:rsidR="00E976CB">
        <w:t xml:space="preserve"> and</w:t>
      </w:r>
      <w:r w:rsidRPr="000C3B36">
        <w:t xml:space="preserve"> the </w:t>
      </w:r>
      <w:r w:rsidR="00684AF0" w:rsidRPr="000C3B36">
        <w:t>characteris</w:t>
      </w:r>
      <w:r w:rsidR="00684AF0">
        <w:t>ation</w:t>
      </w:r>
      <w:r w:rsidR="00684AF0" w:rsidRPr="000C3B36">
        <w:t xml:space="preserve"> </w:t>
      </w:r>
      <w:r w:rsidRPr="000C3B36">
        <w:t xml:space="preserve">of the </w:t>
      </w:r>
      <w:r w:rsidR="006A4A00">
        <w:t xml:space="preserve">relevant </w:t>
      </w:r>
      <w:r w:rsidRPr="000C3B36">
        <w:t xml:space="preserve">assets and </w:t>
      </w:r>
      <w:r w:rsidR="00684AF0">
        <w:t>transactions</w:t>
      </w:r>
      <w:r w:rsidR="00684AF0" w:rsidRPr="00145B72">
        <w:t xml:space="preserve">. </w:t>
      </w:r>
      <w:r w:rsidR="00CF5071">
        <w:t xml:space="preserve"> </w:t>
      </w:r>
    </w:p>
    <w:p w14:paraId="1D706C51" w14:textId="35E04673" w:rsidR="008D4D7B" w:rsidRDefault="00071A94" w:rsidP="000C3B36">
      <w:r>
        <w:t>The term c</w:t>
      </w:r>
      <w:r w:rsidR="008D4D7B">
        <w:t xml:space="preserve">rypto assets </w:t>
      </w:r>
      <w:r>
        <w:t>is commonly used to refer to types of digital financial assets that are based on distributed ledger technology (DLT) and cryptography as part of their perceived or inherent value.</w:t>
      </w:r>
      <w:r>
        <w:rPr>
          <w:rStyle w:val="FootnoteReference"/>
        </w:rPr>
        <w:footnoteReference w:id="2"/>
      </w:r>
      <w:r>
        <w:t xml:space="preserve"> </w:t>
      </w:r>
      <w:r w:rsidR="008D4D7B">
        <w:t xml:space="preserve"> </w:t>
      </w:r>
    </w:p>
    <w:p w14:paraId="37C67060" w14:textId="4D7487AE" w:rsidR="008D4D7B" w:rsidRDefault="00D3049C" w:rsidP="000C3B36">
      <w:r>
        <w:t>In today’s market</w:t>
      </w:r>
      <w:r w:rsidR="008D4D7B">
        <w:t>, crypto assets have three primary uses: as an investment; as a means of exchange</w:t>
      </w:r>
      <w:r w:rsidR="001B61EC">
        <w:t>;</w:t>
      </w:r>
      <w:r w:rsidR="008D4D7B">
        <w:t xml:space="preserve"> and to access goods and </w:t>
      </w:r>
      <w:r w:rsidR="00907765">
        <w:t>services. Crypto assets include</w:t>
      </w:r>
      <w:r w:rsidR="008B1294">
        <w:t xml:space="preserve"> (but </w:t>
      </w:r>
      <w:r w:rsidR="00FD0731">
        <w:t xml:space="preserve">are </w:t>
      </w:r>
      <w:r w:rsidR="008B1294">
        <w:t>not limited to)</w:t>
      </w:r>
      <w:r w:rsidR="00907765">
        <w:t xml:space="preserve"> cryptocurrencies </w:t>
      </w:r>
      <w:r>
        <w:t>such as</w:t>
      </w:r>
      <w:r w:rsidR="00907765">
        <w:t xml:space="preserve"> </w:t>
      </w:r>
      <w:r w:rsidR="00110915">
        <w:t>b</w:t>
      </w:r>
      <w:r>
        <w:t>itcoin</w:t>
      </w:r>
      <w:r w:rsidR="003B0BCF">
        <w:t xml:space="preserve"> and </w:t>
      </w:r>
      <w:proofErr w:type="spellStart"/>
      <w:r w:rsidR="003B0BCF">
        <w:t>litecoin</w:t>
      </w:r>
      <w:proofErr w:type="spellEnd"/>
      <w:r w:rsidR="00907765">
        <w:t xml:space="preserve">, utility tokens </w:t>
      </w:r>
      <w:r w:rsidR="00FD0731">
        <w:t xml:space="preserve">such as </w:t>
      </w:r>
      <w:proofErr w:type="spellStart"/>
      <w:r w:rsidR="00907765">
        <w:t>filecoin</w:t>
      </w:r>
      <w:proofErr w:type="spellEnd"/>
      <w:r w:rsidR="00907765">
        <w:t xml:space="preserve">, and security tokens.  They may run on their own </w:t>
      </w:r>
      <w:r w:rsidR="00E07C40">
        <w:t>b</w:t>
      </w:r>
      <w:r w:rsidR="00907765">
        <w:t>lockchain or use an existing platform like Ethereum. Crypto assets also include non-fungible tokens (NFTs).</w:t>
      </w:r>
      <w:r w:rsidR="00D8721D">
        <w:rPr>
          <w:rStyle w:val="FootnoteReference"/>
        </w:rPr>
        <w:footnoteReference w:id="3"/>
      </w:r>
      <w:r w:rsidR="00907765">
        <w:t xml:space="preserve"> </w:t>
      </w:r>
    </w:p>
    <w:p w14:paraId="18E20317" w14:textId="7FFA1F3E" w:rsidR="003A58A0" w:rsidRDefault="00C7139A" w:rsidP="000C3B36">
      <w:r>
        <w:t>N</w:t>
      </w:r>
      <w:r w:rsidRPr="002333EF">
        <w:t xml:space="preserve">ew </w:t>
      </w:r>
      <w:r w:rsidR="000C3B36" w:rsidRPr="002333EF">
        <w:t>decentralised bu</w:t>
      </w:r>
      <w:r w:rsidR="000C3B36" w:rsidRPr="00B57F5B">
        <w:t xml:space="preserve">siness models </w:t>
      </w:r>
      <w:r w:rsidR="001E36B1" w:rsidRPr="00B57F5B">
        <w:t>ha</w:t>
      </w:r>
      <w:r w:rsidR="001E36B1">
        <w:t>ve</w:t>
      </w:r>
      <w:r w:rsidR="00D03540">
        <w:t xml:space="preserve"> </w:t>
      </w:r>
      <w:r w:rsidR="000C3B36" w:rsidRPr="000730BA">
        <w:t xml:space="preserve">led to </w:t>
      </w:r>
      <w:r w:rsidR="00D03540">
        <w:t xml:space="preserve">growth in the use of crypto assets across </w:t>
      </w:r>
      <w:r w:rsidR="00D3049C">
        <w:t xml:space="preserve">a number of </w:t>
      </w:r>
      <w:r w:rsidR="00D03540">
        <w:t xml:space="preserve">areas including gaming, art, real estate, lending and security. </w:t>
      </w:r>
      <w:r w:rsidR="00D03540" w:rsidRPr="000730BA">
        <w:t xml:space="preserve"> </w:t>
      </w:r>
      <w:r w:rsidR="00D03540">
        <w:t xml:space="preserve"> </w:t>
      </w:r>
    </w:p>
    <w:p w14:paraId="6EA0835A" w14:textId="5E4E2B17" w:rsidR="000C3B36" w:rsidRDefault="00CB4FFC" w:rsidP="000C3B36">
      <w:r>
        <w:t>E</w:t>
      </w:r>
      <w:r w:rsidR="000C3B36" w:rsidRPr="000730BA">
        <w:t>lectronic payment system</w:t>
      </w:r>
      <w:r w:rsidR="003A58A0">
        <w:t>s</w:t>
      </w:r>
      <w:r w:rsidR="000C3B36" w:rsidRPr="000730BA">
        <w:t xml:space="preserve"> ‘</w:t>
      </w:r>
      <w:r w:rsidR="000C3B36" w:rsidRPr="0006574A">
        <w:rPr>
          <w:i/>
          <w:iCs/>
        </w:rPr>
        <w:t>based on cryptographic proof instead of trust’</w:t>
      </w:r>
      <w:r w:rsidRPr="00145B72">
        <w:rPr>
          <w:rStyle w:val="FootnoteReference"/>
        </w:rPr>
        <w:footnoteReference w:id="4"/>
      </w:r>
      <w:r w:rsidR="000C3B36" w:rsidRPr="000730BA">
        <w:t xml:space="preserve"> </w:t>
      </w:r>
      <w:r w:rsidR="003A58A0">
        <w:t xml:space="preserve">challenge the </w:t>
      </w:r>
      <w:r w:rsidR="00797DAF">
        <w:t>role and effectiveness of monetary policy as an important government lever in managing the economy. Th</w:t>
      </w:r>
      <w:r w:rsidR="00E02E5B">
        <w:t>ey</w:t>
      </w:r>
      <w:r w:rsidR="00797DAF">
        <w:t xml:space="preserve"> may </w:t>
      </w:r>
      <w:r w:rsidR="00E02E5B">
        <w:t xml:space="preserve">also </w:t>
      </w:r>
      <w:r w:rsidR="00652BAA">
        <w:t>present challenges</w:t>
      </w:r>
      <w:r w:rsidR="00797DAF">
        <w:t xml:space="preserve"> from a taxation and monetary policy perspective </w:t>
      </w:r>
      <w:r w:rsidR="00E02E5B">
        <w:t xml:space="preserve">if </w:t>
      </w:r>
      <w:r w:rsidR="00F04D9D">
        <w:t>more</w:t>
      </w:r>
      <w:r w:rsidR="00797DAF">
        <w:t xml:space="preserve"> jurisdiction</w:t>
      </w:r>
      <w:r w:rsidR="00F04D9D">
        <w:t>s</w:t>
      </w:r>
      <w:r w:rsidR="00797DAF">
        <w:t xml:space="preserve"> authorise a cryptocurrency as</w:t>
      </w:r>
      <w:r w:rsidR="00E025B7">
        <w:t xml:space="preserve"> legal tender</w:t>
      </w:r>
      <w:r w:rsidR="00BB4501">
        <w:t>.</w:t>
      </w:r>
      <w:r w:rsidR="00F04D9D">
        <w:rPr>
          <w:rStyle w:val="FootnoteReference"/>
        </w:rPr>
        <w:footnoteReference w:id="5"/>
      </w:r>
    </w:p>
    <w:p w14:paraId="415DDD41" w14:textId="1DB97375" w:rsidR="00BC4C77" w:rsidRDefault="00A35E57" w:rsidP="008B7E2A">
      <w:r>
        <w:t>A widely accepted</w:t>
      </w:r>
      <w:r w:rsidR="008B7E2A" w:rsidRPr="008B7E2A">
        <w:t xml:space="preserve"> principle for tax</w:t>
      </w:r>
      <w:r w:rsidR="001D3AE4">
        <w:t xml:space="preserve">ation </w:t>
      </w:r>
      <w:r w:rsidR="008B7E2A" w:rsidRPr="008B7E2A">
        <w:t>is that profits should</w:t>
      </w:r>
      <w:r w:rsidR="002A6E35">
        <w:t xml:space="preserve"> </w:t>
      </w:r>
      <w:r w:rsidR="008B7E2A" w:rsidRPr="008B7E2A">
        <w:t xml:space="preserve">be taxed where the value is created. However, </w:t>
      </w:r>
      <w:r w:rsidR="002A6E35">
        <w:t>with respect to</w:t>
      </w:r>
      <w:r w:rsidR="002A6E35" w:rsidRPr="008B7E2A">
        <w:t xml:space="preserve"> </w:t>
      </w:r>
      <w:r w:rsidR="00C51826">
        <w:t>crypto</w:t>
      </w:r>
      <w:r w:rsidR="00FC7DEC">
        <w:t xml:space="preserve"> assets</w:t>
      </w:r>
      <w:r w:rsidR="00E331A0">
        <w:t>,</w:t>
      </w:r>
      <w:r w:rsidR="00502B97">
        <w:t xml:space="preserve"> uncertainties arise in relation to the following</w:t>
      </w:r>
      <w:r w:rsidR="00BC4C77">
        <w:t xml:space="preserve"> tax policy issues:</w:t>
      </w:r>
    </w:p>
    <w:p w14:paraId="5F8700FE" w14:textId="242D5FEB" w:rsidR="0009454B" w:rsidRDefault="008B7E2A" w:rsidP="004B3900">
      <w:pPr>
        <w:pStyle w:val="ListParagraph"/>
        <w:numPr>
          <w:ilvl w:val="0"/>
          <w:numId w:val="29"/>
        </w:numPr>
        <w:spacing w:before="0" w:after="240"/>
        <w:ind w:left="714" w:hanging="357"/>
      </w:pPr>
      <w:r w:rsidRPr="008B7E2A">
        <w:t>Where to tax? (nexus)</w:t>
      </w:r>
      <w:r w:rsidR="004F725A">
        <w:t xml:space="preserve"> – what are the </w:t>
      </w:r>
      <w:r w:rsidR="004F725A" w:rsidRPr="004F725A">
        <w:t xml:space="preserve">taxing rights in a country where </w:t>
      </w:r>
      <w:r w:rsidR="003F321F">
        <w:t xml:space="preserve">entities </w:t>
      </w:r>
      <w:r w:rsidR="007C224C">
        <w:t>transact using crypto assets</w:t>
      </w:r>
      <w:r w:rsidR="00814C0B">
        <w:t xml:space="preserve">; </w:t>
      </w:r>
    </w:p>
    <w:p w14:paraId="09A14991" w14:textId="77777777" w:rsidR="00AE5CEE" w:rsidRPr="00C92B4D" w:rsidRDefault="00AE5CEE" w:rsidP="00C92B4D">
      <w:pPr>
        <w:pStyle w:val="ListParagraph"/>
        <w:spacing w:after="240"/>
        <w:ind w:left="714"/>
        <w:rPr>
          <w:sz w:val="10"/>
          <w:szCs w:val="10"/>
        </w:rPr>
      </w:pPr>
    </w:p>
    <w:p w14:paraId="26C64DF1" w14:textId="44199506" w:rsidR="00AE5CEE" w:rsidRDefault="008B7E2A" w:rsidP="00AE5CEE">
      <w:pPr>
        <w:pStyle w:val="ListParagraph"/>
        <w:numPr>
          <w:ilvl w:val="0"/>
          <w:numId w:val="29"/>
        </w:numPr>
        <w:spacing w:after="240"/>
        <w:ind w:left="714" w:hanging="357"/>
      </w:pPr>
      <w:r w:rsidRPr="008B7E2A">
        <w:t>What to tax? (</w:t>
      </w:r>
      <w:proofErr w:type="gramStart"/>
      <w:r w:rsidRPr="008B7E2A">
        <w:t>value</w:t>
      </w:r>
      <w:proofErr w:type="gramEnd"/>
      <w:r w:rsidRPr="008B7E2A">
        <w:t xml:space="preserve"> creation) – how to attribute profit </w:t>
      </w:r>
      <w:r w:rsidR="00D52FC5">
        <w:t xml:space="preserve">(and recognise losses) with respect </w:t>
      </w:r>
      <w:r w:rsidR="00CB2937">
        <w:t xml:space="preserve">to these </w:t>
      </w:r>
      <w:r w:rsidR="007C224C">
        <w:t xml:space="preserve">crypto </w:t>
      </w:r>
      <w:r w:rsidR="00CB2937">
        <w:t>assets</w:t>
      </w:r>
      <w:r w:rsidR="00987992">
        <w:t>;</w:t>
      </w:r>
      <w:r w:rsidR="00BA2CD1">
        <w:t xml:space="preserve"> and</w:t>
      </w:r>
    </w:p>
    <w:p w14:paraId="6930FD74" w14:textId="77777777" w:rsidR="00AE5CEE" w:rsidRPr="00C92B4D" w:rsidRDefault="00AE5CEE" w:rsidP="00C92B4D">
      <w:pPr>
        <w:pStyle w:val="ListParagraph"/>
        <w:rPr>
          <w:sz w:val="10"/>
          <w:szCs w:val="10"/>
        </w:rPr>
      </w:pPr>
    </w:p>
    <w:p w14:paraId="7EB6DDFB" w14:textId="5EA08325" w:rsidR="008B7E2A" w:rsidRPr="008B7E2A" w:rsidRDefault="00987992" w:rsidP="00C92B4D">
      <w:pPr>
        <w:pStyle w:val="ListParagraph"/>
        <w:numPr>
          <w:ilvl w:val="0"/>
          <w:numId w:val="29"/>
        </w:numPr>
        <w:spacing w:after="240"/>
        <w:ind w:left="714" w:hanging="357"/>
      </w:pPr>
      <w:r>
        <w:t xml:space="preserve">When to tax? </w:t>
      </w:r>
      <w:r w:rsidR="00E96B2C">
        <w:t>(</w:t>
      </w:r>
      <w:proofErr w:type="gramStart"/>
      <w:r w:rsidR="00776756">
        <w:t>triggering</w:t>
      </w:r>
      <w:proofErr w:type="gramEnd"/>
      <w:r w:rsidR="00776756">
        <w:t xml:space="preserve"> of taxable events) </w:t>
      </w:r>
      <w:r w:rsidR="004942D6">
        <w:t>–</w:t>
      </w:r>
      <w:r w:rsidR="00645A33">
        <w:t xml:space="preserve"> </w:t>
      </w:r>
      <w:r w:rsidR="004942D6">
        <w:t xml:space="preserve">whether the </w:t>
      </w:r>
      <w:r w:rsidR="00150AB8">
        <w:t>creation</w:t>
      </w:r>
      <w:r w:rsidR="00502B97">
        <w:t>, transacting</w:t>
      </w:r>
      <w:r w:rsidR="00150AB8">
        <w:t xml:space="preserve"> and/or processing of </w:t>
      </w:r>
      <w:r w:rsidR="00FC33A6">
        <w:t xml:space="preserve">crypto </w:t>
      </w:r>
      <w:r w:rsidR="00150AB8">
        <w:t>asset</w:t>
      </w:r>
      <w:r w:rsidR="00E777E3">
        <w:t>s trigger</w:t>
      </w:r>
      <w:r w:rsidR="00502B97">
        <w:t>s</w:t>
      </w:r>
      <w:r w:rsidR="00E777E3">
        <w:t xml:space="preserve"> a taxing point</w:t>
      </w:r>
      <w:r w:rsidR="00BA2CD1">
        <w:t>.</w:t>
      </w:r>
      <w:r w:rsidR="008B7E2A" w:rsidRPr="008B7E2A">
        <w:t xml:space="preserve"> </w:t>
      </w:r>
    </w:p>
    <w:p w14:paraId="61CFD359" w14:textId="04D95782" w:rsidR="00CE0961" w:rsidRDefault="00DC3628" w:rsidP="005A33B4">
      <w:r w:rsidRPr="00DC3628">
        <w:lastRenderedPageBreak/>
        <w:t xml:space="preserve">The creation, trade and use of </w:t>
      </w:r>
      <w:r w:rsidR="006635FD">
        <w:t>crypto assets</w:t>
      </w:r>
      <w:r w:rsidR="0007042C">
        <w:t xml:space="preserve"> is </w:t>
      </w:r>
      <w:r w:rsidR="0007042C" w:rsidRPr="0007042C">
        <w:t>in a</w:t>
      </w:r>
      <w:r w:rsidR="001A2BA8">
        <w:t xml:space="preserve">n ongoing </w:t>
      </w:r>
      <w:r w:rsidR="0007042C" w:rsidRPr="0007042C">
        <w:t>state of evolution</w:t>
      </w:r>
      <w:r w:rsidR="006635FD">
        <w:t xml:space="preserve">, </w:t>
      </w:r>
      <w:r w:rsidR="005A6BF7">
        <w:t xml:space="preserve">and </w:t>
      </w:r>
      <w:r w:rsidR="008244E2">
        <w:t xml:space="preserve">it is important to ensure that the tax framework remains appropriate. </w:t>
      </w:r>
      <w:r w:rsidR="00FD3047">
        <w:t xml:space="preserve">The </w:t>
      </w:r>
      <w:r w:rsidR="00C63551">
        <w:t xml:space="preserve">tax treatment of </w:t>
      </w:r>
      <w:r w:rsidR="001A2BA8">
        <w:t xml:space="preserve">some aspects of </w:t>
      </w:r>
      <w:r w:rsidR="00C63551">
        <w:t xml:space="preserve">these </w:t>
      </w:r>
      <w:r w:rsidR="001466F5">
        <w:t xml:space="preserve">assets </w:t>
      </w:r>
      <w:r w:rsidR="0094418F">
        <w:t>may be view</w:t>
      </w:r>
      <w:r w:rsidR="002A6E35">
        <w:t>ed</w:t>
      </w:r>
      <w:r w:rsidR="0094418F">
        <w:t xml:space="preserve"> as uncertain a</w:t>
      </w:r>
      <w:r w:rsidR="0043359E">
        <w:t xml:space="preserve">nd </w:t>
      </w:r>
      <w:r w:rsidR="002A6E35">
        <w:t>unclear</w:t>
      </w:r>
      <w:r w:rsidR="00785FA4">
        <w:t xml:space="preserve">, </w:t>
      </w:r>
      <w:r w:rsidR="00D52FC5">
        <w:t xml:space="preserve">not only in Australia, but in comparable </w:t>
      </w:r>
      <w:r w:rsidR="008D77E0">
        <w:t>jurisdictions</w:t>
      </w:r>
      <w:r w:rsidR="00D52FC5">
        <w:t xml:space="preserve">. </w:t>
      </w:r>
      <w:r w:rsidR="00C85B7E">
        <w:t>In this regard, t</w:t>
      </w:r>
      <w:r w:rsidR="00FB5E5A">
        <w:t xml:space="preserve">he purpose of the </w:t>
      </w:r>
      <w:r w:rsidR="00C85B7E">
        <w:t xml:space="preserve">Board’s </w:t>
      </w:r>
      <w:r w:rsidR="00FB5E5A">
        <w:t xml:space="preserve">review </w:t>
      </w:r>
      <w:r w:rsidR="004043AA">
        <w:t xml:space="preserve">is to </w:t>
      </w:r>
      <w:r w:rsidR="007B668E">
        <w:t xml:space="preserve">consider </w:t>
      </w:r>
      <w:r w:rsidR="00C85B7E">
        <w:t>Australia</w:t>
      </w:r>
      <w:r w:rsidR="003F321F">
        <w:t>’s</w:t>
      </w:r>
      <w:r w:rsidR="00C85B7E">
        <w:t xml:space="preserve"> tax framework and </w:t>
      </w:r>
      <w:r w:rsidR="007B668E">
        <w:t xml:space="preserve">whether </w:t>
      </w:r>
      <w:r w:rsidR="008C41B5">
        <w:t>changes are required to the</w:t>
      </w:r>
      <w:r w:rsidR="00C85B7E">
        <w:t xml:space="preserve"> existing</w:t>
      </w:r>
      <w:r w:rsidR="008C41B5">
        <w:t xml:space="preserve"> tax laws or their administration </w:t>
      </w:r>
      <w:proofErr w:type="gramStart"/>
      <w:r w:rsidR="00577406">
        <w:t>in light of</w:t>
      </w:r>
      <w:proofErr w:type="gramEnd"/>
      <w:r w:rsidR="00577406">
        <w:t xml:space="preserve"> </w:t>
      </w:r>
      <w:r w:rsidR="003F4B79">
        <w:t xml:space="preserve">rapidly evolving </w:t>
      </w:r>
      <w:r w:rsidR="00D72AAE">
        <w:t xml:space="preserve">changes in technology and the digital economy. </w:t>
      </w:r>
    </w:p>
    <w:p w14:paraId="444ECAFA" w14:textId="77355D94" w:rsidR="00D72AAE" w:rsidRPr="007877E9" w:rsidRDefault="00BF0923" w:rsidP="00092536">
      <w:pPr>
        <w:pStyle w:val="Heading2"/>
      </w:pPr>
      <w:bookmarkStart w:id="6" w:name="_Toc111632925"/>
      <w:r>
        <w:t>Appropriate policy framework</w:t>
      </w:r>
      <w:bookmarkEnd w:id="6"/>
    </w:p>
    <w:p w14:paraId="29FACA6E" w14:textId="6929F2AC" w:rsidR="00E47E79" w:rsidRDefault="007D54C0" w:rsidP="00092536">
      <w:pPr>
        <w:pStyle w:val="OutlineNumbered1"/>
        <w:numPr>
          <w:ilvl w:val="0"/>
          <w:numId w:val="0"/>
        </w:numPr>
      </w:pPr>
      <w:r>
        <w:t>In developing an appropriate policy framework</w:t>
      </w:r>
      <w:r w:rsidR="006579A8">
        <w:t>, the Board will</w:t>
      </w:r>
      <w:r>
        <w:t xml:space="preserve"> analyse the tax treatment of </w:t>
      </w:r>
      <w:r w:rsidR="00D6625A">
        <w:t>crypto assets</w:t>
      </w:r>
      <w:r>
        <w:t xml:space="preserve"> from creation to the various forms of exchange or disposal with a view to determining whether Australian taxation laws need to be amended and/or updated.</w:t>
      </w:r>
      <w:r w:rsidR="002966CE">
        <w:t xml:space="preserve"> </w:t>
      </w:r>
      <w:r w:rsidR="008D77E0">
        <w:t xml:space="preserve">Depending on the </w:t>
      </w:r>
      <w:r w:rsidR="00B454E8">
        <w:t xml:space="preserve">findings </w:t>
      </w:r>
      <w:r w:rsidR="000C30B3">
        <w:t>from</w:t>
      </w:r>
      <w:r w:rsidR="008D77E0">
        <w:t xml:space="preserve"> the Board’s review, </w:t>
      </w:r>
      <w:r w:rsidR="00B454E8">
        <w:t>the recommendations made by the Board</w:t>
      </w:r>
      <w:r w:rsidR="00E47E79">
        <w:t xml:space="preserve"> may </w:t>
      </w:r>
      <w:r w:rsidR="00BB52BB">
        <w:t>include</w:t>
      </w:r>
      <w:r w:rsidR="00E47E79">
        <w:t xml:space="preserve"> the establishment of a set of tax principles, </w:t>
      </w:r>
      <w:r w:rsidR="00AE5CEE">
        <w:t>a</w:t>
      </w:r>
      <w:r w:rsidR="00E47E79">
        <w:t>mendments to current Australian taxation laws to comply with these principles</w:t>
      </w:r>
      <w:r w:rsidR="001B61EC">
        <w:t>,</w:t>
      </w:r>
      <w:r w:rsidR="00E47E79">
        <w:t xml:space="preserve"> and</w:t>
      </w:r>
      <w:r w:rsidR="00AA3F48">
        <w:t xml:space="preserve">/or </w:t>
      </w:r>
      <w:r w:rsidR="001B61EC">
        <w:t>the establishment of</w:t>
      </w:r>
      <w:r w:rsidR="00E47E79">
        <w:t xml:space="preserve"> a new taxing regime.   </w:t>
      </w:r>
    </w:p>
    <w:p w14:paraId="0EEB4D58" w14:textId="52F6031D" w:rsidR="00B0184D" w:rsidRDefault="00B0184D" w:rsidP="00092536">
      <w:pPr>
        <w:pStyle w:val="OutlineNumbered1"/>
        <w:numPr>
          <w:ilvl w:val="0"/>
          <w:numId w:val="0"/>
        </w:numPr>
      </w:pPr>
      <w:r>
        <w:t xml:space="preserve">It is important that a tax system does not </w:t>
      </w:r>
      <w:r w:rsidR="00DD251F">
        <w:t>impede</w:t>
      </w:r>
      <w:r>
        <w:t xml:space="preserve"> businesses </w:t>
      </w:r>
      <w:r w:rsidR="00DD251F">
        <w:t xml:space="preserve">investment </w:t>
      </w:r>
      <w:r>
        <w:t xml:space="preserve">and </w:t>
      </w:r>
      <w:r w:rsidR="00DD251F">
        <w:t>innovation</w:t>
      </w:r>
      <w:r>
        <w:t xml:space="preserve">. </w:t>
      </w:r>
      <w:r w:rsidR="00DD251F">
        <w:t>The tax</w:t>
      </w:r>
      <w:r w:rsidR="001B61EC">
        <w:t xml:space="preserve"> </w:t>
      </w:r>
      <w:r w:rsidR="002966CE">
        <w:t>fram</w:t>
      </w:r>
      <w:r w:rsidR="006E7B63">
        <w:t xml:space="preserve">ework should </w:t>
      </w:r>
      <w:r w:rsidR="00DD251F">
        <w:t xml:space="preserve">also </w:t>
      </w:r>
      <w:r w:rsidR="006E7B63">
        <w:t>seek to deliver a</w:t>
      </w:r>
      <w:r w:rsidR="00504237">
        <w:t xml:space="preserve"> </w:t>
      </w:r>
      <w:r w:rsidR="00162109">
        <w:t xml:space="preserve">neutral </w:t>
      </w:r>
      <w:r w:rsidR="006E7B63">
        <w:t>outcome</w:t>
      </w:r>
      <w:r w:rsidR="00504237">
        <w:t>;</w:t>
      </w:r>
      <w:r w:rsidR="006E7B63">
        <w:t xml:space="preserve"> that </w:t>
      </w:r>
      <w:r w:rsidR="00504237">
        <w:t>is,</w:t>
      </w:r>
      <w:r w:rsidR="00162109">
        <w:t xml:space="preserve"> it should </w:t>
      </w:r>
      <w:r w:rsidR="006E7B63">
        <w:t xml:space="preserve">not encourage or discourage substitution </w:t>
      </w:r>
      <w:r w:rsidR="00E47E79">
        <w:t>from</w:t>
      </w:r>
      <w:r w:rsidR="006E7B63">
        <w:t xml:space="preserve"> </w:t>
      </w:r>
      <w:r w:rsidR="00E47E79">
        <w:t>crypto</w:t>
      </w:r>
      <w:r w:rsidR="006E7B63">
        <w:t xml:space="preserve"> assets </w:t>
      </w:r>
      <w:r w:rsidR="00E47E79">
        <w:t>to</w:t>
      </w:r>
      <w:r w:rsidR="006E7B63">
        <w:t xml:space="preserve"> other assets.  </w:t>
      </w:r>
    </w:p>
    <w:p w14:paraId="0F5D1A5E" w14:textId="540288ED" w:rsidR="00AE5CEE" w:rsidRDefault="00E47E79" w:rsidP="00092536">
      <w:pPr>
        <w:pStyle w:val="OutlineNumbered1"/>
        <w:numPr>
          <w:ilvl w:val="0"/>
          <w:numId w:val="0"/>
        </w:numPr>
      </w:pPr>
      <w:r>
        <w:t>Additionally, this framework</w:t>
      </w:r>
      <w:r w:rsidR="00B0184D">
        <w:t xml:space="preserve"> should support the ATO in administering compliance</w:t>
      </w:r>
      <w:r w:rsidR="00F539A7">
        <w:t xml:space="preserve"> over the taxation of crypto assets</w:t>
      </w:r>
      <w:r w:rsidR="00B0184D">
        <w:t xml:space="preserve"> in an efficient and cost</w:t>
      </w:r>
      <w:r>
        <w:t>-</w:t>
      </w:r>
      <w:r w:rsidR="00B0184D">
        <w:t xml:space="preserve">effective manner.  </w:t>
      </w:r>
    </w:p>
    <w:p w14:paraId="4670E450" w14:textId="20FEBF97" w:rsidR="007D54C0" w:rsidRPr="00092536" w:rsidRDefault="00BE15B1" w:rsidP="00092536">
      <w:pPr>
        <w:pStyle w:val="Heading2"/>
      </w:pPr>
      <w:bookmarkStart w:id="7" w:name="_Toc111632926"/>
      <w:r w:rsidRPr="00092536">
        <w:t>C</w:t>
      </w:r>
      <w:r w:rsidR="007D54C0" w:rsidRPr="00092536">
        <w:t xml:space="preserve">urrent tax treatment of </w:t>
      </w:r>
      <w:r w:rsidR="008C6A86" w:rsidRPr="00092536">
        <w:t xml:space="preserve">crypto </w:t>
      </w:r>
      <w:r w:rsidR="007D54C0" w:rsidRPr="00092536">
        <w:t>assets</w:t>
      </w:r>
      <w:bookmarkEnd w:id="7"/>
    </w:p>
    <w:p w14:paraId="7D30996B" w14:textId="4423EE4C" w:rsidR="00BF0923" w:rsidRPr="00BE15B1" w:rsidRDefault="00BF0923" w:rsidP="00092536">
      <w:pPr>
        <w:pStyle w:val="Heading3"/>
        <w:rPr>
          <w:b w:val="0"/>
          <w:iCs/>
        </w:rPr>
      </w:pPr>
      <w:r w:rsidRPr="00BE15B1">
        <w:rPr>
          <w:b w:val="0"/>
          <w:iCs/>
        </w:rPr>
        <w:t xml:space="preserve">ATO </w:t>
      </w:r>
      <w:r w:rsidR="00722214">
        <w:rPr>
          <w:b w:val="0"/>
          <w:iCs/>
        </w:rPr>
        <w:t>g</w:t>
      </w:r>
      <w:r w:rsidRPr="00BE15B1">
        <w:rPr>
          <w:b w:val="0"/>
          <w:iCs/>
        </w:rPr>
        <w:t>uidance</w:t>
      </w:r>
    </w:p>
    <w:p w14:paraId="68754AF1" w14:textId="21CFF93B" w:rsidR="008F26F5" w:rsidRDefault="00D52FC5" w:rsidP="00092536">
      <w:r>
        <w:t xml:space="preserve">In response to the development and growth in the use of cryptocurrencies, the ATO released guidance on the tax treatment of </w:t>
      </w:r>
      <w:r w:rsidR="008A1A0C">
        <w:t xml:space="preserve">bitcoin </w:t>
      </w:r>
      <w:r>
        <w:t xml:space="preserve">in December 2014. </w:t>
      </w:r>
      <w:r w:rsidR="000E5080">
        <w:t xml:space="preserve"> </w:t>
      </w:r>
      <w:r w:rsidR="00C060A5">
        <w:t>Since this time, the</w:t>
      </w:r>
      <w:r w:rsidR="000E5080">
        <w:t xml:space="preserve"> ATO has continued to </w:t>
      </w:r>
      <w:r w:rsidR="008A1A0C">
        <w:t>issue further</w:t>
      </w:r>
      <w:r w:rsidR="00C060A5">
        <w:t xml:space="preserve"> </w:t>
      </w:r>
      <w:r w:rsidR="008A1A0C">
        <w:t>guidance.</w:t>
      </w:r>
      <w:r w:rsidR="000E5080">
        <w:t xml:space="preserve"> </w:t>
      </w:r>
      <w:r w:rsidR="008F26F5">
        <w:t xml:space="preserve">A high-level summary </w:t>
      </w:r>
      <w:r w:rsidR="002D1777">
        <w:t xml:space="preserve">of </w:t>
      </w:r>
      <w:r>
        <w:t>that</w:t>
      </w:r>
      <w:r w:rsidR="002D1777">
        <w:t xml:space="preserve"> ATO guidance</w:t>
      </w:r>
      <w:r w:rsidR="008D77E0">
        <w:t xml:space="preserve"> released</w:t>
      </w:r>
      <w:r w:rsidR="002D1777">
        <w:t xml:space="preserve"> </w:t>
      </w:r>
      <w:r w:rsidR="008D77E0">
        <w:t xml:space="preserve">to date </w:t>
      </w:r>
      <w:r w:rsidR="008F26F5">
        <w:t xml:space="preserve">is as follows: </w:t>
      </w:r>
    </w:p>
    <w:p w14:paraId="7D12BDBC" w14:textId="2EDABF7E" w:rsidR="00BF0923" w:rsidRDefault="00502B97" w:rsidP="00092536">
      <w:pPr>
        <w:pStyle w:val="ListParagraph"/>
        <w:numPr>
          <w:ilvl w:val="0"/>
          <w:numId w:val="28"/>
        </w:numPr>
      </w:pPr>
      <w:r w:rsidRPr="00502B97">
        <w:rPr>
          <w:b/>
          <w:bCs/>
          <w:i/>
          <w:iCs/>
        </w:rPr>
        <w:t>Bitcoin is not a foreign currency</w:t>
      </w:r>
      <w:r w:rsidR="009B04D8">
        <w:rPr>
          <w:rStyle w:val="FootnoteReference"/>
          <w:b/>
          <w:bCs/>
          <w:i/>
          <w:iCs/>
        </w:rPr>
        <w:footnoteReference w:id="6"/>
      </w:r>
      <w:r w:rsidRPr="00502B97">
        <w:rPr>
          <w:i/>
          <w:iCs/>
        </w:rPr>
        <w:br/>
      </w:r>
      <w:r w:rsidR="008F26F5" w:rsidRPr="00502B97">
        <w:rPr>
          <w:i/>
          <w:iCs/>
        </w:rPr>
        <w:br/>
      </w:r>
      <w:r w:rsidR="00CE0961">
        <w:t xml:space="preserve">Under current </w:t>
      </w:r>
      <w:r w:rsidR="00DD11C1">
        <w:t>ATO guidance</w:t>
      </w:r>
      <w:r w:rsidR="00DF1068">
        <w:t>,</w:t>
      </w:r>
      <w:r w:rsidR="00173A1F">
        <w:t xml:space="preserve"> the ATO</w:t>
      </w:r>
      <w:r w:rsidR="00B06EC4">
        <w:t>’</w:t>
      </w:r>
      <w:r w:rsidR="00D23AF0">
        <w:t>s</w:t>
      </w:r>
      <w:r w:rsidR="00173A1F">
        <w:t xml:space="preserve"> view</w:t>
      </w:r>
      <w:r w:rsidR="00B06EC4">
        <w:t xml:space="preserve"> is</w:t>
      </w:r>
      <w:r w:rsidR="00173A1F">
        <w:t xml:space="preserve"> that </w:t>
      </w:r>
      <w:r w:rsidR="00B06EC4">
        <w:t>B</w:t>
      </w:r>
      <w:r>
        <w:t xml:space="preserve">itcoin </w:t>
      </w:r>
      <w:r w:rsidR="00173A1F">
        <w:t>do</w:t>
      </w:r>
      <w:r>
        <w:t>es</w:t>
      </w:r>
      <w:r w:rsidR="00173A1F">
        <w:t xml:space="preserve"> not fall within the definition of a ‘foreign currency’</w:t>
      </w:r>
      <w:r w:rsidR="00B06EC4">
        <w:t xml:space="preserve"> under the </w:t>
      </w:r>
      <w:r w:rsidR="00B06EC4">
        <w:rPr>
          <w:i/>
          <w:iCs/>
        </w:rPr>
        <w:t>Income Tax Assessment Act 1997</w:t>
      </w:r>
      <w:r w:rsidR="00B054E7">
        <w:rPr>
          <w:i/>
          <w:iCs/>
        </w:rPr>
        <w:t xml:space="preserve"> </w:t>
      </w:r>
      <w:r w:rsidR="00B054E7" w:rsidRPr="0006574A">
        <w:t>(</w:t>
      </w:r>
      <w:proofErr w:type="spellStart"/>
      <w:r w:rsidR="00B054E7" w:rsidRPr="0006574A">
        <w:t>Cth</w:t>
      </w:r>
      <w:proofErr w:type="spellEnd"/>
      <w:r w:rsidR="00B054E7" w:rsidRPr="0006574A">
        <w:t>)</w:t>
      </w:r>
      <w:r w:rsidR="00B06EC4">
        <w:rPr>
          <w:i/>
          <w:iCs/>
        </w:rPr>
        <w:t xml:space="preserve"> </w:t>
      </w:r>
      <w:r w:rsidR="00B06EC4">
        <w:t>(ITAA 1997). Accordingly, Division</w:t>
      </w:r>
      <w:r w:rsidR="00162109">
        <w:t> </w:t>
      </w:r>
      <w:r w:rsidR="00B06EC4">
        <w:t>775 of the ITAA 1997, which provides rules for recognising foreign currency gains and losses for income tax purposes, does not apply.</w:t>
      </w:r>
    </w:p>
    <w:p w14:paraId="137577D5" w14:textId="77777777" w:rsidR="00092536" w:rsidRDefault="00092536" w:rsidP="00092536"/>
    <w:p w14:paraId="3E93A326" w14:textId="77777777" w:rsidR="00BE15B1" w:rsidDel="005D2BE4" w:rsidRDefault="00BE15B1" w:rsidP="00092536">
      <w:pPr>
        <w:pStyle w:val="ListParagraph"/>
      </w:pPr>
    </w:p>
    <w:p w14:paraId="7F946348" w14:textId="7BD4A1C4" w:rsidR="00D24F57" w:rsidRPr="00100674" w:rsidRDefault="003A6644" w:rsidP="00092536">
      <w:pPr>
        <w:pStyle w:val="ListParagraph"/>
        <w:numPr>
          <w:ilvl w:val="0"/>
          <w:numId w:val="28"/>
        </w:numPr>
        <w:rPr>
          <w:b/>
          <w:bCs/>
          <w:i/>
          <w:iCs/>
        </w:rPr>
      </w:pPr>
      <w:r w:rsidRPr="00100674">
        <w:rPr>
          <w:b/>
          <w:bCs/>
          <w:i/>
          <w:iCs/>
        </w:rPr>
        <w:lastRenderedPageBreak/>
        <w:t>Capital Gains Tax</w:t>
      </w:r>
      <w:r w:rsidR="00280F4C">
        <w:rPr>
          <w:rStyle w:val="FootnoteReference"/>
          <w:b/>
          <w:bCs/>
          <w:i/>
          <w:iCs/>
        </w:rPr>
        <w:footnoteReference w:id="7"/>
      </w:r>
    </w:p>
    <w:p w14:paraId="4151A30F" w14:textId="274EC4BB" w:rsidR="00502B97" w:rsidRDefault="0088481E" w:rsidP="00092536">
      <w:pPr>
        <w:ind w:left="720"/>
      </w:pPr>
      <w:r>
        <w:t>Crypto</w:t>
      </w:r>
      <w:r w:rsidR="00D04CD3">
        <w:t xml:space="preserve"> assets including crypto</w:t>
      </w:r>
      <w:r>
        <w:t xml:space="preserve">currencies, </w:t>
      </w:r>
      <w:r w:rsidR="00502B97">
        <w:t xml:space="preserve">such as </w:t>
      </w:r>
      <w:r w:rsidR="006E2151">
        <w:t>bitcoin</w:t>
      </w:r>
      <w:r w:rsidR="00502B97">
        <w:t xml:space="preserve">, </w:t>
      </w:r>
      <w:r w:rsidR="000E3C74">
        <w:t xml:space="preserve">generally fall under the </w:t>
      </w:r>
      <w:r w:rsidR="00AE5CEE">
        <w:t>Capital Gains Tax (</w:t>
      </w:r>
      <w:r w:rsidR="000C30B3">
        <w:t>CGT</w:t>
      </w:r>
      <w:r w:rsidR="00AE5CEE">
        <w:t>)</w:t>
      </w:r>
      <w:r w:rsidR="000C30B3">
        <w:t xml:space="preserve"> </w:t>
      </w:r>
      <w:r w:rsidR="000E3C74">
        <w:t>provisions.</w:t>
      </w:r>
    </w:p>
    <w:p w14:paraId="5E4722EA" w14:textId="13DDFC66" w:rsidR="00502B97" w:rsidRDefault="00D23AF0" w:rsidP="00092536">
      <w:pPr>
        <w:ind w:left="720"/>
      </w:pPr>
      <w:r>
        <w:t xml:space="preserve">Where </w:t>
      </w:r>
      <w:r w:rsidR="004978DC">
        <w:t>crypto assets are</w:t>
      </w:r>
      <w:r>
        <w:t xml:space="preserve"> held as an investment, a CGT event can occur for a variety of reasons, the most common being the disposal of </w:t>
      </w:r>
      <w:r w:rsidR="00AE5CEE">
        <w:t xml:space="preserve">crypto assets </w:t>
      </w:r>
      <w:r>
        <w:t>at the time the asset is sold.  However, a disposal can include:</w:t>
      </w:r>
    </w:p>
    <w:p w14:paraId="0FCDB08F" w14:textId="46288CF3" w:rsidR="00502B97" w:rsidRDefault="00AC3B8A" w:rsidP="00092536">
      <w:pPr>
        <w:pStyle w:val="ListParagraph"/>
        <w:numPr>
          <w:ilvl w:val="0"/>
          <w:numId w:val="37"/>
        </w:numPr>
      </w:pPr>
      <w:r>
        <w:t>sell</w:t>
      </w:r>
      <w:r w:rsidR="00FE5D82">
        <w:t>ing</w:t>
      </w:r>
      <w:r>
        <w:t xml:space="preserve"> or gift</w:t>
      </w:r>
      <w:r w:rsidR="000A4572">
        <w:t xml:space="preserve">ing </w:t>
      </w:r>
      <w:r w:rsidR="00AE5CEE">
        <w:t>crypto assets</w:t>
      </w:r>
      <w:r w:rsidR="00755885">
        <w:t xml:space="preserve">; </w:t>
      </w:r>
    </w:p>
    <w:p w14:paraId="6EBAB08A" w14:textId="526C2080" w:rsidR="00502B97" w:rsidRDefault="00AC3B8A" w:rsidP="00092536">
      <w:pPr>
        <w:pStyle w:val="ListParagraph"/>
        <w:numPr>
          <w:ilvl w:val="0"/>
          <w:numId w:val="37"/>
        </w:numPr>
      </w:pPr>
      <w:r>
        <w:t>trad</w:t>
      </w:r>
      <w:r w:rsidR="00755885">
        <w:t xml:space="preserve">ing </w:t>
      </w:r>
      <w:r>
        <w:t>or exchang</w:t>
      </w:r>
      <w:r w:rsidR="00755885">
        <w:t>ing</w:t>
      </w:r>
      <w:r>
        <w:t xml:space="preserve"> </w:t>
      </w:r>
      <w:r w:rsidR="00AE5CEE">
        <w:t xml:space="preserve">crypto assets </w:t>
      </w:r>
      <w:r>
        <w:t>(including the disposal of one</w:t>
      </w:r>
      <w:r w:rsidR="00755885">
        <w:t xml:space="preserve"> </w:t>
      </w:r>
      <w:r w:rsidR="00AE5CEE">
        <w:t xml:space="preserve">crypto asset </w:t>
      </w:r>
      <w:r>
        <w:t xml:space="preserve">for another </w:t>
      </w:r>
      <w:r w:rsidR="00AE5CEE">
        <w:t>crypto asset</w:t>
      </w:r>
      <w:r>
        <w:t>)</w:t>
      </w:r>
      <w:r w:rsidR="00755885">
        <w:t xml:space="preserve">; </w:t>
      </w:r>
    </w:p>
    <w:p w14:paraId="3BD825F0" w14:textId="1927A665" w:rsidR="00502B97" w:rsidRDefault="00AC3B8A" w:rsidP="00092536">
      <w:pPr>
        <w:pStyle w:val="ListParagraph"/>
        <w:numPr>
          <w:ilvl w:val="0"/>
          <w:numId w:val="37"/>
        </w:numPr>
      </w:pPr>
      <w:r>
        <w:t>convert</w:t>
      </w:r>
      <w:r w:rsidR="0021274E">
        <w:t xml:space="preserve">ing </w:t>
      </w:r>
      <w:r w:rsidR="00AE5CEE">
        <w:t xml:space="preserve">crypto assets </w:t>
      </w:r>
      <w:r>
        <w:t>to fiat currency</w:t>
      </w:r>
      <w:r w:rsidR="00502B97">
        <w:t xml:space="preserve"> such as Australian dollars;</w:t>
      </w:r>
      <w:r>
        <w:t xml:space="preserve"> or</w:t>
      </w:r>
      <w:r w:rsidR="00250150">
        <w:t xml:space="preserve"> </w:t>
      </w:r>
    </w:p>
    <w:p w14:paraId="523C9326" w14:textId="1D4E0063" w:rsidR="000646FD" w:rsidRDefault="000646FD" w:rsidP="00092536">
      <w:pPr>
        <w:pStyle w:val="ListParagraph"/>
        <w:numPr>
          <w:ilvl w:val="0"/>
          <w:numId w:val="37"/>
        </w:numPr>
      </w:pPr>
      <w:r>
        <w:t xml:space="preserve">use of </w:t>
      </w:r>
      <w:r w:rsidR="00AE5CEE">
        <w:t xml:space="preserve">crypto assets </w:t>
      </w:r>
      <w:r>
        <w:t>to obtain goods or services</w:t>
      </w:r>
      <w:r w:rsidR="00BF0923">
        <w:t xml:space="preserve"> or </w:t>
      </w:r>
      <w:r w:rsidR="00696037">
        <w:t xml:space="preserve">to </w:t>
      </w:r>
      <w:r w:rsidR="00BF0923">
        <w:t>remunerate employees</w:t>
      </w:r>
      <w:r>
        <w:t xml:space="preserve">. </w:t>
      </w:r>
    </w:p>
    <w:p w14:paraId="5BBCBC50" w14:textId="54FA0B52" w:rsidR="00502B97" w:rsidRDefault="00100674" w:rsidP="00092536">
      <w:pPr>
        <w:ind w:left="720"/>
      </w:pPr>
      <w:r>
        <w:t>If</w:t>
      </w:r>
      <w:r w:rsidR="00036B64">
        <w:t xml:space="preserve"> a </w:t>
      </w:r>
      <w:r w:rsidR="00AC3B8A">
        <w:t xml:space="preserve">capital gain </w:t>
      </w:r>
      <w:r w:rsidR="00502B97">
        <w:t xml:space="preserve">is made </w:t>
      </w:r>
      <w:r w:rsidR="00AC3B8A">
        <w:t xml:space="preserve">on the disposal of </w:t>
      </w:r>
      <w:r w:rsidR="00365BF6">
        <w:t>crypto assets</w:t>
      </w:r>
      <w:r w:rsidR="00AC3B8A">
        <w:t>, some or all of the gain</w:t>
      </w:r>
      <w:r w:rsidR="00AD0D99">
        <w:t xml:space="preserve"> </w:t>
      </w:r>
      <w:r w:rsidR="00AC3B8A">
        <w:t xml:space="preserve">may be taxed. </w:t>
      </w:r>
      <w:r w:rsidR="00502B97">
        <w:t>C</w:t>
      </w:r>
      <w:r w:rsidR="00AC3B8A">
        <w:t xml:space="preserve">ertain capital gains or </w:t>
      </w:r>
      <w:r w:rsidR="001B61EC">
        <w:t xml:space="preserve">capital </w:t>
      </w:r>
      <w:r w:rsidR="00AC3B8A">
        <w:t xml:space="preserve">losses from disposing of </w:t>
      </w:r>
      <w:r w:rsidR="00365BF6">
        <w:t>crypto assets</w:t>
      </w:r>
      <w:r w:rsidR="00365BF6" w:rsidDel="00074C5B">
        <w:t xml:space="preserve"> </w:t>
      </w:r>
      <w:r w:rsidR="00AC3B8A">
        <w:t xml:space="preserve">that </w:t>
      </w:r>
      <w:r>
        <w:t>are</w:t>
      </w:r>
      <w:r w:rsidR="00AC3B8A">
        <w:t xml:space="preserve"> </w:t>
      </w:r>
      <w:r>
        <w:t xml:space="preserve">treated as </w:t>
      </w:r>
      <w:r w:rsidR="00AC3B8A">
        <w:t xml:space="preserve">personal use </w:t>
      </w:r>
      <w:r w:rsidR="00502B97">
        <w:t>asset</w:t>
      </w:r>
      <w:r>
        <w:t>s for tax purposes</w:t>
      </w:r>
      <w:r w:rsidR="00502B97">
        <w:t xml:space="preserve"> </w:t>
      </w:r>
      <w:r w:rsidRPr="007027BF">
        <w:t>(</w:t>
      </w:r>
      <w:r w:rsidR="00D469B6">
        <w:t>i.e.</w:t>
      </w:r>
      <w:r w:rsidR="00074C5B">
        <w:t xml:space="preserve"> </w:t>
      </w:r>
      <w:r w:rsidRPr="007027BF">
        <w:t>CGT asset</w:t>
      </w:r>
      <w:r w:rsidR="00696037">
        <w:t>s</w:t>
      </w:r>
      <w:r w:rsidRPr="007027BF">
        <w:t xml:space="preserve"> used or kept mainly for personal use or enjoyment</w:t>
      </w:r>
      <w:r>
        <w:t xml:space="preserve">) </w:t>
      </w:r>
      <w:r w:rsidR="00AC3B8A">
        <w:t>are disregarded.</w:t>
      </w:r>
    </w:p>
    <w:p w14:paraId="669E32BF" w14:textId="35E0433B" w:rsidR="00F8729A" w:rsidRPr="00485BF0" w:rsidRDefault="00502B97" w:rsidP="00092536">
      <w:pPr>
        <w:pStyle w:val="ListParagraph"/>
        <w:numPr>
          <w:ilvl w:val="0"/>
          <w:numId w:val="28"/>
        </w:numPr>
      </w:pPr>
      <w:r w:rsidRPr="00485BF0">
        <w:rPr>
          <w:b/>
          <w:bCs/>
          <w:i/>
          <w:iCs/>
        </w:rPr>
        <w:t>Trading stock</w:t>
      </w:r>
      <w:r w:rsidR="00911085">
        <w:rPr>
          <w:rStyle w:val="FootnoteReference"/>
          <w:b/>
          <w:bCs/>
          <w:i/>
          <w:iCs/>
        </w:rPr>
        <w:footnoteReference w:id="8"/>
      </w:r>
      <w:r w:rsidRPr="00485BF0">
        <w:rPr>
          <w:b/>
          <w:bCs/>
          <w:i/>
          <w:iCs/>
        </w:rPr>
        <w:t xml:space="preserve"> </w:t>
      </w:r>
    </w:p>
    <w:p w14:paraId="53EE1A20" w14:textId="63DF1BC3" w:rsidR="00F8729A" w:rsidRDefault="00F8729A" w:rsidP="00092536">
      <w:pPr>
        <w:pStyle w:val="ListParagraph"/>
      </w:pPr>
      <w:r>
        <w:rPr>
          <w:rFonts w:ascii="Arial" w:hAnsi="Arial" w:cs="Arial"/>
          <w:color w:val="666666"/>
          <w:sz w:val="21"/>
          <w:szCs w:val="21"/>
          <w:shd w:val="clear" w:color="auto" w:fill="FFFFFF"/>
        </w:rPr>
        <w:br/>
      </w:r>
      <w:r w:rsidR="003A414A">
        <w:t xml:space="preserve">Crypto assets </w:t>
      </w:r>
      <w:r w:rsidR="00502B97">
        <w:t xml:space="preserve">held by </w:t>
      </w:r>
      <w:r w:rsidR="00BC68AA">
        <w:t xml:space="preserve">entities </w:t>
      </w:r>
      <w:r w:rsidR="00502B97" w:rsidRPr="004C5EFA">
        <w:t xml:space="preserve">carrying on a business of mining and </w:t>
      </w:r>
      <w:r w:rsidR="00BC68AA">
        <w:t>trading</w:t>
      </w:r>
      <w:r w:rsidR="00BC68AA" w:rsidRPr="004C5EFA">
        <w:t xml:space="preserve"> </w:t>
      </w:r>
      <w:r w:rsidR="003A414A">
        <w:t xml:space="preserve">crypto assets </w:t>
      </w:r>
      <w:r w:rsidR="00502B97">
        <w:t xml:space="preserve">or </w:t>
      </w:r>
      <w:r w:rsidR="00502B97" w:rsidRPr="004C5EFA">
        <w:t xml:space="preserve">carrying on a </w:t>
      </w:r>
      <w:r w:rsidR="00510DD2">
        <w:t>crypto asset</w:t>
      </w:r>
      <w:r w:rsidR="00510DD2" w:rsidRPr="004C5EFA">
        <w:t xml:space="preserve"> </w:t>
      </w:r>
      <w:r w:rsidR="00502B97" w:rsidRPr="004C5EFA">
        <w:t>exchange business</w:t>
      </w:r>
      <w:r w:rsidR="00CA3453">
        <w:t xml:space="preserve"> </w:t>
      </w:r>
      <w:r w:rsidR="00A9798F">
        <w:t xml:space="preserve">will generally </w:t>
      </w:r>
      <w:r w:rsidR="006E2845">
        <w:t>be treated as</w:t>
      </w:r>
      <w:r w:rsidR="00502B97" w:rsidRPr="004C5EFA">
        <w:t xml:space="preserve"> trading stock</w:t>
      </w:r>
      <w:r w:rsidR="006E2845">
        <w:t xml:space="preserve"> for tax purposes</w:t>
      </w:r>
      <w:r w:rsidR="00502B97">
        <w:t xml:space="preserve">. </w:t>
      </w:r>
      <w:r w:rsidR="00A9798F">
        <w:t>Further</w:t>
      </w:r>
      <w:r w:rsidR="009C1915">
        <w:t>,</w:t>
      </w:r>
      <w:r w:rsidR="00A9798F">
        <w:t xml:space="preserve"> </w:t>
      </w:r>
      <w:r w:rsidR="00510DD2">
        <w:t xml:space="preserve">crypto assets </w:t>
      </w:r>
      <w:r w:rsidR="00A9798F">
        <w:t xml:space="preserve">received as a form of payment in the ordinary course of business will also be treated as trading stock where </w:t>
      </w:r>
      <w:r w:rsidR="00474C22">
        <w:t xml:space="preserve">the </w:t>
      </w:r>
      <w:r w:rsidR="00510DD2">
        <w:t xml:space="preserve">crypto asset </w:t>
      </w:r>
      <w:r w:rsidR="00474C22">
        <w:t>is</w:t>
      </w:r>
      <w:r w:rsidR="00A9798F">
        <w:t xml:space="preserve"> held for the purpose of sale </w:t>
      </w:r>
      <w:r w:rsidR="001B61EC">
        <w:t xml:space="preserve">or </w:t>
      </w:r>
      <w:r w:rsidR="00A9798F">
        <w:t xml:space="preserve">exchange. </w:t>
      </w:r>
    </w:p>
    <w:p w14:paraId="1DCF7292" w14:textId="77777777" w:rsidR="00F8729A" w:rsidRDefault="00F8729A" w:rsidP="00092536">
      <w:pPr>
        <w:pStyle w:val="ListParagraph"/>
      </w:pPr>
    </w:p>
    <w:p w14:paraId="22397DAF" w14:textId="0138EC19" w:rsidR="00502B97" w:rsidRDefault="006E2845" w:rsidP="00092536">
      <w:pPr>
        <w:pStyle w:val="ListParagraph"/>
      </w:pPr>
      <w:r>
        <w:t>As such, p</w:t>
      </w:r>
      <w:r w:rsidR="00502B97" w:rsidRPr="003126E8">
        <w:t>roceeds from the</w:t>
      </w:r>
      <w:r w:rsidR="00502B97">
        <w:t xml:space="preserve"> </w:t>
      </w:r>
      <w:r w:rsidR="00502B97" w:rsidRPr="003126E8">
        <w:t xml:space="preserve">sale of </w:t>
      </w:r>
      <w:r w:rsidR="00510DD2">
        <w:t xml:space="preserve">crypto assets </w:t>
      </w:r>
      <w:r w:rsidR="00502B97" w:rsidRPr="003126E8">
        <w:t xml:space="preserve">held as trading stock in a business are </w:t>
      </w:r>
      <w:r w:rsidR="00BC68AA">
        <w:t xml:space="preserve">considered </w:t>
      </w:r>
      <w:r w:rsidR="00502B97" w:rsidRPr="003126E8">
        <w:t>ordinary income</w:t>
      </w:r>
      <w:r w:rsidR="00F8729A">
        <w:t xml:space="preserve"> </w:t>
      </w:r>
      <w:r w:rsidR="00BC68AA">
        <w:t xml:space="preserve">for the entity </w:t>
      </w:r>
      <w:r w:rsidR="00F8729A">
        <w:t>(rather than taxed under CGT rules)</w:t>
      </w:r>
      <w:r w:rsidR="00F66BCC">
        <w:t>.</w:t>
      </w:r>
      <w:r w:rsidR="00F8729A">
        <w:br/>
      </w:r>
    </w:p>
    <w:p w14:paraId="75EA0798" w14:textId="7C285D12" w:rsidR="00FE58A4" w:rsidRPr="00485BF0" w:rsidRDefault="001E4F18" w:rsidP="00092536">
      <w:pPr>
        <w:pStyle w:val="ListParagraph"/>
        <w:numPr>
          <w:ilvl w:val="0"/>
          <w:numId w:val="28"/>
        </w:numPr>
        <w:rPr>
          <w:b/>
          <w:bCs/>
          <w:i/>
          <w:iCs/>
        </w:rPr>
      </w:pPr>
      <w:r w:rsidRPr="00485BF0">
        <w:rPr>
          <w:b/>
          <w:bCs/>
          <w:i/>
          <w:iCs/>
        </w:rPr>
        <w:t>Fringe Benefits Tax</w:t>
      </w:r>
      <w:r w:rsidR="00BC68AA">
        <w:rPr>
          <w:rStyle w:val="FootnoteReference"/>
          <w:b/>
          <w:bCs/>
          <w:i/>
          <w:iCs/>
        </w:rPr>
        <w:footnoteReference w:id="9"/>
      </w:r>
    </w:p>
    <w:p w14:paraId="3BE8D243" w14:textId="4E833D30" w:rsidR="008374AF" w:rsidRDefault="00BC68AA" w:rsidP="00092536">
      <w:pPr>
        <w:ind w:left="720"/>
      </w:pPr>
      <w:r>
        <w:t xml:space="preserve">On the basis </w:t>
      </w:r>
      <w:r w:rsidR="00510DD2">
        <w:t xml:space="preserve">that bitcoin </w:t>
      </w:r>
      <w:r>
        <w:t xml:space="preserve">is </w:t>
      </w:r>
      <w:r w:rsidR="0044735C">
        <w:t xml:space="preserve">not </w:t>
      </w:r>
      <w:r>
        <w:t>considered ‘foreign currency’, c</w:t>
      </w:r>
      <w:r w:rsidR="00285EEC">
        <w:t>rypto</w:t>
      </w:r>
      <w:r w:rsidR="008B1F3A">
        <w:t>currenc</w:t>
      </w:r>
      <w:r w:rsidR="00343AF7">
        <w:t xml:space="preserve">ies </w:t>
      </w:r>
      <w:r w:rsidR="00DE758B">
        <w:t xml:space="preserve">provided to employees will be a </w:t>
      </w:r>
      <w:r w:rsidR="00343AF7">
        <w:t>‘</w:t>
      </w:r>
      <w:r w:rsidR="008E4F4C">
        <w:t xml:space="preserve">property </w:t>
      </w:r>
      <w:r w:rsidR="00216740">
        <w:t>benefit</w:t>
      </w:r>
      <w:r w:rsidR="00343AF7">
        <w:t xml:space="preserve">’ </w:t>
      </w:r>
      <w:r w:rsidR="00CE2867">
        <w:t xml:space="preserve">for fringe benefits tax (FBT) purposes </w:t>
      </w:r>
      <w:r w:rsidR="00343AF7">
        <w:t>under</w:t>
      </w:r>
      <w:r w:rsidR="00696037">
        <w:t xml:space="preserve"> the</w:t>
      </w:r>
      <w:r w:rsidR="00343AF7">
        <w:t xml:space="preserve"> </w:t>
      </w:r>
      <w:r w:rsidR="00343AF7" w:rsidRPr="00502B97">
        <w:rPr>
          <w:i/>
          <w:iCs/>
        </w:rPr>
        <w:t>Fringe Benefits Tax Assessment Act 1986</w:t>
      </w:r>
      <w:r w:rsidR="00B054E7">
        <w:rPr>
          <w:i/>
          <w:iCs/>
        </w:rPr>
        <w:t xml:space="preserve"> </w:t>
      </w:r>
      <w:r w:rsidR="00B054E7" w:rsidRPr="0006574A">
        <w:t>(</w:t>
      </w:r>
      <w:proofErr w:type="spellStart"/>
      <w:r w:rsidR="00B054E7" w:rsidRPr="0006574A">
        <w:t>Cth</w:t>
      </w:r>
      <w:proofErr w:type="spellEnd"/>
      <w:r w:rsidR="00B054E7" w:rsidRPr="0006574A">
        <w:t>)</w:t>
      </w:r>
      <w:r w:rsidR="001B61EC" w:rsidRPr="0006574A">
        <w:t>,</w:t>
      </w:r>
      <w:r w:rsidR="001B61EC">
        <w:t xml:space="preserve"> but only where there is a valid salary sacrifice agreement in place</w:t>
      </w:r>
      <w:r>
        <w:rPr>
          <w:i/>
          <w:iCs/>
        </w:rPr>
        <w:t>.</w:t>
      </w:r>
      <w:r w:rsidR="00CA3453">
        <w:rPr>
          <w:i/>
          <w:iCs/>
        </w:rPr>
        <w:t xml:space="preserve"> </w:t>
      </w:r>
      <w:r w:rsidR="00510DD2">
        <w:t>The</w:t>
      </w:r>
      <w:r w:rsidR="008374AF">
        <w:t xml:space="preserve"> provision of </w:t>
      </w:r>
      <w:r w:rsidR="00343AF7">
        <w:t>crypto</w:t>
      </w:r>
      <w:r w:rsidR="00510DD2">
        <w:t xml:space="preserve"> assets</w:t>
      </w:r>
      <w:r w:rsidR="00343AF7">
        <w:t xml:space="preserve"> </w:t>
      </w:r>
      <w:r w:rsidR="008374AF">
        <w:t xml:space="preserve">by an employer to an employee </w:t>
      </w:r>
      <w:r w:rsidR="00CA3453">
        <w:t>as remuneration</w:t>
      </w:r>
      <w:r w:rsidR="00DE758B">
        <w:t>,</w:t>
      </w:r>
      <w:r w:rsidR="008374AF">
        <w:t xml:space="preserve"> </w:t>
      </w:r>
      <w:r w:rsidR="00DE758B">
        <w:t>other than as salary and wages, will be a property</w:t>
      </w:r>
      <w:r w:rsidR="008374AF">
        <w:t xml:space="preserve"> benefit </w:t>
      </w:r>
      <w:r w:rsidR="00483A01">
        <w:t>an</w:t>
      </w:r>
      <w:r w:rsidR="00AC42CD">
        <w:t xml:space="preserve">d the employer </w:t>
      </w:r>
      <w:r w:rsidR="001E4F18">
        <w:t>may</w:t>
      </w:r>
      <w:r w:rsidR="00AC42CD">
        <w:t xml:space="preserve"> </w:t>
      </w:r>
      <w:r w:rsidR="001E4F18">
        <w:t>be subject to</w:t>
      </w:r>
      <w:r w:rsidR="00AC42CD">
        <w:t xml:space="preserve"> </w:t>
      </w:r>
      <w:r w:rsidR="00BE2905">
        <w:t>FBT</w:t>
      </w:r>
      <w:r w:rsidR="00343AF7" w:rsidRPr="00485BF0">
        <w:t>.</w:t>
      </w:r>
      <w:r w:rsidR="00343AF7">
        <w:rPr>
          <w:i/>
          <w:iCs/>
        </w:rPr>
        <w:t xml:space="preserve"> </w:t>
      </w:r>
    </w:p>
    <w:p w14:paraId="7EC64DD5" w14:textId="77D02617" w:rsidR="005B4FDD" w:rsidRDefault="00510DD2" w:rsidP="00092536">
      <w:pPr>
        <w:ind w:left="720"/>
      </w:pPr>
      <w:r>
        <w:t xml:space="preserve">Crypto assets </w:t>
      </w:r>
      <w:r w:rsidR="00504237">
        <w:t xml:space="preserve">provided to an </w:t>
      </w:r>
      <w:r w:rsidR="00BC68AA">
        <w:t>employee</w:t>
      </w:r>
      <w:r w:rsidR="00CA3453">
        <w:t xml:space="preserve"> </w:t>
      </w:r>
      <w:r w:rsidR="00BC68AA">
        <w:t>as a fringe benefit</w:t>
      </w:r>
      <w:r w:rsidR="00343AF7" w:rsidRPr="00485BF0">
        <w:t xml:space="preserve"> is not assessable and is not exempt </w:t>
      </w:r>
      <w:r w:rsidR="00BC68AA">
        <w:t xml:space="preserve">(NANE) </w:t>
      </w:r>
      <w:r w:rsidR="00343AF7" w:rsidRPr="00485BF0">
        <w:t>income of the taxpayer</w:t>
      </w:r>
      <w:r w:rsidR="00343AF7">
        <w:t>.</w:t>
      </w:r>
    </w:p>
    <w:p w14:paraId="51CB5E5D" w14:textId="07523F96" w:rsidR="008776AC" w:rsidRDefault="008776AC" w:rsidP="00092536">
      <w:pPr>
        <w:ind w:left="720"/>
      </w:pPr>
      <w:r>
        <w:lastRenderedPageBreak/>
        <w:t xml:space="preserve">However, if the employee subsequently receives income from holding that </w:t>
      </w:r>
      <w:r w:rsidR="00E15B0B">
        <w:t xml:space="preserve">crypto asset </w:t>
      </w:r>
      <w:r>
        <w:t>(such as, interest income or capital gains arising upon disposal), then that income will be assessable to the employee (and not to the employer who originally provided the fringe benefit).</w:t>
      </w:r>
    </w:p>
    <w:p w14:paraId="09EE3A67" w14:textId="56FEAFE6" w:rsidR="00343AF7" w:rsidRPr="007E2B65" w:rsidRDefault="00F50382" w:rsidP="00092536">
      <w:pPr>
        <w:pStyle w:val="ListParagraph"/>
        <w:numPr>
          <w:ilvl w:val="0"/>
          <w:numId w:val="28"/>
        </w:numPr>
        <w:rPr>
          <w:b/>
          <w:bCs/>
          <w:i/>
          <w:iCs/>
        </w:rPr>
      </w:pPr>
      <w:r>
        <w:rPr>
          <w:b/>
          <w:bCs/>
          <w:i/>
          <w:iCs/>
        </w:rPr>
        <w:t>Goods and Service</w:t>
      </w:r>
      <w:r w:rsidR="00620E18">
        <w:rPr>
          <w:b/>
          <w:bCs/>
          <w:i/>
          <w:iCs/>
        </w:rPr>
        <w:t>s</w:t>
      </w:r>
      <w:r>
        <w:rPr>
          <w:b/>
          <w:bCs/>
          <w:i/>
          <w:iCs/>
        </w:rPr>
        <w:t xml:space="preserve"> Tax</w:t>
      </w:r>
      <w:r w:rsidR="00911085">
        <w:rPr>
          <w:rStyle w:val="FootnoteReference"/>
          <w:b/>
          <w:bCs/>
          <w:i/>
          <w:iCs/>
        </w:rPr>
        <w:footnoteReference w:id="10"/>
      </w:r>
    </w:p>
    <w:p w14:paraId="0EFE99E1" w14:textId="749CD2B3" w:rsidR="002966CE" w:rsidRDefault="0056112D" w:rsidP="00092536">
      <w:pPr>
        <w:ind w:left="720"/>
      </w:pPr>
      <w:r>
        <w:t xml:space="preserve">Digital currency is </w:t>
      </w:r>
      <w:r w:rsidR="00B85FD8">
        <w:t>defined in the</w:t>
      </w:r>
      <w:r w:rsidR="00B85FD8" w:rsidRPr="00B85FD8">
        <w:rPr>
          <w:i/>
          <w:iCs/>
        </w:rPr>
        <w:t xml:space="preserve"> </w:t>
      </w:r>
      <w:r w:rsidR="00B85FD8" w:rsidRPr="002D458B">
        <w:rPr>
          <w:i/>
          <w:iCs/>
        </w:rPr>
        <w:t>A New Tax System (Goods and Services Tax) Act 1999</w:t>
      </w:r>
      <w:r w:rsidR="00DF0297">
        <w:rPr>
          <w:i/>
          <w:iCs/>
        </w:rPr>
        <w:t xml:space="preserve"> </w:t>
      </w:r>
      <w:r w:rsidR="00DF0297" w:rsidRPr="0006574A">
        <w:t>(</w:t>
      </w:r>
      <w:proofErr w:type="spellStart"/>
      <w:r w:rsidR="00DF0297" w:rsidRPr="0006574A">
        <w:t>Cth</w:t>
      </w:r>
      <w:proofErr w:type="spellEnd"/>
      <w:r w:rsidR="00DF0297" w:rsidRPr="0006574A">
        <w:t>)</w:t>
      </w:r>
      <w:r w:rsidR="00B85FD8" w:rsidRPr="0006574A">
        <w:t>,</w:t>
      </w:r>
      <w:r w:rsidR="00B85FD8">
        <w:t xml:space="preserve"> </w:t>
      </w:r>
      <w:r>
        <w:t xml:space="preserve">and the </w:t>
      </w:r>
      <w:r w:rsidR="005624AD">
        <w:t xml:space="preserve">goods and services tax (GST) </w:t>
      </w:r>
      <w:r>
        <w:t>consequences of using it as</w:t>
      </w:r>
      <w:r w:rsidR="002966CE">
        <w:t xml:space="preserve"> a method of payment are the same as the consequences of using money as payment.</w:t>
      </w:r>
    </w:p>
    <w:p w14:paraId="22DB0F24" w14:textId="6A1C1FA4" w:rsidR="0065174B" w:rsidRDefault="002966CE" w:rsidP="00092536">
      <w:pPr>
        <w:ind w:left="720"/>
      </w:pPr>
      <w:r>
        <w:t xml:space="preserve">When a business sells </w:t>
      </w:r>
      <w:r w:rsidR="0065174B">
        <w:t xml:space="preserve">digital currency </w:t>
      </w:r>
      <w:r>
        <w:t xml:space="preserve">and is paid with Australian, foreign, or </w:t>
      </w:r>
      <w:r w:rsidR="0065174B">
        <w:t>digital currency</w:t>
      </w:r>
      <w:r>
        <w:t xml:space="preserve">, it makes an input taxed supply of </w:t>
      </w:r>
      <w:r w:rsidR="0065174B">
        <w:t>digital currency</w:t>
      </w:r>
      <w:r>
        <w:t xml:space="preserve">. The buyer, if they are a business, also makes an input taxed supply of Australian, foreign, or </w:t>
      </w:r>
      <w:r w:rsidR="0065174B">
        <w:t>digital currency</w:t>
      </w:r>
      <w:r>
        <w:t>.</w:t>
      </w:r>
      <w:r w:rsidR="00472685">
        <w:t xml:space="preserve"> </w:t>
      </w:r>
    </w:p>
    <w:p w14:paraId="7B712773" w14:textId="4CD6215D" w:rsidR="00CF12DF" w:rsidRPr="007749BC" w:rsidRDefault="00CF12DF" w:rsidP="00092536">
      <w:pPr>
        <w:pStyle w:val="ListParagraph"/>
        <w:numPr>
          <w:ilvl w:val="0"/>
          <w:numId w:val="28"/>
        </w:numPr>
        <w:rPr>
          <w:i/>
          <w:iCs/>
        </w:rPr>
      </w:pPr>
      <w:r w:rsidRPr="007749BC">
        <w:rPr>
          <w:b/>
          <w:bCs/>
          <w:i/>
          <w:iCs/>
        </w:rPr>
        <w:t>Donating crypto assets</w:t>
      </w:r>
      <w:r w:rsidR="00911085">
        <w:rPr>
          <w:rStyle w:val="FootnoteReference"/>
          <w:b/>
          <w:bCs/>
          <w:i/>
          <w:iCs/>
        </w:rPr>
        <w:footnoteReference w:id="11"/>
      </w:r>
    </w:p>
    <w:p w14:paraId="3F0366AE" w14:textId="77777777" w:rsidR="00CF12DF" w:rsidRDefault="00CF12DF" w:rsidP="00092536">
      <w:pPr>
        <w:ind w:left="720"/>
      </w:pPr>
      <w:r>
        <w:t xml:space="preserve">An entity may be eligible for a deduction for a gift or donation of a crypto asset where the donation is made to a deductible gift recipient and the relevant gift conditions and rules are met. </w:t>
      </w:r>
    </w:p>
    <w:p w14:paraId="0086FD74" w14:textId="3E8CEE9D" w:rsidR="00CF12DF" w:rsidRDefault="00CF12DF" w:rsidP="00092536">
      <w:pPr>
        <w:ind w:left="720"/>
      </w:pPr>
      <w:r>
        <w:t xml:space="preserve">A donation of a crypto asset will be a CGT event as it represents a disposal of property and may result in CGT consequences.  The crypto assets are valued at market value at the time of the </w:t>
      </w:r>
      <w:r w:rsidR="00EC00CD">
        <w:t xml:space="preserve">CGT </w:t>
      </w:r>
      <w:r>
        <w:t>event for the purposes of calculating any capital gain or loss.   Generally, the disposal of crypto assets gifted under a will, donated under the Cultural Gifts Program or personal use assets will not result in a CGT liability.</w:t>
      </w:r>
    </w:p>
    <w:p w14:paraId="21C9486D" w14:textId="50F6DF2C" w:rsidR="00911085" w:rsidRDefault="00911085" w:rsidP="00092536">
      <w:pPr>
        <w:pStyle w:val="ListParagraph"/>
        <w:numPr>
          <w:ilvl w:val="0"/>
          <w:numId w:val="28"/>
        </w:numPr>
        <w:rPr>
          <w:b/>
          <w:bCs/>
          <w:i/>
          <w:iCs/>
        </w:rPr>
      </w:pPr>
      <w:r>
        <w:rPr>
          <w:b/>
          <w:bCs/>
          <w:i/>
          <w:iCs/>
        </w:rPr>
        <w:t>Pay as you go withholding</w:t>
      </w:r>
      <w:r>
        <w:rPr>
          <w:rStyle w:val="FootnoteReference"/>
          <w:b/>
          <w:bCs/>
          <w:i/>
          <w:iCs/>
        </w:rPr>
        <w:footnoteReference w:id="12"/>
      </w:r>
    </w:p>
    <w:p w14:paraId="41EC50FE" w14:textId="1651F2A9" w:rsidR="00911085" w:rsidRDefault="00911085" w:rsidP="00092536">
      <w:pPr>
        <w:ind w:left="720"/>
      </w:pPr>
      <w:r>
        <w:t xml:space="preserve">If an employer uses </w:t>
      </w:r>
      <w:r w:rsidR="006209DC">
        <w:t xml:space="preserve">crypto assets </w:t>
      </w:r>
      <w:r>
        <w:t xml:space="preserve">to satisfy an obligation to pay salary or wages to an employee, the employer will be subject to </w:t>
      </w:r>
      <w:r w:rsidR="0030478A">
        <w:t xml:space="preserve">Pay as </w:t>
      </w:r>
      <w:r w:rsidR="00EC00CD">
        <w:t>Y</w:t>
      </w:r>
      <w:r w:rsidR="0030478A">
        <w:t xml:space="preserve">ou </w:t>
      </w:r>
      <w:r w:rsidR="00EC00CD">
        <w:t>G</w:t>
      </w:r>
      <w:r w:rsidR="0030478A">
        <w:t xml:space="preserve">o (PAYG) withholding </w:t>
      </w:r>
      <w:r>
        <w:t xml:space="preserve">obligations and the amount </w:t>
      </w:r>
      <w:r w:rsidR="00AB36E1">
        <w:t xml:space="preserve">will be </w:t>
      </w:r>
      <w:r>
        <w:t>subject to income tax in the hands of the employee.</w:t>
      </w:r>
    </w:p>
    <w:p w14:paraId="5265A8C0" w14:textId="002BCAB6" w:rsidR="00CB37A5" w:rsidRPr="00EC5260" w:rsidRDefault="00142FD7" w:rsidP="00092536">
      <w:pPr>
        <w:pStyle w:val="ListParagraph"/>
        <w:numPr>
          <w:ilvl w:val="0"/>
          <w:numId w:val="28"/>
        </w:numPr>
        <w:rPr>
          <w:i/>
          <w:iCs/>
        </w:rPr>
      </w:pPr>
      <w:r w:rsidRPr="00EC5260">
        <w:rPr>
          <w:b/>
          <w:bCs/>
          <w:i/>
          <w:iCs/>
        </w:rPr>
        <w:t>N</w:t>
      </w:r>
      <w:r w:rsidR="0030478A">
        <w:rPr>
          <w:b/>
          <w:bCs/>
          <w:i/>
          <w:iCs/>
        </w:rPr>
        <w:t>on-fungible Tokens</w:t>
      </w:r>
      <w:r w:rsidR="00CB37A5">
        <w:rPr>
          <w:rStyle w:val="FootnoteReference"/>
          <w:b/>
          <w:bCs/>
          <w:i/>
          <w:iCs/>
        </w:rPr>
        <w:footnoteReference w:id="13"/>
      </w:r>
    </w:p>
    <w:p w14:paraId="3A2C9086" w14:textId="2C9C2275" w:rsidR="001D62E0" w:rsidRDefault="000E5080" w:rsidP="00092536">
      <w:pPr>
        <w:ind w:left="720"/>
      </w:pPr>
      <w:r>
        <w:t xml:space="preserve">The </w:t>
      </w:r>
      <w:r w:rsidRPr="00EC5260">
        <w:t xml:space="preserve">income tax treatment of NFTs </w:t>
      </w:r>
      <w:r w:rsidR="001D62E0">
        <w:t xml:space="preserve">depends on how the NFT is held and used and </w:t>
      </w:r>
      <w:r w:rsidRPr="00EC5260">
        <w:t>follows the same general principles as cryptocurrencies</w:t>
      </w:r>
      <w:r>
        <w:t>.</w:t>
      </w:r>
      <w:r w:rsidR="00504237">
        <w:t xml:space="preserve">  </w:t>
      </w:r>
      <w:r w:rsidR="001D62E0">
        <w:t>Transactions relating to NFTs may be subject to income tax:</w:t>
      </w:r>
    </w:p>
    <w:p w14:paraId="5C6CB6C1" w14:textId="210A666D" w:rsidR="000B2115" w:rsidRDefault="001D62E0" w:rsidP="00092536">
      <w:pPr>
        <w:pStyle w:val="ListParagraph"/>
        <w:numPr>
          <w:ilvl w:val="0"/>
          <w:numId w:val="37"/>
        </w:numPr>
        <w:spacing w:before="0"/>
      </w:pPr>
      <w:r>
        <w:t>on revenue account as trading stock</w:t>
      </w:r>
    </w:p>
    <w:p w14:paraId="6D67839D" w14:textId="1F481778" w:rsidR="00FD0731" w:rsidRDefault="001D62E0" w:rsidP="00092536">
      <w:pPr>
        <w:pStyle w:val="ListParagraph"/>
        <w:numPr>
          <w:ilvl w:val="0"/>
          <w:numId w:val="37"/>
        </w:numPr>
      </w:pPr>
      <w:r>
        <w:t>as part of a business or profit-making scheme</w:t>
      </w:r>
      <w:r w:rsidR="00FD0731">
        <w:t>; or</w:t>
      </w:r>
    </w:p>
    <w:p w14:paraId="1083531D" w14:textId="3028351C" w:rsidR="00BE15B1" w:rsidRDefault="001D62E0" w:rsidP="00092536">
      <w:pPr>
        <w:pStyle w:val="ListParagraph"/>
        <w:numPr>
          <w:ilvl w:val="0"/>
          <w:numId w:val="37"/>
        </w:numPr>
      </w:pPr>
      <w:r>
        <w:t xml:space="preserve">under the </w:t>
      </w:r>
      <w:r w:rsidR="0058789D">
        <w:t>CGT</w:t>
      </w:r>
      <w:r>
        <w:t xml:space="preserve"> regime.</w:t>
      </w:r>
    </w:p>
    <w:p w14:paraId="118A3569" w14:textId="77777777" w:rsidR="00BE15B1" w:rsidRPr="00BE15B1" w:rsidRDefault="00BE15B1" w:rsidP="00092536">
      <w:pPr>
        <w:pStyle w:val="ListParagraph"/>
        <w:ind w:left="1080"/>
        <w:rPr>
          <w:sz w:val="8"/>
          <w:szCs w:val="8"/>
        </w:rPr>
      </w:pPr>
    </w:p>
    <w:p w14:paraId="0B6F27A1" w14:textId="2391D1B9" w:rsidR="00BE15B1" w:rsidRDefault="000B2115" w:rsidP="00092536">
      <w:pPr>
        <w:pStyle w:val="ListParagraph"/>
      </w:pPr>
      <w:r>
        <w:t>For GST purposes,</w:t>
      </w:r>
      <w:r w:rsidRPr="00EC5260">
        <w:t xml:space="preserve"> an NFT is not a form of digital currency. The GST treatment of an NFT depends on whether </w:t>
      </w:r>
      <w:r w:rsidR="009D78B5">
        <w:t>the</w:t>
      </w:r>
      <w:r w:rsidRPr="00EC5260">
        <w:t xml:space="preserve"> transaction meets the requirements of being either a </w:t>
      </w:r>
      <w:hyperlink r:id="rId37" w:history="1">
        <w:r w:rsidRPr="00EC5260">
          <w:t>taxable or GST-free supply</w:t>
        </w:r>
      </w:hyperlink>
      <w:r w:rsidRPr="00EC5260">
        <w:t> under the GST rules.</w:t>
      </w:r>
      <w:r w:rsidR="00BE15B1">
        <w:br w:type="page"/>
      </w:r>
    </w:p>
    <w:p w14:paraId="5CD48775" w14:textId="0488971A" w:rsidR="00D7131B" w:rsidRDefault="00D7131B" w:rsidP="00D7131B">
      <w:pPr>
        <w:pStyle w:val="Heading2"/>
      </w:pPr>
      <w:bookmarkStart w:id="9" w:name="_Toc111632927"/>
      <w:r>
        <w:lastRenderedPageBreak/>
        <w:t>Relevant reports</w:t>
      </w:r>
      <w:bookmarkEnd w:id="9"/>
      <w:r>
        <w:t xml:space="preserve"> </w:t>
      </w:r>
    </w:p>
    <w:p w14:paraId="2E81C34B" w14:textId="648A0A9E" w:rsidR="00D72AAE" w:rsidRPr="0079528B" w:rsidRDefault="00190ABC" w:rsidP="00D7131B">
      <w:pPr>
        <w:pStyle w:val="Heading3"/>
      </w:pPr>
      <w:r w:rsidRPr="00485BF0">
        <w:t>The</w:t>
      </w:r>
      <w:r>
        <w:t xml:space="preserve"> </w:t>
      </w:r>
      <w:r w:rsidR="00F86023">
        <w:t>Senate Select Committee on Australia as a Technology and Financial Centre</w:t>
      </w:r>
      <w:r w:rsidR="00DD11C1" w:rsidRPr="001D6217">
        <w:t xml:space="preserve"> </w:t>
      </w:r>
      <w:r w:rsidR="00D64889">
        <w:t xml:space="preserve">Final </w:t>
      </w:r>
      <w:r w:rsidR="00F86023">
        <w:t>r</w:t>
      </w:r>
      <w:r w:rsidR="00DD11C1" w:rsidRPr="001D6217">
        <w:t xml:space="preserve">eport </w:t>
      </w:r>
    </w:p>
    <w:p w14:paraId="6EC5BC37" w14:textId="0EC0CB1B" w:rsidR="00D71F18" w:rsidRDefault="000C3B36" w:rsidP="00D7131B">
      <w:r w:rsidRPr="000C3B36">
        <w:t xml:space="preserve">On 20 October 2021, the Senate Select Committee on Australia as a Technology and Financial Centre released </w:t>
      </w:r>
      <w:r w:rsidR="00D7131B">
        <w:t>a</w:t>
      </w:r>
      <w:r w:rsidR="00D71F18">
        <w:t xml:space="preserve"> </w:t>
      </w:r>
      <w:r w:rsidR="00D7131B">
        <w:t>r</w:t>
      </w:r>
      <w:r w:rsidRPr="000C3B36">
        <w:t xml:space="preserve">eport </w:t>
      </w:r>
      <w:r w:rsidR="00D71F18">
        <w:t xml:space="preserve">which focussed on </w:t>
      </w:r>
      <w:r w:rsidR="00D71F18" w:rsidRPr="00D71F18">
        <w:t>key areas affecting the competitiveness of Australia</w:t>
      </w:r>
      <w:r w:rsidR="00E031E5">
        <w:t>’</w:t>
      </w:r>
      <w:r w:rsidR="00D71F18" w:rsidRPr="00D71F18">
        <w:t>s technology, finance and digital asset industries</w:t>
      </w:r>
      <w:r w:rsidR="00D71F18">
        <w:t xml:space="preserve">, including </w:t>
      </w:r>
      <w:r w:rsidR="00D71F18" w:rsidRPr="00D71F18">
        <w:t>the regulat</w:t>
      </w:r>
      <w:r w:rsidR="00D71F18">
        <w:t xml:space="preserve">ory future of </w:t>
      </w:r>
      <w:r w:rsidR="00D71F18" w:rsidRPr="00D71F18">
        <w:t>cryptocurrencies and digital assets</w:t>
      </w:r>
      <w:r w:rsidR="00D71F18">
        <w:t xml:space="preserve">. </w:t>
      </w:r>
    </w:p>
    <w:p w14:paraId="34B1BC05" w14:textId="601A0B07" w:rsidR="001C7330" w:rsidRDefault="00074C5B" w:rsidP="00D7131B">
      <w:r>
        <w:t>T</w:t>
      </w:r>
      <w:r w:rsidR="00AE12D5">
        <w:t xml:space="preserve">he </w:t>
      </w:r>
      <w:r w:rsidR="00D7131B">
        <w:t>r</w:t>
      </w:r>
      <w:r w:rsidR="00AE12D5">
        <w:t>eport discussed the concerns</w:t>
      </w:r>
      <w:r w:rsidR="00D71F18">
        <w:t xml:space="preserve"> and issues relating to how cryptocurrencies and other digital assets are treated for tax purposes in Australia. </w:t>
      </w:r>
      <w:r w:rsidR="00142FD7">
        <w:t xml:space="preserve">The report </w:t>
      </w:r>
      <w:r w:rsidR="00F45923">
        <w:t>highlighted</w:t>
      </w:r>
      <w:r w:rsidR="00142FD7">
        <w:t xml:space="preserve"> </w:t>
      </w:r>
      <w:r w:rsidR="00760108">
        <w:t xml:space="preserve">various </w:t>
      </w:r>
      <w:r w:rsidR="00C703F5">
        <w:t xml:space="preserve">excerpts from </w:t>
      </w:r>
      <w:r w:rsidR="00760108">
        <w:t>submissions</w:t>
      </w:r>
      <w:r w:rsidR="0058789D">
        <w:t xml:space="preserve"> made to the Senate Select Committee</w:t>
      </w:r>
      <w:r w:rsidR="00760108">
        <w:t xml:space="preserve">, </w:t>
      </w:r>
      <w:r w:rsidR="00F45923">
        <w:t>including</w:t>
      </w:r>
      <w:r w:rsidR="001C7330">
        <w:t>:</w:t>
      </w:r>
    </w:p>
    <w:p w14:paraId="5A5672F1" w14:textId="4746645C" w:rsidR="009C528A" w:rsidRDefault="000A2335" w:rsidP="00D7131B">
      <w:pPr>
        <w:ind w:left="720"/>
      </w:pPr>
      <w:r>
        <w:t>“…</w:t>
      </w:r>
      <w:r w:rsidR="009C528A" w:rsidRPr="00485BF0">
        <w:rPr>
          <w:i/>
          <w:iCs/>
        </w:rPr>
        <w:t>Australia</w:t>
      </w:r>
      <w:r w:rsidR="00E031E5">
        <w:rPr>
          <w:i/>
          <w:iCs/>
        </w:rPr>
        <w:t>’</w:t>
      </w:r>
      <w:r w:rsidR="009C528A" w:rsidRPr="00485BF0">
        <w:rPr>
          <w:i/>
          <w:iCs/>
        </w:rPr>
        <w:t>s current taxation regulations and guidance relating to cryptocurrencies and other digital assets need updating in order to keep pace with the rapid evolution of technology</w:t>
      </w:r>
      <w:r>
        <w:t>…</w:t>
      </w:r>
    </w:p>
    <w:p w14:paraId="31BD1101" w14:textId="0B949183" w:rsidR="00C2713B" w:rsidRPr="00502B97" w:rsidRDefault="00C2713B" w:rsidP="00D7131B">
      <w:pPr>
        <w:ind w:left="720"/>
        <w:rPr>
          <w:i/>
          <w:iCs/>
        </w:rPr>
      </w:pPr>
      <w:r>
        <w:rPr>
          <w:i/>
          <w:iCs/>
        </w:rPr>
        <w:t>…</w:t>
      </w:r>
      <w:r w:rsidRPr="00C2713B">
        <w:rPr>
          <w:i/>
          <w:iCs/>
        </w:rPr>
        <w:t>stakeholders expressed concern about a lack of clear guidance from the ATO about the application of existing principles in the tax law to new and emerging technol</w:t>
      </w:r>
      <w:r>
        <w:rPr>
          <w:i/>
          <w:iCs/>
        </w:rPr>
        <w:t>og</w:t>
      </w:r>
      <w:r w:rsidR="008355D5">
        <w:rPr>
          <w:i/>
          <w:iCs/>
        </w:rPr>
        <w:t>ies</w:t>
      </w:r>
      <w:r w:rsidR="00DA3D8E">
        <w:rPr>
          <w:i/>
          <w:iCs/>
        </w:rPr>
        <w:t>”</w:t>
      </w:r>
    </w:p>
    <w:p w14:paraId="08C8E03F" w14:textId="4651611D" w:rsidR="00F96342" w:rsidRDefault="00142FD7" w:rsidP="00D7131B">
      <w:r>
        <w:t xml:space="preserve">The </w:t>
      </w:r>
      <w:r w:rsidR="00D7131B">
        <w:t>r</w:t>
      </w:r>
      <w:r>
        <w:t>eport note</w:t>
      </w:r>
      <w:r w:rsidR="00474C22">
        <w:t>d</w:t>
      </w:r>
      <w:r>
        <w:t xml:space="preserve"> that there is a need to update the rules around CGT to ensure that new types of technology structures are appropriately accounted for</w:t>
      </w:r>
      <w:r w:rsidR="00F45923">
        <w:t xml:space="preserve"> and </w:t>
      </w:r>
      <w:r w:rsidR="00DA3D8E">
        <w:t xml:space="preserve">made a </w:t>
      </w:r>
      <w:r w:rsidR="00641A00">
        <w:t>recommenda</w:t>
      </w:r>
      <w:r w:rsidR="00DA3D8E">
        <w:t xml:space="preserve">tion to Government that </w:t>
      </w:r>
      <w:r w:rsidR="00AB7BFD">
        <w:t xml:space="preserve">the </w:t>
      </w:r>
      <w:r w:rsidR="009150B1">
        <w:t>CGT</w:t>
      </w:r>
      <w:r w:rsidR="004E3243" w:rsidRPr="00E03FB5">
        <w:t xml:space="preserve"> regime</w:t>
      </w:r>
      <w:r w:rsidR="00DA3D8E">
        <w:t xml:space="preserve"> should</w:t>
      </w:r>
      <w:r w:rsidR="004E3243" w:rsidRPr="00E03FB5">
        <w:t xml:space="preserve"> be amended so that digital asset transactions only create a CGT event when they genuinely result in a clearly definable capital gain or loss</w:t>
      </w:r>
      <w:r w:rsidR="00190ABC">
        <w:t>.</w:t>
      </w:r>
      <w:r w:rsidR="00F96342">
        <w:t xml:space="preserve"> </w:t>
      </w:r>
    </w:p>
    <w:p w14:paraId="68E15584" w14:textId="66384BCE" w:rsidR="00DD11C1" w:rsidRPr="0079528B" w:rsidRDefault="00E812F3" w:rsidP="00D7131B">
      <w:pPr>
        <w:pStyle w:val="Heading3"/>
      </w:pPr>
      <w:r>
        <w:t xml:space="preserve">Former </w:t>
      </w:r>
      <w:r w:rsidR="00C66A6B">
        <w:t xml:space="preserve">Federal </w:t>
      </w:r>
      <w:r w:rsidR="00DD11C1" w:rsidRPr="001155A7">
        <w:t xml:space="preserve">Government’s </w:t>
      </w:r>
      <w:r w:rsidR="00722214">
        <w:t>r</w:t>
      </w:r>
      <w:r w:rsidR="00DD11C1" w:rsidRPr="001155A7">
        <w:t>esponse</w:t>
      </w:r>
      <w:r w:rsidR="009150B1">
        <w:t xml:space="preserve"> to the </w:t>
      </w:r>
      <w:r w:rsidR="00722214">
        <w:t>r</w:t>
      </w:r>
      <w:r w:rsidR="009150B1">
        <w:t>eport</w:t>
      </w:r>
      <w:r w:rsidR="00DD11C1" w:rsidRPr="001155A7">
        <w:t xml:space="preserve"> </w:t>
      </w:r>
    </w:p>
    <w:p w14:paraId="0EE12FB6" w14:textId="4650EA2C" w:rsidR="006E2845" w:rsidRDefault="006E2845" w:rsidP="00D7131B">
      <w:pPr>
        <w:pStyle w:val="Bullet"/>
        <w:numPr>
          <w:ilvl w:val="0"/>
          <w:numId w:val="0"/>
        </w:numPr>
      </w:pPr>
      <w:r>
        <w:t>On 8 December 2021, t</w:t>
      </w:r>
      <w:r w:rsidR="00CE4FE9">
        <w:t xml:space="preserve">he </w:t>
      </w:r>
      <w:r w:rsidR="00BE474C">
        <w:t xml:space="preserve">former </w:t>
      </w:r>
      <w:r w:rsidR="00C66A6B">
        <w:t xml:space="preserve">Federal </w:t>
      </w:r>
      <w:r w:rsidR="00CE4FE9">
        <w:t xml:space="preserve">Government </w:t>
      </w:r>
      <w:r>
        <w:t xml:space="preserve">released its response </w:t>
      </w:r>
      <w:r w:rsidR="00CE4FE9">
        <w:t>to the</w:t>
      </w:r>
      <w:r>
        <w:t xml:space="preserve"> </w:t>
      </w:r>
      <w:r w:rsidR="00D7131B">
        <w:t>r</w:t>
      </w:r>
      <w:r w:rsidR="005C0E6E">
        <w:t>eport</w:t>
      </w:r>
      <w:r>
        <w:t xml:space="preserve"> (and other </w:t>
      </w:r>
      <w:r w:rsidR="005C0E6E">
        <w:t>reports</w:t>
      </w:r>
      <w:r>
        <w:t xml:space="preserve"> relating to Australia’s payments systems). </w:t>
      </w:r>
    </w:p>
    <w:p w14:paraId="0B794AD6" w14:textId="68150AA6" w:rsidR="00190ABC" w:rsidRDefault="006E2845" w:rsidP="00D7131B">
      <w:pPr>
        <w:pStyle w:val="Bullet"/>
        <w:numPr>
          <w:ilvl w:val="0"/>
          <w:numId w:val="0"/>
        </w:numPr>
      </w:pPr>
      <w:r>
        <w:t>In response to the recommendation made in</w:t>
      </w:r>
      <w:r w:rsidR="00190ABC">
        <w:t xml:space="preserve"> the </w:t>
      </w:r>
      <w:r w:rsidR="00D7131B">
        <w:t>r</w:t>
      </w:r>
      <w:r w:rsidR="00190ABC">
        <w:t>eport in relation to the taxation of digital assets, the</w:t>
      </w:r>
      <w:r w:rsidR="00541858">
        <w:t xml:space="preserve"> </w:t>
      </w:r>
      <w:r w:rsidR="005242D5">
        <w:t xml:space="preserve">former </w:t>
      </w:r>
      <w:r w:rsidR="00190ABC">
        <w:t xml:space="preserve">Treasurer announced that to provide holders of digital assets </w:t>
      </w:r>
      <w:r w:rsidR="00C66A6B">
        <w:t>(</w:t>
      </w:r>
      <w:r w:rsidR="005242D5">
        <w:t>such as crypto assets</w:t>
      </w:r>
      <w:r w:rsidR="00C66A6B">
        <w:t>)</w:t>
      </w:r>
      <w:r w:rsidR="005242D5">
        <w:t xml:space="preserve"> </w:t>
      </w:r>
      <w:r w:rsidR="00190ABC">
        <w:t xml:space="preserve">with clarity, the Board </w:t>
      </w:r>
      <w:r w:rsidR="00767602">
        <w:t xml:space="preserve">would </w:t>
      </w:r>
      <w:r w:rsidR="00190ABC">
        <w:t xml:space="preserve">commence a review into the </w:t>
      </w:r>
      <w:r w:rsidR="004F13C0">
        <w:t xml:space="preserve">appropriate policy framework for the taxation of digital </w:t>
      </w:r>
      <w:r w:rsidR="00190ABC">
        <w:t>assets and transactions in Australia</w:t>
      </w:r>
      <w:r w:rsidR="004F13C0">
        <w:t xml:space="preserve">. </w:t>
      </w:r>
      <w:r w:rsidR="00D502E5">
        <w:t>Hence</w:t>
      </w:r>
      <w:r w:rsidR="00190ABC">
        <w:t>,</w:t>
      </w:r>
      <w:r w:rsidR="00D502E5">
        <w:t xml:space="preserve"> the purpose of th</w:t>
      </w:r>
      <w:r w:rsidR="00863A70">
        <w:t xml:space="preserve">e Board’s </w:t>
      </w:r>
      <w:r w:rsidR="00D502E5">
        <w:t>review</w:t>
      </w:r>
      <w:r w:rsidR="00863A70">
        <w:t>.</w:t>
      </w:r>
      <w:r w:rsidR="00585EB6">
        <w:t xml:space="preserve"> </w:t>
      </w:r>
    </w:p>
    <w:p w14:paraId="7652CEE3" w14:textId="20D5F94E" w:rsidR="00D55958" w:rsidRDefault="00190ABC" w:rsidP="00D7131B">
      <w:pPr>
        <w:pStyle w:val="Bullet"/>
        <w:numPr>
          <w:ilvl w:val="0"/>
          <w:numId w:val="0"/>
        </w:numPr>
      </w:pPr>
      <w:r>
        <w:t>In addition, t</w:t>
      </w:r>
      <w:r w:rsidR="00585EB6">
        <w:t xml:space="preserve">he </w:t>
      </w:r>
      <w:r w:rsidR="00BE15B1">
        <w:t>former</w:t>
      </w:r>
      <w:r w:rsidR="00541858">
        <w:t xml:space="preserve"> </w:t>
      </w:r>
      <w:r>
        <w:t>Treasurer announced that</w:t>
      </w:r>
      <w:r w:rsidR="00E031E5">
        <w:t>,</w:t>
      </w:r>
      <w:r>
        <w:t xml:space="preserve"> </w:t>
      </w:r>
      <w:r w:rsidR="000370E4">
        <w:t xml:space="preserve">in the </w:t>
      </w:r>
      <w:r w:rsidR="004F13C0">
        <w:t xml:space="preserve">interim, </w:t>
      </w:r>
      <w:r w:rsidR="00E169A4">
        <w:t xml:space="preserve">the </w:t>
      </w:r>
      <w:r w:rsidR="004F13C0">
        <w:t xml:space="preserve">Treasury will liaise with the </w:t>
      </w:r>
      <w:r>
        <w:t>ATO</w:t>
      </w:r>
      <w:r w:rsidR="004F13C0">
        <w:t xml:space="preserve"> on the potential for issuing more expansive guidance on the current tax treatment of </w:t>
      </w:r>
      <w:r w:rsidR="00B52F12">
        <w:t>crypto</w:t>
      </w:r>
      <w:r>
        <w:t xml:space="preserve"> </w:t>
      </w:r>
      <w:r w:rsidR="004F13C0">
        <w:t>assets</w:t>
      </w:r>
      <w:r>
        <w:t xml:space="preserve">. </w:t>
      </w:r>
    </w:p>
    <w:p w14:paraId="45641BA5" w14:textId="1CE1F73C" w:rsidR="00C66A6B" w:rsidRDefault="00C66A6B" w:rsidP="00D7131B">
      <w:pPr>
        <w:pStyle w:val="Heading3"/>
      </w:pPr>
      <w:r>
        <w:t xml:space="preserve">Other Federal Government </w:t>
      </w:r>
      <w:r w:rsidR="00722214">
        <w:t>a</w:t>
      </w:r>
      <w:r>
        <w:t>nnouncements</w:t>
      </w:r>
    </w:p>
    <w:p w14:paraId="2C8565C7" w14:textId="4CACA907" w:rsidR="00C66A6B" w:rsidRDefault="00C66A6B" w:rsidP="00D7131B">
      <w:r>
        <w:t xml:space="preserve">On 22 June 2022, </w:t>
      </w:r>
      <w:r w:rsidR="0029454B">
        <w:t>t</w:t>
      </w:r>
      <w:r>
        <w:t>he Treasurer and Assistant Treasurer issued a joint media release confirming that “</w:t>
      </w:r>
      <w:r w:rsidRPr="00C92B4D">
        <w:rPr>
          <w:i/>
          <w:iCs/>
        </w:rPr>
        <w:t>Crypto currencies will continue to be excluded from foreign currency tax arrangements</w:t>
      </w:r>
      <w:r>
        <w:t>”</w:t>
      </w:r>
      <w:r w:rsidR="007544F7">
        <w:t xml:space="preserve"> from 1 July 2021</w:t>
      </w:r>
      <w:r>
        <w:t xml:space="preserve">.  This announcement was made to provide certainty and clarity for crypto asset holders following the decision by the Government of El Salvador to allow </w:t>
      </w:r>
      <w:r w:rsidR="006B288E">
        <w:t>bi</w:t>
      </w:r>
      <w:r w:rsidR="00167588">
        <w:t xml:space="preserve">tcoin </w:t>
      </w:r>
      <w:r>
        <w:t>as legal tender of that country.</w:t>
      </w:r>
      <w:r w:rsidR="007544F7">
        <w:t xml:space="preserve">  </w:t>
      </w:r>
      <w:r w:rsidR="007C2F93">
        <w:t>When legislated, t</w:t>
      </w:r>
      <w:r w:rsidR="004C29B5">
        <w:t xml:space="preserve">his </w:t>
      </w:r>
      <w:r w:rsidR="00386A59">
        <w:t xml:space="preserve">will </w:t>
      </w:r>
      <w:r w:rsidR="004C29B5">
        <w:t xml:space="preserve">confirm the position in ATO guidance that crypto assets are not foreign currency for </w:t>
      </w:r>
      <w:r w:rsidR="00E031E5">
        <w:t xml:space="preserve">Australian </w:t>
      </w:r>
      <w:r w:rsidR="004C29B5">
        <w:t>tax purposes.</w:t>
      </w:r>
    </w:p>
    <w:p w14:paraId="5DF186BB" w14:textId="48A0471F" w:rsidR="008F177C" w:rsidRPr="000C3B36" w:rsidRDefault="008F177C" w:rsidP="00D7131B">
      <w:pPr>
        <w:pStyle w:val="Heading3"/>
      </w:pPr>
      <w:r>
        <w:lastRenderedPageBreak/>
        <w:t>Inter</w:t>
      </w:r>
      <w:r w:rsidR="0099358C">
        <w:t>national</w:t>
      </w:r>
      <w:r w:rsidR="0003443F">
        <w:t xml:space="preserve"> developments</w:t>
      </w:r>
    </w:p>
    <w:p w14:paraId="0A09DB1D" w14:textId="68F0305E" w:rsidR="00190ABC" w:rsidRDefault="00AA33B4" w:rsidP="00805ACA">
      <w:r>
        <w:t>The</w:t>
      </w:r>
      <w:r w:rsidR="00C109BC" w:rsidRPr="00C109BC">
        <w:t xml:space="preserve"> Organisation for Economic Cooperation and Development (OECD) </w:t>
      </w:r>
      <w:r w:rsidR="00F64772">
        <w:t>issued</w:t>
      </w:r>
      <w:r w:rsidR="00212B6F" w:rsidRPr="00212B6F">
        <w:rPr>
          <w:i/>
          <w:iCs/>
        </w:rPr>
        <w:t xml:space="preserve"> </w:t>
      </w:r>
      <w:r w:rsidR="00212B6F" w:rsidRPr="00C109BC">
        <w:rPr>
          <w:i/>
          <w:iCs/>
        </w:rPr>
        <w:t>Addressing the Tax Challenges of the Digital Economy Action 1: 201</w:t>
      </w:r>
      <w:r w:rsidR="00212B6F">
        <w:rPr>
          <w:i/>
          <w:iCs/>
        </w:rPr>
        <w:t>5</w:t>
      </w:r>
      <w:r w:rsidR="00212B6F" w:rsidRPr="00C109BC">
        <w:rPr>
          <w:i/>
          <w:iCs/>
        </w:rPr>
        <w:t xml:space="preserve"> </w:t>
      </w:r>
      <w:r w:rsidR="00212B6F">
        <w:rPr>
          <w:i/>
          <w:iCs/>
        </w:rPr>
        <w:t xml:space="preserve">Final Report, </w:t>
      </w:r>
      <w:r w:rsidR="00212B6F">
        <w:t>which sets out the challenges arising as a result of the spread of the digital economy</w:t>
      </w:r>
      <w:r w:rsidR="00C109BC" w:rsidRPr="00C109BC">
        <w:t>.</w:t>
      </w:r>
      <w:r w:rsidR="00AD247A">
        <w:rPr>
          <w:rStyle w:val="FootnoteReference"/>
        </w:rPr>
        <w:footnoteReference w:id="14"/>
      </w:r>
      <w:r w:rsidR="00C109BC" w:rsidRPr="00C109BC">
        <w:t xml:space="preserve"> In this report, the OECD, amongst other things, </w:t>
      </w:r>
      <w:r w:rsidR="00212B6F">
        <w:t>indicated</w:t>
      </w:r>
      <w:r w:rsidR="00212B6F" w:rsidRPr="00C109BC">
        <w:t xml:space="preserve"> </w:t>
      </w:r>
      <w:r w:rsidR="00C109BC" w:rsidRPr="00C109BC">
        <w:t>that:</w:t>
      </w:r>
      <w:r w:rsidR="00805ACA">
        <w:t xml:space="preserve"> </w:t>
      </w:r>
    </w:p>
    <w:p w14:paraId="2FEC2B21" w14:textId="2CA7A5AE" w:rsidR="00C109BC" w:rsidRPr="00C109BC" w:rsidRDefault="00190ABC" w:rsidP="00485BF0">
      <w:pPr>
        <w:ind w:left="720"/>
      </w:pPr>
      <w:r>
        <w:t>“</w:t>
      </w:r>
      <w:r w:rsidRPr="00485BF0">
        <w:rPr>
          <w:i/>
          <w:iCs/>
        </w:rPr>
        <w:t>The digital economy also raises broader tax challenges for policy makers. These challenges relate in particular to nexus, data, and characterisation for direct tax purposes. These challenges trigger more systemic questions about the ability of the current international tax framework to deal with the changes brought about by the digital economy and the business models that it makes possible and hence to ensure that profits are taxed in the jurisdiction where economic activities occur and where value is generated</w:t>
      </w:r>
      <w:r>
        <w:t xml:space="preserve"> ”</w:t>
      </w:r>
      <w:r w:rsidR="006378F8" w:rsidRPr="006378F8">
        <w:t>.</w:t>
      </w:r>
    </w:p>
    <w:p w14:paraId="1D1062F0" w14:textId="2169EF61" w:rsidR="000C3B36" w:rsidRPr="000C3B36" w:rsidRDefault="00212B6F" w:rsidP="000C3B36">
      <w:r>
        <w:t>On 12 October 2020, t</w:t>
      </w:r>
      <w:r w:rsidR="000C3B36" w:rsidRPr="000C3B36">
        <w:t xml:space="preserve">he OECD released its report on </w:t>
      </w:r>
      <w:r w:rsidR="000C3B36" w:rsidRPr="000C3B36">
        <w:rPr>
          <w:i/>
          <w:iCs/>
        </w:rPr>
        <w:t>Taxing Virtual Currencies: An Overview of Tax Treatments and Emerging Tax Policy Issues</w:t>
      </w:r>
      <w:r w:rsidR="00AD247A">
        <w:rPr>
          <w:i/>
          <w:iCs/>
        </w:rPr>
        <w:t xml:space="preserve">, </w:t>
      </w:r>
      <w:r w:rsidR="000C3B36" w:rsidRPr="000C3B36">
        <w:t>which analyses the emerging issues related to the taxation of virtual currencies, as well as the evolution of the consensus mechanisms used to maintain blockchain networks (a shared, distributed ledger that records transactions across business networks)</w:t>
      </w:r>
      <w:r w:rsidR="005D7F55">
        <w:t xml:space="preserve"> and the growth of decentralised finance</w:t>
      </w:r>
      <w:r w:rsidR="000C3B36" w:rsidRPr="000C3B36">
        <w:t>.</w:t>
      </w:r>
      <w:r w:rsidR="000E75AF" w:rsidRPr="000E75AF">
        <w:rPr>
          <w:rStyle w:val="FootnoteReference"/>
          <w:i/>
          <w:iCs/>
        </w:rPr>
        <w:t xml:space="preserve"> </w:t>
      </w:r>
      <w:r w:rsidR="000E75AF" w:rsidRPr="00C92B4D">
        <w:rPr>
          <w:rStyle w:val="FootnoteReference"/>
        </w:rPr>
        <w:footnoteReference w:id="15"/>
      </w:r>
      <w:r w:rsidR="000E75AF" w:rsidRPr="000C3B36">
        <w:t xml:space="preserve"> </w:t>
      </w:r>
      <w:r w:rsidR="000C3B36" w:rsidRPr="000C3B36">
        <w:t xml:space="preserve"> </w:t>
      </w:r>
      <w:r w:rsidR="005D7F55">
        <w:t>This</w:t>
      </w:r>
      <w:r w:rsidR="000C3B36" w:rsidRPr="000C3B36">
        <w:t xml:space="preserve"> report also highlights a number of key insights that policymakers may wish to consider in strengthening their legal and regulatory frameworks for taxing virtual currencies.</w:t>
      </w:r>
    </w:p>
    <w:p w14:paraId="3E156FFE" w14:textId="49C020A7" w:rsidR="000C3B36" w:rsidRDefault="000B45FB" w:rsidP="00255925">
      <w:r w:rsidRPr="00D41FCB">
        <w:t>Separately, the OECD is developing a reporting framework that would allow jurisdictions to collect and share information on transactions in crypto assets.</w:t>
      </w:r>
      <w:r w:rsidR="00E70BE9">
        <w:rPr>
          <w:rStyle w:val="FootnoteReference"/>
        </w:rPr>
        <w:footnoteReference w:id="16"/>
      </w:r>
      <w:r w:rsidRPr="00D41FCB">
        <w:t xml:space="preserve"> A mechanism, the Common Reporting Standard, already exists for jurisdictions to share information on transactions in traditional financial assets. The purpose of this new reporting standards is to allow tax administrators to obtain high-level tax</w:t>
      </w:r>
      <w:r>
        <w:t xml:space="preserve"> </w:t>
      </w:r>
      <w:r w:rsidRPr="00D41FCB">
        <w:t>information on persons engaging in certain transactions in crypto</w:t>
      </w:r>
      <w:r w:rsidR="00E70BE9">
        <w:t xml:space="preserve"> </w:t>
      </w:r>
      <w:r w:rsidRPr="00D41FCB">
        <w:t>assets.</w:t>
      </w:r>
    </w:p>
    <w:p w14:paraId="473F8788" w14:textId="72E693CF" w:rsidR="001B0859" w:rsidRDefault="001B0859" w:rsidP="001B0859">
      <w:pPr>
        <w:pStyle w:val="Heading1"/>
      </w:pPr>
      <w:bookmarkStart w:id="10" w:name="_Toc111632928"/>
      <w:r>
        <w:lastRenderedPageBreak/>
        <w:t>Consultation questions</w:t>
      </w:r>
      <w:bookmarkEnd w:id="10"/>
    </w:p>
    <w:p w14:paraId="00CC2C6D" w14:textId="3333DA20" w:rsidR="00E32706" w:rsidRDefault="001B0859" w:rsidP="001B0859">
      <w:pPr>
        <w:pStyle w:val="Introductionparagraph"/>
      </w:pPr>
      <w:r w:rsidRPr="005044AB">
        <w:t>The Board encourages you to reflect on the</w:t>
      </w:r>
      <w:r>
        <w:t xml:space="preserve"> </w:t>
      </w:r>
      <w:r w:rsidRPr="005044AB">
        <w:t xml:space="preserve">consultation questions </w:t>
      </w:r>
      <w:r>
        <w:t xml:space="preserve">below </w:t>
      </w:r>
      <w:r w:rsidRPr="005044AB">
        <w:t xml:space="preserve">to assist </w:t>
      </w:r>
      <w:r>
        <w:t xml:space="preserve">in </w:t>
      </w:r>
      <w:r w:rsidRPr="005044AB">
        <w:t xml:space="preserve">formulating your input </w:t>
      </w:r>
      <w:r>
        <w:t>to</w:t>
      </w:r>
      <w:r w:rsidRPr="005044AB">
        <w:t xml:space="preserve"> the review.</w:t>
      </w:r>
      <w:r>
        <w:t xml:space="preserve"> You should not feel obliged to address </w:t>
      </w:r>
      <w:proofErr w:type="gramStart"/>
      <w:r>
        <w:t>all of</w:t>
      </w:r>
      <w:proofErr w:type="gramEnd"/>
      <w:r>
        <w:t xml:space="preserve"> these questions and w</w:t>
      </w:r>
      <w:r w:rsidRPr="005044AB">
        <w:t xml:space="preserve">e encourage you to raise </w:t>
      </w:r>
      <w:r>
        <w:t>any other issues relevant to the</w:t>
      </w:r>
      <w:r w:rsidR="00366932">
        <w:t xml:space="preserve"> </w:t>
      </w:r>
      <w:r w:rsidR="00366932" w:rsidRPr="00366932">
        <w:t xml:space="preserve">current Australian tax treatment of </w:t>
      </w:r>
      <w:r w:rsidR="005608DE">
        <w:t>crypto</w:t>
      </w:r>
      <w:r w:rsidR="00366932" w:rsidRPr="00366932">
        <w:t xml:space="preserve"> assets and emerging tax policy issues</w:t>
      </w:r>
      <w:r w:rsidR="006A37C6">
        <w:t>.</w:t>
      </w:r>
    </w:p>
    <w:p w14:paraId="7725DD28" w14:textId="2CFEEC53" w:rsidR="001B0859" w:rsidRPr="00AD41A6" w:rsidRDefault="001B0859" w:rsidP="001173EF">
      <w:pPr>
        <w:pStyle w:val="Heading3"/>
      </w:pPr>
      <w:r w:rsidRPr="00AD41A6">
        <w:t xml:space="preserve">Current </w:t>
      </w:r>
      <w:r w:rsidR="004204AE" w:rsidRPr="00AD41A6">
        <w:t>tax treatment</w:t>
      </w:r>
      <w:r w:rsidR="00191068" w:rsidRPr="00AD41A6">
        <w:t xml:space="preserve"> of </w:t>
      </w:r>
      <w:r w:rsidR="005608DE">
        <w:t>crypto</w:t>
      </w:r>
      <w:r w:rsidR="005608DE" w:rsidRPr="00AD41A6">
        <w:t xml:space="preserve"> </w:t>
      </w:r>
      <w:r w:rsidR="00191068" w:rsidRPr="00AD41A6">
        <w:t xml:space="preserve">assets </w:t>
      </w:r>
    </w:p>
    <w:p w14:paraId="641716BB" w14:textId="4ABCE82B" w:rsidR="005E4CC0" w:rsidRDefault="00456547" w:rsidP="005D7F55">
      <w:pPr>
        <w:numPr>
          <w:ilvl w:val="0"/>
          <w:numId w:val="27"/>
        </w:numPr>
      </w:pPr>
      <w:r>
        <w:t>Is</w:t>
      </w:r>
      <w:r w:rsidR="001B0859" w:rsidRPr="000C5C5C">
        <w:t xml:space="preserve"> the </w:t>
      </w:r>
      <w:r w:rsidR="003834AB">
        <w:t xml:space="preserve">current </w:t>
      </w:r>
      <w:r w:rsidR="00DD040E">
        <w:t>tax</w:t>
      </w:r>
      <w:r w:rsidR="008E7329">
        <w:t xml:space="preserve"> </w:t>
      </w:r>
      <w:r w:rsidR="008E7329" w:rsidRPr="00D4428A">
        <w:t>treatment</w:t>
      </w:r>
      <w:r w:rsidR="00DD040E" w:rsidRPr="00D4428A">
        <w:t xml:space="preserve"> of </w:t>
      </w:r>
      <w:r w:rsidR="005608DE">
        <w:t>crypto</w:t>
      </w:r>
      <w:r w:rsidR="005608DE" w:rsidRPr="00D4428A">
        <w:t xml:space="preserve"> </w:t>
      </w:r>
      <w:r w:rsidR="00DD040E" w:rsidRPr="00D4428A">
        <w:t xml:space="preserve">assets </w:t>
      </w:r>
      <w:r w:rsidR="00D25770" w:rsidRPr="00D4428A">
        <w:t>clear</w:t>
      </w:r>
      <w:r w:rsidR="00D25770">
        <w:t xml:space="preserve"> and </w:t>
      </w:r>
      <w:r w:rsidR="001B0859" w:rsidRPr="000C5C5C">
        <w:t>understood</w:t>
      </w:r>
      <w:r w:rsidR="008E7329">
        <w:t xml:space="preserve"> under the Australian tax law</w:t>
      </w:r>
      <w:r w:rsidR="001B0859" w:rsidRPr="000C5C5C">
        <w:t xml:space="preserve">? If not, </w:t>
      </w:r>
      <w:r w:rsidR="008E7329">
        <w:t>what are the areas of uncertainty</w:t>
      </w:r>
      <w:r w:rsidR="009F2F69">
        <w:t xml:space="preserve"> </w:t>
      </w:r>
      <w:r w:rsidR="005D7F55">
        <w:t xml:space="preserve">that </w:t>
      </w:r>
      <w:r w:rsidR="00BC61CE">
        <w:t xml:space="preserve">may </w:t>
      </w:r>
      <w:r w:rsidR="005D7F55">
        <w:t>require clarification</w:t>
      </w:r>
      <w:r w:rsidR="009C0A39">
        <w:t>?</w:t>
      </w:r>
      <w:r w:rsidR="008D378D">
        <w:t xml:space="preserve"> </w:t>
      </w:r>
    </w:p>
    <w:p w14:paraId="704AD25B" w14:textId="4C23A66B" w:rsidR="00346FAC" w:rsidRDefault="00346FAC" w:rsidP="00346FAC">
      <w:pPr>
        <w:numPr>
          <w:ilvl w:val="0"/>
          <w:numId w:val="27"/>
        </w:numPr>
      </w:pPr>
      <w:r>
        <w:t xml:space="preserve">Do </w:t>
      </w:r>
      <w:r w:rsidR="00E05DB6">
        <w:t>crypto assets</w:t>
      </w:r>
      <w:r w:rsidR="001537A5">
        <w:t xml:space="preserve"> and associated transactions</w:t>
      </w:r>
      <w:r>
        <w:t xml:space="preserve"> feature </w:t>
      </w:r>
      <w:proofErr w:type="gramStart"/>
      <w:r>
        <w:t>particular characteristics</w:t>
      </w:r>
      <w:proofErr w:type="gramEnd"/>
      <w:r>
        <w:t xml:space="preserve"> that are ‘incompatible’ with current tax laws?  </w:t>
      </w:r>
      <w:r w:rsidR="004C29B5">
        <w:t>If yes, what are these and why are they incompatible?</w:t>
      </w:r>
    </w:p>
    <w:p w14:paraId="25EED153" w14:textId="0EB426D3" w:rsidR="001B0859" w:rsidRPr="00AD41A6" w:rsidRDefault="002817F9" w:rsidP="00B43626">
      <w:pPr>
        <w:pStyle w:val="Heading3"/>
      </w:pPr>
      <w:r w:rsidRPr="00F8411A">
        <w:rPr>
          <w:iCs/>
        </w:rPr>
        <w:t>A</w:t>
      </w:r>
      <w:r w:rsidR="00C00797" w:rsidRPr="00F8411A">
        <w:rPr>
          <w:iCs/>
        </w:rPr>
        <w:t>wareness of the tax treatment</w:t>
      </w:r>
      <w:r w:rsidR="00C00797" w:rsidRPr="00AD41A6">
        <w:t xml:space="preserve"> </w:t>
      </w:r>
      <w:r w:rsidRPr="00AD41A6">
        <w:t xml:space="preserve">of </w:t>
      </w:r>
      <w:r w:rsidR="005608DE">
        <w:t>crypto</w:t>
      </w:r>
      <w:r w:rsidR="005608DE" w:rsidRPr="00AD41A6">
        <w:t xml:space="preserve"> </w:t>
      </w:r>
      <w:r w:rsidRPr="00AD41A6">
        <w:t xml:space="preserve">assets </w:t>
      </w:r>
    </w:p>
    <w:p w14:paraId="11574CE2" w14:textId="304218DC" w:rsidR="00EB78A8" w:rsidRDefault="00121F01" w:rsidP="002E57B9">
      <w:pPr>
        <w:numPr>
          <w:ilvl w:val="0"/>
          <w:numId w:val="27"/>
        </w:numPr>
      </w:pPr>
      <w:r>
        <w:t>Do entities which carry on a business in relation to crypto assets or accept crypto assets as a form of payment, have a comprehensive awareness of the current tax treatment of crypto assets and their tax obligations?</w:t>
      </w:r>
    </w:p>
    <w:p w14:paraId="512E851A" w14:textId="7A48495F" w:rsidR="0033305F" w:rsidRDefault="00A55C2C" w:rsidP="0033305F">
      <w:pPr>
        <w:numPr>
          <w:ilvl w:val="0"/>
          <w:numId w:val="27"/>
        </w:numPr>
      </w:pPr>
      <w:r>
        <w:t xml:space="preserve">Are </w:t>
      </w:r>
      <w:r w:rsidR="0033305F">
        <w:t>retail investors aware of the</w:t>
      </w:r>
      <w:r w:rsidR="00684310">
        <w:t xml:space="preserve"> </w:t>
      </w:r>
      <w:r w:rsidR="007C1711">
        <w:t xml:space="preserve">current </w:t>
      </w:r>
      <w:r w:rsidR="00684310">
        <w:t>tax treatmen</w:t>
      </w:r>
      <w:r w:rsidR="0033305F">
        <w:t xml:space="preserve">t of </w:t>
      </w:r>
      <w:r w:rsidR="00F64B84">
        <w:t xml:space="preserve">crypto </w:t>
      </w:r>
      <w:r w:rsidR="0033305F">
        <w:t>assets? To what extent are they receiving professional tax advice?</w:t>
      </w:r>
    </w:p>
    <w:p w14:paraId="6747895A" w14:textId="4233BE91" w:rsidR="007C1711" w:rsidRDefault="00F57B0F" w:rsidP="007C1711">
      <w:pPr>
        <w:numPr>
          <w:ilvl w:val="0"/>
          <w:numId w:val="27"/>
        </w:numPr>
      </w:pPr>
      <w:r>
        <w:t>D</w:t>
      </w:r>
      <w:r w:rsidR="00781857">
        <w:t>o wholesale investors understand the</w:t>
      </w:r>
      <w:r w:rsidR="007C1711">
        <w:t xml:space="preserve"> current</w:t>
      </w:r>
      <w:r w:rsidR="00781857">
        <w:t xml:space="preserve"> tax treatment of </w:t>
      </w:r>
      <w:r w:rsidR="00F64B84">
        <w:t xml:space="preserve">crypto </w:t>
      </w:r>
      <w:r w:rsidR="00781857">
        <w:t>assets?</w:t>
      </w:r>
      <w:r w:rsidR="007C1711">
        <w:t xml:space="preserve">  To what extent are they receiving professional tax advice?</w:t>
      </w:r>
    </w:p>
    <w:p w14:paraId="496EDF2F" w14:textId="72C09034" w:rsidR="001B0859" w:rsidRDefault="00B57824" w:rsidP="001B0859">
      <w:pPr>
        <w:numPr>
          <w:ilvl w:val="0"/>
          <w:numId w:val="27"/>
        </w:numPr>
      </w:pPr>
      <w:r>
        <w:t xml:space="preserve">How can taxpayer awareness of the </w:t>
      </w:r>
      <w:r w:rsidRPr="00C93192">
        <w:t>tax treatment</w:t>
      </w:r>
      <w:r w:rsidRPr="00B57824">
        <w:t xml:space="preserve"> of </w:t>
      </w:r>
      <w:r w:rsidR="00E05DB6">
        <w:t>crypto assets</w:t>
      </w:r>
      <w:r>
        <w:t xml:space="preserve"> be improved?</w:t>
      </w:r>
      <w:r w:rsidR="007C1711">
        <w:t xml:space="preserve"> </w:t>
      </w:r>
    </w:p>
    <w:p w14:paraId="13777513" w14:textId="6BE17E07" w:rsidR="002817F9" w:rsidRDefault="002817F9" w:rsidP="001173EF">
      <w:pPr>
        <w:pStyle w:val="Heading3"/>
      </w:pPr>
      <w:r w:rsidRPr="0033725F">
        <w:t>C</w:t>
      </w:r>
      <w:r w:rsidRPr="00C93192">
        <w:t xml:space="preserve">haracteristics and features of </w:t>
      </w:r>
      <w:r w:rsidR="005608DE">
        <w:t>crypto</w:t>
      </w:r>
      <w:r w:rsidR="005608DE" w:rsidRPr="00C93192">
        <w:t xml:space="preserve"> </w:t>
      </w:r>
      <w:r w:rsidRPr="00C93192">
        <w:t xml:space="preserve">assets </w:t>
      </w:r>
    </w:p>
    <w:p w14:paraId="36D01C75" w14:textId="23E1BE64" w:rsidR="005318C9" w:rsidRDefault="001533D7" w:rsidP="00154988">
      <w:pPr>
        <w:numPr>
          <w:ilvl w:val="0"/>
          <w:numId w:val="27"/>
        </w:numPr>
      </w:pPr>
      <w:r w:rsidRPr="00154988">
        <w:t xml:space="preserve">How </w:t>
      </w:r>
      <w:r w:rsidR="002D2989">
        <w:t xml:space="preserve">should the </w:t>
      </w:r>
      <w:r w:rsidRPr="00154988">
        <w:t>tax transparency</w:t>
      </w:r>
      <w:r w:rsidR="002D2989">
        <w:t xml:space="preserve"> of </w:t>
      </w:r>
      <w:r w:rsidR="00B52F12">
        <w:t>crypto assets</w:t>
      </w:r>
      <w:r w:rsidR="002D2989">
        <w:t xml:space="preserve"> be improved</w:t>
      </w:r>
      <w:r w:rsidRPr="00154988">
        <w:t>, including what information tax administrat</w:t>
      </w:r>
      <w:r w:rsidR="004B7E18">
        <w:t>or</w:t>
      </w:r>
      <w:r w:rsidRPr="00154988">
        <w:t>s need to know about transactions for purposes of compliance and enforcement?</w:t>
      </w:r>
    </w:p>
    <w:p w14:paraId="358724F7" w14:textId="60690463" w:rsidR="001B0859" w:rsidRPr="0033725F" w:rsidRDefault="001B0859" w:rsidP="001173EF">
      <w:pPr>
        <w:pStyle w:val="Heading3"/>
      </w:pPr>
      <w:r w:rsidRPr="0033725F">
        <w:t xml:space="preserve">International </w:t>
      </w:r>
      <w:r w:rsidR="00540A8E" w:rsidRPr="0033725F">
        <w:t>tax</w:t>
      </w:r>
      <w:r w:rsidR="002A1E67" w:rsidRPr="0033725F">
        <w:t xml:space="preserve"> treatment of </w:t>
      </w:r>
      <w:r w:rsidR="005608DE">
        <w:rPr>
          <w:iCs/>
        </w:rPr>
        <w:t>crypto</w:t>
      </w:r>
      <w:r w:rsidR="005608DE" w:rsidRPr="00C93192">
        <w:rPr>
          <w:iCs/>
        </w:rPr>
        <w:t xml:space="preserve"> </w:t>
      </w:r>
      <w:r w:rsidR="0033725F" w:rsidRPr="00C93192">
        <w:rPr>
          <w:iCs/>
        </w:rPr>
        <w:t>assets</w:t>
      </w:r>
      <w:r w:rsidR="0033725F" w:rsidRPr="0033725F">
        <w:t xml:space="preserve"> </w:t>
      </w:r>
      <w:r w:rsidRPr="0033725F">
        <w:t>and experience</w:t>
      </w:r>
    </w:p>
    <w:p w14:paraId="3471C636" w14:textId="0B54EB68" w:rsidR="00262BE4" w:rsidRPr="00AD2421" w:rsidRDefault="00262BE4" w:rsidP="0008620E">
      <w:pPr>
        <w:numPr>
          <w:ilvl w:val="0"/>
          <w:numId w:val="27"/>
        </w:numPr>
      </w:pPr>
      <w:r w:rsidRPr="00AD2421">
        <w:t>What lessons can Australia draw from the</w:t>
      </w:r>
      <w:r w:rsidR="00345E95" w:rsidRPr="0008620E">
        <w:t xml:space="preserve"> </w:t>
      </w:r>
      <w:r w:rsidR="00345E95" w:rsidRPr="00AA299F">
        <w:t xml:space="preserve">taxation of </w:t>
      </w:r>
      <w:r w:rsidR="00E05DB6">
        <w:t>crypto assets</w:t>
      </w:r>
      <w:r w:rsidR="00345E95" w:rsidRPr="00AA299F">
        <w:t xml:space="preserve"> </w:t>
      </w:r>
      <w:r w:rsidR="00FC4728" w:rsidRPr="0008620E">
        <w:t xml:space="preserve">in </w:t>
      </w:r>
      <w:r w:rsidRPr="00AD2421">
        <w:t xml:space="preserve">other </w:t>
      </w:r>
      <w:r w:rsidR="00F74EF7">
        <w:t xml:space="preserve">comparable </w:t>
      </w:r>
      <w:r w:rsidR="00CB4EAC">
        <w:t xml:space="preserve">jurisdictions, including novel ways of taxing these </w:t>
      </w:r>
      <w:r w:rsidR="004E5406">
        <w:t>transactions</w:t>
      </w:r>
      <w:r w:rsidR="006779A5">
        <w:t>?</w:t>
      </w:r>
    </w:p>
    <w:p w14:paraId="667D9F43" w14:textId="2B59995A" w:rsidR="00632AA2" w:rsidRDefault="00440C71" w:rsidP="001173EF">
      <w:pPr>
        <w:pStyle w:val="Heading3"/>
      </w:pPr>
      <w:r>
        <w:t>C</w:t>
      </w:r>
      <w:r w:rsidR="003B2E5D" w:rsidRPr="00C93192">
        <w:t xml:space="preserve">hanges to Australia’s taxation laws </w:t>
      </w:r>
      <w:r w:rsidR="00B17A4D">
        <w:t>for</w:t>
      </w:r>
      <w:r w:rsidR="00B17A4D" w:rsidRPr="0033725F">
        <w:t xml:space="preserve"> </w:t>
      </w:r>
      <w:r w:rsidR="005608DE">
        <w:rPr>
          <w:iCs/>
        </w:rPr>
        <w:t>crypto</w:t>
      </w:r>
      <w:r w:rsidR="005608DE" w:rsidRPr="00C93192">
        <w:rPr>
          <w:iCs/>
        </w:rPr>
        <w:t xml:space="preserve"> </w:t>
      </w:r>
      <w:r w:rsidRPr="00C93192">
        <w:rPr>
          <w:iCs/>
        </w:rPr>
        <w:t xml:space="preserve">assets </w:t>
      </w:r>
    </w:p>
    <w:p w14:paraId="56F61532" w14:textId="3155B6DB" w:rsidR="00632AA2" w:rsidRDefault="00432B3F" w:rsidP="008B08D4">
      <w:pPr>
        <w:numPr>
          <w:ilvl w:val="0"/>
          <w:numId w:val="27"/>
        </w:numPr>
      </w:pPr>
      <w:r>
        <w:t>W</w:t>
      </w:r>
      <w:r w:rsidR="00632AA2" w:rsidRPr="000C5C5C">
        <w:t>hat changes</w:t>
      </w:r>
      <w:r w:rsidR="006779A5">
        <w:t>, if any,</w:t>
      </w:r>
      <w:r w:rsidR="00632AA2" w:rsidRPr="000C5C5C">
        <w:t xml:space="preserve"> </w:t>
      </w:r>
      <w:r w:rsidR="00A25462">
        <w:t>sh</w:t>
      </w:r>
      <w:r w:rsidR="00A25462" w:rsidRPr="000C5C5C">
        <w:t xml:space="preserve">ould </w:t>
      </w:r>
      <w:r w:rsidR="00632AA2" w:rsidRPr="000C5C5C">
        <w:t xml:space="preserve">be made to </w:t>
      </w:r>
      <w:r w:rsidR="0008620E" w:rsidRPr="00C93192">
        <w:t xml:space="preserve">Australia’s taxation laws </w:t>
      </w:r>
      <w:r w:rsidR="00A25462">
        <w:t>in relation to</w:t>
      </w:r>
      <w:r w:rsidR="00A25462" w:rsidRPr="008B08D4">
        <w:t xml:space="preserve"> </w:t>
      </w:r>
      <w:r w:rsidR="00E05DB6">
        <w:t>crypto assets</w:t>
      </w:r>
      <w:r w:rsidR="00632AA2" w:rsidRPr="000C5C5C">
        <w:t>, whilst maintaining the integrity of th</w:t>
      </w:r>
      <w:r w:rsidR="00043ECE">
        <w:t>e</w:t>
      </w:r>
      <w:r w:rsidR="00632AA2" w:rsidRPr="000C5C5C">
        <w:t xml:space="preserve"> </w:t>
      </w:r>
      <w:r w:rsidR="00043ECE">
        <w:t xml:space="preserve">tax </w:t>
      </w:r>
      <w:r w:rsidR="008F49FA">
        <w:t>system?</w:t>
      </w:r>
      <w:r w:rsidR="00B1396B">
        <w:t xml:space="preserve"> </w:t>
      </w:r>
      <w:r w:rsidR="001947AC">
        <w:t>If changes are required, please specify the reasons</w:t>
      </w:r>
      <w:r w:rsidR="00E70BE9">
        <w:t>.</w:t>
      </w:r>
    </w:p>
    <w:p w14:paraId="25AD8001" w14:textId="37DA4094" w:rsidR="0025237C" w:rsidRDefault="00482D9C" w:rsidP="008B08D4">
      <w:pPr>
        <w:numPr>
          <w:ilvl w:val="0"/>
          <w:numId w:val="27"/>
        </w:numPr>
      </w:pPr>
      <w:r>
        <w:lastRenderedPageBreak/>
        <w:t>H</w:t>
      </w:r>
      <w:r w:rsidR="0025237C">
        <w:t>ow could tax laws be designed to ensure that they keep pace w</w:t>
      </w:r>
      <w:r w:rsidR="008936B7">
        <w:t>i</w:t>
      </w:r>
      <w:r w:rsidR="0025237C">
        <w:t xml:space="preserve">th the rapidly evolving nature of </w:t>
      </w:r>
      <w:r w:rsidR="008936B7">
        <w:t>crypto assets</w:t>
      </w:r>
      <w:r w:rsidR="00B109B6">
        <w:t>?</w:t>
      </w:r>
      <w:r w:rsidR="008936B7">
        <w:t xml:space="preserve"> </w:t>
      </w:r>
    </w:p>
    <w:p w14:paraId="2967A28B" w14:textId="1C3D88C3" w:rsidR="00B17A4D" w:rsidRDefault="00E91E01" w:rsidP="00B17A4D">
      <w:pPr>
        <w:pStyle w:val="Heading3"/>
        <w:rPr>
          <w:iCs/>
        </w:rPr>
      </w:pPr>
      <w:r>
        <w:t>A</w:t>
      </w:r>
      <w:r w:rsidR="00B17A4D">
        <w:t xml:space="preserve">dministration of </w:t>
      </w:r>
      <w:r w:rsidR="00B17A4D" w:rsidRPr="00C93192">
        <w:t xml:space="preserve">Australia’s taxation laws </w:t>
      </w:r>
      <w:r w:rsidR="00B17A4D">
        <w:t>for</w:t>
      </w:r>
      <w:r w:rsidR="00B17A4D" w:rsidRPr="0033725F">
        <w:t xml:space="preserve"> </w:t>
      </w:r>
      <w:r w:rsidR="00B17A4D">
        <w:rPr>
          <w:iCs/>
        </w:rPr>
        <w:t>crypto</w:t>
      </w:r>
      <w:r w:rsidR="00B17A4D" w:rsidRPr="00C93192">
        <w:rPr>
          <w:iCs/>
        </w:rPr>
        <w:t xml:space="preserve"> assets </w:t>
      </w:r>
    </w:p>
    <w:p w14:paraId="49653148" w14:textId="7FC5EE0A" w:rsidR="00B17A4D" w:rsidRDefault="00D95E97" w:rsidP="00CD6B90">
      <w:pPr>
        <w:numPr>
          <w:ilvl w:val="0"/>
          <w:numId w:val="27"/>
        </w:numPr>
      </w:pPr>
      <w:r>
        <w:t xml:space="preserve">How can the </w:t>
      </w:r>
      <w:r w:rsidR="00B17A4D">
        <w:t xml:space="preserve">existing tax </w:t>
      </w:r>
      <w:r>
        <w:t xml:space="preserve">treatment of crypto assets be improved to ensure better </w:t>
      </w:r>
      <w:r w:rsidR="00B17A4D">
        <w:t>compliance</w:t>
      </w:r>
      <w:r w:rsidR="00163372">
        <w:t xml:space="preserve"> and administration?</w:t>
      </w:r>
    </w:p>
    <w:p w14:paraId="7C1372F3" w14:textId="680A5C9B" w:rsidR="00B17A4D" w:rsidRDefault="00CB4EAC" w:rsidP="00CD6B90">
      <w:pPr>
        <w:numPr>
          <w:ilvl w:val="0"/>
          <w:numId w:val="27"/>
        </w:numPr>
      </w:pPr>
      <w:r>
        <w:t xml:space="preserve">What </w:t>
      </w:r>
      <w:r w:rsidR="00B17A4D">
        <w:t xml:space="preserve">data sources </w:t>
      </w:r>
      <w:r>
        <w:t xml:space="preserve">are available </w:t>
      </w:r>
      <w:r w:rsidR="00B17A4D">
        <w:t>to assist taxpayers in completing their tax obligations</w:t>
      </w:r>
      <w:r>
        <w:t xml:space="preserve"> and/or the ATO in implementing</w:t>
      </w:r>
      <w:r w:rsidR="00F03477">
        <w:t xml:space="preserve"> its</w:t>
      </w:r>
      <w:r>
        <w:t xml:space="preserve"> compliance activities?</w:t>
      </w:r>
    </w:p>
    <w:p w14:paraId="708F8CE2" w14:textId="4AEC35D9" w:rsidR="002333BE" w:rsidRDefault="002333BE" w:rsidP="00CD6B90">
      <w:pPr>
        <w:numPr>
          <w:ilvl w:val="0"/>
          <w:numId w:val="27"/>
        </w:numPr>
      </w:pPr>
      <w:r>
        <w:t xml:space="preserve">Are there intermediaries (such as exchanges) that are involved </w:t>
      </w:r>
      <w:proofErr w:type="gramStart"/>
      <w:r>
        <w:t>in particular</w:t>
      </w:r>
      <w:r w:rsidR="001E0985">
        <w:t xml:space="preserve"> </w:t>
      </w:r>
      <w:r w:rsidR="00B4546C">
        <w:t>crypto</w:t>
      </w:r>
      <w:proofErr w:type="gramEnd"/>
      <w:r w:rsidR="00B4546C">
        <w:t xml:space="preserve"> </w:t>
      </w:r>
      <w:r w:rsidR="001E0985">
        <w:t>asset transactions that could play a role in the administration of the tax laws?  If so, what would their involvement look like?</w:t>
      </w:r>
    </w:p>
    <w:p w14:paraId="112DDF92" w14:textId="5CFDB1C6" w:rsidR="00B17A4D" w:rsidRDefault="00D95E97" w:rsidP="00CD6B90">
      <w:pPr>
        <w:numPr>
          <w:ilvl w:val="0"/>
          <w:numId w:val="27"/>
        </w:numPr>
      </w:pPr>
      <w:r>
        <w:t>H</w:t>
      </w:r>
      <w:r w:rsidR="00B17A4D">
        <w:t xml:space="preserve">ow </w:t>
      </w:r>
      <w:r>
        <w:t xml:space="preserve">can </w:t>
      </w:r>
      <w:r w:rsidR="00B17A4D">
        <w:t xml:space="preserve">taxpayers be </w:t>
      </w:r>
      <w:r w:rsidR="00F03477">
        <w:t xml:space="preserve">further </w:t>
      </w:r>
      <w:r w:rsidR="00B17A4D">
        <w:t>supported to understand their tax obligations</w:t>
      </w:r>
      <w:r w:rsidR="00B17A4D" w:rsidRPr="006C0406">
        <w:t xml:space="preserve"> </w:t>
      </w:r>
      <w:r>
        <w:t>in relation to crypto assets?</w:t>
      </w:r>
      <w:r w:rsidR="00F03477">
        <w:t xml:space="preserve"> </w:t>
      </w:r>
    </w:p>
    <w:p w14:paraId="1D152350" w14:textId="62DA95A1" w:rsidR="00B17A4D" w:rsidRPr="00B17A4D" w:rsidRDefault="00F03477" w:rsidP="00CD6B90">
      <w:pPr>
        <w:numPr>
          <w:ilvl w:val="0"/>
          <w:numId w:val="27"/>
        </w:numPr>
      </w:pPr>
      <w:r>
        <w:t>What additional support can be provided to the</w:t>
      </w:r>
      <w:r w:rsidR="00B17A4D">
        <w:t xml:space="preserve"> tax adviser community to </w:t>
      </w:r>
      <w:r>
        <w:t>assist them in advising their clients in relation to the tax treatment of</w:t>
      </w:r>
      <w:r w:rsidR="00B17A4D">
        <w:t xml:space="preserve"> crypto asset</w:t>
      </w:r>
      <w:r>
        <w:t>s?</w:t>
      </w:r>
    </w:p>
    <w:p w14:paraId="4076137E" w14:textId="5FFE8401" w:rsidR="004E2884" w:rsidRDefault="0036713C" w:rsidP="009C1915">
      <w:pPr>
        <w:spacing w:before="0" w:after="0"/>
      </w:pPr>
      <w:r>
        <w:br w:type="page"/>
      </w:r>
    </w:p>
    <w:p w14:paraId="5B865BBA" w14:textId="4E6DBD9A" w:rsidR="001B0859" w:rsidRDefault="001B0859" w:rsidP="001B0859">
      <w:pPr>
        <w:pStyle w:val="Heading1"/>
      </w:pPr>
      <w:bookmarkStart w:id="11" w:name="_Toc73533748"/>
      <w:bookmarkStart w:id="12" w:name="_Toc111632929"/>
      <w:r>
        <w:lastRenderedPageBreak/>
        <w:t>How to participate</w:t>
      </w:r>
      <w:bookmarkEnd w:id="11"/>
      <w:bookmarkEnd w:id="12"/>
    </w:p>
    <w:p w14:paraId="4C79D6B8" w14:textId="77777777" w:rsidR="001B0859" w:rsidRPr="005044AB" w:rsidRDefault="001B0859" w:rsidP="001B0859">
      <w:pPr>
        <w:pStyle w:val="Introductionparagraph"/>
      </w:pPr>
      <w:r w:rsidRPr="005044AB">
        <w:t>T</w:t>
      </w:r>
      <w:r>
        <w:t>he Board invites comment on the consultation questions</w:t>
      </w:r>
      <w:r w:rsidRPr="005044AB">
        <w:t xml:space="preserve"> set out in this consultation guide and looks forward to engaging further with </w:t>
      </w:r>
      <w:r>
        <w:t xml:space="preserve">interested parties </w:t>
      </w:r>
      <w:r w:rsidRPr="005044AB">
        <w:t>throughout the course of this review.</w:t>
      </w:r>
    </w:p>
    <w:p w14:paraId="792F3D1D" w14:textId="77777777" w:rsidR="001B0859" w:rsidRPr="003A6050" w:rsidRDefault="001B0859" w:rsidP="001173EF">
      <w:pPr>
        <w:pStyle w:val="Heading2"/>
      </w:pPr>
      <w:bookmarkStart w:id="13" w:name="_Toc111632930"/>
      <w:r w:rsidRPr="003A6050">
        <w:t>Consultations</w:t>
      </w:r>
      <w:bookmarkEnd w:id="13"/>
    </w:p>
    <w:p w14:paraId="7A885015" w14:textId="04D2D809" w:rsidR="00E169A4" w:rsidRDefault="007A507C" w:rsidP="00D63372">
      <w:r w:rsidRPr="007A507C">
        <w:t>The Board will</w:t>
      </w:r>
      <w:r w:rsidR="005526CF">
        <w:t xml:space="preserve"> be</w:t>
      </w:r>
      <w:r w:rsidRPr="007A507C">
        <w:t xml:space="preserve"> hold</w:t>
      </w:r>
      <w:r w:rsidR="005526CF">
        <w:t>ing</w:t>
      </w:r>
      <w:r w:rsidRPr="007A507C">
        <w:t xml:space="preserve"> a series of </w:t>
      </w:r>
      <w:r w:rsidR="00E461BB">
        <w:t xml:space="preserve">consultations </w:t>
      </w:r>
      <w:r w:rsidR="00E169A4">
        <w:t>on the following dates</w:t>
      </w:r>
      <w:r w:rsidR="00F726B5">
        <w:t xml:space="preserve"> (</w:t>
      </w:r>
      <w:r w:rsidR="00FE010B">
        <w:t xml:space="preserve">all times are </w:t>
      </w:r>
      <w:r w:rsidR="00F726B5">
        <w:t>Australian Eastern Standard Time)</w:t>
      </w:r>
      <w:r w:rsidR="00E169A4">
        <w:t xml:space="preserve">: </w:t>
      </w:r>
    </w:p>
    <w:p w14:paraId="3AF80955" w14:textId="4D7DBB38" w:rsidR="001B0859" w:rsidRDefault="00E169A4" w:rsidP="00E169A4">
      <w:pPr>
        <w:pStyle w:val="Bullet"/>
      </w:pPr>
      <w:r>
        <w:t>5 September 2022</w:t>
      </w:r>
      <w:r w:rsidR="00D63372">
        <w:t xml:space="preserve"> </w:t>
      </w:r>
      <w:r w:rsidR="00C37045">
        <w:t xml:space="preserve">at 9:30 am </w:t>
      </w:r>
    </w:p>
    <w:p w14:paraId="509873F7" w14:textId="3FC50C41" w:rsidR="00E169A4" w:rsidRDefault="00951E54" w:rsidP="00E169A4">
      <w:pPr>
        <w:pStyle w:val="Bullet"/>
      </w:pPr>
      <w:r>
        <w:t>8</w:t>
      </w:r>
      <w:r w:rsidR="00E169A4" w:rsidRPr="00084CC5">
        <w:t xml:space="preserve"> September </w:t>
      </w:r>
      <w:r w:rsidR="00E169A4">
        <w:t>2022</w:t>
      </w:r>
      <w:r w:rsidR="00DE49EF">
        <w:t xml:space="preserve"> </w:t>
      </w:r>
      <w:r w:rsidR="00C37045">
        <w:t xml:space="preserve">at 10:00 am </w:t>
      </w:r>
      <w:r w:rsidR="004238AA">
        <w:t>(in person in Sydney and virtual)</w:t>
      </w:r>
    </w:p>
    <w:p w14:paraId="03A5BAC1" w14:textId="0E85A778" w:rsidR="00E169A4" w:rsidRDefault="00E169A4" w:rsidP="00E169A4">
      <w:pPr>
        <w:pStyle w:val="Bullet"/>
      </w:pPr>
      <w:r>
        <w:t>14 September 2022</w:t>
      </w:r>
      <w:r w:rsidR="00C37045">
        <w:t xml:space="preserve"> at 9:30 am</w:t>
      </w:r>
    </w:p>
    <w:p w14:paraId="07FA206F" w14:textId="7D8AEE06" w:rsidR="00E169A4" w:rsidRDefault="00E169A4" w:rsidP="00E169A4">
      <w:pPr>
        <w:pStyle w:val="Bullet"/>
      </w:pPr>
      <w:r>
        <w:t>1</w:t>
      </w:r>
      <w:r w:rsidR="00B61FE0">
        <w:t>5</w:t>
      </w:r>
      <w:r>
        <w:t xml:space="preserve"> September 2022</w:t>
      </w:r>
      <w:r w:rsidR="00C37045">
        <w:t xml:space="preserve"> at 2:00 pm</w:t>
      </w:r>
    </w:p>
    <w:p w14:paraId="21BAFD25" w14:textId="26BA9279" w:rsidR="00E169A4" w:rsidRDefault="00E169A4" w:rsidP="00E169A4">
      <w:pPr>
        <w:pStyle w:val="Bullet"/>
      </w:pPr>
      <w:r>
        <w:t>19 September 2022</w:t>
      </w:r>
      <w:r w:rsidR="00C37045">
        <w:t xml:space="preserve"> at 9:30 am</w:t>
      </w:r>
    </w:p>
    <w:p w14:paraId="1D8E3E79" w14:textId="388B25A2" w:rsidR="00E169A4" w:rsidRDefault="00E169A4" w:rsidP="00E169A4">
      <w:pPr>
        <w:pStyle w:val="Bullet"/>
      </w:pPr>
      <w:r>
        <w:t>21 September 2022</w:t>
      </w:r>
      <w:r w:rsidR="00C37045">
        <w:t xml:space="preserve"> at 9:30 am</w:t>
      </w:r>
    </w:p>
    <w:p w14:paraId="62BFCB34" w14:textId="2458DCCB" w:rsidR="00F726B5" w:rsidRDefault="00E169A4" w:rsidP="001B0859">
      <w:pPr>
        <w:pStyle w:val="Bullet"/>
      </w:pPr>
      <w:r>
        <w:t>2</w:t>
      </w:r>
      <w:r w:rsidR="00B61FE0">
        <w:t>3</w:t>
      </w:r>
      <w:r>
        <w:t xml:space="preserve"> September 2022</w:t>
      </w:r>
      <w:r w:rsidR="00C37045">
        <w:t xml:space="preserve"> at 9:30 am</w:t>
      </w:r>
    </w:p>
    <w:p w14:paraId="0C653BF5" w14:textId="473BF8AC" w:rsidR="006B2943" w:rsidRDefault="006B2943" w:rsidP="001B0859">
      <w:r>
        <w:t>All consultation sessions</w:t>
      </w:r>
      <w:r w:rsidR="009C1534">
        <w:t xml:space="preserve"> </w:t>
      </w:r>
      <w:r>
        <w:t xml:space="preserve">will </w:t>
      </w:r>
      <w:r w:rsidR="009C1534">
        <w:t>be conducted</w:t>
      </w:r>
      <w:r>
        <w:t xml:space="preserve"> virtually</w:t>
      </w:r>
      <w:r w:rsidR="00195650">
        <w:t xml:space="preserve"> (except for 8 September 2022 which will be both virtual and in person</w:t>
      </w:r>
      <w:r w:rsidR="002172CB">
        <w:t xml:space="preserve"> in Sydney</w:t>
      </w:r>
      <w:r w:rsidR="00195650">
        <w:t>)</w:t>
      </w:r>
      <w:r>
        <w:t>.</w:t>
      </w:r>
      <w:r w:rsidR="002172CB">
        <w:t xml:space="preserve"> </w:t>
      </w:r>
      <w:r w:rsidR="004238AA">
        <w:t>However, w</w:t>
      </w:r>
      <w:r w:rsidR="009C1534">
        <w:t>e may conduct additional consultation sessions in person</w:t>
      </w:r>
      <w:r>
        <w:t xml:space="preserve"> depending on the </w:t>
      </w:r>
      <w:r w:rsidR="009C1534">
        <w:t xml:space="preserve">level of interest </w:t>
      </w:r>
      <w:r w:rsidR="0067729A">
        <w:t>per session</w:t>
      </w:r>
      <w:r w:rsidR="009C1534">
        <w:t xml:space="preserve"> and the location</w:t>
      </w:r>
      <w:r w:rsidR="0067729A">
        <w:t xml:space="preserve"> of the participants</w:t>
      </w:r>
      <w:r w:rsidR="009C1534">
        <w:t xml:space="preserve">. </w:t>
      </w:r>
    </w:p>
    <w:p w14:paraId="23281517" w14:textId="12B6DDBC" w:rsidR="005526CF" w:rsidRDefault="005526CF" w:rsidP="001B0859">
      <w:r>
        <w:t>Private discussions with the Board may also be arranged.</w:t>
      </w:r>
    </w:p>
    <w:p w14:paraId="588AD9D8" w14:textId="092547F8" w:rsidR="001B0859" w:rsidRPr="00150DAC" w:rsidRDefault="001B0859" w:rsidP="001B0859">
      <w:pPr>
        <w:rPr>
          <w:color w:val="365F91" w:themeColor="accent1" w:themeShade="BF"/>
          <w:u w:val="single"/>
        </w:rPr>
      </w:pPr>
      <w:r>
        <w:t xml:space="preserve">If you would like to participate in </w:t>
      </w:r>
      <w:r w:rsidR="005526CF">
        <w:t xml:space="preserve">the consultations or private </w:t>
      </w:r>
      <w:r>
        <w:t xml:space="preserve">discussions, please express your interest at </w:t>
      </w:r>
      <w:hyperlink r:id="rId38" w:history="1">
        <w:r w:rsidR="00B4546C">
          <w:rPr>
            <w:rStyle w:val="Hyperlink"/>
          </w:rPr>
          <w:t>TaxDigitalAssets@taxboard.gov.au</w:t>
        </w:r>
      </w:hyperlink>
      <w:r w:rsidR="00B774A6">
        <w:t xml:space="preserve"> and advise</w:t>
      </w:r>
      <w:r w:rsidR="00B774A6" w:rsidRPr="009B0A40">
        <w:rPr>
          <w:rFonts w:asciiTheme="minorHAnsi" w:hAnsiTheme="minorHAnsi" w:cstheme="minorHAnsi"/>
        </w:rPr>
        <w:t xml:space="preserve"> where you are located and your industry.</w:t>
      </w:r>
    </w:p>
    <w:p w14:paraId="61D416BF" w14:textId="77777777" w:rsidR="001B0859" w:rsidRPr="003A6050" w:rsidRDefault="001B0859" w:rsidP="001173EF">
      <w:pPr>
        <w:pStyle w:val="Heading2"/>
      </w:pPr>
      <w:bookmarkStart w:id="14" w:name="_Toc111632931"/>
      <w:r w:rsidRPr="003A6050">
        <w:t>Submissions</w:t>
      </w:r>
      <w:bookmarkEnd w:id="14"/>
      <w:r>
        <w:t xml:space="preserve"> </w:t>
      </w:r>
    </w:p>
    <w:p w14:paraId="20799114" w14:textId="69C01439" w:rsidR="001B0859" w:rsidRDefault="001B0859" w:rsidP="001B0859">
      <w:r>
        <w:t>In addition to participating in consultations, t</w:t>
      </w:r>
      <w:r w:rsidRPr="00F05CA4">
        <w:t xml:space="preserve">he Board </w:t>
      </w:r>
      <w:r>
        <w:t>welcomes any</w:t>
      </w:r>
      <w:r w:rsidRPr="00F05CA4">
        <w:t xml:space="preserve"> </w:t>
      </w:r>
      <w:r>
        <w:t xml:space="preserve">written submissions to this review. </w:t>
      </w:r>
      <w:r w:rsidRPr="00F05CA4">
        <w:t xml:space="preserve">Submissions can be made </w:t>
      </w:r>
      <w:r>
        <w:t>to</w:t>
      </w:r>
      <w:r w:rsidR="00B12C12">
        <w:t xml:space="preserve"> </w:t>
      </w:r>
      <w:hyperlink r:id="rId39" w:history="1">
        <w:r w:rsidR="00B12C12" w:rsidRPr="00692BCF">
          <w:rPr>
            <w:rStyle w:val="Hyperlink"/>
          </w:rPr>
          <w:t>TaxDigitalAssets@taxboard.gov.au</w:t>
        </w:r>
      </w:hyperlink>
      <w:r w:rsidR="00B12C12">
        <w:t xml:space="preserve"> </w:t>
      </w:r>
    </w:p>
    <w:p w14:paraId="72BF711F" w14:textId="0E2145FE" w:rsidR="001B0859" w:rsidRDefault="001576FD" w:rsidP="001B0859">
      <w:r>
        <w:t>The</w:t>
      </w:r>
      <w:r w:rsidR="006D7646">
        <w:t xml:space="preserve"> written</w:t>
      </w:r>
      <w:r w:rsidR="001B0859">
        <w:t xml:space="preserve"> submissions in response to this Consultation Guide </w:t>
      </w:r>
      <w:r>
        <w:t>will be due</w:t>
      </w:r>
      <w:r w:rsidRPr="00670052">
        <w:t xml:space="preserve"> </w:t>
      </w:r>
      <w:r w:rsidR="006D7646">
        <w:t xml:space="preserve">by </w:t>
      </w:r>
      <w:r w:rsidR="00670052" w:rsidRPr="00310B68">
        <w:rPr>
          <w:b/>
        </w:rPr>
        <w:t xml:space="preserve">30 </w:t>
      </w:r>
      <w:r w:rsidR="00D63372" w:rsidRPr="00310B68">
        <w:rPr>
          <w:b/>
        </w:rPr>
        <w:t>September 2022</w:t>
      </w:r>
      <w:r w:rsidR="001B0859" w:rsidRPr="00670052">
        <w:t>.</w:t>
      </w:r>
      <w:r w:rsidR="001B0859">
        <w:t xml:space="preserve"> All submissions will be published on the Board’s website</w:t>
      </w:r>
      <w:r w:rsidR="005526CF">
        <w:t xml:space="preserve"> once the review has been completed</w:t>
      </w:r>
      <w:r w:rsidR="001B0859">
        <w:t xml:space="preserve"> except where the submission is made on a confidential basis. </w:t>
      </w:r>
    </w:p>
    <w:p w14:paraId="2D86D32D" w14:textId="4BBC83B4" w:rsidR="007119BA" w:rsidRDefault="007119BA" w:rsidP="001B0859"/>
    <w:p w14:paraId="1A156F67" w14:textId="77777777" w:rsidR="007119BA" w:rsidRDefault="007119BA" w:rsidP="001B0859"/>
    <w:p w14:paraId="3563AFB1" w14:textId="77777777" w:rsidR="001B0859" w:rsidRPr="003A6050" w:rsidRDefault="001B0859" w:rsidP="001173EF">
      <w:pPr>
        <w:pStyle w:val="Heading2"/>
      </w:pPr>
      <w:bookmarkStart w:id="15" w:name="_Toc111632932"/>
      <w:r w:rsidRPr="003A6050">
        <w:lastRenderedPageBreak/>
        <w:t>Contact information</w:t>
      </w:r>
      <w:bookmarkEnd w:id="15"/>
    </w:p>
    <w:p w14:paraId="4C57F5D6" w14:textId="77777777" w:rsidR="001B0859" w:rsidRPr="00F05CA4" w:rsidRDefault="001B0859" w:rsidP="001B0859">
      <w:r w:rsidRPr="00F05CA4">
        <w:t>The Board is supported by a sec</w:t>
      </w:r>
      <w:r>
        <w:t xml:space="preserve">retariat based in </w:t>
      </w:r>
      <w:r w:rsidRPr="00115D04">
        <w:t>the Treasury</w:t>
      </w:r>
      <w:r>
        <w:t>.</w:t>
      </w:r>
    </w:p>
    <w:p w14:paraId="2B9F2790" w14:textId="4FDA4BA3" w:rsidR="003B7075" w:rsidRPr="006D7646" w:rsidRDefault="003B7075" w:rsidP="006D7646">
      <w:r>
        <w:t xml:space="preserve">Email: </w:t>
      </w:r>
      <w:hyperlink r:id="rId40" w:history="1">
        <w:r w:rsidRPr="006D7646">
          <w:t>TaxDigitalAssets@taxboard.gov.au</w:t>
        </w:r>
      </w:hyperlink>
    </w:p>
    <w:p w14:paraId="52A54D01" w14:textId="32CC9627" w:rsidR="00E91E01" w:rsidRPr="006D7646" w:rsidRDefault="005526CF" w:rsidP="006D7646">
      <w:r>
        <w:t>Phone: (02) 6263 4366</w:t>
      </w:r>
    </w:p>
    <w:p w14:paraId="7DAE28BC" w14:textId="77777777" w:rsidR="00E91E01" w:rsidRDefault="00E91E01" w:rsidP="00E91E01">
      <w:pPr>
        <w:pStyle w:val="Heading1"/>
      </w:pPr>
      <w:bookmarkStart w:id="16" w:name="_Toc111632933"/>
      <w:r>
        <w:lastRenderedPageBreak/>
        <w:t>Definitions</w:t>
      </w:r>
      <w:bookmarkEnd w:id="16"/>
    </w:p>
    <w:p w14:paraId="1D5DB480" w14:textId="1D59FD7D" w:rsidR="00E91E01" w:rsidRPr="004A0496" w:rsidRDefault="00E91E01" w:rsidP="00E91E01">
      <w:r>
        <w:t xml:space="preserve">Definitions for terms used in this </w:t>
      </w:r>
      <w:proofErr w:type="spellStart"/>
      <w:r>
        <w:t>Consulation</w:t>
      </w:r>
      <w:proofErr w:type="spellEnd"/>
      <w:r>
        <w:t xml:space="preserve"> Guide </w:t>
      </w:r>
      <w:r w:rsidR="00E32706">
        <w:t xml:space="preserve">have </w:t>
      </w:r>
      <w:r>
        <w:t xml:space="preserve">been set out below. </w:t>
      </w:r>
    </w:p>
    <w:tbl>
      <w:tblPr>
        <w:tblStyle w:val="GridTable2-Accent1"/>
        <w:tblW w:w="0" w:type="auto"/>
        <w:tblLook w:val="04A0" w:firstRow="1" w:lastRow="0" w:firstColumn="1" w:lastColumn="0" w:noHBand="0" w:noVBand="1"/>
      </w:tblPr>
      <w:tblGrid>
        <w:gridCol w:w="2835"/>
        <w:gridCol w:w="6796"/>
      </w:tblGrid>
      <w:tr w:rsidR="00E91E01" w14:paraId="51CC2BFD" w14:textId="77777777" w:rsidTr="00D21E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14:paraId="2EE26440" w14:textId="77777777" w:rsidR="00E91E01" w:rsidRPr="00C43D55" w:rsidRDefault="00E91E01" w:rsidP="00B43626">
            <w:pPr>
              <w:rPr>
                <w:b w:val="0"/>
                <w:bCs w:val="0"/>
                <w:color w:val="002060"/>
                <w:sz w:val="28"/>
                <w:szCs w:val="32"/>
              </w:rPr>
            </w:pPr>
            <w:r>
              <w:rPr>
                <w:b w:val="0"/>
                <w:bCs w:val="0"/>
                <w:color w:val="002060"/>
                <w:sz w:val="28"/>
                <w:szCs w:val="32"/>
              </w:rPr>
              <w:t>Term</w:t>
            </w:r>
            <w:r w:rsidRPr="00C43D55">
              <w:rPr>
                <w:b w:val="0"/>
                <w:bCs w:val="0"/>
                <w:color w:val="002060"/>
                <w:sz w:val="28"/>
                <w:szCs w:val="32"/>
              </w:rPr>
              <w:t xml:space="preserve"> </w:t>
            </w:r>
          </w:p>
        </w:tc>
        <w:tc>
          <w:tcPr>
            <w:tcW w:w="6796" w:type="dxa"/>
          </w:tcPr>
          <w:p w14:paraId="3E2CA53F" w14:textId="77777777" w:rsidR="00E91E01" w:rsidRPr="00C43D55" w:rsidRDefault="00E91E01" w:rsidP="00B43626">
            <w:pPr>
              <w:cnfStyle w:val="100000000000" w:firstRow="1" w:lastRow="0" w:firstColumn="0" w:lastColumn="0" w:oddVBand="0" w:evenVBand="0" w:oddHBand="0" w:evenHBand="0" w:firstRowFirstColumn="0" w:firstRowLastColumn="0" w:lastRowFirstColumn="0" w:lastRowLastColumn="0"/>
              <w:rPr>
                <w:b w:val="0"/>
                <w:bCs w:val="0"/>
                <w:color w:val="002060"/>
                <w:sz w:val="28"/>
                <w:szCs w:val="32"/>
              </w:rPr>
            </w:pPr>
            <w:r w:rsidRPr="00C43D55">
              <w:rPr>
                <w:b w:val="0"/>
                <w:bCs w:val="0"/>
                <w:color w:val="002060"/>
                <w:sz w:val="28"/>
                <w:szCs w:val="32"/>
              </w:rPr>
              <w:t>Definition</w:t>
            </w:r>
          </w:p>
        </w:tc>
      </w:tr>
      <w:tr w:rsidR="00E91E01" w14:paraId="3B87EBA7" w14:textId="77777777" w:rsidTr="00D2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0C07B67" w14:textId="77777777" w:rsidR="00E91E01" w:rsidRPr="00F5492F" w:rsidRDefault="00E91E01" w:rsidP="00B43626">
            <w:pPr>
              <w:rPr>
                <w:b w:val="0"/>
                <w:bCs w:val="0"/>
              </w:rPr>
            </w:pPr>
            <w:r>
              <w:rPr>
                <w:b w:val="0"/>
                <w:bCs w:val="0"/>
              </w:rPr>
              <w:t>Blockchain</w:t>
            </w:r>
          </w:p>
        </w:tc>
        <w:tc>
          <w:tcPr>
            <w:tcW w:w="6796" w:type="dxa"/>
          </w:tcPr>
          <w:p w14:paraId="134AE6E0" w14:textId="77777777" w:rsidR="00E91E01" w:rsidRDefault="00E91E01" w:rsidP="00B43626">
            <w:pPr>
              <w:cnfStyle w:val="000000100000" w:firstRow="0" w:lastRow="0" w:firstColumn="0" w:lastColumn="0" w:oddVBand="0" w:evenVBand="0" w:oddHBand="1" w:evenHBand="0" w:firstRowFirstColumn="0" w:firstRowLastColumn="0" w:lastRowFirstColumn="0" w:lastRowLastColumn="0"/>
            </w:pPr>
            <w:r w:rsidRPr="00F51046">
              <w:t>A ‘blockchain’ is a particular type of data structure used in some</w:t>
            </w:r>
            <w:r>
              <w:t xml:space="preserve"> </w:t>
            </w:r>
            <w:r w:rsidRPr="00F51046">
              <w:t>distributed ledgers which stores and transmits data in packages called ‘blocks’ that are connected to each</w:t>
            </w:r>
            <w:r>
              <w:t xml:space="preserve"> </w:t>
            </w:r>
            <w:r w:rsidRPr="00F51046">
              <w:t>other in a digital ‘chain’.</w:t>
            </w:r>
            <w:r>
              <w:t xml:space="preserve"> Blockchains employ cryptographic and algorithmic methods to record and synchronize data across a network in an immutable manner.</w:t>
            </w:r>
            <w:r>
              <w:rPr>
                <w:rStyle w:val="FootnoteReference"/>
              </w:rPr>
              <w:footnoteReference w:id="17"/>
            </w:r>
          </w:p>
        </w:tc>
      </w:tr>
      <w:tr w:rsidR="00E91E01" w14:paraId="61E85CF9" w14:textId="77777777" w:rsidTr="00D21E2E">
        <w:tc>
          <w:tcPr>
            <w:cnfStyle w:val="001000000000" w:firstRow="0" w:lastRow="0" w:firstColumn="1" w:lastColumn="0" w:oddVBand="0" w:evenVBand="0" w:oddHBand="0" w:evenHBand="0" w:firstRowFirstColumn="0" w:firstRowLastColumn="0" w:lastRowFirstColumn="0" w:lastRowLastColumn="0"/>
            <w:tcW w:w="2835" w:type="dxa"/>
          </w:tcPr>
          <w:p w14:paraId="68683C0F" w14:textId="77777777" w:rsidR="00E91E01" w:rsidRPr="00F5492F" w:rsidRDefault="00E91E01" w:rsidP="00B43626">
            <w:pPr>
              <w:rPr>
                <w:b w:val="0"/>
                <w:bCs w:val="0"/>
              </w:rPr>
            </w:pPr>
            <w:r w:rsidRPr="00F5492F">
              <w:rPr>
                <w:b w:val="0"/>
                <w:bCs w:val="0"/>
              </w:rPr>
              <w:t>Crypto</w:t>
            </w:r>
            <w:r>
              <w:rPr>
                <w:b w:val="0"/>
                <w:bCs w:val="0"/>
              </w:rPr>
              <w:t xml:space="preserve"> </w:t>
            </w:r>
            <w:r w:rsidRPr="00F5492F">
              <w:rPr>
                <w:b w:val="0"/>
                <w:bCs w:val="0"/>
              </w:rPr>
              <w:t>asset</w:t>
            </w:r>
          </w:p>
        </w:tc>
        <w:tc>
          <w:tcPr>
            <w:tcW w:w="6796" w:type="dxa"/>
          </w:tcPr>
          <w:p w14:paraId="01D4F5DA" w14:textId="274FDF3F" w:rsidR="00E91E01" w:rsidRDefault="00E91E01" w:rsidP="00B43626">
            <w:pPr>
              <w:cnfStyle w:val="000000000000" w:firstRow="0" w:lastRow="0" w:firstColumn="0" w:lastColumn="0" w:oddVBand="0" w:evenVBand="0" w:oddHBand="0" w:evenHBand="0" w:firstRowFirstColumn="0" w:firstRowLastColumn="0" w:lastRowFirstColumn="0" w:lastRowLastColumn="0"/>
            </w:pPr>
            <w:r>
              <w:t xml:space="preserve">Commonly used to refer to types of digital financial assets that are based on distributed ledger technology </w:t>
            </w:r>
            <w:r w:rsidR="00C3726D">
              <w:t>(e</w:t>
            </w:r>
            <w:r w:rsidR="00FD0731">
              <w:t>.</w:t>
            </w:r>
            <w:r w:rsidR="00C3726D">
              <w:t xml:space="preserve">g. </w:t>
            </w:r>
            <w:r w:rsidR="00A42BF8">
              <w:t>blockchain</w:t>
            </w:r>
            <w:r w:rsidR="00C3726D">
              <w:t xml:space="preserve">) </w:t>
            </w:r>
            <w:r>
              <w:t>and cryptography as part of their perceived or inherent value.</w:t>
            </w:r>
            <w:r>
              <w:rPr>
                <w:rStyle w:val="FootnoteReference"/>
              </w:rPr>
              <w:footnoteReference w:id="18"/>
            </w:r>
          </w:p>
        </w:tc>
      </w:tr>
      <w:tr w:rsidR="00E91E01" w14:paraId="41F0AAF5" w14:textId="77777777" w:rsidTr="00D2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A439FD1" w14:textId="77777777" w:rsidR="00E91E01" w:rsidRPr="00F5492F" w:rsidRDefault="00E91E01" w:rsidP="00B43626">
            <w:pPr>
              <w:rPr>
                <w:b w:val="0"/>
                <w:bCs w:val="0"/>
              </w:rPr>
            </w:pPr>
            <w:r>
              <w:rPr>
                <w:b w:val="0"/>
                <w:bCs w:val="0"/>
              </w:rPr>
              <w:t>Cryptocurrency</w:t>
            </w:r>
          </w:p>
        </w:tc>
        <w:tc>
          <w:tcPr>
            <w:tcW w:w="6796" w:type="dxa"/>
          </w:tcPr>
          <w:p w14:paraId="7F56D9DB" w14:textId="67E16CF4" w:rsidR="00E91E01" w:rsidRDefault="00E91E01" w:rsidP="00B43626">
            <w:pPr>
              <w:cnfStyle w:val="000000100000" w:firstRow="0" w:lastRow="0" w:firstColumn="0" w:lastColumn="0" w:oddVBand="0" w:evenVBand="0" w:oddHBand="1" w:evenHBand="0" w:firstRowFirstColumn="0" w:firstRowLastColumn="0" w:lastRowFirstColumn="0" w:lastRowLastColumn="0"/>
            </w:pPr>
            <w:r>
              <w:t>Cryptocurrenc</w:t>
            </w:r>
            <w:r w:rsidR="00C3726D">
              <w:t xml:space="preserve">ies are digital tokens. They are </w:t>
            </w:r>
            <w:r>
              <w:t>a subset of crypto assets that rely on cryptographic techniques to achieve consensus</w:t>
            </w:r>
            <w:r w:rsidR="00C3726D">
              <w:t xml:space="preserve"> (i.e.</w:t>
            </w:r>
            <w:r w:rsidR="00F87E8C">
              <w:t xml:space="preserve"> </w:t>
            </w:r>
            <w:r w:rsidR="00C3726D">
              <w:t>validation)</w:t>
            </w:r>
            <w:r>
              <w:t xml:space="preserve">, for example Bitcoin and </w:t>
            </w:r>
            <w:r w:rsidR="00F87E8C">
              <w:t>ether</w:t>
            </w:r>
            <w:r>
              <w:t>.</w:t>
            </w:r>
            <w:r>
              <w:rPr>
                <w:rStyle w:val="FootnoteReference"/>
              </w:rPr>
              <w:footnoteReference w:id="19"/>
            </w:r>
          </w:p>
        </w:tc>
      </w:tr>
      <w:tr w:rsidR="00E91E01" w14:paraId="5FD9CAA7" w14:textId="77777777" w:rsidTr="00D21E2E">
        <w:tc>
          <w:tcPr>
            <w:cnfStyle w:val="001000000000" w:firstRow="0" w:lastRow="0" w:firstColumn="1" w:lastColumn="0" w:oddVBand="0" w:evenVBand="0" w:oddHBand="0" w:evenHBand="0" w:firstRowFirstColumn="0" w:firstRowLastColumn="0" w:lastRowFirstColumn="0" w:lastRowLastColumn="0"/>
            <w:tcW w:w="2835" w:type="dxa"/>
          </w:tcPr>
          <w:p w14:paraId="48DB5158" w14:textId="77777777" w:rsidR="00E91E01" w:rsidRPr="003C4BA8" w:rsidRDefault="00E91E01" w:rsidP="00B43626">
            <w:pPr>
              <w:rPr>
                <w:b w:val="0"/>
                <w:bCs w:val="0"/>
              </w:rPr>
            </w:pPr>
            <w:r w:rsidRPr="003C4BA8">
              <w:rPr>
                <w:b w:val="0"/>
                <w:bCs w:val="0"/>
              </w:rPr>
              <w:t>Cryptography</w:t>
            </w:r>
          </w:p>
        </w:tc>
        <w:tc>
          <w:tcPr>
            <w:tcW w:w="6796" w:type="dxa"/>
          </w:tcPr>
          <w:p w14:paraId="0A27ABDB" w14:textId="06853F10" w:rsidR="005426C9" w:rsidRDefault="005426C9" w:rsidP="00B43626">
            <w:pPr>
              <w:cnfStyle w:val="000000000000" w:firstRow="0" w:lastRow="0" w:firstColumn="0" w:lastColumn="0" w:oddVBand="0" w:evenVBand="0" w:oddHBand="0" w:evenHBand="0" w:firstRowFirstColumn="0" w:firstRowLastColumn="0" w:lastRowFirstColumn="0" w:lastRowLastColumn="0"/>
            </w:pPr>
            <w:r>
              <w:t>Cryptography is at the core of d</w:t>
            </w:r>
            <w:r w:rsidRPr="003C4BA8">
              <w:t>istributed ledger technology</w:t>
            </w:r>
            <w:r>
              <w:t>, in particular for blockchain</w:t>
            </w:r>
            <w:r w:rsidR="006A5FA7">
              <w:t>,</w:t>
            </w:r>
            <w:r>
              <w:t xml:space="preserve"> and </w:t>
            </w:r>
            <w:r w:rsidR="00E91E01">
              <w:t xml:space="preserve">is </w:t>
            </w:r>
            <w:r>
              <w:t xml:space="preserve">the technique of protecting information by transforming it (i.e. encrypting it) into an unreadable format that can only be deciphered (or decrypted) by someone who possesses a secret key. </w:t>
            </w:r>
            <w:r w:rsidR="005A4679">
              <w:rPr>
                <w:rStyle w:val="FootnoteReference"/>
              </w:rPr>
              <w:footnoteReference w:id="20"/>
            </w:r>
          </w:p>
          <w:p w14:paraId="20CC7CBB" w14:textId="5FD93F79" w:rsidR="00E91E01" w:rsidRDefault="00E91E01" w:rsidP="00B43626">
            <w:pPr>
              <w:cnfStyle w:val="000000000000" w:firstRow="0" w:lastRow="0" w:firstColumn="0" w:lastColumn="0" w:oddVBand="0" w:evenVBand="0" w:oddHBand="0" w:evenHBand="0" w:firstRowFirstColumn="0" w:firstRowLastColumn="0" w:lastRowFirstColumn="0" w:lastRowLastColumn="0"/>
            </w:pPr>
            <w:r>
              <w:t>Each new data entry/transaction record is “hashed”, which means that a cryptographic hash function is applied to the original message. A hash takes data of any size input and computes a digital fingerprint similar to a human fingerprint that cannot be changed unless the data itself is changed.</w:t>
            </w:r>
            <w:r>
              <w:rPr>
                <w:rStyle w:val="FootnoteReference"/>
              </w:rPr>
              <w:footnoteReference w:id="21"/>
            </w:r>
          </w:p>
        </w:tc>
      </w:tr>
      <w:tr w:rsidR="00E91E01" w14:paraId="60110CD8" w14:textId="77777777" w:rsidTr="00D2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14055C4" w14:textId="77777777" w:rsidR="00E91E01" w:rsidRPr="009A2DAD" w:rsidRDefault="00E91E01" w:rsidP="00B43626">
            <w:pPr>
              <w:rPr>
                <w:b w:val="0"/>
                <w:bCs w:val="0"/>
              </w:rPr>
            </w:pPr>
            <w:r>
              <w:rPr>
                <w:b w:val="0"/>
                <w:bCs w:val="0"/>
              </w:rPr>
              <w:t>D</w:t>
            </w:r>
            <w:r w:rsidRPr="009A2DAD">
              <w:rPr>
                <w:b w:val="0"/>
                <w:bCs w:val="0"/>
              </w:rPr>
              <w:t>ecentralised finance</w:t>
            </w:r>
            <w:r>
              <w:rPr>
                <w:b w:val="0"/>
                <w:bCs w:val="0"/>
              </w:rPr>
              <w:t xml:space="preserve"> (</w:t>
            </w:r>
            <w:proofErr w:type="spellStart"/>
            <w:r>
              <w:rPr>
                <w:b w:val="0"/>
                <w:bCs w:val="0"/>
              </w:rPr>
              <w:t>DeFi</w:t>
            </w:r>
            <w:proofErr w:type="spellEnd"/>
            <w:r>
              <w:rPr>
                <w:b w:val="0"/>
                <w:bCs w:val="0"/>
              </w:rPr>
              <w:t>)</w:t>
            </w:r>
          </w:p>
        </w:tc>
        <w:tc>
          <w:tcPr>
            <w:tcW w:w="6796" w:type="dxa"/>
          </w:tcPr>
          <w:p w14:paraId="5C2705A9" w14:textId="7E7336C3" w:rsidR="00E91E01" w:rsidRDefault="00E91E01" w:rsidP="00B43626">
            <w:pPr>
              <w:cnfStyle w:val="000000100000" w:firstRow="0" w:lastRow="0" w:firstColumn="0" w:lastColumn="0" w:oddVBand="0" w:evenVBand="0" w:oddHBand="1" w:evenHBand="0" w:firstRowFirstColumn="0" w:firstRowLastColumn="0" w:lastRowFirstColumn="0" w:lastRowLastColumn="0"/>
            </w:pPr>
            <w:proofErr w:type="spellStart"/>
            <w:r>
              <w:t>DeFi</w:t>
            </w:r>
            <w:proofErr w:type="spellEnd"/>
            <w:r>
              <w:t xml:space="preserve"> covers the crypto-assets, financial smart contracts, software/protocols and decentralised applications used to decentralise and automate financial transactions.</w:t>
            </w:r>
            <w:r>
              <w:rPr>
                <w:rStyle w:val="FootnoteReference"/>
              </w:rPr>
              <w:footnoteReference w:id="22"/>
            </w:r>
          </w:p>
        </w:tc>
      </w:tr>
      <w:tr w:rsidR="00E91E01" w14:paraId="5BB62A4F" w14:textId="77777777" w:rsidTr="00D21E2E">
        <w:tc>
          <w:tcPr>
            <w:cnfStyle w:val="001000000000" w:firstRow="0" w:lastRow="0" w:firstColumn="1" w:lastColumn="0" w:oddVBand="0" w:evenVBand="0" w:oddHBand="0" w:evenHBand="0" w:firstRowFirstColumn="0" w:firstRowLastColumn="0" w:lastRowFirstColumn="0" w:lastRowLastColumn="0"/>
            <w:tcW w:w="2835" w:type="dxa"/>
          </w:tcPr>
          <w:p w14:paraId="09269C41" w14:textId="77777777" w:rsidR="00E91E01" w:rsidRPr="001A4CF8" w:rsidRDefault="00E91E01" w:rsidP="00B43626">
            <w:pPr>
              <w:rPr>
                <w:b w:val="0"/>
                <w:bCs w:val="0"/>
              </w:rPr>
            </w:pPr>
            <w:r w:rsidRPr="001A4CF8">
              <w:rPr>
                <w:b w:val="0"/>
                <w:bCs w:val="0"/>
              </w:rPr>
              <w:lastRenderedPageBreak/>
              <w:t>Distributed ledger technology</w:t>
            </w:r>
          </w:p>
        </w:tc>
        <w:tc>
          <w:tcPr>
            <w:tcW w:w="6796" w:type="dxa"/>
          </w:tcPr>
          <w:p w14:paraId="29451EAA" w14:textId="4A921542" w:rsidR="00E91E01" w:rsidRDefault="00E91E01" w:rsidP="00B43626">
            <w:pPr>
              <w:cnfStyle w:val="000000000000" w:firstRow="0" w:lastRow="0" w:firstColumn="0" w:lastColumn="0" w:oddVBand="0" w:evenVBand="0" w:oddHBand="0" w:evenHBand="0" w:firstRowFirstColumn="0" w:firstRowLastColumn="0" w:lastRowFirstColumn="0" w:lastRowLastColumn="0"/>
            </w:pPr>
            <w:r>
              <w:t>A novel and fast-evolving approach to recording and sharing data across multiple data stores (ledgers)</w:t>
            </w:r>
            <w:r w:rsidR="003A3B6D">
              <w:t>. This technology allows for transactions and data to be recorded, shared, and synchronized across a distributed network of different network participants</w:t>
            </w:r>
            <w:r>
              <w:t>.</w:t>
            </w:r>
            <w:r>
              <w:rPr>
                <w:rStyle w:val="FootnoteReference"/>
              </w:rPr>
              <w:footnoteReference w:id="23"/>
            </w:r>
          </w:p>
        </w:tc>
      </w:tr>
      <w:tr w:rsidR="00E91E01" w14:paraId="0206FA4E" w14:textId="77777777" w:rsidTr="00D2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6820EA2" w14:textId="77777777" w:rsidR="00E91E01" w:rsidRPr="001A4CF8" w:rsidRDefault="00E91E01" w:rsidP="00B43626">
            <w:pPr>
              <w:rPr>
                <w:b w:val="0"/>
                <w:bCs w:val="0"/>
              </w:rPr>
            </w:pPr>
            <w:r>
              <w:rPr>
                <w:b w:val="0"/>
                <w:bCs w:val="0"/>
              </w:rPr>
              <w:t>Nodes</w:t>
            </w:r>
          </w:p>
        </w:tc>
        <w:tc>
          <w:tcPr>
            <w:tcW w:w="6796" w:type="dxa"/>
          </w:tcPr>
          <w:p w14:paraId="7678594E" w14:textId="014D7CB5" w:rsidR="00E91E01" w:rsidRDefault="00EA42E3" w:rsidP="00B43626">
            <w:pPr>
              <w:cnfStyle w:val="000000100000" w:firstRow="0" w:lastRow="0" w:firstColumn="0" w:lastColumn="0" w:oddVBand="0" w:evenVBand="0" w:oddHBand="1" w:evenHBand="0" w:firstRowFirstColumn="0" w:firstRowLastColumn="0" w:lastRowFirstColumn="0" w:lastRowLastColumn="0"/>
            </w:pPr>
            <w:r>
              <w:t xml:space="preserve">Nodes </w:t>
            </w:r>
            <w:r w:rsidR="00E91E01" w:rsidRPr="00CB2EA4">
              <w:t>are network participants in a distributed ledger network</w:t>
            </w:r>
            <w:r w:rsidR="005426C9">
              <w:t xml:space="preserve">  (e</w:t>
            </w:r>
            <w:r w:rsidR="00FD0731">
              <w:t>.</w:t>
            </w:r>
            <w:r w:rsidR="005426C9">
              <w:t>g. computer</w:t>
            </w:r>
            <w:r>
              <w:t>s</w:t>
            </w:r>
            <w:r w:rsidR="005426C9">
              <w:t xml:space="preserve"> or phone</w:t>
            </w:r>
            <w:r>
              <w:t>s</w:t>
            </w:r>
            <w:r w:rsidR="005426C9">
              <w:t>)</w:t>
            </w:r>
            <w:r w:rsidR="005426C9" w:rsidRPr="00CB2EA4">
              <w:t>.</w:t>
            </w:r>
            <w:r w:rsidR="00E91E01">
              <w:rPr>
                <w:rStyle w:val="FootnoteReference"/>
              </w:rPr>
              <w:footnoteReference w:id="24"/>
            </w:r>
          </w:p>
        </w:tc>
      </w:tr>
      <w:tr w:rsidR="00E91E01" w14:paraId="64F1A9C6" w14:textId="77777777" w:rsidTr="00D21E2E">
        <w:tc>
          <w:tcPr>
            <w:cnfStyle w:val="001000000000" w:firstRow="0" w:lastRow="0" w:firstColumn="1" w:lastColumn="0" w:oddVBand="0" w:evenVBand="0" w:oddHBand="0" w:evenHBand="0" w:firstRowFirstColumn="0" w:firstRowLastColumn="0" w:lastRowFirstColumn="0" w:lastRowLastColumn="0"/>
            <w:tcW w:w="2835" w:type="dxa"/>
          </w:tcPr>
          <w:p w14:paraId="60BD2447" w14:textId="77777777" w:rsidR="00E91E01" w:rsidRPr="00854654" w:rsidRDefault="00E91E01" w:rsidP="00B43626">
            <w:pPr>
              <w:rPr>
                <w:b w:val="0"/>
                <w:bCs w:val="0"/>
              </w:rPr>
            </w:pPr>
            <w:r w:rsidRPr="00854654">
              <w:rPr>
                <w:b w:val="0"/>
                <w:bCs w:val="0"/>
              </w:rPr>
              <w:t>Token</w:t>
            </w:r>
          </w:p>
        </w:tc>
        <w:tc>
          <w:tcPr>
            <w:tcW w:w="6796" w:type="dxa"/>
          </w:tcPr>
          <w:p w14:paraId="53259C80" w14:textId="77777777" w:rsidR="00E91E01" w:rsidRDefault="00E91E01" w:rsidP="00B43626">
            <w:pPr>
              <w:cnfStyle w:val="000000000000" w:firstRow="0" w:lastRow="0" w:firstColumn="0" w:lastColumn="0" w:oddVBand="0" w:evenVBand="0" w:oddHBand="0" w:evenHBand="0" w:firstRowFirstColumn="0" w:firstRowLastColumn="0" w:lastRowFirstColumn="0" w:lastRowLastColumn="0"/>
            </w:pPr>
            <w:r>
              <w:t xml:space="preserve">A token is a representation of a crypto asset. It typically does not have intrinsic </w:t>
            </w:r>
            <w:proofErr w:type="gramStart"/>
            <w:r>
              <w:t>value</w:t>
            </w:r>
            <w:proofErr w:type="gramEnd"/>
            <w:r>
              <w:t xml:space="preserve"> but it is linked to an underlying asset, which could be anything of value.</w:t>
            </w:r>
            <w:r>
              <w:rPr>
                <w:rStyle w:val="FootnoteReference"/>
              </w:rPr>
              <w:footnoteReference w:id="25"/>
            </w:r>
          </w:p>
        </w:tc>
      </w:tr>
    </w:tbl>
    <w:p w14:paraId="260AF184" w14:textId="3EA6C116" w:rsidR="00E91E01" w:rsidRPr="002C301F" w:rsidRDefault="00E91E01" w:rsidP="00E91E01"/>
    <w:p w14:paraId="3E6DA79D" w14:textId="77777777" w:rsidR="001B779C" w:rsidRPr="00EA12B7" w:rsidRDefault="001B779C" w:rsidP="00B92356">
      <w:pPr>
        <w:pStyle w:val="Designfeaturenumberedlist"/>
        <w:numPr>
          <w:ilvl w:val="0"/>
          <w:numId w:val="0"/>
        </w:numPr>
        <w:ind w:left="426" w:hanging="426"/>
      </w:pPr>
    </w:p>
    <w:sectPr w:rsidR="001B779C" w:rsidRPr="00EA12B7" w:rsidSect="000C48A8">
      <w:headerReference w:type="even" r:id="rId41"/>
      <w:headerReference w:type="default" r:id="rId42"/>
      <w:headerReference w:type="first" r:id="rId43"/>
      <w:footerReference w:type="first" r:id="rId44"/>
      <w:pgSz w:w="11909" w:h="16834" w:code="9"/>
      <w:pgMar w:top="1701" w:right="1134" w:bottom="1701"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58FF" w14:textId="77777777" w:rsidR="00376C0B" w:rsidRDefault="00376C0B">
      <w:r>
        <w:separator/>
      </w:r>
    </w:p>
  </w:endnote>
  <w:endnote w:type="continuationSeparator" w:id="0">
    <w:p w14:paraId="4B1ECF2F" w14:textId="77777777" w:rsidR="00376C0B" w:rsidRDefault="00376C0B">
      <w:r>
        <w:continuationSeparator/>
      </w:r>
    </w:p>
  </w:endnote>
  <w:endnote w:type="continuationNotice" w:id="1">
    <w:p w14:paraId="0FF4C14E" w14:textId="77777777" w:rsidR="00376C0B" w:rsidRDefault="00376C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659E" w14:textId="77777777" w:rsidR="00D3340C" w:rsidRDefault="00D3340C">
    <w:pPr>
      <w:pStyle w:val="FooterEven"/>
    </w:pPr>
    <w:r>
      <w:t xml:space="preserve">Page </w:t>
    </w:r>
    <w:r w:rsidR="00841199">
      <w:rPr>
        <w:rStyle w:val="PageNumber"/>
      </w:rPr>
      <w:fldChar w:fldCharType="begin"/>
    </w:r>
    <w:r>
      <w:rPr>
        <w:rStyle w:val="PageNumber"/>
      </w:rPr>
      <w:instrText xml:space="preserve"> PAGE </w:instrText>
    </w:r>
    <w:r w:rsidR="00841199">
      <w:rPr>
        <w:rStyle w:val="PageNumber"/>
      </w:rPr>
      <w:fldChar w:fldCharType="separate"/>
    </w:r>
    <w:r w:rsidR="00A43962">
      <w:rPr>
        <w:rStyle w:val="PageNumber"/>
        <w:noProof/>
      </w:rPr>
      <w:t>2</w:t>
    </w:r>
    <w:r w:rsidR="0084119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3F4B" w14:textId="77777777" w:rsidR="00D3340C" w:rsidRDefault="00D3340C">
    <w:pPr>
      <w:pStyle w:val="FooterOdd"/>
    </w:pPr>
    <w:r>
      <w:t xml:space="preserve">Page </w:t>
    </w:r>
    <w:r w:rsidR="00841199">
      <w:rPr>
        <w:rStyle w:val="PageNumber"/>
      </w:rPr>
      <w:fldChar w:fldCharType="begin"/>
    </w:r>
    <w:r>
      <w:rPr>
        <w:rStyle w:val="PageNumber"/>
      </w:rPr>
      <w:instrText xml:space="preserve"> PAGE </w:instrText>
    </w:r>
    <w:r w:rsidR="00841199">
      <w:rPr>
        <w:rStyle w:val="PageNumber"/>
      </w:rPr>
      <w:fldChar w:fldCharType="separate"/>
    </w:r>
    <w:r w:rsidR="006256BA">
      <w:rPr>
        <w:rStyle w:val="PageNumber"/>
        <w:noProof/>
      </w:rPr>
      <w:t>3</w:t>
    </w:r>
    <w:r w:rsidR="0084119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B16A" w14:textId="77777777" w:rsidR="00D3340C" w:rsidRPr="00AE77FC" w:rsidRDefault="00D3340C">
    <w:pPr>
      <w:pStyle w:val="FooterOdd"/>
    </w:pPr>
    <w:r w:rsidRPr="005317EF">
      <w:t xml:space="preserve">Page </w:t>
    </w:r>
    <w:r w:rsidR="00841199" w:rsidRPr="00AE77FC">
      <w:rPr>
        <w:rStyle w:val="PageNumber"/>
      </w:rPr>
      <w:fldChar w:fldCharType="begin"/>
    </w:r>
    <w:r w:rsidRPr="00AE77FC">
      <w:rPr>
        <w:rStyle w:val="PageNumber"/>
      </w:rPr>
      <w:instrText xml:space="preserve"> PAGE </w:instrText>
    </w:r>
    <w:r w:rsidR="00841199" w:rsidRPr="00AE77FC">
      <w:rPr>
        <w:rStyle w:val="PageNumber"/>
      </w:rPr>
      <w:fldChar w:fldCharType="separate"/>
    </w:r>
    <w:r w:rsidR="001B779C">
      <w:rPr>
        <w:rStyle w:val="PageNumber"/>
        <w:noProof/>
      </w:rPr>
      <w:t>1</w:t>
    </w:r>
    <w:r w:rsidR="00841199" w:rsidRPr="00AE77FC">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891C" w14:textId="77777777" w:rsidR="006256BA" w:rsidRPr="00AE77FC" w:rsidRDefault="006256BA">
    <w:pPr>
      <w:pStyle w:val="FooterOd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12BA" w14:textId="77777777" w:rsidR="006256BA" w:rsidRPr="009F50E3" w:rsidRDefault="006256BA">
    <w:pPr>
      <w:pStyle w:val="FooterEven"/>
    </w:pPr>
    <w:r>
      <w:t xml:space="preserve">Page </w:t>
    </w:r>
    <w:r>
      <w:fldChar w:fldCharType="begin"/>
    </w:r>
    <w:r>
      <w:instrText xml:space="preserve"> PAGE  \* Arabic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3BC8" w14:textId="0558A32E" w:rsidR="006256BA" w:rsidRPr="005411A2" w:rsidRDefault="005411A2" w:rsidP="005411A2">
    <w:pPr>
      <w:pStyle w:val="FooterOdd"/>
    </w:pPr>
    <w:r>
      <w:rPr>
        <w:noProof/>
        <w:color w:val="000000" w:themeColor="text1"/>
      </w:rPr>
      <mc:AlternateContent>
        <mc:Choice Requires="wps">
          <w:drawing>
            <wp:anchor distT="0" distB="0" distL="114300" distR="114300" simplePos="0" relativeHeight="251657216" behindDoc="0" locked="0" layoutInCell="1" allowOverlap="1" wp14:anchorId="157BA561" wp14:editId="3E5178F5">
              <wp:simplePos x="0" y="0"/>
              <wp:positionH relativeFrom="column">
                <wp:posOffset>5840095</wp:posOffset>
              </wp:positionH>
              <wp:positionV relativeFrom="paragraph">
                <wp:posOffset>-100330</wp:posOffset>
              </wp:positionV>
              <wp:extent cx="276860" cy="278130"/>
              <wp:effectExtent l="0" t="0" r="8890" b="7620"/>
              <wp:wrapSquare wrapText="bothSides"/>
              <wp:docPr id="13" name="Rectangle 13"/>
              <wp:cNvGraphicFramePr/>
              <a:graphic xmlns:a="http://schemas.openxmlformats.org/drawingml/2006/main">
                <a:graphicData uri="http://schemas.microsoft.com/office/word/2010/wordprocessingShape">
                  <wps:wsp>
                    <wps:cNvSpPr/>
                    <wps:spPr>
                      <a:xfrm>
                        <a:off x="0" y="0"/>
                        <a:ext cx="276860" cy="2781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1C0A94" w14:textId="77777777" w:rsidR="005411A2" w:rsidRPr="00EA12B7" w:rsidRDefault="005411A2" w:rsidP="005411A2">
                          <w:pPr>
                            <w:spacing w:before="0" w:after="0"/>
                            <w:jc w:val="center"/>
                            <w:rPr>
                              <w:rStyle w:val="PageNumber"/>
                            </w:rPr>
                          </w:pPr>
                          <w:r w:rsidRPr="00EA12B7">
                            <w:rPr>
                              <w:rStyle w:val="PageNumber"/>
                            </w:rPr>
                            <w:fldChar w:fldCharType="begin"/>
                          </w:r>
                          <w:r w:rsidRPr="00EA12B7">
                            <w:rPr>
                              <w:rStyle w:val="PageNumber"/>
                            </w:rPr>
                            <w:instrText xml:space="preserve"> PAGE   \* MERGEFORMAT </w:instrText>
                          </w:r>
                          <w:r w:rsidRPr="00EA12B7">
                            <w:rPr>
                              <w:rStyle w:val="PageNumber"/>
                            </w:rPr>
                            <w:fldChar w:fldCharType="separate"/>
                          </w:r>
                          <w:r w:rsidR="001B779C">
                            <w:rPr>
                              <w:rStyle w:val="PageNumber"/>
                              <w:noProof/>
                            </w:rPr>
                            <w:t>12</w:t>
                          </w:r>
                          <w:r w:rsidRPr="00EA12B7">
                            <w:rPr>
                              <w:rStyle w:val="PageNumber"/>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7BA561" id="Rectangle 13" o:spid="_x0000_s1028" style="position:absolute;left:0;text-align:left;margin-left:459.85pt;margin-top:-7.9pt;width:21.8pt;height:21.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" fillcolor="#17365d [2415]" stroked="f" strokeweight="2pt">
              <v:textbox inset="0,,0">
                <w:txbxContent>
                  <w:p w14:paraId="311C0A94" w14:textId="77777777" w:rsidR="005411A2" w:rsidRPr="00EA12B7" w:rsidRDefault="005411A2" w:rsidP="005411A2">
                    <w:pPr>
                      <w:spacing w:before="0" w:after="0"/>
                      <w:jc w:val="center"/>
                      <w:rPr>
                        <w:rStyle w:val="PageNumber"/>
                      </w:rPr>
                    </w:pPr>
                    <w:r w:rsidRPr="00EA12B7">
                      <w:rPr>
                        <w:rStyle w:val="PageNumber"/>
                      </w:rPr>
                      <w:fldChar w:fldCharType="begin"/>
                    </w:r>
                    <w:r w:rsidRPr="00EA12B7">
                      <w:rPr>
                        <w:rStyle w:val="PageNumber"/>
                      </w:rPr>
                      <w:instrText xml:space="preserve"> PAGE   \* MERGEFORMAT </w:instrText>
                    </w:r>
                    <w:r w:rsidRPr="00EA12B7">
                      <w:rPr>
                        <w:rStyle w:val="PageNumber"/>
                      </w:rPr>
                      <w:fldChar w:fldCharType="separate"/>
                    </w:r>
                    <w:r w:rsidR="001B779C">
                      <w:rPr>
                        <w:rStyle w:val="PageNumber"/>
                        <w:noProof/>
                      </w:rPr>
                      <w:t>12</w:t>
                    </w:r>
                    <w:r w:rsidRPr="00EA12B7">
                      <w:rPr>
                        <w:rStyle w:val="PageNumber"/>
                      </w:rPr>
                      <w:fldChar w:fldCharType="end"/>
                    </w:r>
                  </w:p>
                </w:txbxContent>
              </v:textbox>
              <w10:wrap type="square"/>
            </v:rect>
          </w:pict>
        </mc:Fallback>
      </mc:AlternateContent>
    </w:r>
    <w:r w:rsidRPr="00093E3E">
      <w:rPr>
        <w:color w:val="595959" w:themeColor="text1" w:themeTint="A6"/>
      </w:rPr>
      <w:t>Consultation Guide |</w:t>
    </w:r>
    <w:r>
      <w:t xml:space="preserve"> </w:t>
    </w:r>
    <w:r>
      <w:fldChar w:fldCharType="begin"/>
    </w:r>
    <w:r>
      <w:instrText xml:space="preserve"> STYLEREF  Title  \* MERGEFORMAT </w:instrTex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65F9" w14:textId="63CA9C9E" w:rsidR="006256BA" w:rsidRPr="009F50E3" w:rsidRDefault="00AD0BB8" w:rsidP="00AD0BB8">
    <w:pPr>
      <w:pStyle w:val="FooterOdd"/>
    </w:pPr>
    <w:r>
      <w:rPr>
        <w:noProof/>
        <w:color w:val="000000" w:themeColor="text1"/>
      </w:rPr>
      <mc:AlternateContent>
        <mc:Choice Requires="wps">
          <w:drawing>
            <wp:anchor distT="0" distB="0" distL="114300" distR="114300" simplePos="0" relativeHeight="251655168" behindDoc="0" locked="0" layoutInCell="1" allowOverlap="1" wp14:anchorId="446F8DE6" wp14:editId="7385337B">
              <wp:simplePos x="0" y="0"/>
              <wp:positionH relativeFrom="column">
                <wp:posOffset>5840095</wp:posOffset>
              </wp:positionH>
              <wp:positionV relativeFrom="paragraph">
                <wp:posOffset>-100330</wp:posOffset>
              </wp:positionV>
              <wp:extent cx="278130" cy="278130"/>
              <wp:effectExtent l="0" t="0" r="7620" b="7620"/>
              <wp:wrapSquare wrapText="bothSides"/>
              <wp:docPr id="4" name="Rectangle 4"/>
              <wp:cNvGraphicFramePr/>
              <a:graphic xmlns:a="http://schemas.openxmlformats.org/drawingml/2006/main">
                <a:graphicData uri="http://schemas.microsoft.com/office/word/2010/wordprocessingShape">
                  <wps:wsp>
                    <wps:cNvSpPr/>
                    <wps:spPr>
                      <a:xfrm>
                        <a:off x="0" y="0"/>
                        <a:ext cx="278130" cy="2781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EBE0E3" w14:textId="77777777" w:rsidR="00AD0BB8" w:rsidRPr="00AD0BB8" w:rsidRDefault="00AD0BB8" w:rsidP="00130039">
                          <w:pPr>
                            <w:spacing w:before="0" w:after="0"/>
                            <w:jc w:val="center"/>
                            <w:rPr>
                              <w:b/>
                            </w:rPr>
                          </w:pPr>
                          <w:r w:rsidRPr="00AD0BB8">
                            <w:rPr>
                              <w:b/>
                            </w:rPr>
                            <w:fldChar w:fldCharType="begin"/>
                          </w:r>
                          <w:r w:rsidRPr="00AD0BB8">
                            <w:rPr>
                              <w:b/>
                            </w:rPr>
                            <w:instrText xml:space="preserve"> PAGE   \* MERGEFORMAT </w:instrText>
                          </w:r>
                          <w:r w:rsidRPr="00AD0BB8">
                            <w:rPr>
                              <w:b/>
                            </w:rPr>
                            <w:fldChar w:fldCharType="separate"/>
                          </w:r>
                          <w:r w:rsidR="001B779C">
                            <w:rPr>
                              <w:b/>
                              <w:noProof/>
                            </w:rPr>
                            <w:t>8</w:t>
                          </w:r>
                          <w:r w:rsidRPr="00AD0BB8">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F8DE6" id="Rectangle 4" o:spid="_x0000_s1030" style="position:absolute;left:0;text-align:left;margin-left:459.85pt;margin-top:-7.9pt;width:21.9pt;height:21.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" fillcolor="#17365d [2415]" stroked="f" strokeweight="2pt">
              <v:textbox>
                <w:txbxContent>
                  <w:p w14:paraId="60EBE0E3" w14:textId="77777777" w:rsidR="00AD0BB8" w:rsidRPr="00AD0BB8" w:rsidRDefault="00AD0BB8" w:rsidP="00130039">
                    <w:pPr>
                      <w:spacing w:before="0" w:after="0"/>
                      <w:jc w:val="center"/>
                      <w:rPr>
                        <w:b/>
                      </w:rPr>
                    </w:pPr>
                    <w:r w:rsidRPr="00AD0BB8">
                      <w:rPr>
                        <w:b/>
                      </w:rPr>
                      <w:fldChar w:fldCharType="begin"/>
                    </w:r>
                    <w:r w:rsidRPr="00AD0BB8">
                      <w:rPr>
                        <w:b/>
                      </w:rPr>
                      <w:instrText xml:space="preserve"> PAGE   \* MERGEFORMAT </w:instrText>
                    </w:r>
                    <w:r w:rsidRPr="00AD0BB8">
                      <w:rPr>
                        <w:b/>
                      </w:rPr>
                      <w:fldChar w:fldCharType="separate"/>
                    </w:r>
                    <w:r w:rsidR="001B779C">
                      <w:rPr>
                        <w:b/>
                        <w:noProof/>
                      </w:rPr>
                      <w:t>8</w:t>
                    </w:r>
                    <w:r w:rsidRPr="00AD0BB8">
                      <w:rPr>
                        <w:b/>
                        <w:noProof/>
                      </w:rPr>
                      <w:fldChar w:fldCharType="end"/>
                    </w:r>
                  </w:p>
                </w:txbxContent>
              </v:textbox>
              <w10:wrap type="square"/>
            </v:rect>
          </w:pict>
        </mc:Fallback>
      </mc:AlternateContent>
    </w:r>
    <w:r w:rsidR="00093E3E" w:rsidRPr="00093E3E">
      <w:rPr>
        <w:color w:val="595959" w:themeColor="text1" w:themeTint="A6"/>
      </w:rPr>
      <w:t>Consultation Guide |</w:t>
    </w:r>
    <w:r w:rsidR="00093E3E">
      <w:t xml:space="preserve"> </w:t>
    </w:r>
    <w:r w:rsidR="00622D85">
      <w:fldChar w:fldCharType="begin"/>
    </w:r>
    <w:r w:rsidR="00622D85">
      <w:instrText xml:space="preserve"> STYLEREF  Title  \* MERGEFORMAT </w:instrText>
    </w:r>
    <w:r w:rsidR="00622D85">
      <w:fldChar w:fldCharType="end"/>
    </w:r>
    <w:r w:rsidR="00AB3A45">
      <w:t xml:space="preserve"> </w:t>
    </w:r>
    <w:r w:rsidR="006256BA">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6BEF" w14:textId="40E5CC5C" w:rsidR="00622D85" w:rsidRPr="00AD0BB8" w:rsidRDefault="00AD0BB8" w:rsidP="00AD0BB8">
    <w:pPr>
      <w:pStyle w:val="FooterOdd"/>
    </w:pPr>
    <w:r>
      <w:rPr>
        <w:noProof/>
        <w:color w:val="000000" w:themeColor="text1"/>
      </w:rPr>
      <mc:AlternateContent>
        <mc:Choice Requires="wps">
          <w:drawing>
            <wp:anchor distT="0" distB="0" distL="114300" distR="114300" simplePos="0" relativeHeight="251658243" behindDoc="0" locked="0" layoutInCell="1" allowOverlap="1" wp14:anchorId="496608DB" wp14:editId="37DC0F32">
              <wp:simplePos x="0" y="0"/>
              <wp:positionH relativeFrom="column">
                <wp:posOffset>5840095</wp:posOffset>
              </wp:positionH>
              <wp:positionV relativeFrom="paragraph">
                <wp:posOffset>-100330</wp:posOffset>
              </wp:positionV>
              <wp:extent cx="276860" cy="278130"/>
              <wp:effectExtent l="0" t="0" r="8890" b="7620"/>
              <wp:wrapSquare wrapText="bothSides"/>
              <wp:docPr id="5" name="Rectangle 5"/>
              <wp:cNvGraphicFramePr/>
              <a:graphic xmlns:a="http://schemas.openxmlformats.org/drawingml/2006/main">
                <a:graphicData uri="http://schemas.microsoft.com/office/word/2010/wordprocessingShape">
                  <wps:wsp>
                    <wps:cNvSpPr/>
                    <wps:spPr>
                      <a:xfrm>
                        <a:off x="0" y="0"/>
                        <a:ext cx="276860" cy="2781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E1AB0" w14:textId="77777777" w:rsidR="00AD0BB8" w:rsidRPr="00EA12B7" w:rsidRDefault="00AD0BB8" w:rsidP="00EA12B7">
                          <w:pPr>
                            <w:spacing w:before="0" w:after="0"/>
                            <w:jc w:val="center"/>
                            <w:rPr>
                              <w:rStyle w:val="PageNumber"/>
                            </w:rPr>
                          </w:pPr>
                          <w:r w:rsidRPr="00EA12B7">
                            <w:rPr>
                              <w:rStyle w:val="PageNumber"/>
                            </w:rPr>
                            <w:fldChar w:fldCharType="begin"/>
                          </w:r>
                          <w:r w:rsidRPr="00EA12B7">
                            <w:rPr>
                              <w:rStyle w:val="PageNumber"/>
                            </w:rPr>
                            <w:instrText xml:space="preserve"> PAGE   \* MERGEFORMAT </w:instrText>
                          </w:r>
                          <w:r w:rsidRPr="00EA12B7">
                            <w:rPr>
                              <w:rStyle w:val="PageNumber"/>
                            </w:rPr>
                            <w:fldChar w:fldCharType="separate"/>
                          </w:r>
                          <w:r w:rsidR="001B779C">
                            <w:rPr>
                              <w:rStyle w:val="PageNumber"/>
                              <w:noProof/>
                            </w:rPr>
                            <w:t>11</w:t>
                          </w:r>
                          <w:r w:rsidRPr="00EA12B7">
                            <w:rPr>
                              <w:rStyle w:val="PageNumber"/>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6608DB" id="Rectangle 5" o:spid="_x0000_s1033" style="position:absolute;left:0;text-align:left;margin-left:459.85pt;margin-top:-7.9pt;width:21.8pt;height:21.9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" fillcolor="#17365d [2415]" stroked="f" strokeweight="2pt">
              <v:textbox inset="0,,0">
                <w:txbxContent>
                  <w:p w14:paraId="4ECE1AB0" w14:textId="77777777" w:rsidR="00AD0BB8" w:rsidRPr="00EA12B7" w:rsidRDefault="00AD0BB8" w:rsidP="00EA12B7">
                    <w:pPr>
                      <w:spacing w:before="0" w:after="0"/>
                      <w:jc w:val="center"/>
                      <w:rPr>
                        <w:rStyle w:val="PageNumber"/>
                      </w:rPr>
                    </w:pPr>
                    <w:r w:rsidRPr="00EA12B7">
                      <w:rPr>
                        <w:rStyle w:val="PageNumber"/>
                      </w:rPr>
                      <w:fldChar w:fldCharType="begin"/>
                    </w:r>
                    <w:r w:rsidRPr="00EA12B7">
                      <w:rPr>
                        <w:rStyle w:val="PageNumber"/>
                      </w:rPr>
                      <w:instrText xml:space="preserve"> PAGE   \* MERGEFORMAT </w:instrText>
                    </w:r>
                    <w:r w:rsidRPr="00EA12B7">
                      <w:rPr>
                        <w:rStyle w:val="PageNumber"/>
                      </w:rPr>
                      <w:fldChar w:fldCharType="separate"/>
                    </w:r>
                    <w:r w:rsidR="001B779C">
                      <w:rPr>
                        <w:rStyle w:val="PageNumber"/>
                        <w:noProof/>
                      </w:rPr>
                      <w:t>11</w:t>
                    </w:r>
                    <w:r w:rsidRPr="00EA12B7">
                      <w:rPr>
                        <w:rStyle w:val="PageNumber"/>
                      </w:rPr>
                      <w:fldChar w:fldCharType="end"/>
                    </w:r>
                  </w:p>
                </w:txbxContent>
              </v:textbox>
              <w10:wrap type="square"/>
            </v:rect>
          </w:pict>
        </mc:Fallback>
      </mc:AlternateContent>
    </w:r>
    <w:r w:rsidRPr="00093E3E">
      <w:rPr>
        <w:color w:val="595959" w:themeColor="text1" w:themeTint="A6"/>
      </w:rPr>
      <w:t>Consultation Guide |</w:t>
    </w:r>
    <w:r>
      <w:t xml:space="preserve"> </w:t>
    </w:r>
    <w:r>
      <w:fldChar w:fldCharType="begin"/>
    </w:r>
    <w:r>
      <w:instrText xml:space="preserve"> STYLEREF  Title  \* MERGEFORMAT </w:instrTex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5843" w14:textId="77777777" w:rsidR="00376C0B" w:rsidRDefault="00376C0B">
      <w:r>
        <w:separator/>
      </w:r>
    </w:p>
  </w:footnote>
  <w:footnote w:type="continuationSeparator" w:id="0">
    <w:p w14:paraId="3CF10E35" w14:textId="77777777" w:rsidR="00376C0B" w:rsidRDefault="00376C0B">
      <w:r>
        <w:continuationSeparator/>
      </w:r>
    </w:p>
  </w:footnote>
  <w:footnote w:type="continuationNotice" w:id="1">
    <w:p w14:paraId="4BAD5821" w14:textId="77777777" w:rsidR="00376C0B" w:rsidRDefault="00376C0B">
      <w:pPr>
        <w:spacing w:before="0" w:after="0"/>
      </w:pPr>
    </w:p>
  </w:footnote>
  <w:footnote w:id="2">
    <w:p w14:paraId="77FB7F7E" w14:textId="34DB6C3E" w:rsidR="00071A94" w:rsidRPr="00F973B5" w:rsidRDefault="00071A94" w:rsidP="00310B68">
      <w:pPr>
        <w:pStyle w:val="FootnoteText"/>
        <w:tabs>
          <w:tab w:val="clear" w:pos="567"/>
          <w:tab w:val="left" w:pos="0"/>
        </w:tabs>
        <w:ind w:left="142" w:hanging="142"/>
      </w:pPr>
      <w:r w:rsidRPr="00F973B5">
        <w:rPr>
          <w:rStyle w:val="FootnoteReference"/>
          <w:sz w:val="18"/>
          <w:szCs w:val="18"/>
        </w:rPr>
        <w:footnoteRef/>
      </w:r>
      <w:r w:rsidRPr="00F973B5">
        <w:t xml:space="preserve"> </w:t>
      </w:r>
      <w:r w:rsidR="004476B5" w:rsidRPr="00F973B5">
        <w:t xml:space="preserve">Organisation for Economic Co-operation and Development (OECD) </w:t>
      </w:r>
      <w:r w:rsidR="00474C22" w:rsidRPr="00F973B5">
        <w:t>(2020)</w:t>
      </w:r>
      <w:r w:rsidR="00C44D0F">
        <w:t xml:space="preserve">, </w:t>
      </w:r>
      <w:r w:rsidR="00C44D0F" w:rsidRPr="00084CC5">
        <w:rPr>
          <w:i/>
          <w:iCs/>
        </w:rPr>
        <w:t>Taxing Virtual Currencies: An Overview of Tax Treatments and Emerging Tax Policy Issues</w:t>
      </w:r>
      <w:r w:rsidR="00C44D0F">
        <w:rPr>
          <w:i/>
          <w:iCs/>
        </w:rPr>
        <w:t>:</w:t>
      </w:r>
      <w:r w:rsidR="00C44D0F">
        <w:t>10,</w:t>
      </w:r>
      <w:r w:rsidR="00C44D0F" w:rsidRPr="00F973B5">
        <w:t xml:space="preserve"> OECD, Paris</w:t>
      </w:r>
      <w:r w:rsidR="007904B2">
        <w:t>,</w:t>
      </w:r>
      <w:r w:rsidR="00C44D0F" w:rsidRPr="00F973B5">
        <w:t xml:space="preserve"> </w:t>
      </w:r>
      <w:hyperlink r:id="rId1" w:history="1">
        <w:r w:rsidR="00C44D0F" w:rsidRPr="00F973B5">
          <w:rPr>
            <w:rStyle w:val="Hyperlink"/>
          </w:rPr>
          <w:t>https://www.oecd.org/tax/tax-policy/taxing-virtual-currencies-an-overview-of-tax-treatments-and-emerging-tax-policy-issues.htm</w:t>
        </w:r>
      </w:hyperlink>
      <w:r w:rsidR="00322E80">
        <w:rPr>
          <w:rStyle w:val="Hyperlink"/>
        </w:rPr>
        <w:t>.</w:t>
      </w:r>
    </w:p>
  </w:footnote>
  <w:footnote w:id="3">
    <w:p w14:paraId="65CC06EA" w14:textId="023C7E73" w:rsidR="00D8721D" w:rsidRPr="00F973B5" w:rsidRDefault="00D8721D" w:rsidP="00C92B4D">
      <w:pPr>
        <w:pStyle w:val="FootnoteText"/>
        <w:tabs>
          <w:tab w:val="clear" w:pos="567"/>
          <w:tab w:val="left" w:pos="142"/>
        </w:tabs>
        <w:ind w:left="142" w:hanging="142"/>
      </w:pPr>
      <w:r w:rsidRPr="00F973B5">
        <w:rPr>
          <w:rStyle w:val="FootnoteReference"/>
          <w:sz w:val="18"/>
          <w:szCs w:val="18"/>
        </w:rPr>
        <w:footnoteRef/>
      </w:r>
      <w:r w:rsidRPr="00F973B5">
        <w:t xml:space="preserve"> The Treasury, 21 March 2022, </w:t>
      </w:r>
      <w:hyperlink r:id="rId2" w:history="1">
        <w:r w:rsidRPr="00F973B5">
          <w:rPr>
            <w:rStyle w:val="Hyperlink"/>
            <w:i/>
            <w:iCs/>
          </w:rPr>
          <w:t>Crypto asset secondary service providers: Licensing and custody requirements Consultation Paper</w:t>
        </w:r>
      </w:hyperlink>
      <w:r w:rsidRPr="00F973B5">
        <w:t>:2</w:t>
      </w:r>
      <w:r w:rsidR="00834AAC" w:rsidRPr="00F973B5">
        <w:t>, The Treasury</w:t>
      </w:r>
      <w:r w:rsidR="00C92B4D" w:rsidRPr="00F973B5">
        <w:t>.</w:t>
      </w:r>
      <w:r w:rsidR="000E75AF" w:rsidRPr="00F973B5">
        <w:t xml:space="preserve"> </w:t>
      </w:r>
    </w:p>
  </w:footnote>
  <w:footnote w:id="4">
    <w:p w14:paraId="122BDF6D" w14:textId="02827791" w:rsidR="00CB4FFC" w:rsidRPr="00F973B5" w:rsidRDefault="00CB4FFC" w:rsidP="00CB4FFC">
      <w:pPr>
        <w:pStyle w:val="FootnoteText"/>
      </w:pPr>
      <w:r w:rsidRPr="00F973B5">
        <w:rPr>
          <w:rStyle w:val="FootnoteReference"/>
          <w:sz w:val="18"/>
          <w:szCs w:val="18"/>
        </w:rPr>
        <w:footnoteRef/>
      </w:r>
      <w:r w:rsidRPr="00F973B5">
        <w:t xml:space="preserve"> </w:t>
      </w:r>
      <w:r w:rsidRPr="00F973B5">
        <w:rPr>
          <w:rFonts w:ascii="Arial" w:hAnsi="Arial" w:cs="Arial"/>
          <w:color w:val="222222"/>
          <w:shd w:val="clear" w:color="auto" w:fill="FFFFFF"/>
        </w:rPr>
        <w:t xml:space="preserve"> </w:t>
      </w:r>
      <w:r w:rsidRPr="00F973B5">
        <w:t xml:space="preserve">Nakamoto, </w:t>
      </w:r>
      <w:r w:rsidRPr="00F973B5">
        <w:t>Satoshi.</w:t>
      </w:r>
      <w:r w:rsidR="006209DC" w:rsidRPr="00F973B5">
        <w:t>’</w:t>
      </w:r>
      <w:r w:rsidRPr="00F973B5">
        <w:t>Bitcoin: A peer-to-peer electronic cash system.</w:t>
      </w:r>
      <w:r w:rsidR="006209DC" w:rsidRPr="00F973B5">
        <w:t>’</w:t>
      </w:r>
      <w:r w:rsidRPr="00F973B5">
        <w:t> </w:t>
      </w:r>
      <w:r w:rsidRPr="00F973B5">
        <w:rPr>
          <w:i/>
          <w:iCs/>
        </w:rPr>
        <w:t>Decentralized Business Review</w:t>
      </w:r>
      <w:r w:rsidRPr="00F973B5">
        <w:t> (2008): 21260.</w:t>
      </w:r>
    </w:p>
  </w:footnote>
  <w:footnote w:id="5">
    <w:p w14:paraId="208EA234" w14:textId="124D82A4" w:rsidR="00F04D9D" w:rsidRPr="00F973B5" w:rsidRDefault="00F04D9D" w:rsidP="00616E4D">
      <w:pPr>
        <w:pStyle w:val="CommentText"/>
        <w:ind w:left="142" w:hanging="142"/>
        <w:rPr>
          <w:sz w:val="18"/>
          <w:szCs w:val="18"/>
        </w:rPr>
      </w:pPr>
      <w:r w:rsidRPr="00F973B5">
        <w:rPr>
          <w:rStyle w:val="FootnoteReference"/>
          <w:sz w:val="18"/>
          <w:szCs w:val="18"/>
        </w:rPr>
        <w:footnoteRef/>
      </w:r>
      <w:r w:rsidRPr="00F973B5">
        <w:rPr>
          <w:sz w:val="18"/>
          <w:szCs w:val="18"/>
        </w:rPr>
        <w:t xml:space="preserve"> As of </w:t>
      </w:r>
      <w:r w:rsidR="00616E4D">
        <w:rPr>
          <w:sz w:val="18"/>
          <w:szCs w:val="18"/>
        </w:rPr>
        <w:t>August</w:t>
      </w:r>
      <w:r w:rsidR="00616E4D" w:rsidRPr="00F973B5">
        <w:rPr>
          <w:sz w:val="18"/>
          <w:szCs w:val="18"/>
        </w:rPr>
        <w:t xml:space="preserve"> </w:t>
      </w:r>
      <w:r w:rsidRPr="00F973B5">
        <w:rPr>
          <w:sz w:val="18"/>
          <w:szCs w:val="18"/>
        </w:rPr>
        <w:t xml:space="preserve">2022, </w:t>
      </w:r>
      <w:r w:rsidR="00616E4D">
        <w:rPr>
          <w:sz w:val="18"/>
          <w:szCs w:val="18"/>
        </w:rPr>
        <w:t>11</w:t>
      </w:r>
      <w:r w:rsidR="00616E4D" w:rsidRPr="00F973B5">
        <w:rPr>
          <w:sz w:val="18"/>
          <w:szCs w:val="18"/>
        </w:rPr>
        <w:t xml:space="preserve"> </w:t>
      </w:r>
      <w:r w:rsidRPr="00F973B5">
        <w:rPr>
          <w:sz w:val="18"/>
          <w:szCs w:val="18"/>
        </w:rPr>
        <w:t>countries have</w:t>
      </w:r>
      <w:r w:rsidR="00616E4D">
        <w:rPr>
          <w:sz w:val="18"/>
          <w:szCs w:val="18"/>
        </w:rPr>
        <w:t xml:space="preserve"> launched</w:t>
      </w:r>
      <w:r w:rsidRPr="00F973B5">
        <w:rPr>
          <w:sz w:val="18"/>
          <w:szCs w:val="18"/>
        </w:rPr>
        <w:t xml:space="preserve"> Central Bank Digital Currencies (CBDCs), being Nigeria, </w:t>
      </w:r>
      <w:r w:rsidR="00616E4D">
        <w:rPr>
          <w:sz w:val="18"/>
          <w:szCs w:val="18"/>
        </w:rPr>
        <w:t xml:space="preserve">Jamaica, </w:t>
      </w:r>
      <w:r w:rsidRPr="00F973B5">
        <w:rPr>
          <w:sz w:val="18"/>
          <w:szCs w:val="18"/>
        </w:rPr>
        <w:t xml:space="preserve">the Bahamas and </w:t>
      </w:r>
      <w:r w:rsidR="00616E4D" w:rsidRPr="00020C92">
        <w:rPr>
          <w:sz w:val="18"/>
          <w:szCs w:val="18"/>
        </w:rPr>
        <w:t>eight</w:t>
      </w:r>
      <w:r w:rsidR="00616E4D" w:rsidRPr="00F973B5">
        <w:rPr>
          <w:sz w:val="18"/>
          <w:szCs w:val="18"/>
        </w:rPr>
        <w:t xml:space="preserve"> </w:t>
      </w:r>
      <w:r w:rsidRPr="00F973B5">
        <w:rPr>
          <w:sz w:val="18"/>
          <w:szCs w:val="18"/>
        </w:rPr>
        <w:t>members of the Eastern Caribbean Union</w:t>
      </w:r>
      <w:r w:rsidR="00616E4D">
        <w:rPr>
          <w:sz w:val="18"/>
          <w:szCs w:val="18"/>
        </w:rPr>
        <w:t xml:space="preserve">; Atlantic Council (2022) </w:t>
      </w:r>
      <w:hyperlink r:id="rId3" w:history="1">
        <w:r w:rsidR="00616E4D" w:rsidRPr="00966BF3">
          <w:rPr>
            <w:rStyle w:val="Hyperlink"/>
            <w:sz w:val="18"/>
            <w:szCs w:val="18"/>
          </w:rPr>
          <w:t>Central Bank Digital Currency Tracker</w:t>
        </w:r>
      </w:hyperlink>
      <w:r w:rsidR="00616E4D">
        <w:rPr>
          <w:sz w:val="18"/>
          <w:szCs w:val="18"/>
        </w:rPr>
        <w:t>, Atlantic Council Website</w:t>
      </w:r>
      <w:r w:rsidR="007904B2">
        <w:rPr>
          <w:sz w:val="18"/>
          <w:szCs w:val="18"/>
        </w:rPr>
        <w:t>,</w:t>
      </w:r>
      <w:r w:rsidR="00616E4D">
        <w:rPr>
          <w:sz w:val="18"/>
          <w:szCs w:val="18"/>
        </w:rPr>
        <w:t xml:space="preserve"> accessed 11 August 2022.</w:t>
      </w:r>
    </w:p>
    <w:p w14:paraId="12BBE7C2" w14:textId="1AF16FD2" w:rsidR="00F04D9D" w:rsidRPr="00F973B5" w:rsidRDefault="00F04D9D">
      <w:pPr>
        <w:pStyle w:val="FootnoteText"/>
      </w:pPr>
    </w:p>
  </w:footnote>
  <w:footnote w:id="6">
    <w:p w14:paraId="5DACBC3C" w14:textId="676AB265" w:rsidR="009B04D8" w:rsidRPr="00F973B5" w:rsidRDefault="009B04D8" w:rsidP="00EC5260">
      <w:pPr>
        <w:pStyle w:val="FootnoteText"/>
        <w:tabs>
          <w:tab w:val="clear" w:pos="567"/>
          <w:tab w:val="left" w:pos="142"/>
        </w:tabs>
        <w:ind w:left="142" w:hanging="142"/>
        <w:rPr>
          <w:i/>
          <w:iCs/>
        </w:rPr>
      </w:pPr>
      <w:bookmarkStart w:id="8" w:name="_Hlk108781051"/>
      <w:r w:rsidRPr="00F973B5">
        <w:rPr>
          <w:rStyle w:val="FootnoteReference"/>
          <w:sz w:val="18"/>
          <w:szCs w:val="18"/>
        </w:rPr>
        <w:footnoteRef/>
      </w:r>
      <w:r w:rsidRPr="00F973B5">
        <w:t xml:space="preserve"> Taxation Determination TD 2014/25: </w:t>
      </w:r>
      <w:r w:rsidRPr="00F973B5">
        <w:rPr>
          <w:i/>
          <w:iCs/>
        </w:rPr>
        <w:t>Income tax:</w:t>
      </w:r>
      <w:r w:rsidR="00AC24F4" w:rsidRPr="00F973B5">
        <w:rPr>
          <w:i/>
          <w:iCs/>
        </w:rPr>
        <w:t xml:space="preserve"> is bitcoin a ‘foreign currency’ for the purposes of Division 775 of the income Tax Assessment Act </w:t>
      </w:r>
      <w:r w:rsidR="00AC24F4" w:rsidRPr="00F973B5">
        <w:rPr>
          <w:i/>
          <w:iCs/>
        </w:rPr>
        <w:t>1997</w:t>
      </w:r>
      <w:r w:rsidR="0088481E" w:rsidRPr="00F973B5">
        <w:rPr>
          <w:i/>
          <w:iCs/>
        </w:rPr>
        <w:t>?</w:t>
      </w:r>
      <w:bookmarkEnd w:id="8"/>
      <w:r w:rsidR="00322E80">
        <w:rPr>
          <w:i/>
          <w:iCs/>
        </w:rPr>
        <w:t>.</w:t>
      </w:r>
    </w:p>
  </w:footnote>
  <w:footnote w:id="7">
    <w:p w14:paraId="3445026E" w14:textId="5DB0C984" w:rsidR="00280F4C" w:rsidRPr="00F973B5" w:rsidRDefault="00280F4C" w:rsidP="00EC5260">
      <w:pPr>
        <w:pStyle w:val="FootnoteText"/>
        <w:tabs>
          <w:tab w:val="clear" w:pos="567"/>
          <w:tab w:val="left" w:pos="142"/>
        </w:tabs>
        <w:ind w:left="142" w:hanging="142"/>
      </w:pPr>
      <w:r w:rsidRPr="00F973B5">
        <w:rPr>
          <w:rStyle w:val="FootnoteReference"/>
          <w:sz w:val="18"/>
          <w:szCs w:val="18"/>
        </w:rPr>
        <w:footnoteRef/>
      </w:r>
      <w:r w:rsidRPr="00F973B5">
        <w:t xml:space="preserve"> Taxation Determination TD 2014/26: </w:t>
      </w:r>
      <w:r w:rsidRPr="00F973B5">
        <w:rPr>
          <w:i/>
          <w:iCs/>
        </w:rPr>
        <w:t>Income tax: is bitcoin a ‘CGT asset’ for the purposes of subsection 108-5(1) of the Income Tax Assessment Act 1997</w:t>
      </w:r>
      <w:r w:rsidR="0088481E" w:rsidRPr="00F973B5">
        <w:rPr>
          <w:i/>
          <w:iCs/>
        </w:rPr>
        <w:t>?</w:t>
      </w:r>
      <w:r w:rsidR="00AE5CEE" w:rsidRPr="00F973B5">
        <w:rPr>
          <w:i/>
          <w:iCs/>
        </w:rPr>
        <w:t xml:space="preserve">; </w:t>
      </w:r>
      <w:r w:rsidR="00AE5CEE" w:rsidRPr="00F973B5">
        <w:t xml:space="preserve">ATO (2022) </w:t>
      </w:r>
      <w:hyperlink r:id="rId4" w:history="1">
        <w:r w:rsidR="00AE5CEE" w:rsidRPr="00F973B5">
          <w:rPr>
            <w:rStyle w:val="Hyperlink"/>
            <w:i/>
            <w:iCs/>
          </w:rPr>
          <w:t>Crypto asset transactions</w:t>
        </w:r>
      </w:hyperlink>
      <w:r w:rsidR="00AE5CEE" w:rsidRPr="00F973B5">
        <w:t xml:space="preserve">, ATO website, accessed </w:t>
      </w:r>
      <w:r w:rsidR="00541FE2">
        <w:t>12 August</w:t>
      </w:r>
      <w:r w:rsidR="00541FE2" w:rsidRPr="00F973B5">
        <w:t xml:space="preserve"> 2022</w:t>
      </w:r>
      <w:r w:rsidR="00322E80">
        <w:t>.</w:t>
      </w:r>
    </w:p>
  </w:footnote>
  <w:footnote w:id="8">
    <w:p w14:paraId="778005B9" w14:textId="1CE2DE41" w:rsidR="00911085" w:rsidRPr="00F973B5" w:rsidRDefault="00911085" w:rsidP="00D6625A">
      <w:pPr>
        <w:pStyle w:val="FootnoteText"/>
        <w:tabs>
          <w:tab w:val="clear" w:pos="567"/>
          <w:tab w:val="left" w:pos="142"/>
        </w:tabs>
        <w:ind w:left="142" w:hanging="142"/>
      </w:pPr>
      <w:r w:rsidRPr="00F973B5">
        <w:rPr>
          <w:rStyle w:val="FootnoteReference"/>
          <w:sz w:val="18"/>
          <w:szCs w:val="18"/>
        </w:rPr>
        <w:footnoteRef/>
      </w:r>
      <w:r w:rsidRPr="00F973B5">
        <w:t xml:space="preserve"> Taxation Determination TD 2014/27</w:t>
      </w:r>
      <w:r w:rsidR="00C65002" w:rsidRPr="00F973B5">
        <w:t xml:space="preserve">: </w:t>
      </w:r>
      <w:r w:rsidR="00C65002" w:rsidRPr="00F973B5">
        <w:rPr>
          <w:i/>
          <w:iCs/>
        </w:rPr>
        <w:t>Income tax: is bitcoin trading stock for the purposes of subsection 70-10(1) of the Income Tax Assessment Act 1997</w:t>
      </w:r>
      <w:r w:rsidR="001A3A3A" w:rsidRPr="00F973B5">
        <w:rPr>
          <w:i/>
          <w:iCs/>
        </w:rPr>
        <w:t>?</w:t>
      </w:r>
      <w:r w:rsidR="00510DD2" w:rsidRPr="00F973B5">
        <w:rPr>
          <w:i/>
          <w:iCs/>
        </w:rPr>
        <w:t xml:space="preserve">; </w:t>
      </w:r>
      <w:r w:rsidR="00510DD2" w:rsidRPr="00F973B5">
        <w:t xml:space="preserve">ATO (2022) </w:t>
      </w:r>
      <w:hyperlink r:id="rId5" w:history="1">
        <w:r w:rsidR="00510DD2" w:rsidRPr="00F973B5">
          <w:rPr>
            <w:rStyle w:val="Hyperlink"/>
            <w:i/>
            <w:iCs/>
          </w:rPr>
          <w:t>Crypto assets used in business</w:t>
        </w:r>
      </w:hyperlink>
      <w:r w:rsidR="00510DD2" w:rsidRPr="00F973B5">
        <w:rPr>
          <w:i/>
          <w:iCs/>
        </w:rPr>
        <w:t xml:space="preserve">, </w:t>
      </w:r>
      <w:r w:rsidR="00510DD2" w:rsidRPr="00F973B5">
        <w:t xml:space="preserve">ATO website, accessed </w:t>
      </w:r>
      <w:r w:rsidR="00541FE2">
        <w:t>12 August</w:t>
      </w:r>
      <w:r w:rsidR="00541FE2" w:rsidRPr="00F973B5">
        <w:t xml:space="preserve"> 2022</w:t>
      </w:r>
      <w:r w:rsidR="00322E80">
        <w:t>.</w:t>
      </w:r>
    </w:p>
  </w:footnote>
  <w:footnote w:id="9">
    <w:p w14:paraId="7AF5CB0D" w14:textId="13DE52E4" w:rsidR="00BC68AA" w:rsidRPr="00F973B5" w:rsidRDefault="00BC68AA" w:rsidP="00D6625A">
      <w:pPr>
        <w:pStyle w:val="FootnoteText"/>
        <w:tabs>
          <w:tab w:val="clear" w:pos="567"/>
          <w:tab w:val="left" w:pos="0"/>
        </w:tabs>
        <w:ind w:left="142" w:hanging="142"/>
      </w:pPr>
      <w:r w:rsidRPr="00F973B5">
        <w:rPr>
          <w:rStyle w:val="FootnoteReference"/>
          <w:sz w:val="18"/>
          <w:szCs w:val="18"/>
        </w:rPr>
        <w:footnoteRef/>
      </w:r>
      <w:r w:rsidRPr="00F973B5">
        <w:t xml:space="preserve"> Taxation Determination TD 2014/28</w:t>
      </w:r>
      <w:r w:rsidR="001A3A3A" w:rsidRPr="00F973B5">
        <w:t xml:space="preserve">: </w:t>
      </w:r>
      <w:r w:rsidR="001A3A3A" w:rsidRPr="00F973B5">
        <w:rPr>
          <w:i/>
          <w:iCs/>
        </w:rPr>
        <w:t>Fringe benefits tax: is the provision of bitcoin by an employer to an employee in respect of their e</w:t>
      </w:r>
      <w:r w:rsidR="00CC5E80" w:rsidRPr="00F973B5">
        <w:rPr>
          <w:i/>
          <w:iCs/>
        </w:rPr>
        <w:t>m</w:t>
      </w:r>
      <w:r w:rsidR="001A3A3A" w:rsidRPr="00F973B5">
        <w:rPr>
          <w:i/>
          <w:iCs/>
        </w:rPr>
        <w:t>ployment a property fringe benefit for the purposes of subsection 136(1) of the Fringe Benefits Tax Assessment Act 1986?</w:t>
      </w:r>
      <w:r w:rsidR="00510DD2" w:rsidRPr="00F973B5">
        <w:t xml:space="preserve">; ATO (2022) </w:t>
      </w:r>
      <w:hyperlink r:id="rId6" w:anchor="Keepingcryptoassetrecordsinbusiness" w:history="1">
        <w:r w:rsidR="00510DD2" w:rsidRPr="00F973B5">
          <w:rPr>
            <w:rStyle w:val="Hyperlink"/>
            <w:i/>
            <w:iCs/>
          </w:rPr>
          <w:t>Paying salary or wages in crypto assets</w:t>
        </w:r>
      </w:hyperlink>
      <w:r w:rsidR="00510DD2" w:rsidRPr="00F973B5">
        <w:t xml:space="preserve">, ATO website, accessed </w:t>
      </w:r>
      <w:r w:rsidR="00541FE2">
        <w:t>12 August</w:t>
      </w:r>
      <w:r w:rsidR="00541FE2" w:rsidRPr="00F973B5">
        <w:t xml:space="preserve"> 2022</w:t>
      </w:r>
      <w:r w:rsidR="00322E80">
        <w:t>.</w:t>
      </w:r>
    </w:p>
  </w:footnote>
  <w:footnote w:id="10">
    <w:p w14:paraId="197BEE38" w14:textId="7132AB4C" w:rsidR="00911085" w:rsidRPr="00F973B5" w:rsidRDefault="00911085" w:rsidP="0044735C">
      <w:pPr>
        <w:pStyle w:val="FootnoteText"/>
        <w:tabs>
          <w:tab w:val="clear" w:pos="567"/>
          <w:tab w:val="left" w:pos="142"/>
        </w:tabs>
        <w:ind w:left="142" w:hanging="142"/>
      </w:pPr>
      <w:r w:rsidRPr="00F973B5">
        <w:rPr>
          <w:rStyle w:val="FootnoteReference"/>
          <w:sz w:val="18"/>
          <w:szCs w:val="18"/>
        </w:rPr>
        <w:footnoteRef/>
      </w:r>
      <w:r w:rsidRPr="00F973B5">
        <w:t xml:space="preserve"> </w:t>
      </w:r>
      <w:r w:rsidR="00CC7C31" w:rsidRPr="00F973B5">
        <w:t>ATO</w:t>
      </w:r>
      <w:r w:rsidR="00CC7C31" w:rsidRPr="00F973B5">
        <w:rPr>
          <w:i/>
          <w:iCs/>
        </w:rPr>
        <w:t xml:space="preserve"> </w:t>
      </w:r>
      <w:r w:rsidR="00CC7C31" w:rsidRPr="00F973B5">
        <w:t xml:space="preserve">(2018) </w:t>
      </w:r>
      <w:hyperlink r:id="rId7" w:anchor=":~:text=Sales%20and%20purchases%20of%20digital,for%20purchases%20of%20digital%20currency." w:history="1">
        <w:r w:rsidR="00CC7C31" w:rsidRPr="00F973B5">
          <w:rPr>
            <w:rStyle w:val="Hyperlink"/>
            <w:i/>
            <w:iCs/>
          </w:rPr>
          <w:t>GST and digital currency</w:t>
        </w:r>
      </w:hyperlink>
      <w:r w:rsidR="00CC7C31" w:rsidRPr="00F973B5">
        <w:t xml:space="preserve">, </w:t>
      </w:r>
      <w:r w:rsidR="000E75AF" w:rsidRPr="00F973B5">
        <w:t xml:space="preserve">ATO website, </w:t>
      </w:r>
      <w:r w:rsidR="00CC7C31" w:rsidRPr="00F973B5">
        <w:t>a</w:t>
      </w:r>
      <w:r w:rsidR="00D1362A" w:rsidRPr="00F973B5">
        <w:t>cc</w:t>
      </w:r>
      <w:r w:rsidR="00DC3FD0" w:rsidRPr="00F973B5">
        <w:t xml:space="preserve">essed </w:t>
      </w:r>
      <w:r w:rsidR="00541FE2">
        <w:t>12 August</w:t>
      </w:r>
      <w:r w:rsidR="00541FE2" w:rsidRPr="00F973B5">
        <w:t xml:space="preserve"> 2022</w:t>
      </w:r>
      <w:r w:rsidR="00322E80">
        <w:t>.</w:t>
      </w:r>
    </w:p>
  </w:footnote>
  <w:footnote w:id="11">
    <w:p w14:paraId="4DCAD3BC" w14:textId="17DE59FF" w:rsidR="00911085" w:rsidRPr="00F973B5" w:rsidRDefault="00911085">
      <w:pPr>
        <w:pStyle w:val="FootnoteText"/>
      </w:pPr>
      <w:r w:rsidRPr="00F973B5">
        <w:rPr>
          <w:rStyle w:val="FootnoteReference"/>
          <w:sz w:val="18"/>
          <w:szCs w:val="18"/>
        </w:rPr>
        <w:footnoteRef/>
      </w:r>
      <w:r w:rsidRPr="00F973B5">
        <w:t xml:space="preserve"> </w:t>
      </w:r>
      <w:r w:rsidR="00DC3FD0" w:rsidRPr="00F973B5">
        <w:t xml:space="preserve">ATO (2022) </w:t>
      </w:r>
      <w:hyperlink r:id="rId8" w:history="1">
        <w:r w:rsidR="00541FE2">
          <w:rPr>
            <w:rStyle w:val="Hyperlink"/>
            <w:i/>
            <w:iCs/>
          </w:rPr>
          <w:t>Gifts and donations of crypto assets</w:t>
        </w:r>
      </w:hyperlink>
      <w:r w:rsidR="000E75AF" w:rsidRPr="00F973B5">
        <w:t xml:space="preserve">, ATO website, </w:t>
      </w:r>
      <w:r w:rsidR="00DC3FD0" w:rsidRPr="00F973B5">
        <w:t xml:space="preserve">accessed </w:t>
      </w:r>
      <w:r w:rsidR="00541FE2">
        <w:t>12 August</w:t>
      </w:r>
      <w:r w:rsidR="00DC3FD0" w:rsidRPr="00F973B5">
        <w:t xml:space="preserve"> 2022</w:t>
      </w:r>
      <w:r w:rsidR="00322E80">
        <w:t>.</w:t>
      </w:r>
    </w:p>
  </w:footnote>
  <w:footnote w:id="12">
    <w:p w14:paraId="5CAD70BC" w14:textId="18094EFF" w:rsidR="00911085" w:rsidRPr="00F973B5" w:rsidRDefault="00911085">
      <w:pPr>
        <w:pStyle w:val="FootnoteText"/>
      </w:pPr>
      <w:r w:rsidRPr="00F973B5">
        <w:rPr>
          <w:rStyle w:val="FootnoteReference"/>
          <w:sz w:val="18"/>
          <w:szCs w:val="18"/>
        </w:rPr>
        <w:footnoteRef/>
      </w:r>
      <w:r w:rsidRPr="00F973B5">
        <w:t xml:space="preserve"> </w:t>
      </w:r>
      <w:r w:rsidR="00DC3FD0" w:rsidRPr="00F973B5">
        <w:t>ATO (202</w:t>
      </w:r>
      <w:r w:rsidR="00322E80">
        <w:t>2</w:t>
      </w:r>
      <w:r w:rsidR="00DC3FD0" w:rsidRPr="00F973B5">
        <w:t xml:space="preserve">) </w:t>
      </w:r>
      <w:hyperlink r:id="rId9" w:history="1">
        <w:r w:rsidR="00541FE2">
          <w:rPr>
            <w:rStyle w:val="Hyperlink"/>
            <w:i/>
            <w:iCs/>
          </w:rPr>
          <w:t>Crypto assets used in business</w:t>
        </w:r>
      </w:hyperlink>
      <w:r w:rsidR="000E75AF" w:rsidRPr="00F973B5">
        <w:rPr>
          <w:rStyle w:val="Hyperlink"/>
          <w:i/>
          <w:iCs/>
        </w:rPr>
        <w:t>,</w:t>
      </w:r>
      <w:r w:rsidR="00DC3FD0" w:rsidRPr="00F973B5">
        <w:rPr>
          <w:i/>
          <w:iCs/>
        </w:rPr>
        <w:t xml:space="preserve"> </w:t>
      </w:r>
      <w:r w:rsidR="000E75AF" w:rsidRPr="00F973B5">
        <w:t xml:space="preserve">ATO website, </w:t>
      </w:r>
      <w:r w:rsidR="00DC3FD0" w:rsidRPr="00F973B5">
        <w:t xml:space="preserve">accessed </w:t>
      </w:r>
      <w:r w:rsidR="006127B3" w:rsidRPr="00F973B5">
        <w:t xml:space="preserve">12 </w:t>
      </w:r>
      <w:r w:rsidR="00541FE2">
        <w:t>August</w:t>
      </w:r>
      <w:r w:rsidR="00541FE2" w:rsidRPr="00F973B5">
        <w:t xml:space="preserve"> </w:t>
      </w:r>
      <w:r w:rsidR="00DC3FD0" w:rsidRPr="00F973B5">
        <w:t>2022</w:t>
      </w:r>
      <w:r w:rsidR="00322E80">
        <w:t>.</w:t>
      </w:r>
    </w:p>
  </w:footnote>
  <w:footnote w:id="13">
    <w:p w14:paraId="70C99EE5" w14:textId="5F781F7D" w:rsidR="00CB37A5" w:rsidRPr="00F973B5" w:rsidRDefault="00CB37A5">
      <w:pPr>
        <w:pStyle w:val="FootnoteText"/>
      </w:pPr>
      <w:r w:rsidRPr="00F973B5">
        <w:rPr>
          <w:rStyle w:val="FootnoteReference"/>
          <w:sz w:val="18"/>
          <w:szCs w:val="18"/>
        </w:rPr>
        <w:footnoteRef/>
      </w:r>
      <w:r w:rsidRPr="00F973B5">
        <w:t xml:space="preserve"> </w:t>
      </w:r>
      <w:r w:rsidR="00DC3FD0" w:rsidRPr="00F973B5">
        <w:t xml:space="preserve">ATO (2022) </w:t>
      </w:r>
      <w:hyperlink r:id="rId10" w:history="1">
        <w:r w:rsidR="00541FE2">
          <w:rPr>
            <w:rStyle w:val="Hyperlink"/>
            <w:i/>
            <w:iCs/>
          </w:rPr>
          <w:t>Non-fungible tokens</w:t>
        </w:r>
      </w:hyperlink>
      <w:r w:rsidR="000E75AF" w:rsidRPr="00F973B5">
        <w:rPr>
          <w:rStyle w:val="Hyperlink"/>
          <w:i/>
          <w:iCs/>
        </w:rPr>
        <w:t>,</w:t>
      </w:r>
      <w:r w:rsidR="00DC3FD0" w:rsidRPr="00F973B5">
        <w:rPr>
          <w:i/>
          <w:iCs/>
        </w:rPr>
        <w:t xml:space="preserve"> </w:t>
      </w:r>
      <w:r w:rsidR="000E75AF" w:rsidRPr="00F973B5">
        <w:t>ATO website</w:t>
      </w:r>
      <w:r w:rsidR="000E75AF" w:rsidRPr="00F973B5">
        <w:rPr>
          <w:i/>
          <w:iCs/>
        </w:rPr>
        <w:t xml:space="preserve">, </w:t>
      </w:r>
      <w:r w:rsidR="00DC3FD0" w:rsidRPr="00F973B5">
        <w:t xml:space="preserve">accessed </w:t>
      </w:r>
      <w:r w:rsidR="006127B3" w:rsidRPr="00F973B5">
        <w:t xml:space="preserve">12 </w:t>
      </w:r>
      <w:r w:rsidR="00541FE2">
        <w:t>August</w:t>
      </w:r>
      <w:r w:rsidR="00541FE2" w:rsidRPr="00F973B5">
        <w:t xml:space="preserve"> </w:t>
      </w:r>
      <w:r w:rsidR="00DC3FD0" w:rsidRPr="00F973B5">
        <w:t>2022</w:t>
      </w:r>
      <w:r w:rsidR="00322E80">
        <w:t>.</w:t>
      </w:r>
    </w:p>
  </w:footnote>
  <w:footnote w:id="14">
    <w:p w14:paraId="7B7E44B4" w14:textId="6221FCBC" w:rsidR="00AD247A" w:rsidRPr="00E169A4" w:rsidRDefault="00AD247A" w:rsidP="00F31694">
      <w:pPr>
        <w:pStyle w:val="FootnoteText"/>
        <w:tabs>
          <w:tab w:val="clear" w:pos="567"/>
          <w:tab w:val="left" w:pos="0"/>
        </w:tabs>
        <w:ind w:left="142" w:hanging="142"/>
      </w:pPr>
      <w:r w:rsidRPr="00F973B5">
        <w:rPr>
          <w:rStyle w:val="FootnoteReference"/>
          <w:sz w:val="18"/>
          <w:szCs w:val="18"/>
        </w:rPr>
        <w:footnoteRef/>
      </w:r>
      <w:r w:rsidRPr="00F973B5">
        <w:t xml:space="preserve"> </w:t>
      </w:r>
      <w:r w:rsidRPr="00F973B5">
        <w:rPr>
          <w:rFonts w:asciiTheme="minorHAnsi" w:hAnsiTheme="minorHAnsi" w:cstheme="minorHAnsi"/>
        </w:rPr>
        <w:t>OECD (2015)</w:t>
      </w:r>
      <w:r w:rsidR="00E169A4">
        <w:rPr>
          <w:rFonts w:asciiTheme="minorHAnsi" w:hAnsiTheme="minorHAnsi" w:cstheme="minorHAnsi"/>
        </w:rPr>
        <w:t>,</w:t>
      </w:r>
      <w:r w:rsidRPr="00F973B5">
        <w:rPr>
          <w:rFonts w:asciiTheme="minorHAnsi" w:hAnsiTheme="minorHAnsi" w:cstheme="minorHAnsi"/>
        </w:rPr>
        <w:t xml:space="preserve"> </w:t>
      </w:r>
      <w:r w:rsidRPr="00F31694">
        <w:rPr>
          <w:rFonts w:asciiTheme="minorHAnsi" w:hAnsiTheme="minorHAnsi" w:cstheme="minorHAnsi"/>
          <w:i/>
          <w:iCs/>
        </w:rPr>
        <w:t>Addressing the Tax Challenges of the Digital Economy ACTION 1: 2015 Final Report</w:t>
      </w:r>
      <w:r w:rsidR="00E169A4">
        <w:rPr>
          <w:rFonts w:asciiTheme="minorHAnsi" w:hAnsiTheme="minorHAnsi" w:cstheme="minorHAnsi"/>
        </w:rPr>
        <w:t xml:space="preserve">, OECD/G20 Base Erosion and Profit Shifting Project, OECD Publishing, Paris, </w:t>
      </w:r>
      <w:hyperlink r:id="rId11" w:history="1">
        <w:r w:rsidR="00E169A4" w:rsidRPr="00084CC5">
          <w:rPr>
            <w:rStyle w:val="Hyperlink"/>
          </w:rPr>
          <w:t>https://doi.org/10.1787/9789264241046-en</w:t>
        </w:r>
      </w:hyperlink>
      <w:r w:rsidR="00322E80">
        <w:rPr>
          <w:rStyle w:val="Hyperlink"/>
        </w:rPr>
        <w:t>.</w:t>
      </w:r>
    </w:p>
  </w:footnote>
  <w:footnote w:id="15">
    <w:p w14:paraId="165F69BB" w14:textId="1ACD93EC" w:rsidR="000E75AF" w:rsidRPr="00F973B5" w:rsidRDefault="000E75AF" w:rsidP="00C92B4D">
      <w:pPr>
        <w:pStyle w:val="FootnoteText"/>
        <w:tabs>
          <w:tab w:val="clear" w:pos="567"/>
          <w:tab w:val="left" w:pos="0"/>
        </w:tabs>
        <w:ind w:left="142" w:hanging="142"/>
      </w:pPr>
      <w:r w:rsidRPr="00F973B5">
        <w:rPr>
          <w:rStyle w:val="FootnoteReference"/>
          <w:sz w:val="18"/>
          <w:szCs w:val="18"/>
        </w:rPr>
        <w:footnoteRef/>
      </w:r>
      <w:r w:rsidRPr="00F973B5">
        <w:t xml:space="preserve"> OECD (2020)</w:t>
      </w:r>
      <w:r w:rsidR="00322E80">
        <w:t>,</w:t>
      </w:r>
      <w:r w:rsidRPr="00F973B5">
        <w:t xml:space="preserve"> </w:t>
      </w:r>
      <w:r w:rsidRPr="006D7646">
        <w:rPr>
          <w:i/>
          <w:iCs/>
        </w:rPr>
        <w:t>Taxing Virtual Currencies: An Overview of Tax Treatments and Emerging Tax Policy Issues</w:t>
      </w:r>
      <w:r w:rsidR="00E70BE9" w:rsidRPr="00F973B5">
        <w:t>, OECD, Paris</w:t>
      </w:r>
      <w:r w:rsidR="007904B2">
        <w:t>,</w:t>
      </w:r>
      <w:r w:rsidR="00E70BE9" w:rsidRPr="00F973B5">
        <w:t xml:space="preserve"> </w:t>
      </w:r>
      <w:hyperlink r:id="rId12" w:history="1">
        <w:r w:rsidR="00E70BE9" w:rsidRPr="00F973B5">
          <w:rPr>
            <w:rStyle w:val="Hyperlink"/>
          </w:rPr>
          <w:t>https://www.oecd.org/tax/tax-policy/taxing-virtual-currencies-an-overview-of-tax-treatments-and-emerging-tax-policy-issues.htm</w:t>
        </w:r>
      </w:hyperlink>
      <w:r w:rsidR="00322E80">
        <w:rPr>
          <w:rStyle w:val="Hyperlink"/>
        </w:rPr>
        <w:t>.</w:t>
      </w:r>
    </w:p>
  </w:footnote>
  <w:footnote w:id="16">
    <w:p w14:paraId="639E7C7B" w14:textId="33DA4376" w:rsidR="00E70BE9" w:rsidRPr="00F973B5" w:rsidRDefault="00E70BE9" w:rsidP="00C92B4D">
      <w:pPr>
        <w:pStyle w:val="FootnoteText"/>
        <w:tabs>
          <w:tab w:val="clear" w:pos="567"/>
          <w:tab w:val="left" w:pos="142"/>
        </w:tabs>
        <w:ind w:left="142" w:hanging="142"/>
      </w:pPr>
      <w:r w:rsidRPr="00F973B5">
        <w:rPr>
          <w:rStyle w:val="FootnoteReference"/>
          <w:sz w:val="18"/>
          <w:szCs w:val="18"/>
        </w:rPr>
        <w:footnoteRef/>
      </w:r>
      <w:r w:rsidRPr="00F973B5">
        <w:t xml:space="preserve"> OECD (2022), </w:t>
      </w:r>
      <w:r w:rsidRPr="006D7646">
        <w:rPr>
          <w:i/>
          <w:iCs/>
        </w:rPr>
        <w:t xml:space="preserve">OECD seeks input on new tax transparency framework for crypto-assets and amendments </w:t>
      </w:r>
      <w:r w:rsidR="00E9594B" w:rsidRPr="006D7646">
        <w:rPr>
          <w:i/>
          <w:iCs/>
        </w:rPr>
        <w:t>to</w:t>
      </w:r>
      <w:r w:rsidRPr="006D7646">
        <w:rPr>
          <w:i/>
          <w:iCs/>
        </w:rPr>
        <w:t xml:space="preserve"> the Common Reporting Standard</w:t>
      </w:r>
      <w:r w:rsidRPr="00F973B5">
        <w:t>, OECD</w:t>
      </w:r>
      <w:r w:rsidR="007904B2">
        <w:t>,</w:t>
      </w:r>
      <w:r w:rsidRPr="00F973B5">
        <w:t xml:space="preserve"> </w:t>
      </w:r>
      <w:hyperlink r:id="rId13" w:history="1">
        <w:r w:rsidR="00E169A4">
          <w:rPr>
            <w:rStyle w:val="Hyperlink"/>
          </w:rPr>
          <w:t>https://www.oecd.org/ctp/exchange-of-tax-information/oecd-seeks-input-on-new-tax-transparency-framework-for-crypto-assets-and-amendments-to-the-common-reporting-standard.htm</w:t>
        </w:r>
      </w:hyperlink>
      <w:r w:rsidR="00B774A6">
        <w:rPr>
          <w:rStyle w:val="Hyperlink"/>
        </w:rPr>
        <w:t>.</w:t>
      </w:r>
    </w:p>
  </w:footnote>
  <w:footnote w:id="17">
    <w:p w14:paraId="0A768CB6" w14:textId="65766B76" w:rsidR="00E91E01" w:rsidRPr="00670052" w:rsidRDefault="00E91E01" w:rsidP="006D7646">
      <w:pPr>
        <w:pStyle w:val="NormalWeb"/>
        <w:shd w:val="clear" w:color="auto" w:fill="FFFFFF"/>
        <w:spacing w:before="0" w:beforeAutospacing="0" w:after="0" w:afterAutospacing="0"/>
        <w:ind w:left="142" w:hanging="142"/>
      </w:pPr>
      <w:r w:rsidRPr="00F973B5">
        <w:rPr>
          <w:rStyle w:val="FootnoteReference"/>
          <w:sz w:val="18"/>
          <w:szCs w:val="18"/>
        </w:rPr>
        <w:footnoteRef/>
      </w:r>
      <w:r w:rsidRPr="00F973B5">
        <w:t xml:space="preserve"> </w:t>
      </w:r>
      <w:r w:rsidR="00670052" w:rsidRPr="00FE51EC">
        <w:rPr>
          <w:rFonts w:ascii="Calibri" w:hAnsi="Calibri"/>
          <w:sz w:val="18"/>
          <w:szCs w:val="18"/>
        </w:rPr>
        <w:t>Krause,</w:t>
      </w:r>
      <w:r w:rsidR="00710C5A">
        <w:rPr>
          <w:rFonts w:ascii="Calibri" w:hAnsi="Calibri"/>
          <w:sz w:val="18"/>
          <w:szCs w:val="18"/>
        </w:rPr>
        <w:t xml:space="preserve"> </w:t>
      </w:r>
      <w:r w:rsidR="00670052" w:rsidRPr="00FE51EC">
        <w:rPr>
          <w:rFonts w:ascii="Calibri" w:hAnsi="Calibri"/>
          <w:sz w:val="18"/>
          <w:szCs w:val="18"/>
        </w:rPr>
        <w:t xml:space="preserve">Solvej Karla </w:t>
      </w:r>
      <w:r w:rsidR="00670052" w:rsidRPr="00FE51EC">
        <w:rPr>
          <w:rFonts w:ascii="Calibri" w:hAnsi="Calibri"/>
          <w:sz w:val="18"/>
          <w:szCs w:val="18"/>
        </w:rPr>
        <w:t>Natarajan,Harish Gradstein</w:t>
      </w:r>
      <w:r w:rsidR="00710C5A">
        <w:rPr>
          <w:rFonts w:ascii="Calibri" w:hAnsi="Calibri"/>
          <w:sz w:val="18"/>
          <w:szCs w:val="18"/>
        </w:rPr>
        <w:t xml:space="preserve"> and </w:t>
      </w:r>
      <w:r w:rsidR="00670052" w:rsidRPr="00FE51EC">
        <w:rPr>
          <w:rFonts w:ascii="Calibri" w:hAnsi="Calibri"/>
          <w:sz w:val="18"/>
          <w:szCs w:val="18"/>
        </w:rPr>
        <w:t>Helen Luskin</w:t>
      </w:r>
      <w:r w:rsidR="00670052" w:rsidRPr="006D7646">
        <w:rPr>
          <w:rFonts w:ascii="Calibri" w:hAnsi="Calibri"/>
          <w:i/>
          <w:iCs/>
          <w:sz w:val="18"/>
          <w:szCs w:val="18"/>
        </w:rPr>
        <w:t>, Distributed Ledger Technology (DLT) and blockchain (English). FinTech note,</w:t>
      </w:r>
      <w:r w:rsidR="00710C5A">
        <w:rPr>
          <w:rFonts w:ascii="Calibri" w:hAnsi="Calibri"/>
          <w:i/>
          <w:iCs/>
          <w:sz w:val="18"/>
          <w:szCs w:val="18"/>
        </w:rPr>
        <w:t xml:space="preserve"> </w:t>
      </w:r>
      <w:r w:rsidR="00670052" w:rsidRPr="006D7646">
        <w:rPr>
          <w:rFonts w:ascii="Calibri" w:hAnsi="Calibri"/>
          <w:i/>
          <w:iCs/>
          <w:sz w:val="18"/>
          <w:szCs w:val="18"/>
        </w:rPr>
        <w:t>no. 1</w:t>
      </w:r>
      <w:r w:rsidR="00710C5A">
        <w:rPr>
          <w:rFonts w:ascii="Calibri" w:hAnsi="Calibri"/>
          <w:i/>
          <w:iCs/>
          <w:sz w:val="18"/>
          <w:szCs w:val="18"/>
        </w:rPr>
        <w:t>,</w:t>
      </w:r>
      <w:r w:rsidR="00670052" w:rsidRPr="00FE51EC">
        <w:rPr>
          <w:rFonts w:ascii="Calibri" w:hAnsi="Calibri"/>
          <w:sz w:val="18"/>
          <w:szCs w:val="18"/>
        </w:rPr>
        <w:t xml:space="preserve"> Washington, D.C</w:t>
      </w:r>
      <w:r w:rsidR="00710C5A">
        <w:rPr>
          <w:rFonts w:ascii="Calibri" w:hAnsi="Calibri"/>
          <w:sz w:val="18"/>
          <w:szCs w:val="18"/>
        </w:rPr>
        <w:t>,</w:t>
      </w:r>
      <w:r w:rsidR="00670052" w:rsidRPr="00FE51EC">
        <w:rPr>
          <w:rFonts w:ascii="Calibri" w:hAnsi="Calibri"/>
          <w:sz w:val="18"/>
          <w:szCs w:val="18"/>
        </w:rPr>
        <w:t xml:space="preserve"> World Bank Group</w:t>
      </w:r>
      <w:r w:rsidR="007904B2">
        <w:rPr>
          <w:rFonts w:ascii="Calibri" w:hAnsi="Calibri"/>
          <w:sz w:val="18"/>
          <w:szCs w:val="18"/>
        </w:rPr>
        <w:t>,</w:t>
      </w:r>
      <w:r w:rsidR="00670052">
        <w:rPr>
          <w:rFonts w:ascii="Calibri" w:hAnsi="Calibri"/>
          <w:sz w:val="18"/>
          <w:szCs w:val="18"/>
        </w:rPr>
        <w:t xml:space="preserve"> </w:t>
      </w:r>
      <w:hyperlink r:id="rId14" w:history="1">
        <w:r w:rsidR="00670052" w:rsidRPr="00670052">
          <w:rPr>
            <w:rStyle w:val="Hyperlink"/>
            <w:rFonts w:ascii="Calibri" w:hAnsi="Calibri"/>
            <w:sz w:val="18"/>
            <w:szCs w:val="18"/>
          </w:rPr>
          <w:t>h</w:t>
        </w:r>
        <w:r w:rsidR="00670052" w:rsidRPr="00FE51EC">
          <w:rPr>
            <w:rStyle w:val="Hyperlink"/>
            <w:rFonts w:ascii="Calibri" w:hAnsi="Calibri"/>
            <w:sz w:val="18"/>
            <w:szCs w:val="18"/>
          </w:rPr>
          <w:t>ttp://documents.worldbank.org/curated/en/177911513714062215/Distributed-Ledger-Technology-DLT-and-blockchain</w:t>
        </w:r>
      </w:hyperlink>
      <w:r w:rsidR="00710C5A">
        <w:rPr>
          <w:rStyle w:val="Hyperlink"/>
          <w:rFonts w:ascii="Calibri" w:hAnsi="Calibri"/>
          <w:sz w:val="18"/>
          <w:szCs w:val="18"/>
        </w:rPr>
        <w:t>.</w:t>
      </w:r>
    </w:p>
  </w:footnote>
  <w:footnote w:id="18">
    <w:p w14:paraId="0100EBB3" w14:textId="209846DF" w:rsidR="00E91E01" w:rsidRPr="00F973B5" w:rsidRDefault="00E91E01" w:rsidP="00F973B5">
      <w:pPr>
        <w:pStyle w:val="FootnoteText"/>
        <w:tabs>
          <w:tab w:val="clear" w:pos="567"/>
          <w:tab w:val="left" w:pos="0"/>
        </w:tabs>
        <w:ind w:left="142" w:hanging="142"/>
      </w:pPr>
      <w:r w:rsidRPr="00F973B5">
        <w:rPr>
          <w:rStyle w:val="FootnoteReference"/>
          <w:sz w:val="18"/>
          <w:szCs w:val="18"/>
        </w:rPr>
        <w:footnoteRef/>
      </w:r>
      <w:r w:rsidRPr="00F973B5">
        <w:t xml:space="preserve"> </w:t>
      </w:r>
      <w:r w:rsidR="00E9594B" w:rsidRPr="00F973B5">
        <w:t>See footnote 14</w:t>
      </w:r>
      <w:r w:rsidR="00710C5A">
        <w:t>.</w:t>
      </w:r>
      <w:r w:rsidRPr="00F973B5">
        <w:t xml:space="preserve"> </w:t>
      </w:r>
    </w:p>
  </w:footnote>
  <w:footnote w:id="19">
    <w:p w14:paraId="1B5EF3BE" w14:textId="36428C90" w:rsidR="00E91E01" w:rsidRPr="00F973B5" w:rsidRDefault="00E91E01" w:rsidP="00F973B5">
      <w:pPr>
        <w:pStyle w:val="FootnoteText"/>
        <w:tabs>
          <w:tab w:val="clear" w:pos="567"/>
          <w:tab w:val="left" w:pos="142"/>
        </w:tabs>
        <w:ind w:left="142" w:hanging="142"/>
      </w:pPr>
      <w:r w:rsidRPr="00F973B5">
        <w:rPr>
          <w:rStyle w:val="FootnoteReference"/>
          <w:sz w:val="18"/>
          <w:szCs w:val="18"/>
        </w:rPr>
        <w:footnoteRef/>
      </w:r>
      <w:r w:rsidRPr="00F973B5">
        <w:t xml:space="preserve"> </w:t>
      </w:r>
      <w:r w:rsidR="00E9594B" w:rsidRPr="00F973B5">
        <w:t>See footnote 16</w:t>
      </w:r>
      <w:r w:rsidR="00710C5A">
        <w:t>.</w:t>
      </w:r>
      <w:r w:rsidR="00F87E8C" w:rsidRPr="00F973B5">
        <w:rPr>
          <w:rStyle w:val="Hyperlink"/>
        </w:rPr>
        <w:t xml:space="preserve"> </w:t>
      </w:r>
    </w:p>
  </w:footnote>
  <w:footnote w:id="20">
    <w:p w14:paraId="0A4A0057" w14:textId="31D46E1A" w:rsidR="005A4679" w:rsidRPr="00F973B5" w:rsidRDefault="005A4679" w:rsidP="00F973B5">
      <w:pPr>
        <w:pStyle w:val="FootnoteText"/>
        <w:tabs>
          <w:tab w:val="clear" w:pos="567"/>
          <w:tab w:val="left" w:pos="284"/>
        </w:tabs>
        <w:ind w:left="142" w:hanging="142"/>
      </w:pPr>
      <w:r w:rsidRPr="00F973B5">
        <w:rPr>
          <w:rStyle w:val="FootnoteReference"/>
          <w:sz w:val="18"/>
          <w:szCs w:val="18"/>
        </w:rPr>
        <w:footnoteRef/>
      </w:r>
      <w:r w:rsidRPr="00F973B5">
        <w:t xml:space="preserve"> European Parliament, Directorate-General for Internal Policies of the Union, </w:t>
      </w:r>
      <w:r w:rsidRPr="00F973B5">
        <w:t>Snyers, A., Houben, R., </w:t>
      </w:r>
      <w:r w:rsidRPr="00F973B5">
        <w:rPr>
          <w:i/>
          <w:iCs/>
        </w:rPr>
        <w:t>Cryptocurrencies and blockchain : legal context and implications for financial crime, money laundering and tax evasion</w:t>
      </w:r>
      <w:r w:rsidRPr="00F973B5">
        <w:t>, European Parliament, 2018, </w:t>
      </w:r>
      <w:hyperlink r:id="rId15" w:history="1">
        <w:r w:rsidR="00670052">
          <w:rPr>
            <w:rStyle w:val="Hyperlink"/>
          </w:rPr>
          <w:t>https://data.europa.eu/doi/10.2861/280969</w:t>
        </w:r>
      </w:hyperlink>
      <w:r w:rsidR="00710C5A">
        <w:rPr>
          <w:rStyle w:val="Hyperlink"/>
        </w:rPr>
        <w:t>.</w:t>
      </w:r>
    </w:p>
  </w:footnote>
  <w:footnote w:id="21">
    <w:p w14:paraId="24B97EF7" w14:textId="0C33E57B" w:rsidR="00E91E01" w:rsidRPr="00F973B5" w:rsidRDefault="00E91E01" w:rsidP="00F973B5">
      <w:pPr>
        <w:pStyle w:val="FootnoteText"/>
        <w:tabs>
          <w:tab w:val="clear" w:pos="567"/>
          <w:tab w:val="left" w:pos="0"/>
        </w:tabs>
        <w:ind w:left="142" w:hanging="142"/>
      </w:pPr>
      <w:r w:rsidRPr="00F973B5">
        <w:rPr>
          <w:rStyle w:val="FootnoteReference"/>
          <w:sz w:val="18"/>
          <w:szCs w:val="18"/>
        </w:rPr>
        <w:footnoteRef/>
      </w:r>
      <w:r w:rsidRPr="00F973B5">
        <w:t xml:space="preserve"> </w:t>
      </w:r>
      <w:r w:rsidR="00E9594B" w:rsidRPr="00F973B5">
        <w:t>See footnote 1</w:t>
      </w:r>
      <w:r w:rsidR="00CA0D11">
        <w:t>6</w:t>
      </w:r>
      <w:r w:rsidR="00710C5A">
        <w:t>.</w:t>
      </w:r>
    </w:p>
  </w:footnote>
  <w:footnote w:id="22">
    <w:p w14:paraId="7B489EE2" w14:textId="51F9E5CA" w:rsidR="00E91E01" w:rsidRPr="00F973B5" w:rsidRDefault="00E91E01" w:rsidP="00F973B5">
      <w:pPr>
        <w:pStyle w:val="FootnoteText"/>
        <w:tabs>
          <w:tab w:val="clear" w:pos="567"/>
          <w:tab w:val="left" w:pos="0"/>
        </w:tabs>
        <w:ind w:left="142" w:hanging="142"/>
      </w:pPr>
      <w:r w:rsidRPr="00F973B5">
        <w:rPr>
          <w:rStyle w:val="FootnoteReference"/>
          <w:sz w:val="18"/>
          <w:szCs w:val="18"/>
        </w:rPr>
        <w:footnoteRef/>
      </w:r>
      <w:r w:rsidRPr="00F973B5">
        <w:t xml:space="preserve"> </w:t>
      </w:r>
      <w:r w:rsidR="00E9594B" w:rsidRPr="00F973B5">
        <w:t>See footnote 1</w:t>
      </w:r>
      <w:r w:rsidR="00CA0D11">
        <w:t>4</w:t>
      </w:r>
      <w:r w:rsidR="00710C5A">
        <w:t>.</w:t>
      </w:r>
    </w:p>
  </w:footnote>
  <w:footnote w:id="23">
    <w:p w14:paraId="2C0441CC" w14:textId="6A8ACA6F" w:rsidR="00E91E01" w:rsidRPr="00F973B5" w:rsidRDefault="00E91E01" w:rsidP="00C92B4D">
      <w:pPr>
        <w:pStyle w:val="FootnoteText"/>
        <w:tabs>
          <w:tab w:val="clear" w:pos="567"/>
          <w:tab w:val="left" w:pos="0"/>
        </w:tabs>
        <w:spacing w:before="0"/>
        <w:ind w:left="142" w:hanging="142"/>
      </w:pPr>
      <w:r w:rsidRPr="00F973B5">
        <w:rPr>
          <w:rStyle w:val="FootnoteReference"/>
          <w:sz w:val="18"/>
          <w:szCs w:val="18"/>
        </w:rPr>
        <w:footnoteRef/>
      </w:r>
      <w:r w:rsidRPr="00F973B5">
        <w:t xml:space="preserve"> </w:t>
      </w:r>
      <w:r w:rsidR="00E9594B" w:rsidRPr="00F973B5">
        <w:t xml:space="preserve">See footnote </w:t>
      </w:r>
      <w:r w:rsidR="00CA0D11">
        <w:t>16</w:t>
      </w:r>
      <w:r w:rsidR="00710C5A">
        <w:t>.</w:t>
      </w:r>
      <w:r w:rsidRPr="00F973B5">
        <w:t xml:space="preserve"> </w:t>
      </w:r>
    </w:p>
  </w:footnote>
  <w:footnote w:id="24">
    <w:p w14:paraId="3A5CEA61" w14:textId="7452B803" w:rsidR="00E91E01" w:rsidRPr="00F973B5" w:rsidRDefault="00E91E01" w:rsidP="00F973B5">
      <w:pPr>
        <w:pStyle w:val="FootnoteText"/>
        <w:tabs>
          <w:tab w:val="clear" w:pos="567"/>
          <w:tab w:val="left" w:pos="0"/>
        </w:tabs>
        <w:ind w:left="142" w:hanging="142"/>
      </w:pPr>
      <w:r w:rsidRPr="00F973B5">
        <w:rPr>
          <w:rStyle w:val="FootnoteReference"/>
          <w:sz w:val="18"/>
          <w:szCs w:val="18"/>
        </w:rPr>
        <w:footnoteRef/>
      </w:r>
      <w:r w:rsidRPr="00F973B5">
        <w:t xml:space="preserve"> </w:t>
      </w:r>
      <w:r w:rsidR="00710C5A" w:rsidRPr="00F973B5">
        <w:t>I</w:t>
      </w:r>
      <w:r w:rsidR="00E9594B" w:rsidRPr="00F973B5">
        <w:t>bid</w:t>
      </w:r>
      <w:r w:rsidR="00710C5A">
        <w:t>.</w:t>
      </w:r>
      <w:r w:rsidR="00135E2D" w:rsidRPr="00F973B5">
        <w:t xml:space="preserve"> </w:t>
      </w:r>
    </w:p>
  </w:footnote>
  <w:footnote w:id="25">
    <w:p w14:paraId="199858B8" w14:textId="7AF145E1" w:rsidR="00E91E01" w:rsidRDefault="00E91E01" w:rsidP="00F973B5">
      <w:pPr>
        <w:pStyle w:val="FootnoteText"/>
        <w:tabs>
          <w:tab w:val="clear" w:pos="567"/>
          <w:tab w:val="left" w:pos="0"/>
        </w:tabs>
        <w:ind w:left="142" w:hanging="142"/>
      </w:pPr>
      <w:r w:rsidRPr="00F973B5">
        <w:rPr>
          <w:rStyle w:val="FootnoteReference"/>
          <w:sz w:val="18"/>
          <w:szCs w:val="18"/>
        </w:rPr>
        <w:footnoteRef/>
      </w:r>
      <w:r w:rsidRPr="00F973B5">
        <w:t xml:space="preserve"> </w:t>
      </w:r>
      <w:r w:rsidR="00710C5A" w:rsidRPr="00F973B5">
        <w:t>I</w:t>
      </w:r>
      <w:r w:rsidR="00E9594B" w:rsidRPr="00F973B5">
        <w:t>bid</w:t>
      </w:r>
      <w:r w:rsidR="00710C5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2F0A" w14:textId="7DF06092" w:rsidR="00D3340C" w:rsidRDefault="00D3340C">
    <w:pPr>
      <w:pStyle w:val="HeaderEven"/>
    </w:pPr>
    <w:r>
      <w:t>Chapter name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E7CF" w14:textId="4CA22BB6" w:rsidR="00E94FCA" w:rsidRDefault="00E94F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CA04" w14:textId="0473CC13" w:rsidR="00E94FCA" w:rsidRDefault="002D1219">
    <w:pPr>
      <w:pStyle w:val="Header"/>
    </w:pPr>
    <w:r>
      <w:rPr>
        <w:noProof/>
      </w:rPr>
      <mc:AlternateContent>
        <mc:Choice Requires="wps">
          <w:drawing>
            <wp:anchor distT="45720" distB="45720" distL="114300" distR="114300" simplePos="0" relativeHeight="251658249" behindDoc="0" locked="0" layoutInCell="1" allowOverlap="1" wp14:anchorId="7C9EE49A" wp14:editId="76B4EE4A">
              <wp:simplePos x="0" y="0"/>
              <wp:positionH relativeFrom="margin">
                <wp:posOffset>0</wp:posOffset>
              </wp:positionH>
              <wp:positionV relativeFrom="paragraph">
                <wp:posOffset>191135</wp:posOffset>
              </wp:positionV>
              <wp:extent cx="6381750" cy="1404620"/>
              <wp:effectExtent l="0" t="0" r="0" b="63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noFill/>
                        <a:miter lim="800000"/>
                        <a:headEnd/>
                        <a:tailEnd/>
                      </a:ln>
                    </wps:spPr>
                    <wps:txbx>
                      <w:txbxContent>
                        <w:p w14:paraId="64D0C894" w14:textId="6D1AEC5E" w:rsidR="002D1219" w:rsidRDefault="002D1219" w:rsidP="002D121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EE49A" id="_x0000_t202" coordsize="21600,21600" o:spt="202" path="m,l,21600r21600,l21600,xe">
              <v:stroke joinstyle="miter"/>
              <v:path gradientshapeok="t" o:connecttype="rect"/>
            </v:shapetype>
            <v:shape id="Text Box 8" o:spid="_x0000_s1031" type="#_x0000_t202" style="position:absolute;left:0;text-align:left;margin-left:0;margin-top:15.05pt;width:502.5pt;height:110.6pt;z-index:2516582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kbEwIAAP4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" stroked="f">
              <v:textbox style="mso-fit-shape-to-text:t">
                <w:txbxContent>
                  <w:p w14:paraId="64D0C894" w14:textId="6D1AEC5E" w:rsidR="002D1219" w:rsidRDefault="002D1219" w:rsidP="002D1219">
                    <w:pPr>
                      <w:jc w:val="center"/>
                    </w:pPr>
                  </w:p>
                </w:txbxContent>
              </v:textbox>
              <w10:wrap type="square" anchorx="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5CAC" w14:textId="201B2689" w:rsidR="00B46B05" w:rsidRDefault="006644A3" w:rsidP="00B46B05">
    <w:pPr>
      <w:pStyle w:val="Header"/>
      <w:jc w:val="center"/>
    </w:pPr>
    <w:r>
      <w:rPr>
        <w:noProof/>
      </w:rPr>
      <mc:AlternateContent>
        <mc:Choice Requires="wps">
          <w:drawing>
            <wp:anchor distT="45720" distB="45720" distL="114300" distR="114300" simplePos="0" relativeHeight="251658248" behindDoc="0" locked="0" layoutInCell="1" allowOverlap="1" wp14:anchorId="71BE2B15" wp14:editId="56D10E97">
              <wp:simplePos x="0" y="0"/>
              <wp:positionH relativeFrom="margin">
                <wp:align>right</wp:align>
              </wp:positionH>
              <wp:positionV relativeFrom="paragraph">
                <wp:posOffset>-166716</wp:posOffset>
              </wp:positionV>
              <wp:extent cx="6381750" cy="1404620"/>
              <wp:effectExtent l="0" t="0" r="0" b="63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noFill/>
                        <a:miter lim="800000"/>
                        <a:headEnd/>
                        <a:tailEnd/>
                      </a:ln>
                    </wps:spPr>
                    <wps:txbx>
                      <w:txbxContent>
                        <w:p w14:paraId="27FAF746" w14:textId="3CEAD533" w:rsidR="006644A3" w:rsidRDefault="006644A3" w:rsidP="006644A3">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E2B15" id="_x0000_t202" coordsize="21600,21600" o:spt="202" path="m,l,21600r21600,l21600,xe">
              <v:stroke joinstyle="miter"/>
              <v:path gradientshapeok="t" o:connecttype="rect"/>
            </v:shapetype>
            <v:shape id="Text Box 7" o:spid="_x0000_s1032" type="#_x0000_t202" style="position:absolute;left:0;text-align:left;margin-left:451.3pt;margin-top:-13.15pt;width:502.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vaEwIAAP4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" stroked="f">
              <v:textbox style="mso-fit-shape-to-text:t">
                <w:txbxContent>
                  <w:p w14:paraId="27FAF746" w14:textId="3CEAD533" w:rsidR="006644A3" w:rsidRDefault="006644A3" w:rsidP="006644A3">
                    <w:pPr>
                      <w:jc w:val="center"/>
                    </w:pPr>
                  </w:p>
                </w:txbxContent>
              </v:textbox>
              <w10:wrap type="square" anchorx="margin"/>
            </v:shape>
          </w:pict>
        </mc:Fallback>
      </mc:AlternateContent>
    </w:r>
    <w:r>
      <w:rPr>
        <w:noProof/>
      </w:rPr>
      <w:drawing>
        <wp:anchor distT="0" distB="0" distL="114300" distR="114300" simplePos="0" relativeHeight="251658242" behindDoc="1" locked="0" layoutInCell="1" allowOverlap="1" wp14:anchorId="628BE0CB" wp14:editId="07BBEB96">
          <wp:simplePos x="0" y="0"/>
          <wp:positionH relativeFrom="page">
            <wp:posOffset>26035</wp:posOffset>
          </wp:positionH>
          <wp:positionV relativeFrom="page">
            <wp:posOffset>562899</wp:posOffset>
          </wp:positionV>
          <wp:extent cx="7543800" cy="181165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no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811655"/>
                  </a:xfrm>
                  <a:prstGeom prst="rect">
                    <a:avLst/>
                  </a:prstGeom>
                </pic:spPr>
              </pic:pic>
            </a:graphicData>
          </a:graphic>
          <wp14:sizeRelH relativeFrom="margin">
            <wp14:pctWidth>0</wp14:pctWidth>
          </wp14:sizeRelH>
          <wp14:sizeRelV relativeFrom="margin">
            <wp14:pctHeight>0</wp14:pctHeight>
          </wp14:sizeRelV>
        </wp:anchor>
      </w:drawing>
    </w:r>
  </w:p>
  <w:p w14:paraId="7BA909B3" w14:textId="77777777" w:rsidR="00B46B05" w:rsidRDefault="00B46B05" w:rsidP="00B46B05">
    <w:pPr>
      <w:pStyle w:val="Header"/>
      <w:jc w:val="center"/>
    </w:pPr>
  </w:p>
  <w:p w14:paraId="1EE6025A" w14:textId="77777777" w:rsidR="00B46B05" w:rsidRDefault="00B46B05" w:rsidP="00B46B05">
    <w:pPr>
      <w:pStyle w:val="Header"/>
      <w:jc w:val="center"/>
    </w:pPr>
  </w:p>
  <w:p w14:paraId="78F506F1" w14:textId="77777777" w:rsidR="00B46B05" w:rsidRDefault="00B46B05" w:rsidP="00B46B05">
    <w:pPr>
      <w:pStyle w:val="Header"/>
      <w:jc w:val="center"/>
    </w:pPr>
  </w:p>
  <w:p w14:paraId="6B1839FE" w14:textId="77777777" w:rsidR="00B46B05" w:rsidRDefault="00B46B05" w:rsidP="00B46B05">
    <w:pPr>
      <w:pStyle w:val="Header"/>
      <w:jc w:val="center"/>
    </w:pPr>
  </w:p>
  <w:p w14:paraId="1B75BB96" w14:textId="77777777" w:rsidR="00B46B05" w:rsidRDefault="00B46B05" w:rsidP="00B46B05">
    <w:pPr>
      <w:pStyle w:val="Header"/>
      <w:jc w:val="center"/>
    </w:pPr>
  </w:p>
  <w:p w14:paraId="0EAA3C24" w14:textId="77777777" w:rsidR="00B46B05" w:rsidRDefault="00B46B05" w:rsidP="00B46B05">
    <w:pPr>
      <w:pStyle w:val="Header"/>
      <w:jc w:val="center"/>
    </w:pPr>
  </w:p>
  <w:p w14:paraId="33D1F1F8" w14:textId="77777777" w:rsidR="00B46B05" w:rsidRDefault="00B46B05" w:rsidP="00B46B05">
    <w:pPr>
      <w:pStyle w:val="Header"/>
      <w:jc w:val="center"/>
    </w:pPr>
  </w:p>
  <w:p w14:paraId="3D42210C" w14:textId="731C160D" w:rsidR="00B46B05" w:rsidRDefault="00B46B05" w:rsidP="0021364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A70B" w14:textId="09B5C8AA" w:rsidR="00D3340C" w:rsidRDefault="00D3340C">
    <w:pPr>
      <w:pStyle w:val="HeaderOdd"/>
    </w:pPr>
    <w:r>
      <w:t>Chapter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756D" w14:textId="00600019" w:rsidR="00E94FCA" w:rsidRDefault="002D1219">
    <w:pPr>
      <w:pStyle w:val="Header"/>
    </w:pPr>
    <w:r>
      <w:rPr>
        <w:noProof/>
      </w:rPr>
      <mc:AlternateContent>
        <mc:Choice Requires="wps">
          <w:drawing>
            <wp:anchor distT="45720" distB="45720" distL="114300" distR="114300" simplePos="0" relativeHeight="251663360" behindDoc="0" locked="0" layoutInCell="1" allowOverlap="1" wp14:anchorId="27D78ECE" wp14:editId="26E065AF">
              <wp:simplePos x="0" y="0"/>
              <wp:positionH relativeFrom="margin">
                <wp:align>left</wp:align>
              </wp:positionH>
              <wp:positionV relativeFrom="paragraph">
                <wp:posOffset>-286385</wp:posOffset>
              </wp:positionV>
              <wp:extent cx="6381750" cy="47752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77520"/>
                      </a:xfrm>
                      <a:prstGeom prst="rect">
                        <a:avLst/>
                      </a:prstGeom>
                      <a:solidFill>
                        <a:srgbClr val="FFFFFF"/>
                      </a:solidFill>
                      <a:ln w="9525">
                        <a:noFill/>
                        <a:miter lim="800000"/>
                        <a:headEnd/>
                        <a:tailEnd/>
                      </a:ln>
                    </wps:spPr>
                    <wps:txbx>
                      <w:txbxContent>
                        <w:p w14:paraId="350D226B" w14:textId="6B9787C1" w:rsidR="002D1219" w:rsidRDefault="002D1219" w:rsidP="002D121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78ECE" id="_x0000_t202" coordsize="21600,21600" o:spt="202" path="m,l,21600r21600,l21600,xe">
              <v:stroke joinstyle="miter"/>
              <v:path gradientshapeok="t" o:connecttype="rect"/>
            </v:shapetype>
            <v:shape id="Text Box 9" o:spid="_x0000_s1026" type="#_x0000_t202" style="position:absolute;left:0;text-align:left;margin-left:0;margin-top:-22.55pt;width:502.5pt;height:37.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" stroked="f">
              <v:textbox>
                <w:txbxContent>
                  <w:p w14:paraId="350D226B" w14:textId="6B9787C1" w:rsidR="002D1219" w:rsidRDefault="002D1219" w:rsidP="002D1219">
                    <w:pPr>
                      <w:jc w:val="center"/>
                    </w:pP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1BED" w14:textId="2FD8E6E6" w:rsidR="00E94FCA" w:rsidRDefault="00E94F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4475" w14:textId="2F1EE0E5" w:rsidR="00E94FCA" w:rsidRDefault="00E94F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6E60" w14:textId="013191E2" w:rsidR="006644A3" w:rsidRDefault="006644A3">
    <w:pPr>
      <w:pStyle w:val="Header"/>
    </w:pPr>
    <w:r>
      <w:rPr>
        <w:noProof/>
      </w:rPr>
      <mc:AlternateContent>
        <mc:Choice Requires="wps">
          <w:drawing>
            <wp:anchor distT="45720" distB="45720" distL="114300" distR="114300" simplePos="0" relativeHeight="251660288" behindDoc="0" locked="0" layoutInCell="1" allowOverlap="1" wp14:anchorId="7588A9BB" wp14:editId="20DB802F">
              <wp:simplePos x="0" y="0"/>
              <wp:positionH relativeFrom="margin">
                <wp:align>left</wp:align>
              </wp:positionH>
              <wp:positionV relativeFrom="paragraph">
                <wp:posOffset>-166370</wp:posOffset>
              </wp:positionV>
              <wp:extent cx="6381750" cy="4775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77520"/>
                      </a:xfrm>
                      <a:prstGeom prst="rect">
                        <a:avLst/>
                      </a:prstGeom>
                      <a:solidFill>
                        <a:srgbClr val="FFFFFF"/>
                      </a:solidFill>
                      <a:ln w="9525">
                        <a:noFill/>
                        <a:miter lim="800000"/>
                        <a:headEnd/>
                        <a:tailEnd/>
                      </a:ln>
                    </wps:spPr>
                    <wps:txbx>
                      <w:txbxContent>
                        <w:p w14:paraId="12F4A7F0" w14:textId="2F3FDD2B" w:rsidR="006644A3" w:rsidRDefault="006644A3" w:rsidP="006644A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8A9BB" id="_x0000_t202" coordsize="21600,21600" o:spt="202" path="m,l,21600r21600,l21600,xe">
              <v:stroke joinstyle="miter"/>
              <v:path gradientshapeok="t" o:connecttype="rect"/>
            </v:shapetype>
            <v:shape id="Text Box 2" o:spid="_x0000_s1027" type="#_x0000_t202" style="position:absolute;left:0;text-align:left;margin-left:0;margin-top:-13.1pt;width:502.5pt;height:37.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" stroked="f">
              <v:textbox>
                <w:txbxContent>
                  <w:p w14:paraId="12F4A7F0" w14:textId="2F3FDD2B" w:rsidR="006644A3" w:rsidRDefault="006644A3" w:rsidP="006644A3">
                    <w:pPr>
                      <w:jc w:val="center"/>
                    </w:pPr>
                  </w:p>
                </w:txbxContent>
              </v:textbox>
              <w10:wrap type="square" anchorx="margin"/>
            </v:shape>
          </w:pict>
        </mc:Fallback>
      </mc:AlternateContent>
    </w:r>
  </w:p>
  <w:p w14:paraId="37A34700" w14:textId="1C0CDC6C" w:rsidR="006644A3" w:rsidRDefault="006644A3">
    <w:pPr>
      <w:pStyle w:val="Header"/>
    </w:pPr>
  </w:p>
  <w:p w14:paraId="3470E809" w14:textId="6D5BE589" w:rsidR="006644A3" w:rsidRDefault="006644A3">
    <w:pPr>
      <w:pStyle w:val="Header"/>
    </w:pPr>
  </w:p>
  <w:p w14:paraId="7981A44A" w14:textId="77777777" w:rsidR="006644A3" w:rsidRDefault="006644A3">
    <w:pPr>
      <w:pStyle w:val="Header"/>
    </w:pPr>
  </w:p>
  <w:p w14:paraId="1ECF5D81" w14:textId="1DDFDAC8" w:rsidR="00E94FCA" w:rsidRDefault="00E94F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6CCB" w14:textId="62DAC9FC" w:rsidR="006256BA" w:rsidRDefault="006256BA">
    <w:pPr>
      <w:framePr w:wrap="around" w:hAnchor="page" w:x="14460" w:yAlign="top" w:anchorLock="1"/>
      <w:textDirection w:val="tbRl"/>
      <w:rPr>
        <w:rStyle w:val="FramedHeader"/>
      </w:rPr>
    </w:pPr>
    <w:r>
      <w:rPr>
        <w:rStyle w:val="FramedHeader"/>
      </w:rPr>
      <w:t>Publication Title</w:t>
    </w:r>
  </w:p>
  <w:p w14:paraId="2A2C6C15" w14:textId="77777777" w:rsidR="006256BA" w:rsidRDefault="006256BA">
    <w:pPr>
      <w:pStyle w:val="HeaderEven"/>
    </w:pPr>
    <w:r>
      <w:t>Publication</w:t>
    </w:r>
  </w:p>
  <w:p w14:paraId="053B2E49" w14:textId="77777777" w:rsidR="006256BA" w:rsidRPr="009F50E3" w:rsidRDefault="006256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4964" w14:textId="7E83C4A0" w:rsidR="00B46B05" w:rsidRDefault="00B46B05" w:rsidP="005411A2">
    <w:pPr>
      <w:pStyle w:val="Header"/>
      <w:rPr>
        <w:noProof/>
      </w:rPr>
    </w:pPr>
  </w:p>
  <w:p w14:paraId="36A3E464" w14:textId="77777777" w:rsidR="00B46B05" w:rsidRDefault="00B46B05" w:rsidP="005411A2">
    <w:pPr>
      <w:pStyle w:val="Header"/>
      <w:rPr>
        <w:noProof/>
      </w:rPr>
    </w:pPr>
  </w:p>
  <w:p w14:paraId="63420011" w14:textId="77777777" w:rsidR="00B46B05" w:rsidRDefault="00B46B05" w:rsidP="005411A2">
    <w:pPr>
      <w:pStyle w:val="Header"/>
      <w:rPr>
        <w:noProof/>
      </w:rPr>
    </w:pPr>
  </w:p>
  <w:p w14:paraId="282524E9" w14:textId="77777777" w:rsidR="00B46B05" w:rsidRDefault="00B46B05" w:rsidP="005411A2">
    <w:pPr>
      <w:pStyle w:val="Header"/>
      <w:rPr>
        <w:noProof/>
      </w:rPr>
    </w:pPr>
  </w:p>
  <w:p w14:paraId="7E691D22" w14:textId="77777777" w:rsidR="00B46B05" w:rsidRDefault="00B46B05" w:rsidP="005411A2">
    <w:pPr>
      <w:pStyle w:val="Header"/>
      <w:rPr>
        <w:noProof/>
      </w:rPr>
    </w:pPr>
  </w:p>
  <w:p w14:paraId="04FA9D88" w14:textId="77777777" w:rsidR="00B46B05" w:rsidRDefault="00B46B05" w:rsidP="005411A2">
    <w:pPr>
      <w:pStyle w:val="Header"/>
      <w:rPr>
        <w:noProof/>
      </w:rPr>
    </w:pPr>
  </w:p>
  <w:p w14:paraId="098E66CA" w14:textId="77777777" w:rsidR="00B46B05" w:rsidRDefault="00B46B05" w:rsidP="005411A2">
    <w:pPr>
      <w:pStyle w:val="Header"/>
      <w:rPr>
        <w:noProof/>
      </w:rPr>
    </w:pPr>
  </w:p>
  <w:p w14:paraId="4475F4B2" w14:textId="77777777" w:rsidR="00B46B05" w:rsidRDefault="00B46B05" w:rsidP="005411A2">
    <w:pPr>
      <w:pStyle w:val="Header"/>
      <w:rPr>
        <w:noProof/>
      </w:rPr>
    </w:pPr>
  </w:p>
  <w:p w14:paraId="125D0957" w14:textId="33043BC6" w:rsidR="006256BA" w:rsidRPr="005411A2" w:rsidRDefault="00B46B05" w:rsidP="005411A2">
    <w:pPr>
      <w:pStyle w:val="Header"/>
    </w:pPr>
    <w:r>
      <w:rPr>
        <w:noProof/>
      </w:rPr>
      <w:drawing>
        <wp:anchor distT="0" distB="0" distL="114300" distR="114300" simplePos="0" relativeHeight="251659264" behindDoc="1" locked="0" layoutInCell="1" allowOverlap="1" wp14:anchorId="34BD2369" wp14:editId="7C28A511">
          <wp:simplePos x="0" y="0"/>
          <wp:positionH relativeFrom="page">
            <wp:posOffset>15240</wp:posOffset>
          </wp:positionH>
          <wp:positionV relativeFrom="page">
            <wp:posOffset>83185</wp:posOffset>
          </wp:positionV>
          <wp:extent cx="7543800" cy="181165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no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81165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F177" w14:textId="4EA674C7" w:rsidR="00B46B05" w:rsidRDefault="006644A3" w:rsidP="00B46B05">
    <w:pPr>
      <w:pStyle w:val="Header"/>
      <w:jc w:val="center"/>
    </w:pPr>
    <w:r>
      <w:rPr>
        <w:noProof/>
      </w:rPr>
      <mc:AlternateContent>
        <mc:Choice Requires="wps">
          <w:drawing>
            <wp:anchor distT="45720" distB="45720" distL="114300" distR="114300" simplePos="0" relativeHeight="251662336" behindDoc="0" locked="0" layoutInCell="1" allowOverlap="1" wp14:anchorId="54C68A4F" wp14:editId="39AFAFEF">
              <wp:simplePos x="0" y="0"/>
              <wp:positionH relativeFrom="margin">
                <wp:posOffset>-332509</wp:posOffset>
              </wp:positionH>
              <wp:positionV relativeFrom="paragraph">
                <wp:posOffset>-224501</wp:posOffset>
              </wp:positionV>
              <wp:extent cx="6381750" cy="1404620"/>
              <wp:effectExtent l="0" t="0" r="0" b="63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noFill/>
                        <a:miter lim="800000"/>
                        <a:headEnd/>
                        <a:tailEnd/>
                      </a:ln>
                    </wps:spPr>
                    <wps:txbx>
                      <w:txbxContent>
                        <w:p w14:paraId="573E53AF" w14:textId="40147D62" w:rsidR="006644A3" w:rsidRDefault="006644A3" w:rsidP="006644A3">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C68A4F" id="_x0000_t202" coordsize="21600,21600" o:spt="202" path="m,l,21600r21600,l21600,xe">
              <v:stroke joinstyle="miter"/>
              <v:path gradientshapeok="t" o:connecttype="rect"/>
            </v:shapetype>
            <v:shape id="Text Box 6" o:spid="_x0000_s1029" type="#_x0000_t202" style="position:absolute;left:0;text-align:left;margin-left:-26.2pt;margin-top:-17.7pt;width:50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" stroked="f">
              <v:textbox style="mso-fit-shape-to-text:t">
                <w:txbxContent>
                  <w:p w14:paraId="573E53AF" w14:textId="40147D62" w:rsidR="006644A3" w:rsidRDefault="006644A3" w:rsidP="006644A3">
                    <w:pPr>
                      <w:jc w:val="center"/>
                    </w:pPr>
                  </w:p>
                </w:txbxContent>
              </v:textbox>
              <w10:wrap type="square" anchorx="margin"/>
            </v:shape>
          </w:pict>
        </mc:Fallback>
      </mc:AlternateContent>
    </w:r>
    <w:r>
      <w:rPr>
        <w:noProof/>
      </w:rPr>
      <w:drawing>
        <wp:anchor distT="0" distB="0" distL="114300" distR="114300" simplePos="0" relativeHeight="251653120" behindDoc="1" locked="0" layoutInCell="1" allowOverlap="1" wp14:anchorId="2FCAA66F" wp14:editId="2C4E71F1">
          <wp:simplePos x="0" y="0"/>
          <wp:positionH relativeFrom="page">
            <wp:posOffset>26035</wp:posOffset>
          </wp:positionH>
          <wp:positionV relativeFrom="page">
            <wp:posOffset>542117</wp:posOffset>
          </wp:positionV>
          <wp:extent cx="7543800" cy="181165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no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811655"/>
                  </a:xfrm>
                  <a:prstGeom prst="rect">
                    <a:avLst/>
                  </a:prstGeom>
                </pic:spPr>
              </pic:pic>
            </a:graphicData>
          </a:graphic>
          <wp14:sizeRelH relativeFrom="margin">
            <wp14:pctWidth>0</wp14:pctWidth>
          </wp14:sizeRelH>
          <wp14:sizeRelV relativeFrom="margin">
            <wp14:pctHeight>0</wp14:pctHeight>
          </wp14:sizeRelV>
        </wp:anchor>
      </w:drawing>
    </w:r>
  </w:p>
  <w:p w14:paraId="13A4E682" w14:textId="77777777" w:rsidR="00B46B05" w:rsidRDefault="00B46B05" w:rsidP="00B46B05">
    <w:pPr>
      <w:pStyle w:val="Header"/>
      <w:jc w:val="center"/>
    </w:pPr>
  </w:p>
  <w:p w14:paraId="05514498" w14:textId="77777777" w:rsidR="00B46B05" w:rsidRDefault="00B46B05" w:rsidP="00B46B05">
    <w:pPr>
      <w:pStyle w:val="Header"/>
      <w:jc w:val="center"/>
    </w:pPr>
  </w:p>
  <w:p w14:paraId="293226F8" w14:textId="77777777" w:rsidR="00B46B05" w:rsidRDefault="00B46B05" w:rsidP="00B46B05">
    <w:pPr>
      <w:pStyle w:val="Header"/>
      <w:jc w:val="center"/>
    </w:pPr>
  </w:p>
  <w:p w14:paraId="1133880C" w14:textId="77777777" w:rsidR="00B46B05" w:rsidRDefault="00B46B05" w:rsidP="00B46B05">
    <w:pPr>
      <w:pStyle w:val="Header"/>
      <w:jc w:val="center"/>
    </w:pPr>
  </w:p>
  <w:p w14:paraId="18A6D87B" w14:textId="77777777" w:rsidR="00B46B05" w:rsidRDefault="00B46B05" w:rsidP="00B46B05">
    <w:pPr>
      <w:pStyle w:val="Header"/>
      <w:jc w:val="center"/>
    </w:pPr>
  </w:p>
  <w:p w14:paraId="7E7CF84E" w14:textId="77777777" w:rsidR="00B46B05" w:rsidRDefault="00B46B05" w:rsidP="00B46B05">
    <w:pPr>
      <w:pStyle w:val="Header"/>
      <w:jc w:val="center"/>
    </w:pPr>
  </w:p>
  <w:p w14:paraId="196DAF2F" w14:textId="77777777" w:rsidR="00B46B05" w:rsidRDefault="00B46B05" w:rsidP="00B46B05">
    <w:pPr>
      <w:pStyle w:val="Header"/>
      <w:jc w:val="center"/>
    </w:pPr>
  </w:p>
  <w:p w14:paraId="27526E7A" w14:textId="6F527C48" w:rsidR="006256BA" w:rsidRDefault="006256BA" w:rsidP="002136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B92"/>
    <w:multiLevelType w:val="multilevel"/>
    <w:tmpl w:val="F720083A"/>
    <w:lvl w:ilvl="0">
      <w:start w:val="1"/>
      <w:numFmt w:val="decimal"/>
      <w:lvlRestart w:val="0"/>
      <w:suff w:val="nothing"/>
      <w:lvlText w:val="%1"/>
      <w:lvlJc w:val="left"/>
      <w:pPr>
        <w:ind w:left="0" w:firstLine="0"/>
      </w:pPr>
      <w:rPr>
        <w:rFonts w:hint="default"/>
        <w:b w:val="0"/>
        <w:i w:val="0"/>
        <w:color w:val="000000"/>
      </w:rPr>
    </w:lvl>
    <w:lvl w:ilvl="1">
      <w:start w:val="1"/>
      <w:numFmt w:val="decima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418" w:hanging="851"/>
      </w:pPr>
      <w:rPr>
        <w:rFonts w:hint="default"/>
        <w:b w:val="0"/>
        <w:i w:val="0"/>
        <w:color w:val="000000"/>
      </w:rPr>
    </w:lvl>
    <w:lvl w:ilvl="3">
      <w:start w:val="1"/>
      <w:numFmt w:val="decimal"/>
      <w:lvlText w:val="%1.%2.%3.%4"/>
      <w:lvlJc w:val="left"/>
      <w:pPr>
        <w:tabs>
          <w:tab w:val="num" w:pos="1701"/>
        </w:tabs>
        <w:ind w:left="1701" w:hanging="283"/>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 w15:restartNumberingAfterBreak="0">
    <w:nsid w:val="01026AB5"/>
    <w:multiLevelType w:val="multilevel"/>
    <w:tmpl w:val="DC30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F577D"/>
    <w:multiLevelType w:val="hybridMultilevel"/>
    <w:tmpl w:val="4CF274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442612"/>
    <w:multiLevelType w:val="hybridMultilevel"/>
    <w:tmpl w:val="089A5A2A"/>
    <w:lvl w:ilvl="0" w:tplc="59EE82FA">
      <w:start w:val="1"/>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DF4DDE"/>
    <w:multiLevelType w:val="hybridMultilevel"/>
    <w:tmpl w:val="E5C42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21F48"/>
    <w:multiLevelType w:val="singleLevel"/>
    <w:tmpl w:val="F0B87A5C"/>
    <w:name w:val="Case study bullet List"/>
    <w:lvl w:ilvl="0">
      <w:start w:val="1"/>
      <w:numFmt w:val="bullet"/>
      <w:lvlRestart w:val="0"/>
      <w:lvlText w:val="•"/>
      <w:lvlJc w:val="left"/>
      <w:pPr>
        <w:tabs>
          <w:tab w:val="num" w:pos="283"/>
        </w:tabs>
        <w:ind w:left="283" w:hanging="283"/>
      </w:pPr>
      <w:rPr>
        <w:rFonts w:ascii="Book Antiqua" w:hAnsi="Book Antiqua"/>
        <w:b w:val="0"/>
        <w:i w:val="0"/>
        <w:color w:val="000080"/>
        <w:sz w:val="16"/>
      </w:rPr>
    </w:lvl>
  </w:abstractNum>
  <w:abstractNum w:abstractNumId="6" w15:restartNumberingAfterBreak="0">
    <w:nsid w:val="164A4E0E"/>
    <w:multiLevelType w:val="multilevel"/>
    <w:tmpl w:val="6B2272A8"/>
    <w:name w:val="BoTStandardBulletedList"/>
    <w:lvl w:ilvl="0">
      <w:start w:val="1"/>
      <w:numFmt w:val="bullet"/>
      <w:lvlRestart w:val="0"/>
      <w:lvlText w:val="•"/>
      <w:lvlJc w:val="left"/>
      <w:pPr>
        <w:tabs>
          <w:tab w:val="num" w:pos="567"/>
        </w:tabs>
        <w:ind w:left="567" w:hanging="567"/>
      </w:pPr>
      <w:rPr>
        <w:rFonts w:ascii="Times New Roman" w:hAnsi="Times New Roman" w:cs="Times New Roman"/>
        <w:b w:val="0"/>
        <w:i w:val="0"/>
      </w:rPr>
    </w:lvl>
    <w:lvl w:ilvl="1">
      <w:start w:val="1"/>
      <w:numFmt w:val="bullet"/>
      <w:lvlText w:val="–"/>
      <w:lvlJc w:val="left"/>
      <w:pPr>
        <w:tabs>
          <w:tab w:val="num" w:pos="1134"/>
        </w:tabs>
        <w:ind w:left="1134" w:hanging="567"/>
      </w:pPr>
      <w:rPr>
        <w:rFonts w:ascii="Times New Roman" w:hAnsi="Times New Roman" w:cs="Times New Roman"/>
        <w:b w:val="0"/>
        <w:i w:val="0"/>
      </w:rPr>
    </w:lvl>
    <w:lvl w:ilvl="2">
      <w:start w:val="1"/>
      <w:numFmt w:val="bullet"/>
      <w:lvlText w:val=":"/>
      <w:lvlJc w:val="left"/>
      <w:pPr>
        <w:tabs>
          <w:tab w:val="num" w:pos="1701"/>
        </w:tabs>
        <w:ind w:left="1701" w:hanging="567"/>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15:restartNumberingAfterBreak="0">
    <w:nsid w:val="18440D8F"/>
    <w:multiLevelType w:val="hybridMultilevel"/>
    <w:tmpl w:val="ACE8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C960FD"/>
    <w:multiLevelType w:val="multilevel"/>
    <w:tmpl w:val="69265B00"/>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9" w15:restartNumberingAfterBreak="0">
    <w:nsid w:val="20FF002D"/>
    <w:multiLevelType w:val="multilevel"/>
    <w:tmpl w:val="721AB7AE"/>
    <w:lvl w:ilvl="0">
      <w:start w:val="1"/>
      <w:numFmt w:val="decimal"/>
      <w:suff w:val="nothing"/>
      <w:lvlText w:val="%1"/>
      <w:lvlJc w:val="left"/>
      <w:pPr>
        <w:ind w:left="0" w:firstLine="0"/>
      </w:pPr>
      <w:rPr>
        <w:rFonts w:hint="default"/>
        <w:b w:val="0"/>
        <w:i w:val="0"/>
        <w:vanish/>
        <w:color w:val="000000"/>
        <w:sz w:val="2"/>
      </w:rPr>
    </w:lvl>
    <w:lvl w:ilvl="1">
      <w:start w:val="1"/>
      <w:numFmt w:val="decimal"/>
      <w:lvlText w:val="%1.%2"/>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851"/>
        </w:tabs>
        <w:ind w:left="1418" w:hanging="851"/>
      </w:pPr>
      <w:rPr>
        <w:rFonts w:hint="default"/>
        <w:b w:val="0"/>
        <w:i w:val="0"/>
        <w:color w:val="000000"/>
      </w:rPr>
    </w:lvl>
    <w:lvl w:ilvl="3">
      <w:start w:val="1"/>
      <w:numFmt w:val="decimal"/>
      <w:lvlText w:val="%1.%2.%3.%4"/>
      <w:lvlJc w:val="left"/>
      <w:pPr>
        <w:tabs>
          <w:tab w:val="num" w:pos="1134"/>
        </w:tabs>
        <w:ind w:left="2552" w:hanging="1134"/>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0" w15:restartNumberingAfterBreak="0">
    <w:nsid w:val="23CC762E"/>
    <w:multiLevelType w:val="hybridMultilevel"/>
    <w:tmpl w:val="A9A6AEA4"/>
    <w:lvl w:ilvl="0" w:tplc="F8F0D60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44237C5"/>
    <w:multiLevelType w:val="multilevel"/>
    <w:tmpl w:val="052E19A8"/>
    <w:name w:val="StandardNumberedList"/>
    <w:lvl w:ilvl="0">
      <w:start w:val="1"/>
      <w:numFmt w:val="decimal"/>
      <w:pStyle w:val="OutlineNumbered1"/>
      <w:lvlText w:val="%1."/>
      <w:lvlJc w:val="left"/>
      <w:pPr>
        <w:tabs>
          <w:tab w:val="num" w:pos="520"/>
        </w:tabs>
        <w:ind w:left="520" w:hanging="520"/>
      </w:pPr>
      <w:rPr>
        <w:b w:val="0"/>
        <w:i w:val="0"/>
      </w:rPr>
    </w:lvl>
    <w:lvl w:ilvl="1">
      <w:start w:val="1"/>
      <w:numFmt w:val="decimal"/>
      <w:pStyle w:val="OutlineNumbered2"/>
      <w:lvlText w:val="%1.%2."/>
      <w:lvlJc w:val="left"/>
      <w:pPr>
        <w:tabs>
          <w:tab w:val="num" w:pos="1040"/>
        </w:tabs>
        <w:ind w:left="1040" w:hanging="520"/>
      </w:pPr>
      <w:rPr>
        <w:b w:val="0"/>
        <w:i w:val="0"/>
      </w:rPr>
    </w:lvl>
    <w:lvl w:ilvl="2">
      <w:start w:val="1"/>
      <w:numFmt w:val="decimal"/>
      <w:pStyle w:val="OutlineNumbered3"/>
      <w:lvlText w:val="%1.%2.%3."/>
      <w:lvlJc w:val="left"/>
      <w:pPr>
        <w:tabs>
          <w:tab w:val="num" w:pos="1560"/>
        </w:tabs>
        <w:ind w:left="1560" w:hanging="520"/>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24714C09"/>
    <w:multiLevelType w:val="multilevel"/>
    <w:tmpl w:val="5832F9AE"/>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440C8B"/>
    <w:multiLevelType w:val="multilevel"/>
    <w:tmpl w:val="1A2A19BE"/>
    <w:name w:val="NewParagraphList"/>
    <w:lvl w:ilvl="0">
      <w:start w:val="1"/>
      <w:numFmt w:val="decimal"/>
      <w:lvlRestart w:val="0"/>
      <w:suff w:val="nothing"/>
      <w:lvlText w:val="%1"/>
      <w:lvlJc w:val="left"/>
      <w:pPr>
        <w:ind w:left="0" w:firstLine="0"/>
      </w:pPr>
      <w:rPr>
        <w:rFonts w:hint="default"/>
        <w:b w:val="0"/>
        <w:i w:val="0"/>
        <w:vanish/>
        <w:color w:val="000000"/>
        <w:sz w:val="2"/>
      </w:rPr>
    </w:lvl>
    <w:lvl w:ilvl="1">
      <w:start w:val="1"/>
      <w:numFmt w:val="decima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418" w:hanging="851"/>
      </w:pPr>
      <w:rPr>
        <w:rFonts w:hint="default"/>
        <w:b w:val="0"/>
        <w:i w:val="0"/>
        <w:color w:val="000000"/>
      </w:rPr>
    </w:lvl>
    <w:lvl w:ilvl="3">
      <w:start w:val="1"/>
      <w:numFmt w:val="decimal"/>
      <w:lvlText w:val="%1.%2.%3.%4"/>
      <w:lvlJc w:val="left"/>
      <w:pPr>
        <w:tabs>
          <w:tab w:val="num" w:pos="1701"/>
        </w:tabs>
        <w:ind w:left="1701" w:hanging="283"/>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4" w15:restartNumberingAfterBreak="0">
    <w:nsid w:val="27577C31"/>
    <w:multiLevelType w:val="hybridMultilevel"/>
    <w:tmpl w:val="ACBAE4BA"/>
    <w:lvl w:ilvl="0" w:tplc="67C68D92">
      <w:start w:val="1"/>
      <w:numFmt w:val="decimal"/>
      <w:pStyle w:val="BoxTextnumbered"/>
      <w:lvlText w:val="%1."/>
      <w:lvlJc w:val="left"/>
      <w:pPr>
        <w:ind w:left="360" w:hanging="360"/>
      </w:pPr>
      <w:rPr>
        <w:rFonts w:ascii="Calibri" w:hAnsi="Calibri" w:hint="default"/>
        <w:b w:val="0"/>
        <w:i w:val="0"/>
        <w:caps w:val="0"/>
        <w:vanish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3042B6"/>
    <w:multiLevelType w:val="hybridMultilevel"/>
    <w:tmpl w:val="AF7E10C8"/>
    <w:lvl w:ilvl="0" w:tplc="4286996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665DFA"/>
    <w:multiLevelType w:val="singleLevel"/>
    <w:tmpl w:val="C0868FF0"/>
    <w:name w:val="RecommendationAlphaList"/>
    <w:lvl w:ilvl="0">
      <w:start w:val="1"/>
      <w:numFmt w:val="lowerLetter"/>
      <w:pStyle w:val="AlphaParagraph"/>
      <w:lvlText w:val="(%1)"/>
      <w:lvlJc w:val="left"/>
      <w:pPr>
        <w:ind w:left="360" w:hanging="360"/>
      </w:pPr>
      <w:rPr>
        <w:rFonts w:ascii="Calibri" w:hAnsi="Calibri" w:cs="Times New Roman" w:hint="default"/>
        <w:b w:val="0"/>
        <w:i w:val="0"/>
        <w:color w:val="auto"/>
        <w:sz w:val="22"/>
      </w:rPr>
    </w:lvl>
  </w:abstractNum>
  <w:abstractNum w:abstractNumId="17" w15:restartNumberingAfterBreak="0">
    <w:nsid w:val="308C2710"/>
    <w:multiLevelType w:val="multilevel"/>
    <w:tmpl w:val="0D723674"/>
    <w:styleLink w:val="BulletedList"/>
    <w:lvl w:ilvl="0">
      <w:start w:val="1"/>
      <w:numFmt w:val="bullet"/>
      <w:lvlRestart w:val="0"/>
      <w:lvlText w:val="•"/>
      <w:lvlJc w:val="left"/>
      <w:pPr>
        <w:tabs>
          <w:tab w:val="num" w:pos="1987"/>
        </w:tabs>
        <w:ind w:left="1987" w:hanging="283"/>
      </w:pPr>
      <w:rPr>
        <w:rFonts w:ascii="Times New Roman" w:hAnsi="Times New Roman" w:cs="Times New Roman" w:hint="default"/>
        <w:b w:val="0"/>
        <w:i w:val="0"/>
      </w:rPr>
    </w:lvl>
    <w:lvl w:ilvl="1">
      <w:start w:val="1"/>
      <w:numFmt w:val="bullet"/>
      <w:lvlText w:val="–"/>
      <w:lvlJc w:val="left"/>
      <w:pPr>
        <w:tabs>
          <w:tab w:val="num" w:pos="2271"/>
        </w:tabs>
        <w:ind w:left="2271" w:hanging="284"/>
      </w:pPr>
      <w:rPr>
        <w:rFonts w:ascii="Times New Roman" w:hAnsi="Times New Roman" w:cs="Times New Roman" w:hint="default"/>
        <w:b w:val="0"/>
        <w:i w:val="0"/>
      </w:rPr>
    </w:lvl>
    <w:lvl w:ilvl="2">
      <w:start w:val="1"/>
      <w:numFmt w:val="bullet"/>
      <w:lvlText w:val=":"/>
      <w:lvlJc w:val="left"/>
      <w:pPr>
        <w:tabs>
          <w:tab w:val="num" w:pos="2554"/>
        </w:tabs>
        <w:ind w:left="2554" w:hanging="283"/>
      </w:pPr>
      <w:rPr>
        <w:rFonts w:ascii="Times New Roman" w:hAnsi="Times New Roman" w:cs="Times New Roman" w:hint="default"/>
        <w:b w:val="0"/>
        <w:i w:val="0"/>
      </w:rPr>
    </w:lvl>
    <w:lvl w:ilvl="3">
      <w:start w:val="1"/>
      <w:numFmt w:val="decimal"/>
      <w:lvlText w:val="(%4)"/>
      <w:lvlJc w:val="left"/>
      <w:pPr>
        <w:tabs>
          <w:tab w:val="num" w:pos="3144"/>
        </w:tabs>
        <w:ind w:left="3144" w:hanging="360"/>
      </w:pPr>
      <w:rPr>
        <w:rFonts w:hint="default"/>
        <w:b w:val="0"/>
        <w:i w:val="0"/>
      </w:rPr>
    </w:lvl>
    <w:lvl w:ilvl="4">
      <w:start w:val="1"/>
      <w:numFmt w:val="lowerLetter"/>
      <w:lvlText w:val="(%5)"/>
      <w:lvlJc w:val="left"/>
      <w:pPr>
        <w:tabs>
          <w:tab w:val="num" w:pos="3504"/>
        </w:tabs>
        <w:ind w:left="3504" w:hanging="360"/>
      </w:pPr>
      <w:rPr>
        <w:rFonts w:hint="default"/>
        <w:b w:val="0"/>
        <w:i w:val="0"/>
      </w:rPr>
    </w:lvl>
    <w:lvl w:ilvl="5">
      <w:start w:val="1"/>
      <w:numFmt w:val="lowerRoman"/>
      <w:lvlText w:val="(%6)"/>
      <w:lvlJc w:val="left"/>
      <w:pPr>
        <w:tabs>
          <w:tab w:val="num" w:pos="3864"/>
        </w:tabs>
        <w:ind w:left="3864" w:hanging="360"/>
      </w:pPr>
      <w:rPr>
        <w:rFonts w:hint="default"/>
        <w:b w:val="0"/>
        <w:i w:val="0"/>
      </w:rPr>
    </w:lvl>
    <w:lvl w:ilvl="6">
      <w:start w:val="1"/>
      <w:numFmt w:val="decimal"/>
      <w:lvlText w:val="%7."/>
      <w:lvlJc w:val="left"/>
      <w:pPr>
        <w:tabs>
          <w:tab w:val="num" w:pos="4224"/>
        </w:tabs>
        <w:ind w:left="4224" w:hanging="360"/>
      </w:pPr>
      <w:rPr>
        <w:rFonts w:hint="default"/>
        <w:b w:val="0"/>
        <w:i w:val="0"/>
      </w:rPr>
    </w:lvl>
    <w:lvl w:ilvl="7">
      <w:start w:val="1"/>
      <w:numFmt w:val="lowerLetter"/>
      <w:lvlText w:val="%8."/>
      <w:lvlJc w:val="left"/>
      <w:pPr>
        <w:tabs>
          <w:tab w:val="num" w:pos="4584"/>
        </w:tabs>
        <w:ind w:left="4584" w:hanging="360"/>
      </w:pPr>
      <w:rPr>
        <w:rFonts w:hint="default"/>
        <w:b w:val="0"/>
        <w:i w:val="0"/>
      </w:rPr>
    </w:lvl>
    <w:lvl w:ilvl="8">
      <w:start w:val="1"/>
      <w:numFmt w:val="lowerRoman"/>
      <w:lvlText w:val="%9."/>
      <w:lvlJc w:val="left"/>
      <w:pPr>
        <w:tabs>
          <w:tab w:val="num" w:pos="4944"/>
        </w:tabs>
        <w:ind w:left="4944" w:hanging="360"/>
      </w:pPr>
      <w:rPr>
        <w:rFonts w:hint="default"/>
        <w:b w:val="0"/>
        <w:i w:val="0"/>
      </w:rPr>
    </w:lvl>
  </w:abstractNum>
  <w:abstractNum w:abstractNumId="18" w15:restartNumberingAfterBreak="0">
    <w:nsid w:val="3F7B20F8"/>
    <w:multiLevelType w:val="hybridMultilevel"/>
    <w:tmpl w:val="1D20B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360694"/>
    <w:multiLevelType w:val="multilevel"/>
    <w:tmpl w:val="3C66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700C6"/>
    <w:multiLevelType w:val="multilevel"/>
    <w:tmpl w:val="0ABE909A"/>
    <w:lvl w:ilvl="0">
      <w:start w:val="1"/>
      <w:numFmt w:val="decimal"/>
      <w:suff w:val="nothing"/>
      <w:lvlText w:val="%1."/>
      <w:lvlJc w:val="left"/>
      <w:pPr>
        <w:ind w:left="0" w:firstLine="0"/>
      </w:pPr>
      <w:rPr>
        <w:rFonts w:hint="default"/>
        <w:b w:val="0"/>
        <w:i w:val="0"/>
        <w:vanish/>
        <w:sz w:val="2"/>
      </w:rPr>
    </w:lvl>
    <w:lvl w:ilvl="1">
      <w:start w:val="1"/>
      <w:numFmt w:val="decimal"/>
      <w:lvlText w:val="%1.%2"/>
      <w:lvlJc w:val="left"/>
      <w:pPr>
        <w:ind w:left="567" w:hanging="567"/>
      </w:pPr>
      <w:rPr>
        <w:rFonts w:hint="default"/>
        <w:b w:val="0"/>
        <w:i w:val="0"/>
      </w:rPr>
    </w:lvl>
    <w:lvl w:ilvl="2">
      <w:start w:val="1"/>
      <w:numFmt w:val="lowerLetter"/>
      <w:lvlText w:val="(%3)"/>
      <w:lvlJc w:val="left"/>
      <w:pPr>
        <w:ind w:left="1418" w:hanging="851"/>
      </w:pPr>
      <w:rPr>
        <w:rFonts w:hint="default"/>
        <w:b w:val="0"/>
        <w:i w:val="0"/>
      </w:rPr>
    </w:lvl>
    <w:lvl w:ilvl="3">
      <w:start w:val="1"/>
      <w:numFmt w:val="decimal"/>
      <w:lvlText w:val="(%4)"/>
      <w:lvlJc w:val="left"/>
      <w:pPr>
        <w:ind w:left="2552" w:hanging="1134"/>
      </w:pPr>
      <w:rPr>
        <w:rFonts w:hint="default"/>
        <w:b w:val="0"/>
        <w:i w:val="0"/>
      </w:rPr>
    </w:lvl>
    <w:lvl w:ilvl="4">
      <w:start w:val="1"/>
      <w:numFmt w:val="lowerRoman"/>
      <w:lvlText w:val="(%5)"/>
      <w:lvlJc w:val="left"/>
      <w:pPr>
        <w:ind w:left="3686" w:hanging="1701"/>
      </w:pPr>
      <w:rPr>
        <w:rFonts w:hint="default"/>
        <w:b w:val="0"/>
        <w:i w:val="0"/>
      </w:rPr>
    </w:lvl>
    <w:lvl w:ilvl="5">
      <w:start w:val="1"/>
      <w:numFmt w:val="upperLetter"/>
      <w:lvlText w:val="(%6)"/>
      <w:lvlJc w:val="left"/>
      <w:pPr>
        <w:ind w:left="4820" w:hanging="2268"/>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1" w15:restartNumberingAfterBreak="0">
    <w:nsid w:val="470A060D"/>
    <w:multiLevelType w:val="singleLevel"/>
    <w:tmpl w:val="7DD26AF0"/>
    <w:name w:val="RecommendationAlphaList"/>
    <w:lvl w:ilvl="0">
      <w:start w:val="1"/>
      <w:numFmt w:val="lowerLetter"/>
      <w:lvlText w:val="(%1)"/>
      <w:lvlJc w:val="left"/>
      <w:pPr>
        <w:ind w:left="360" w:hanging="360"/>
      </w:pPr>
      <w:rPr>
        <w:rFonts w:ascii="Calibri" w:hAnsi="Calibri" w:cs="Times New Roman" w:hint="default"/>
        <w:b w:val="0"/>
        <w:i w:val="0"/>
        <w:color w:val="auto"/>
      </w:rPr>
    </w:lvl>
  </w:abstractNum>
  <w:abstractNum w:abstractNumId="22" w15:restartNumberingAfterBreak="0">
    <w:nsid w:val="49B8574F"/>
    <w:multiLevelType w:val="hybridMultilevel"/>
    <w:tmpl w:val="21DC72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49F50A7E"/>
    <w:multiLevelType w:val="hybridMultilevel"/>
    <w:tmpl w:val="80FA5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E06931"/>
    <w:multiLevelType w:val="singleLevel"/>
    <w:tmpl w:val="1958B15C"/>
    <w:name w:val="ChartTableFootnoteAlpha"/>
    <w:lvl w:ilvl="0">
      <w:start w:val="1"/>
      <w:numFmt w:val="lowerLetter"/>
      <w:pStyle w:val="ChartandTableFootnoteAlpha"/>
      <w:lvlText w:val="(%1)"/>
      <w:lvlJc w:val="left"/>
      <w:pPr>
        <w:ind w:left="360" w:hanging="360"/>
      </w:pPr>
      <w:rPr>
        <w:rFonts w:ascii="Calibri" w:hAnsi="Calibri" w:cs="Arial" w:hint="default"/>
        <w:b w:val="0"/>
        <w:i w:val="0"/>
        <w:sz w:val="18"/>
      </w:rPr>
    </w:lvl>
  </w:abstractNum>
  <w:abstractNum w:abstractNumId="25" w15:restartNumberingAfterBreak="0">
    <w:nsid w:val="4D130DFD"/>
    <w:multiLevelType w:val="hybridMultilevel"/>
    <w:tmpl w:val="AE6E46BE"/>
    <w:lvl w:ilvl="0" w:tplc="35CE9DE4">
      <w:start w:val="1"/>
      <w:numFmt w:val="bullet"/>
      <w:pStyle w:val="TableTextBullet"/>
      <w:lvlText w:val="•"/>
      <w:lvlJc w:val="left"/>
      <w:pPr>
        <w:ind w:left="720" w:hanging="360"/>
      </w:pPr>
      <w:rPr>
        <w:rFonts w:ascii="Calibri" w:hAnsi="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CF3A8E"/>
    <w:multiLevelType w:val="singleLevel"/>
    <w:tmpl w:val="00087A28"/>
    <w:name w:val="Roman numeral list"/>
    <w:lvl w:ilvl="0">
      <w:start w:val="1"/>
      <w:numFmt w:val="lowerRoman"/>
      <w:lvlRestart w:val="0"/>
      <w:pStyle w:val="Romannumeral"/>
      <w:lvlText w:val="(%1)"/>
      <w:lvlJc w:val="left"/>
      <w:pPr>
        <w:tabs>
          <w:tab w:val="num" w:pos="1134"/>
        </w:tabs>
        <w:ind w:left="1134" w:hanging="567"/>
      </w:pPr>
      <w:rPr>
        <w:b w:val="0"/>
        <w:i w:val="0"/>
        <w:color w:val="000000"/>
      </w:rPr>
    </w:lvl>
  </w:abstractNum>
  <w:abstractNum w:abstractNumId="27" w15:restartNumberingAfterBreak="0">
    <w:nsid w:val="4E013209"/>
    <w:multiLevelType w:val="hybridMultilevel"/>
    <w:tmpl w:val="AB6612A2"/>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40D4B0B"/>
    <w:multiLevelType w:val="hybridMultilevel"/>
    <w:tmpl w:val="C47C82C6"/>
    <w:lvl w:ilvl="0" w:tplc="64348868">
      <w:start w:val="1"/>
      <w:numFmt w:val="bullet"/>
      <w:pStyle w:val="Dash"/>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101827"/>
    <w:multiLevelType w:val="multilevel"/>
    <w:tmpl w:val="FA067A32"/>
    <w:name w:val="BoxBulletedList"/>
    <w:lvl w:ilvl="0">
      <w:start w:val="1"/>
      <w:numFmt w:val="bullet"/>
      <w:lvlRestart w:val="0"/>
      <w:pStyle w:val="BoxBullet"/>
      <w:lvlText w:val="•"/>
      <w:lvlJc w:val="left"/>
      <w:pPr>
        <w:tabs>
          <w:tab w:val="num" w:pos="283"/>
        </w:tabs>
        <w:ind w:left="283" w:hanging="283"/>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15:restartNumberingAfterBreak="0">
    <w:nsid w:val="58DC2D40"/>
    <w:multiLevelType w:val="multilevel"/>
    <w:tmpl w:val="15166FA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5905B9"/>
    <w:multiLevelType w:val="hybridMultilevel"/>
    <w:tmpl w:val="E4F89F52"/>
    <w:lvl w:ilvl="0" w:tplc="329A9BBC">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64240B"/>
    <w:multiLevelType w:val="hybridMultilevel"/>
    <w:tmpl w:val="9558C6E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4" w15:restartNumberingAfterBreak="0">
    <w:nsid w:val="63575CF9"/>
    <w:multiLevelType w:val="hybridMultilevel"/>
    <w:tmpl w:val="317256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7C434A"/>
    <w:multiLevelType w:val="hybridMultilevel"/>
    <w:tmpl w:val="71BCCB54"/>
    <w:lvl w:ilvl="0" w:tplc="03808582">
      <w:start w:val="1"/>
      <w:numFmt w:val="decimal"/>
      <w:pStyle w:val="Designfeaturenumberedlist"/>
      <w:lvlText w:val="%1"/>
      <w:lvlJc w:val="left"/>
      <w:pPr>
        <w:ind w:left="3054" w:hanging="360"/>
      </w:pPr>
      <w:rPr>
        <w:rFonts w:ascii="Calibri" w:hAnsi="Calibri" w:hint="default"/>
        <w:b/>
        <w:i w:val="0"/>
        <w:caps w:val="0"/>
        <w:vanish w:val="0"/>
        <w:color w:val="17365D" w:themeColor="text2" w:themeShade="BF"/>
        <w:sz w:val="64"/>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36" w15:restartNumberingAfterBreak="0">
    <w:nsid w:val="65704155"/>
    <w:multiLevelType w:val="hybridMultilevel"/>
    <w:tmpl w:val="FBCC87E8"/>
    <w:lvl w:ilvl="0" w:tplc="3AF8868C">
      <w:start w:val="1"/>
      <w:numFmt w:val="decimal"/>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2442AE"/>
    <w:multiLevelType w:val="singleLevel"/>
    <w:tmpl w:val="A87ABB18"/>
    <w:lvl w:ilvl="0">
      <w:start w:val="1"/>
      <w:numFmt w:val="lowerRoman"/>
      <w:lvlRestart w:val="0"/>
      <w:lvlText w:val="(%1)"/>
      <w:lvlJc w:val="left"/>
      <w:pPr>
        <w:tabs>
          <w:tab w:val="num" w:pos="567"/>
        </w:tabs>
        <w:ind w:left="0" w:firstLine="0"/>
      </w:pPr>
      <w:rPr>
        <w:rFonts w:ascii="Times New Roman" w:hAnsi="Times New Roman" w:cs="Times New Roman"/>
        <w:b w:val="0"/>
        <w:i w:val="0"/>
        <w:color w:val="000000"/>
      </w:rPr>
    </w:lvl>
  </w:abstractNum>
  <w:abstractNum w:abstractNumId="38" w15:restartNumberingAfterBreak="0">
    <w:nsid w:val="6E9A4EBB"/>
    <w:multiLevelType w:val="hybridMultilevel"/>
    <w:tmpl w:val="48C2B626"/>
    <w:lvl w:ilvl="0" w:tplc="5FD4D2A0">
      <w:start w:val="1"/>
      <w:numFmt w:val="bullet"/>
      <w:pStyle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0A0C49"/>
    <w:multiLevelType w:val="hybridMultilevel"/>
    <w:tmpl w:val="21CE4F34"/>
    <w:lvl w:ilvl="0" w:tplc="F8F0D602">
      <w:numFmt w:val="bullet"/>
      <w:lvlText w:val="-"/>
      <w:lvlJc w:val="left"/>
      <w:pPr>
        <w:ind w:left="720" w:hanging="360"/>
      </w:pPr>
      <w:rPr>
        <w:rFonts w:ascii="Calibri" w:eastAsia="Times New Roman"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696442"/>
    <w:multiLevelType w:val="multilevel"/>
    <w:tmpl w:val="4FEEDD5E"/>
    <w:name w:val="StandardBulleted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75A12A2"/>
    <w:multiLevelType w:val="hybridMultilevel"/>
    <w:tmpl w:val="33E0A5BA"/>
    <w:lvl w:ilvl="0" w:tplc="4AF02EDA">
      <w:start w:val="1"/>
      <w:numFmt w:val="bullet"/>
      <w:pStyle w:val="DoubleDo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0331FA"/>
    <w:multiLevelType w:val="hybridMultilevel"/>
    <w:tmpl w:val="C794F68C"/>
    <w:lvl w:ilvl="0" w:tplc="B09CF8A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8C7296"/>
    <w:multiLevelType w:val="hybridMultilevel"/>
    <w:tmpl w:val="76AC3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6"/>
  </w:num>
  <w:num w:numId="3">
    <w:abstractNumId w:val="24"/>
  </w:num>
  <w:num w:numId="4">
    <w:abstractNumId w:val="29"/>
  </w:num>
  <w:num w:numId="5">
    <w:abstractNumId w:val="8"/>
  </w:num>
  <w:num w:numId="6">
    <w:abstractNumId w:val="21"/>
  </w:num>
  <w:num w:numId="7">
    <w:abstractNumId w:val="37"/>
  </w:num>
  <w:num w:numId="8">
    <w:abstractNumId w:val="5"/>
  </w:num>
  <w:num w:numId="9">
    <w:abstractNumId w:val="0"/>
  </w:num>
  <w:num w:numId="10">
    <w:abstractNumId w:val="26"/>
  </w:num>
  <w:num w:numId="11">
    <w:abstractNumId w:val="33"/>
  </w:num>
  <w:num w:numId="12">
    <w:abstractNumId w:val="9"/>
  </w:num>
  <w:num w:numId="13">
    <w:abstractNumId w:val="38"/>
  </w:num>
  <w:num w:numId="14">
    <w:abstractNumId w:val="28"/>
  </w:num>
  <w:num w:numId="15">
    <w:abstractNumId w:val="41"/>
  </w:num>
  <w:num w:numId="16">
    <w:abstractNumId w:val="15"/>
  </w:num>
  <w:num w:numId="17">
    <w:abstractNumId w:val="20"/>
  </w:num>
  <w:num w:numId="18">
    <w:abstractNumId w:val="14"/>
  </w:num>
  <w:num w:numId="19">
    <w:abstractNumId w:val="35"/>
  </w:num>
  <w:num w:numId="20">
    <w:abstractNumId w:val="25"/>
  </w:num>
  <w:num w:numId="21">
    <w:abstractNumId w:val="35"/>
    <w:lvlOverride w:ilvl="0">
      <w:startOverride w:val="1"/>
    </w:lvlOverride>
  </w:num>
  <w:num w:numId="22">
    <w:abstractNumId w:val="14"/>
    <w:lvlOverride w:ilvl="0">
      <w:startOverride w:val="1"/>
    </w:lvlOverride>
  </w:num>
  <w:num w:numId="23">
    <w:abstractNumId w:val="36"/>
  </w:num>
  <w:num w:numId="24">
    <w:abstractNumId w:val="17"/>
  </w:num>
  <w:num w:numId="25">
    <w:abstractNumId w:val="7"/>
  </w:num>
  <w:num w:numId="26">
    <w:abstractNumId w:val="4"/>
  </w:num>
  <w:num w:numId="27">
    <w:abstractNumId w:val="3"/>
  </w:num>
  <w:num w:numId="28">
    <w:abstractNumId w:val="31"/>
  </w:num>
  <w:num w:numId="29">
    <w:abstractNumId w:val="43"/>
  </w:num>
  <w:num w:numId="30">
    <w:abstractNumId w:val="19"/>
  </w:num>
  <w:num w:numId="31">
    <w:abstractNumId w:val="34"/>
  </w:num>
  <w:num w:numId="32">
    <w:abstractNumId w:val="40"/>
  </w:num>
  <w:num w:numId="33">
    <w:abstractNumId w:val="23"/>
  </w:num>
  <w:num w:numId="34">
    <w:abstractNumId w:val="1"/>
  </w:num>
  <w:num w:numId="35">
    <w:abstractNumId w:val="2"/>
  </w:num>
  <w:num w:numId="36">
    <w:abstractNumId w:val="18"/>
  </w:num>
  <w:num w:numId="37">
    <w:abstractNumId w:val="10"/>
  </w:num>
  <w:num w:numId="38">
    <w:abstractNumId w:val="4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2"/>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9"/>
  </w:num>
  <w:num w:numId="46">
    <w:abstractNumId w:val="38"/>
  </w:num>
  <w:num w:numId="47">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56"/>
    <w:rsid w:val="00000C01"/>
    <w:rsid w:val="00000C04"/>
    <w:rsid w:val="00002836"/>
    <w:rsid w:val="000044D0"/>
    <w:rsid w:val="0000529A"/>
    <w:rsid w:val="000059C0"/>
    <w:rsid w:val="00006109"/>
    <w:rsid w:val="00012196"/>
    <w:rsid w:val="00012C0C"/>
    <w:rsid w:val="00013D19"/>
    <w:rsid w:val="000157DD"/>
    <w:rsid w:val="00015B2B"/>
    <w:rsid w:val="00015F04"/>
    <w:rsid w:val="00016D82"/>
    <w:rsid w:val="00020C92"/>
    <w:rsid w:val="00031E96"/>
    <w:rsid w:val="0003443F"/>
    <w:rsid w:val="00034E24"/>
    <w:rsid w:val="0003623A"/>
    <w:rsid w:val="00036793"/>
    <w:rsid w:val="00036B64"/>
    <w:rsid w:val="000370E4"/>
    <w:rsid w:val="0003759C"/>
    <w:rsid w:val="00040695"/>
    <w:rsid w:val="0004311D"/>
    <w:rsid w:val="0004321C"/>
    <w:rsid w:val="00043ECE"/>
    <w:rsid w:val="00043EDA"/>
    <w:rsid w:val="000443BF"/>
    <w:rsid w:val="000446C8"/>
    <w:rsid w:val="00045138"/>
    <w:rsid w:val="00046333"/>
    <w:rsid w:val="00053244"/>
    <w:rsid w:val="000560C2"/>
    <w:rsid w:val="00060681"/>
    <w:rsid w:val="000633AA"/>
    <w:rsid w:val="000636A9"/>
    <w:rsid w:val="000646FD"/>
    <w:rsid w:val="000649EC"/>
    <w:rsid w:val="0006547E"/>
    <w:rsid w:val="0006574A"/>
    <w:rsid w:val="00067201"/>
    <w:rsid w:val="00067FB5"/>
    <w:rsid w:val="0007042C"/>
    <w:rsid w:val="00070F51"/>
    <w:rsid w:val="00071705"/>
    <w:rsid w:val="00071A94"/>
    <w:rsid w:val="00072869"/>
    <w:rsid w:val="000730BA"/>
    <w:rsid w:val="000731D7"/>
    <w:rsid w:val="00074C5B"/>
    <w:rsid w:val="0007505C"/>
    <w:rsid w:val="00075E0C"/>
    <w:rsid w:val="000768FB"/>
    <w:rsid w:val="0008115F"/>
    <w:rsid w:val="0008243C"/>
    <w:rsid w:val="000845EC"/>
    <w:rsid w:val="00084911"/>
    <w:rsid w:val="0008620E"/>
    <w:rsid w:val="00086A10"/>
    <w:rsid w:val="0009064A"/>
    <w:rsid w:val="00090B08"/>
    <w:rsid w:val="00090C82"/>
    <w:rsid w:val="00090F8E"/>
    <w:rsid w:val="00092536"/>
    <w:rsid w:val="000936BE"/>
    <w:rsid w:val="00093E3E"/>
    <w:rsid w:val="0009454B"/>
    <w:rsid w:val="000946DE"/>
    <w:rsid w:val="00095CF8"/>
    <w:rsid w:val="00095E3C"/>
    <w:rsid w:val="000A0C98"/>
    <w:rsid w:val="000A1265"/>
    <w:rsid w:val="000A1ED7"/>
    <w:rsid w:val="000A2335"/>
    <w:rsid w:val="000A25A6"/>
    <w:rsid w:val="000A4572"/>
    <w:rsid w:val="000A67C3"/>
    <w:rsid w:val="000A7636"/>
    <w:rsid w:val="000B1A76"/>
    <w:rsid w:val="000B2115"/>
    <w:rsid w:val="000B2191"/>
    <w:rsid w:val="000B37FB"/>
    <w:rsid w:val="000B45FB"/>
    <w:rsid w:val="000B71ED"/>
    <w:rsid w:val="000C1C33"/>
    <w:rsid w:val="000C2ADC"/>
    <w:rsid w:val="000C30B3"/>
    <w:rsid w:val="000C3B36"/>
    <w:rsid w:val="000C48A8"/>
    <w:rsid w:val="000C7926"/>
    <w:rsid w:val="000D1FA5"/>
    <w:rsid w:val="000D556D"/>
    <w:rsid w:val="000D608C"/>
    <w:rsid w:val="000E3C74"/>
    <w:rsid w:val="000E5080"/>
    <w:rsid w:val="000E5082"/>
    <w:rsid w:val="000E74E4"/>
    <w:rsid w:val="000E75AF"/>
    <w:rsid w:val="000E775B"/>
    <w:rsid w:val="000F1416"/>
    <w:rsid w:val="000F5277"/>
    <w:rsid w:val="000F5931"/>
    <w:rsid w:val="00100674"/>
    <w:rsid w:val="00100C55"/>
    <w:rsid w:val="00101447"/>
    <w:rsid w:val="00110915"/>
    <w:rsid w:val="00111D63"/>
    <w:rsid w:val="0011506D"/>
    <w:rsid w:val="001155A7"/>
    <w:rsid w:val="00115D04"/>
    <w:rsid w:val="001173EF"/>
    <w:rsid w:val="00117AC7"/>
    <w:rsid w:val="00121F01"/>
    <w:rsid w:val="0012234A"/>
    <w:rsid w:val="00122F83"/>
    <w:rsid w:val="001246D6"/>
    <w:rsid w:val="001269B5"/>
    <w:rsid w:val="00127638"/>
    <w:rsid w:val="00130039"/>
    <w:rsid w:val="00130913"/>
    <w:rsid w:val="00131598"/>
    <w:rsid w:val="00132299"/>
    <w:rsid w:val="00132F5D"/>
    <w:rsid w:val="0013389D"/>
    <w:rsid w:val="00133D92"/>
    <w:rsid w:val="00135E2D"/>
    <w:rsid w:val="00141254"/>
    <w:rsid w:val="00142E95"/>
    <w:rsid w:val="00142FD7"/>
    <w:rsid w:val="0014435B"/>
    <w:rsid w:val="00145B72"/>
    <w:rsid w:val="00145D0C"/>
    <w:rsid w:val="001466F5"/>
    <w:rsid w:val="0014697D"/>
    <w:rsid w:val="001469F6"/>
    <w:rsid w:val="0014789F"/>
    <w:rsid w:val="001500FF"/>
    <w:rsid w:val="00150AB8"/>
    <w:rsid w:val="00150DAC"/>
    <w:rsid w:val="001533D7"/>
    <w:rsid w:val="001537A5"/>
    <w:rsid w:val="00154988"/>
    <w:rsid w:val="00156590"/>
    <w:rsid w:val="00156D4A"/>
    <w:rsid w:val="001576FD"/>
    <w:rsid w:val="001612FE"/>
    <w:rsid w:val="00161F3B"/>
    <w:rsid w:val="00162109"/>
    <w:rsid w:val="00163372"/>
    <w:rsid w:val="00165A49"/>
    <w:rsid w:val="001666AF"/>
    <w:rsid w:val="00167588"/>
    <w:rsid w:val="00172454"/>
    <w:rsid w:val="00172DFF"/>
    <w:rsid w:val="00173A1F"/>
    <w:rsid w:val="00173CD9"/>
    <w:rsid w:val="00174E54"/>
    <w:rsid w:val="00175447"/>
    <w:rsid w:val="00176182"/>
    <w:rsid w:val="001818AC"/>
    <w:rsid w:val="00181F12"/>
    <w:rsid w:val="00182471"/>
    <w:rsid w:val="001828EE"/>
    <w:rsid w:val="00185F6A"/>
    <w:rsid w:val="00186646"/>
    <w:rsid w:val="001906B7"/>
    <w:rsid w:val="00190ABC"/>
    <w:rsid w:val="00190F57"/>
    <w:rsid w:val="00191068"/>
    <w:rsid w:val="00191A78"/>
    <w:rsid w:val="00191F74"/>
    <w:rsid w:val="001947AC"/>
    <w:rsid w:val="00195650"/>
    <w:rsid w:val="00196455"/>
    <w:rsid w:val="001A0FA5"/>
    <w:rsid w:val="001A1164"/>
    <w:rsid w:val="001A279C"/>
    <w:rsid w:val="001A2BA8"/>
    <w:rsid w:val="001A2F3D"/>
    <w:rsid w:val="001A3A3A"/>
    <w:rsid w:val="001A4CF8"/>
    <w:rsid w:val="001A53D6"/>
    <w:rsid w:val="001A61C1"/>
    <w:rsid w:val="001A6558"/>
    <w:rsid w:val="001A6A0C"/>
    <w:rsid w:val="001A6D86"/>
    <w:rsid w:val="001A742D"/>
    <w:rsid w:val="001A7B50"/>
    <w:rsid w:val="001B0859"/>
    <w:rsid w:val="001B0A6D"/>
    <w:rsid w:val="001B0D9C"/>
    <w:rsid w:val="001B1546"/>
    <w:rsid w:val="001B61EC"/>
    <w:rsid w:val="001B779C"/>
    <w:rsid w:val="001C2D6E"/>
    <w:rsid w:val="001C3861"/>
    <w:rsid w:val="001C7330"/>
    <w:rsid w:val="001C7A11"/>
    <w:rsid w:val="001D0517"/>
    <w:rsid w:val="001D2CA3"/>
    <w:rsid w:val="001D3AE4"/>
    <w:rsid w:val="001D4B26"/>
    <w:rsid w:val="001D57F0"/>
    <w:rsid w:val="001D5C02"/>
    <w:rsid w:val="001D6217"/>
    <w:rsid w:val="001D62E0"/>
    <w:rsid w:val="001D70C2"/>
    <w:rsid w:val="001E053E"/>
    <w:rsid w:val="001E0985"/>
    <w:rsid w:val="001E0F5D"/>
    <w:rsid w:val="001E2AB6"/>
    <w:rsid w:val="001E36B1"/>
    <w:rsid w:val="001E3C2F"/>
    <w:rsid w:val="001E3E0B"/>
    <w:rsid w:val="001E4F18"/>
    <w:rsid w:val="001E5EFF"/>
    <w:rsid w:val="001E76B5"/>
    <w:rsid w:val="001E7901"/>
    <w:rsid w:val="001E7E21"/>
    <w:rsid w:val="001F117B"/>
    <w:rsid w:val="001F199A"/>
    <w:rsid w:val="001F220D"/>
    <w:rsid w:val="001F7E0F"/>
    <w:rsid w:val="00201BB4"/>
    <w:rsid w:val="00203D6C"/>
    <w:rsid w:val="00204187"/>
    <w:rsid w:val="002050B4"/>
    <w:rsid w:val="002051A8"/>
    <w:rsid w:val="0021274E"/>
    <w:rsid w:val="00212B6F"/>
    <w:rsid w:val="00213642"/>
    <w:rsid w:val="0021543C"/>
    <w:rsid w:val="00215F4E"/>
    <w:rsid w:val="00216211"/>
    <w:rsid w:val="00216459"/>
    <w:rsid w:val="00216740"/>
    <w:rsid w:val="002172CB"/>
    <w:rsid w:val="00224C23"/>
    <w:rsid w:val="002254D6"/>
    <w:rsid w:val="00232B43"/>
    <w:rsid w:val="002333BE"/>
    <w:rsid w:val="002333EF"/>
    <w:rsid w:val="0023412B"/>
    <w:rsid w:val="00234F80"/>
    <w:rsid w:val="00236106"/>
    <w:rsid w:val="002378DE"/>
    <w:rsid w:val="0024588B"/>
    <w:rsid w:val="00245BA9"/>
    <w:rsid w:val="00250150"/>
    <w:rsid w:val="0025041B"/>
    <w:rsid w:val="00251297"/>
    <w:rsid w:val="0025237C"/>
    <w:rsid w:val="00252BDA"/>
    <w:rsid w:val="002538E5"/>
    <w:rsid w:val="00255925"/>
    <w:rsid w:val="00257CA2"/>
    <w:rsid w:val="00257F8F"/>
    <w:rsid w:val="00260D82"/>
    <w:rsid w:val="00261596"/>
    <w:rsid w:val="00262BE4"/>
    <w:rsid w:val="00263E95"/>
    <w:rsid w:val="00266570"/>
    <w:rsid w:val="00266840"/>
    <w:rsid w:val="0026784E"/>
    <w:rsid w:val="00272713"/>
    <w:rsid w:val="002729D1"/>
    <w:rsid w:val="00274B17"/>
    <w:rsid w:val="00275C96"/>
    <w:rsid w:val="00280F4C"/>
    <w:rsid w:val="002817F9"/>
    <w:rsid w:val="00283EE7"/>
    <w:rsid w:val="002843A0"/>
    <w:rsid w:val="00284F92"/>
    <w:rsid w:val="0028525B"/>
    <w:rsid w:val="00285EEC"/>
    <w:rsid w:val="00287646"/>
    <w:rsid w:val="0028773F"/>
    <w:rsid w:val="00291458"/>
    <w:rsid w:val="002932FC"/>
    <w:rsid w:val="0029454B"/>
    <w:rsid w:val="00294DBF"/>
    <w:rsid w:val="002966CE"/>
    <w:rsid w:val="002A1E67"/>
    <w:rsid w:val="002A225A"/>
    <w:rsid w:val="002A2DA2"/>
    <w:rsid w:val="002A45E6"/>
    <w:rsid w:val="002A5C5C"/>
    <w:rsid w:val="002A6E35"/>
    <w:rsid w:val="002A74CD"/>
    <w:rsid w:val="002B0D1D"/>
    <w:rsid w:val="002B389E"/>
    <w:rsid w:val="002B3AF8"/>
    <w:rsid w:val="002B41DF"/>
    <w:rsid w:val="002B60CC"/>
    <w:rsid w:val="002C301F"/>
    <w:rsid w:val="002C433D"/>
    <w:rsid w:val="002C6D92"/>
    <w:rsid w:val="002D1219"/>
    <w:rsid w:val="002D1777"/>
    <w:rsid w:val="002D2914"/>
    <w:rsid w:val="002D2989"/>
    <w:rsid w:val="002D3CED"/>
    <w:rsid w:val="002D42FB"/>
    <w:rsid w:val="002D4FBD"/>
    <w:rsid w:val="002D6E49"/>
    <w:rsid w:val="002E10A6"/>
    <w:rsid w:val="002E2C41"/>
    <w:rsid w:val="002E57B9"/>
    <w:rsid w:val="002E5AC0"/>
    <w:rsid w:val="002F0A7B"/>
    <w:rsid w:val="002F12A6"/>
    <w:rsid w:val="002F324B"/>
    <w:rsid w:val="002F5BD5"/>
    <w:rsid w:val="00300B97"/>
    <w:rsid w:val="00300E6B"/>
    <w:rsid w:val="00301CC6"/>
    <w:rsid w:val="00303E21"/>
    <w:rsid w:val="0030478A"/>
    <w:rsid w:val="00304C13"/>
    <w:rsid w:val="00310B68"/>
    <w:rsid w:val="003126E8"/>
    <w:rsid w:val="003127E7"/>
    <w:rsid w:val="003129E1"/>
    <w:rsid w:val="00312BEF"/>
    <w:rsid w:val="00313C63"/>
    <w:rsid w:val="00314E8E"/>
    <w:rsid w:val="00317156"/>
    <w:rsid w:val="003179BD"/>
    <w:rsid w:val="00322E80"/>
    <w:rsid w:val="00323D6E"/>
    <w:rsid w:val="00327E00"/>
    <w:rsid w:val="003321BE"/>
    <w:rsid w:val="003322FC"/>
    <w:rsid w:val="00332D91"/>
    <w:rsid w:val="0033305F"/>
    <w:rsid w:val="00333B61"/>
    <w:rsid w:val="00334931"/>
    <w:rsid w:val="0033725F"/>
    <w:rsid w:val="003410F2"/>
    <w:rsid w:val="00343AF7"/>
    <w:rsid w:val="00345DD5"/>
    <w:rsid w:val="00345E95"/>
    <w:rsid w:val="0034625F"/>
    <w:rsid w:val="00346FAC"/>
    <w:rsid w:val="003475EA"/>
    <w:rsid w:val="003507F2"/>
    <w:rsid w:val="00353E86"/>
    <w:rsid w:val="003557AD"/>
    <w:rsid w:val="00355C76"/>
    <w:rsid w:val="0035783A"/>
    <w:rsid w:val="00360F63"/>
    <w:rsid w:val="00362B65"/>
    <w:rsid w:val="00362D00"/>
    <w:rsid w:val="00362E5C"/>
    <w:rsid w:val="003636AF"/>
    <w:rsid w:val="00365385"/>
    <w:rsid w:val="0036565F"/>
    <w:rsid w:val="00365BF6"/>
    <w:rsid w:val="00366932"/>
    <w:rsid w:val="00366E82"/>
    <w:rsid w:val="0036713C"/>
    <w:rsid w:val="00371CD6"/>
    <w:rsid w:val="00374D4E"/>
    <w:rsid w:val="003768AC"/>
    <w:rsid w:val="00376C0B"/>
    <w:rsid w:val="0037768F"/>
    <w:rsid w:val="00377840"/>
    <w:rsid w:val="00380D5E"/>
    <w:rsid w:val="003825E4"/>
    <w:rsid w:val="003834AB"/>
    <w:rsid w:val="00385635"/>
    <w:rsid w:val="00386A59"/>
    <w:rsid w:val="00391276"/>
    <w:rsid w:val="0039392E"/>
    <w:rsid w:val="00393AD8"/>
    <w:rsid w:val="00393C3B"/>
    <w:rsid w:val="003A1026"/>
    <w:rsid w:val="003A3086"/>
    <w:rsid w:val="003A30AD"/>
    <w:rsid w:val="003A3B6D"/>
    <w:rsid w:val="003A414A"/>
    <w:rsid w:val="003A58A0"/>
    <w:rsid w:val="003A6644"/>
    <w:rsid w:val="003A755A"/>
    <w:rsid w:val="003A761F"/>
    <w:rsid w:val="003B0BCF"/>
    <w:rsid w:val="003B2E5D"/>
    <w:rsid w:val="003B3609"/>
    <w:rsid w:val="003B7075"/>
    <w:rsid w:val="003B7673"/>
    <w:rsid w:val="003C1219"/>
    <w:rsid w:val="003C27FF"/>
    <w:rsid w:val="003C34BB"/>
    <w:rsid w:val="003C3771"/>
    <w:rsid w:val="003C4BA8"/>
    <w:rsid w:val="003C5FED"/>
    <w:rsid w:val="003C7F41"/>
    <w:rsid w:val="003D1661"/>
    <w:rsid w:val="003D2DD2"/>
    <w:rsid w:val="003D3B0E"/>
    <w:rsid w:val="003D42E4"/>
    <w:rsid w:val="003D4763"/>
    <w:rsid w:val="003D4A75"/>
    <w:rsid w:val="003D6BE8"/>
    <w:rsid w:val="003E1A43"/>
    <w:rsid w:val="003E21CE"/>
    <w:rsid w:val="003E261D"/>
    <w:rsid w:val="003E69C2"/>
    <w:rsid w:val="003E70A5"/>
    <w:rsid w:val="003E7F8A"/>
    <w:rsid w:val="003F15E7"/>
    <w:rsid w:val="003F321F"/>
    <w:rsid w:val="003F3692"/>
    <w:rsid w:val="003F4B79"/>
    <w:rsid w:val="0040192C"/>
    <w:rsid w:val="004024BB"/>
    <w:rsid w:val="004028DA"/>
    <w:rsid w:val="004034B6"/>
    <w:rsid w:val="0040377E"/>
    <w:rsid w:val="004043AA"/>
    <w:rsid w:val="0040452D"/>
    <w:rsid w:val="00404C5C"/>
    <w:rsid w:val="00405332"/>
    <w:rsid w:val="00405957"/>
    <w:rsid w:val="00405EAA"/>
    <w:rsid w:val="004122AB"/>
    <w:rsid w:val="00415088"/>
    <w:rsid w:val="00416886"/>
    <w:rsid w:val="00416A47"/>
    <w:rsid w:val="004173ED"/>
    <w:rsid w:val="004204AE"/>
    <w:rsid w:val="00420FCD"/>
    <w:rsid w:val="004238AA"/>
    <w:rsid w:val="004256AC"/>
    <w:rsid w:val="00426140"/>
    <w:rsid w:val="00431748"/>
    <w:rsid w:val="00432B3F"/>
    <w:rsid w:val="0043359E"/>
    <w:rsid w:val="0043361B"/>
    <w:rsid w:val="00435AB1"/>
    <w:rsid w:val="00435DCE"/>
    <w:rsid w:val="00436DED"/>
    <w:rsid w:val="00436F1E"/>
    <w:rsid w:val="004378FB"/>
    <w:rsid w:val="004404D8"/>
    <w:rsid w:val="00440C71"/>
    <w:rsid w:val="00441DE3"/>
    <w:rsid w:val="00444836"/>
    <w:rsid w:val="00446F53"/>
    <w:rsid w:val="0044735C"/>
    <w:rsid w:val="004476B5"/>
    <w:rsid w:val="00450AD2"/>
    <w:rsid w:val="00450E00"/>
    <w:rsid w:val="00451216"/>
    <w:rsid w:val="004520AB"/>
    <w:rsid w:val="00456547"/>
    <w:rsid w:val="00457601"/>
    <w:rsid w:val="00460118"/>
    <w:rsid w:val="00461EC0"/>
    <w:rsid w:val="00463CAE"/>
    <w:rsid w:val="00465C81"/>
    <w:rsid w:val="00467ABD"/>
    <w:rsid w:val="00472685"/>
    <w:rsid w:val="00473B41"/>
    <w:rsid w:val="00474C22"/>
    <w:rsid w:val="00476F55"/>
    <w:rsid w:val="004775CC"/>
    <w:rsid w:val="00477CF4"/>
    <w:rsid w:val="004801F4"/>
    <w:rsid w:val="00481620"/>
    <w:rsid w:val="004823CB"/>
    <w:rsid w:val="00482973"/>
    <w:rsid w:val="00482D9C"/>
    <w:rsid w:val="00483A01"/>
    <w:rsid w:val="004841C2"/>
    <w:rsid w:val="004844E6"/>
    <w:rsid w:val="00485BF0"/>
    <w:rsid w:val="004909C9"/>
    <w:rsid w:val="004919AF"/>
    <w:rsid w:val="00493E26"/>
    <w:rsid w:val="00493F42"/>
    <w:rsid w:val="004942D6"/>
    <w:rsid w:val="004978DC"/>
    <w:rsid w:val="004A0496"/>
    <w:rsid w:val="004A2929"/>
    <w:rsid w:val="004A6012"/>
    <w:rsid w:val="004A7086"/>
    <w:rsid w:val="004A722A"/>
    <w:rsid w:val="004A799E"/>
    <w:rsid w:val="004B1DCA"/>
    <w:rsid w:val="004B3900"/>
    <w:rsid w:val="004B5146"/>
    <w:rsid w:val="004B6CEF"/>
    <w:rsid w:val="004B7E18"/>
    <w:rsid w:val="004C1ADC"/>
    <w:rsid w:val="004C1E08"/>
    <w:rsid w:val="004C29B5"/>
    <w:rsid w:val="004C2A2D"/>
    <w:rsid w:val="004C3962"/>
    <w:rsid w:val="004C445F"/>
    <w:rsid w:val="004C5ECC"/>
    <w:rsid w:val="004C5EFA"/>
    <w:rsid w:val="004C62EA"/>
    <w:rsid w:val="004C7A77"/>
    <w:rsid w:val="004D1875"/>
    <w:rsid w:val="004D19D7"/>
    <w:rsid w:val="004D4A86"/>
    <w:rsid w:val="004E2884"/>
    <w:rsid w:val="004E3243"/>
    <w:rsid w:val="004E5406"/>
    <w:rsid w:val="004E5B89"/>
    <w:rsid w:val="004E6EFD"/>
    <w:rsid w:val="004E7BE7"/>
    <w:rsid w:val="004F13C0"/>
    <w:rsid w:val="004F185C"/>
    <w:rsid w:val="004F3634"/>
    <w:rsid w:val="004F3ABA"/>
    <w:rsid w:val="004F55C1"/>
    <w:rsid w:val="004F6352"/>
    <w:rsid w:val="004F65F8"/>
    <w:rsid w:val="004F725A"/>
    <w:rsid w:val="00500EEA"/>
    <w:rsid w:val="0050278C"/>
    <w:rsid w:val="00502B97"/>
    <w:rsid w:val="00504237"/>
    <w:rsid w:val="0051010E"/>
    <w:rsid w:val="00510DD2"/>
    <w:rsid w:val="005130C5"/>
    <w:rsid w:val="00513D79"/>
    <w:rsid w:val="00515BBF"/>
    <w:rsid w:val="00522C49"/>
    <w:rsid w:val="00522E34"/>
    <w:rsid w:val="005242D5"/>
    <w:rsid w:val="00524C85"/>
    <w:rsid w:val="00531240"/>
    <w:rsid w:val="005318C9"/>
    <w:rsid w:val="0053269B"/>
    <w:rsid w:val="005355E0"/>
    <w:rsid w:val="00537922"/>
    <w:rsid w:val="00540A8E"/>
    <w:rsid w:val="005411A2"/>
    <w:rsid w:val="00541858"/>
    <w:rsid w:val="00541FE2"/>
    <w:rsid w:val="005426C9"/>
    <w:rsid w:val="0054678A"/>
    <w:rsid w:val="0054702A"/>
    <w:rsid w:val="005501D0"/>
    <w:rsid w:val="0055115F"/>
    <w:rsid w:val="005526CF"/>
    <w:rsid w:val="005608DE"/>
    <w:rsid w:val="0056112D"/>
    <w:rsid w:val="005624AD"/>
    <w:rsid w:val="0056299B"/>
    <w:rsid w:val="00562D04"/>
    <w:rsid w:val="0056408B"/>
    <w:rsid w:val="00570FD4"/>
    <w:rsid w:val="00571165"/>
    <w:rsid w:val="0057216A"/>
    <w:rsid w:val="005738E8"/>
    <w:rsid w:val="005743F3"/>
    <w:rsid w:val="00574996"/>
    <w:rsid w:val="0057613E"/>
    <w:rsid w:val="00577406"/>
    <w:rsid w:val="00583D04"/>
    <w:rsid w:val="005849A7"/>
    <w:rsid w:val="00585274"/>
    <w:rsid w:val="00585EB6"/>
    <w:rsid w:val="0058789D"/>
    <w:rsid w:val="00591183"/>
    <w:rsid w:val="0059249E"/>
    <w:rsid w:val="005931B8"/>
    <w:rsid w:val="005936C7"/>
    <w:rsid w:val="00594B55"/>
    <w:rsid w:val="005A33B4"/>
    <w:rsid w:val="005A4679"/>
    <w:rsid w:val="005A5791"/>
    <w:rsid w:val="005A6BF7"/>
    <w:rsid w:val="005B27A4"/>
    <w:rsid w:val="005B4FDD"/>
    <w:rsid w:val="005B532B"/>
    <w:rsid w:val="005B668D"/>
    <w:rsid w:val="005C0E6E"/>
    <w:rsid w:val="005C1482"/>
    <w:rsid w:val="005C1856"/>
    <w:rsid w:val="005C40D4"/>
    <w:rsid w:val="005D2BE4"/>
    <w:rsid w:val="005D585B"/>
    <w:rsid w:val="005D74F5"/>
    <w:rsid w:val="005D7F55"/>
    <w:rsid w:val="005E07EC"/>
    <w:rsid w:val="005E1984"/>
    <w:rsid w:val="005E1D16"/>
    <w:rsid w:val="005E4808"/>
    <w:rsid w:val="005E4CC0"/>
    <w:rsid w:val="005E5C98"/>
    <w:rsid w:val="005E616C"/>
    <w:rsid w:val="005F0639"/>
    <w:rsid w:val="005F13A8"/>
    <w:rsid w:val="005F24ED"/>
    <w:rsid w:val="005F39D5"/>
    <w:rsid w:val="005F4285"/>
    <w:rsid w:val="005F588D"/>
    <w:rsid w:val="005F5F68"/>
    <w:rsid w:val="005F6A03"/>
    <w:rsid w:val="005F6C11"/>
    <w:rsid w:val="005F7117"/>
    <w:rsid w:val="00602E82"/>
    <w:rsid w:val="0060471C"/>
    <w:rsid w:val="0061171D"/>
    <w:rsid w:val="006127B3"/>
    <w:rsid w:val="006135AC"/>
    <w:rsid w:val="006156D1"/>
    <w:rsid w:val="00615EF8"/>
    <w:rsid w:val="00616058"/>
    <w:rsid w:val="00616471"/>
    <w:rsid w:val="006167BB"/>
    <w:rsid w:val="00616E4D"/>
    <w:rsid w:val="006209DC"/>
    <w:rsid w:val="00620A90"/>
    <w:rsid w:val="00620E18"/>
    <w:rsid w:val="00620EF9"/>
    <w:rsid w:val="00622D85"/>
    <w:rsid w:val="00624196"/>
    <w:rsid w:val="00624986"/>
    <w:rsid w:val="00624EF2"/>
    <w:rsid w:val="006256BA"/>
    <w:rsid w:val="00630A00"/>
    <w:rsid w:val="00631409"/>
    <w:rsid w:val="00631AF4"/>
    <w:rsid w:val="00632953"/>
    <w:rsid w:val="00632AA2"/>
    <w:rsid w:val="00632B4F"/>
    <w:rsid w:val="0063508F"/>
    <w:rsid w:val="00636490"/>
    <w:rsid w:val="006365C6"/>
    <w:rsid w:val="00636A48"/>
    <w:rsid w:val="006378F8"/>
    <w:rsid w:val="00640969"/>
    <w:rsid w:val="00641A00"/>
    <w:rsid w:val="00641FA5"/>
    <w:rsid w:val="00642C24"/>
    <w:rsid w:val="0064411B"/>
    <w:rsid w:val="00645A33"/>
    <w:rsid w:val="00645A9C"/>
    <w:rsid w:val="00647C6F"/>
    <w:rsid w:val="0065174B"/>
    <w:rsid w:val="00652BAA"/>
    <w:rsid w:val="00654D6A"/>
    <w:rsid w:val="00656C88"/>
    <w:rsid w:val="006579A8"/>
    <w:rsid w:val="00661453"/>
    <w:rsid w:val="006635FD"/>
    <w:rsid w:val="0066437F"/>
    <w:rsid w:val="006644A3"/>
    <w:rsid w:val="00665E4F"/>
    <w:rsid w:val="006666F5"/>
    <w:rsid w:val="00667779"/>
    <w:rsid w:val="00670052"/>
    <w:rsid w:val="00672608"/>
    <w:rsid w:val="006731F1"/>
    <w:rsid w:val="00675F8F"/>
    <w:rsid w:val="00676151"/>
    <w:rsid w:val="00676FD7"/>
    <w:rsid w:val="0067729A"/>
    <w:rsid w:val="006779A5"/>
    <w:rsid w:val="006805F1"/>
    <w:rsid w:val="0068223E"/>
    <w:rsid w:val="00682ACB"/>
    <w:rsid w:val="00684310"/>
    <w:rsid w:val="00684864"/>
    <w:rsid w:val="00684AF0"/>
    <w:rsid w:val="006853DE"/>
    <w:rsid w:val="006868C2"/>
    <w:rsid w:val="00687735"/>
    <w:rsid w:val="00690B9A"/>
    <w:rsid w:val="00690C90"/>
    <w:rsid w:val="00696037"/>
    <w:rsid w:val="006961B8"/>
    <w:rsid w:val="00696DDE"/>
    <w:rsid w:val="00697A8A"/>
    <w:rsid w:val="00697FDA"/>
    <w:rsid w:val="006A37C6"/>
    <w:rsid w:val="006A3FA6"/>
    <w:rsid w:val="006A4382"/>
    <w:rsid w:val="006A4A00"/>
    <w:rsid w:val="006A4F60"/>
    <w:rsid w:val="006A5EAA"/>
    <w:rsid w:val="006A5FA7"/>
    <w:rsid w:val="006A7064"/>
    <w:rsid w:val="006A74A5"/>
    <w:rsid w:val="006B0901"/>
    <w:rsid w:val="006B1960"/>
    <w:rsid w:val="006B288E"/>
    <w:rsid w:val="006B2943"/>
    <w:rsid w:val="006B4179"/>
    <w:rsid w:val="006B5D7C"/>
    <w:rsid w:val="006B788D"/>
    <w:rsid w:val="006C0406"/>
    <w:rsid w:val="006C046B"/>
    <w:rsid w:val="006C30D3"/>
    <w:rsid w:val="006D0A47"/>
    <w:rsid w:val="006D0AD9"/>
    <w:rsid w:val="006D3EC9"/>
    <w:rsid w:val="006D42EA"/>
    <w:rsid w:val="006D52FD"/>
    <w:rsid w:val="006D6C34"/>
    <w:rsid w:val="006D7646"/>
    <w:rsid w:val="006E0722"/>
    <w:rsid w:val="006E2151"/>
    <w:rsid w:val="006E2845"/>
    <w:rsid w:val="006E597E"/>
    <w:rsid w:val="006E5992"/>
    <w:rsid w:val="006E6206"/>
    <w:rsid w:val="006E7B63"/>
    <w:rsid w:val="006F077C"/>
    <w:rsid w:val="006F2941"/>
    <w:rsid w:val="006F4D07"/>
    <w:rsid w:val="006F664A"/>
    <w:rsid w:val="006F6DD9"/>
    <w:rsid w:val="006F7ABE"/>
    <w:rsid w:val="00700887"/>
    <w:rsid w:val="007027E8"/>
    <w:rsid w:val="007073D7"/>
    <w:rsid w:val="007101F4"/>
    <w:rsid w:val="00710C5A"/>
    <w:rsid w:val="007116E5"/>
    <w:rsid w:val="007118D5"/>
    <w:rsid w:val="007119BA"/>
    <w:rsid w:val="00711BED"/>
    <w:rsid w:val="00716DB3"/>
    <w:rsid w:val="00721B73"/>
    <w:rsid w:val="00721E21"/>
    <w:rsid w:val="00722214"/>
    <w:rsid w:val="0072257E"/>
    <w:rsid w:val="00724E4F"/>
    <w:rsid w:val="007254E3"/>
    <w:rsid w:val="00727CAF"/>
    <w:rsid w:val="0073227D"/>
    <w:rsid w:val="0073242B"/>
    <w:rsid w:val="007344B0"/>
    <w:rsid w:val="00735039"/>
    <w:rsid w:val="00735EC5"/>
    <w:rsid w:val="00736DC4"/>
    <w:rsid w:val="0073795E"/>
    <w:rsid w:val="00741872"/>
    <w:rsid w:val="00741B78"/>
    <w:rsid w:val="00742E5B"/>
    <w:rsid w:val="0074416A"/>
    <w:rsid w:val="007444A7"/>
    <w:rsid w:val="00744508"/>
    <w:rsid w:val="00746F74"/>
    <w:rsid w:val="007475B4"/>
    <w:rsid w:val="007504B9"/>
    <w:rsid w:val="00751C23"/>
    <w:rsid w:val="007544F7"/>
    <w:rsid w:val="00755885"/>
    <w:rsid w:val="00760108"/>
    <w:rsid w:val="0076041D"/>
    <w:rsid w:val="00760B27"/>
    <w:rsid w:val="00760C03"/>
    <w:rsid w:val="00762E5F"/>
    <w:rsid w:val="007656A7"/>
    <w:rsid w:val="00765A97"/>
    <w:rsid w:val="00767602"/>
    <w:rsid w:val="00767D8B"/>
    <w:rsid w:val="00771EFB"/>
    <w:rsid w:val="0077288D"/>
    <w:rsid w:val="007737EA"/>
    <w:rsid w:val="00775D9A"/>
    <w:rsid w:val="00776756"/>
    <w:rsid w:val="00776CB1"/>
    <w:rsid w:val="0077742E"/>
    <w:rsid w:val="0078076B"/>
    <w:rsid w:val="00781857"/>
    <w:rsid w:val="00784C6C"/>
    <w:rsid w:val="00784CDE"/>
    <w:rsid w:val="00785BA4"/>
    <w:rsid w:val="00785FA4"/>
    <w:rsid w:val="0078642C"/>
    <w:rsid w:val="007877E9"/>
    <w:rsid w:val="007904B2"/>
    <w:rsid w:val="007943B0"/>
    <w:rsid w:val="00794AF5"/>
    <w:rsid w:val="0079528B"/>
    <w:rsid w:val="007952E3"/>
    <w:rsid w:val="00796177"/>
    <w:rsid w:val="00797168"/>
    <w:rsid w:val="00797DAF"/>
    <w:rsid w:val="007A0262"/>
    <w:rsid w:val="007A0DD0"/>
    <w:rsid w:val="007A0E62"/>
    <w:rsid w:val="007A2CB1"/>
    <w:rsid w:val="007A444B"/>
    <w:rsid w:val="007A507C"/>
    <w:rsid w:val="007A59ED"/>
    <w:rsid w:val="007A64EA"/>
    <w:rsid w:val="007A6A2B"/>
    <w:rsid w:val="007A6FD5"/>
    <w:rsid w:val="007B205B"/>
    <w:rsid w:val="007B35FA"/>
    <w:rsid w:val="007B3A59"/>
    <w:rsid w:val="007B668E"/>
    <w:rsid w:val="007B7E3D"/>
    <w:rsid w:val="007C0A1A"/>
    <w:rsid w:val="007C1711"/>
    <w:rsid w:val="007C224C"/>
    <w:rsid w:val="007C2F93"/>
    <w:rsid w:val="007C492B"/>
    <w:rsid w:val="007C5A2B"/>
    <w:rsid w:val="007D1AB2"/>
    <w:rsid w:val="007D3D29"/>
    <w:rsid w:val="007D43F0"/>
    <w:rsid w:val="007D54C0"/>
    <w:rsid w:val="007D5AB7"/>
    <w:rsid w:val="007D6D87"/>
    <w:rsid w:val="007E0CF5"/>
    <w:rsid w:val="007E2130"/>
    <w:rsid w:val="007E3BA0"/>
    <w:rsid w:val="007E3D3E"/>
    <w:rsid w:val="007E42D3"/>
    <w:rsid w:val="007F010F"/>
    <w:rsid w:val="007F448B"/>
    <w:rsid w:val="007F6578"/>
    <w:rsid w:val="008016D1"/>
    <w:rsid w:val="00801F81"/>
    <w:rsid w:val="00801FCD"/>
    <w:rsid w:val="0080407B"/>
    <w:rsid w:val="00804CF5"/>
    <w:rsid w:val="00805ACA"/>
    <w:rsid w:val="00806370"/>
    <w:rsid w:val="00806AE6"/>
    <w:rsid w:val="00806CC5"/>
    <w:rsid w:val="008137DE"/>
    <w:rsid w:val="0081381C"/>
    <w:rsid w:val="00814C0B"/>
    <w:rsid w:val="00814F96"/>
    <w:rsid w:val="00815466"/>
    <w:rsid w:val="00815511"/>
    <w:rsid w:val="0081775D"/>
    <w:rsid w:val="00817A0B"/>
    <w:rsid w:val="00817CB5"/>
    <w:rsid w:val="008202F8"/>
    <w:rsid w:val="00820CAF"/>
    <w:rsid w:val="008244E2"/>
    <w:rsid w:val="00824574"/>
    <w:rsid w:val="00825626"/>
    <w:rsid w:val="00827792"/>
    <w:rsid w:val="00827A53"/>
    <w:rsid w:val="0083030A"/>
    <w:rsid w:val="00830E86"/>
    <w:rsid w:val="008311EB"/>
    <w:rsid w:val="00831AC3"/>
    <w:rsid w:val="00831FC0"/>
    <w:rsid w:val="00832891"/>
    <w:rsid w:val="0083402A"/>
    <w:rsid w:val="00834AAC"/>
    <w:rsid w:val="008355D5"/>
    <w:rsid w:val="00835F50"/>
    <w:rsid w:val="00836CAE"/>
    <w:rsid w:val="008373F8"/>
    <w:rsid w:val="008374AF"/>
    <w:rsid w:val="00841199"/>
    <w:rsid w:val="008412FB"/>
    <w:rsid w:val="00841BF2"/>
    <w:rsid w:val="00842599"/>
    <w:rsid w:val="00842D62"/>
    <w:rsid w:val="008432BC"/>
    <w:rsid w:val="008452B2"/>
    <w:rsid w:val="00847A75"/>
    <w:rsid w:val="008503B9"/>
    <w:rsid w:val="0085069C"/>
    <w:rsid w:val="008511A4"/>
    <w:rsid w:val="00852AB7"/>
    <w:rsid w:val="00853AD5"/>
    <w:rsid w:val="00854654"/>
    <w:rsid w:val="008549CD"/>
    <w:rsid w:val="00857D8C"/>
    <w:rsid w:val="00860A8C"/>
    <w:rsid w:val="008611F8"/>
    <w:rsid w:val="008613AF"/>
    <w:rsid w:val="0086363A"/>
    <w:rsid w:val="00863A70"/>
    <w:rsid w:val="00867A8A"/>
    <w:rsid w:val="008701B4"/>
    <w:rsid w:val="00870235"/>
    <w:rsid w:val="00871A94"/>
    <w:rsid w:val="0087595C"/>
    <w:rsid w:val="00876FC6"/>
    <w:rsid w:val="008776AC"/>
    <w:rsid w:val="0087781D"/>
    <w:rsid w:val="008779F7"/>
    <w:rsid w:val="00880F9B"/>
    <w:rsid w:val="00881174"/>
    <w:rsid w:val="008815D1"/>
    <w:rsid w:val="00883A3A"/>
    <w:rsid w:val="008846DC"/>
    <w:rsid w:val="0088481E"/>
    <w:rsid w:val="008852F5"/>
    <w:rsid w:val="00885DF2"/>
    <w:rsid w:val="00886C64"/>
    <w:rsid w:val="0089026A"/>
    <w:rsid w:val="00891F0A"/>
    <w:rsid w:val="00892418"/>
    <w:rsid w:val="00893042"/>
    <w:rsid w:val="008936B7"/>
    <w:rsid w:val="00894823"/>
    <w:rsid w:val="00894BA4"/>
    <w:rsid w:val="008953A8"/>
    <w:rsid w:val="008975B4"/>
    <w:rsid w:val="00897D5E"/>
    <w:rsid w:val="008A1A0C"/>
    <w:rsid w:val="008A2CC7"/>
    <w:rsid w:val="008A4500"/>
    <w:rsid w:val="008A477B"/>
    <w:rsid w:val="008A73BF"/>
    <w:rsid w:val="008B03CC"/>
    <w:rsid w:val="008B08D4"/>
    <w:rsid w:val="008B125F"/>
    <w:rsid w:val="008B1294"/>
    <w:rsid w:val="008B1950"/>
    <w:rsid w:val="008B1F3A"/>
    <w:rsid w:val="008B5774"/>
    <w:rsid w:val="008B7E2A"/>
    <w:rsid w:val="008B7FA4"/>
    <w:rsid w:val="008C41B5"/>
    <w:rsid w:val="008C44DE"/>
    <w:rsid w:val="008C4DBA"/>
    <w:rsid w:val="008C5A6E"/>
    <w:rsid w:val="008C6A86"/>
    <w:rsid w:val="008D036D"/>
    <w:rsid w:val="008D0A47"/>
    <w:rsid w:val="008D15F8"/>
    <w:rsid w:val="008D1684"/>
    <w:rsid w:val="008D378D"/>
    <w:rsid w:val="008D4D7B"/>
    <w:rsid w:val="008D5F83"/>
    <w:rsid w:val="008D77E0"/>
    <w:rsid w:val="008E2D2F"/>
    <w:rsid w:val="008E3462"/>
    <w:rsid w:val="008E4AAB"/>
    <w:rsid w:val="008E4EAF"/>
    <w:rsid w:val="008E4F4C"/>
    <w:rsid w:val="008E7329"/>
    <w:rsid w:val="008F177C"/>
    <w:rsid w:val="008F26F5"/>
    <w:rsid w:val="008F4505"/>
    <w:rsid w:val="008F49FA"/>
    <w:rsid w:val="00900BCC"/>
    <w:rsid w:val="0090145E"/>
    <w:rsid w:val="009041A0"/>
    <w:rsid w:val="009047F4"/>
    <w:rsid w:val="00905F8C"/>
    <w:rsid w:val="00906FFA"/>
    <w:rsid w:val="00907765"/>
    <w:rsid w:val="00911085"/>
    <w:rsid w:val="00912776"/>
    <w:rsid w:val="009150B1"/>
    <w:rsid w:val="00916FDE"/>
    <w:rsid w:val="00920EA7"/>
    <w:rsid w:val="009225B3"/>
    <w:rsid w:val="00925130"/>
    <w:rsid w:val="00925463"/>
    <w:rsid w:val="00930823"/>
    <w:rsid w:val="009320ED"/>
    <w:rsid w:val="00933EB0"/>
    <w:rsid w:val="009354CF"/>
    <w:rsid w:val="00937463"/>
    <w:rsid w:val="00941CC0"/>
    <w:rsid w:val="0094244B"/>
    <w:rsid w:val="0094418F"/>
    <w:rsid w:val="009463E7"/>
    <w:rsid w:val="00951CEF"/>
    <w:rsid w:val="00951D31"/>
    <w:rsid w:val="00951E54"/>
    <w:rsid w:val="0095303D"/>
    <w:rsid w:val="00953425"/>
    <w:rsid w:val="0096251F"/>
    <w:rsid w:val="009626DC"/>
    <w:rsid w:val="009641A9"/>
    <w:rsid w:val="009642BB"/>
    <w:rsid w:val="0096524A"/>
    <w:rsid w:val="00972A32"/>
    <w:rsid w:val="00973333"/>
    <w:rsid w:val="009740B5"/>
    <w:rsid w:val="0098016E"/>
    <w:rsid w:val="00981808"/>
    <w:rsid w:val="00985C35"/>
    <w:rsid w:val="00987095"/>
    <w:rsid w:val="00987992"/>
    <w:rsid w:val="00990F72"/>
    <w:rsid w:val="00992F01"/>
    <w:rsid w:val="0099358C"/>
    <w:rsid w:val="0099384A"/>
    <w:rsid w:val="00995DB6"/>
    <w:rsid w:val="009964BC"/>
    <w:rsid w:val="00997162"/>
    <w:rsid w:val="009A1A32"/>
    <w:rsid w:val="009A2DAD"/>
    <w:rsid w:val="009A5319"/>
    <w:rsid w:val="009A5983"/>
    <w:rsid w:val="009A5C8E"/>
    <w:rsid w:val="009A6A67"/>
    <w:rsid w:val="009A72B4"/>
    <w:rsid w:val="009A7C40"/>
    <w:rsid w:val="009B04D8"/>
    <w:rsid w:val="009B29E6"/>
    <w:rsid w:val="009B3819"/>
    <w:rsid w:val="009B49DA"/>
    <w:rsid w:val="009B7476"/>
    <w:rsid w:val="009B7B55"/>
    <w:rsid w:val="009B7C18"/>
    <w:rsid w:val="009C0160"/>
    <w:rsid w:val="009C0A39"/>
    <w:rsid w:val="009C0B1B"/>
    <w:rsid w:val="009C1534"/>
    <w:rsid w:val="009C1915"/>
    <w:rsid w:val="009C249A"/>
    <w:rsid w:val="009C3507"/>
    <w:rsid w:val="009C363F"/>
    <w:rsid w:val="009C528A"/>
    <w:rsid w:val="009C67BA"/>
    <w:rsid w:val="009C796D"/>
    <w:rsid w:val="009C7DA0"/>
    <w:rsid w:val="009D0350"/>
    <w:rsid w:val="009D0546"/>
    <w:rsid w:val="009D11A7"/>
    <w:rsid w:val="009D40A7"/>
    <w:rsid w:val="009D78B5"/>
    <w:rsid w:val="009D7A17"/>
    <w:rsid w:val="009E0688"/>
    <w:rsid w:val="009E1220"/>
    <w:rsid w:val="009E13B0"/>
    <w:rsid w:val="009E165B"/>
    <w:rsid w:val="009E6089"/>
    <w:rsid w:val="009E7162"/>
    <w:rsid w:val="009F221B"/>
    <w:rsid w:val="009F24A6"/>
    <w:rsid w:val="009F2F69"/>
    <w:rsid w:val="009F3CCC"/>
    <w:rsid w:val="009F44B6"/>
    <w:rsid w:val="009F4BE4"/>
    <w:rsid w:val="009F4F63"/>
    <w:rsid w:val="009F602D"/>
    <w:rsid w:val="00A1002B"/>
    <w:rsid w:val="00A10F89"/>
    <w:rsid w:val="00A11033"/>
    <w:rsid w:val="00A117C6"/>
    <w:rsid w:val="00A200CC"/>
    <w:rsid w:val="00A20AD5"/>
    <w:rsid w:val="00A245F6"/>
    <w:rsid w:val="00A2510F"/>
    <w:rsid w:val="00A25462"/>
    <w:rsid w:val="00A25469"/>
    <w:rsid w:val="00A26994"/>
    <w:rsid w:val="00A270D7"/>
    <w:rsid w:val="00A313BF"/>
    <w:rsid w:val="00A31B08"/>
    <w:rsid w:val="00A31DC7"/>
    <w:rsid w:val="00A3220C"/>
    <w:rsid w:val="00A3414B"/>
    <w:rsid w:val="00A35E57"/>
    <w:rsid w:val="00A36393"/>
    <w:rsid w:val="00A40D7D"/>
    <w:rsid w:val="00A42BF8"/>
    <w:rsid w:val="00A42E17"/>
    <w:rsid w:val="00A43962"/>
    <w:rsid w:val="00A46644"/>
    <w:rsid w:val="00A46C12"/>
    <w:rsid w:val="00A4734D"/>
    <w:rsid w:val="00A47B27"/>
    <w:rsid w:val="00A47B7B"/>
    <w:rsid w:val="00A50363"/>
    <w:rsid w:val="00A516DF"/>
    <w:rsid w:val="00A51D23"/>
    <w:rsid w:val="00A5387A"/>
    <w:rsid w:val="00A54E3C"/>
    <w:rsid w:val="00A55243"/>
    <w:rsid w:val="00A55C2C"/>
    <w:rsid w:val="00A62DBF"/>
    <w:rsid w:val="00A66202"/>
    <w:rsid w:val="00A67C2E"/>
    <w:rsid w:val="00A72246"/>
    <w:rsid w:val="00A7558C"/>
    <w:rsid w:val="00A75673"/>
    <w:rsid w:val="00A83F0D"/>
    <w:rsid w:val="00A90736"/>
    <w:rsid w:val="00A9270E"/>
    <w:rsid w:val="00A938C7"/>
    <w:rsid w:val="00A9794B"/>
    <w:rsid w:val="00A9798F"/>
    <w:rsid w:val="00AA0650"/>
    <w:rsid w:val="00AA09EB"/>
    <w:rsid w:val="00AA0DB2"/>
    <w:rsid w:val="00AA1DEC"/>
    <w:rsid w:val="00AA299F"/>
    <w:rsid w:val="00AA33B4"/>
    <w:rsid w:val="00AA3F48"/>
    <w:rsid w:val="00AA4A0A"/>
    <w:rsid w:val="00AA4E40"/>
    <w:rsid w:val="00AB05F7"/>
    <w:rsid w:val="00AB1E49"/>
    <w:rsid w:val="00AB1F33"/>
    <w:rsid w:val="00AB2D1A"/>
    <w:rsid w:val="00AB30FD"/>
    <w:rsid w:val="00AB36E1"/>
    <w:rsid w:val="00AB3A45"/>
    <w:rsid w:val="00AB3EB0"/>
    <w:rsid w:val="00AB5B64"/>
    <w:rsid w:val="00AB63BC"/>
    <w:rsid w:val="00AB6829"/>
    <w:rsid w:val="00AB7BFD"/>
    <w:rsid w:val="00AB7D1F"/>
    <w:rsid w:val="00AC0B20"/>
    <w:rsid w:val="00AC1535"/>
    <w:rsid w:val="00AC24F4"/>
    <w:rsid w:val="00AC327F"/>
    <w:rsid w:val="00AC3717"/>
    <w:rsid w:val="00AC3B8A"/>
    <w:rsid w:val="00AC4258"/>
    <w:rsid w:val="00AC42CD"/>
    <w:rsid w:val="00AC4A58"/>
    <w:rsid w:val="00AD0B13"/>
    <w:rsid w:val="00AD0BB8"/>
    <w:rsid w:val="00AD0C90"/>
    <w:rsid w:val="00AD0D4B"/>
    <w:rsid w:val="00AD0D99"/>
    <w:rsid w:val="00AD121E"/>
    <w:rsid w:val="00AD2421"/>
    <w:rsid w:val="00AD247A"/>
    <w:rsid w:val="00AD41A6"/>
    <w:rsid w:val="00AD4405"/>
    <w:rsid w:val="00AD4424"/>
    <w:rsid w:val="00AE0576"/>
    <w:rsid w:val="00AE0F89"/>
    <w:rsid w:val="00AE12D5"/>
    <w:rsid w:val="00AE3D50"/>
    <w:rsid w:val="00AE4804"/>
    <w:rsid w:val="00AE5B3C"/>
    <w:rsid w:val="00AE5BD7"/>
    <w:rsid w:val="00AE5CEE"/>
    <w:rsid w:val="00AE6EE9"/>
    <w:rsid w:val="00AF1A57"/>
    <w:rsid w:val="00AF30C5"/>
    <w:rsid w:val="00AF3150"/>
    <w:rsid w:val="00AF5072"/>
    <w:rsid w:val="00AF7729"/>
    <w:rsid w:val="00B00B36"/>
    <w:rsid w:val="00B0184D"/>
    <w:rsid w:val="00B025AF"/>
    <w:rsid w:val="00B02C97"/>
    <w:rsid w:val="00B037A7"/>
    <w:rsid w:val="00B054E7"/>
    <w:rsid w:val="00B0554A"/>
    <w:rsid w:val="00B05C18"/>
    <w:rsid w:val="00B06EC4"/>
    <w:rsid w:val="00B07906"/>
    <w:rsid w:val="00B100BC"/>
    <w:rsid w:val="00B109B6"/>
    <w:rsid w:val="00B1202E"/>
    <w:rsid w:val="00B128DB"/>
    <w:rsid w:val="00B12C12"/>
    <w:rsid w:val="00B130FC"/>
    <w:rsid w:val="00B1396B"/>
    <w:rsid w:val="00B14359"/>
    <w:rsid w:val="00B1625A"/>
    <w:rsid w:val="00B17892"/>
    <w:rsid w:val="00B17A4D"/>
    <w:rsid w:val="00B229B0"/>
    <w:rsid w:val="00B251E5"/>
    <w:rsid w:val="00B271C8"/>
    <w:rsid w:val="00B27E14"/>
    <w:rsid w:val="00B31143"/>
    <w:rsid w:val="00B312A8"/>
    <w:rsid w:val="00B31D64"/>
    <w:rsid w:val="00B32EA2"/>
    <w:rsid w:val="00B360D7"/>
    <w:rsid w:val="00B362A0"/>
    <w:rsid w:val="00B36C25"/>
    <w:rsid w:val="00B36CD3"/>
    <w:rsid w:val="00B403B3"/>
    <w:rsid w:val="00B4046A"/>
    <w:rsid w:val="00B43626"/>
    <w:rsid w:val="00B43A85"/>
    <w:rsid w:val="00B4546C"/>
    <w:rsid w:val="00B454E8"/>
    <w:rsid w:val="00B46B05"/>
    <w:rsid w:val="00B47B2A"/>
    <w:rsid w:val="00B5014A"/>
    <w:rsid w:val="00B50FE9"/>
    <w:rsid w:val="00B51B48"/>
    <w:rsid w:val="00B52F12"/>
    <w:rsid w:val="00B5445A"/>
    <w:rsid w:val="00B54641"/>
    <w:rsid w:val="00B55C12"/>
    <w:rsid w:val="00B57824"/>
    <w:rsid w:val="00B5797C"/>
    <w:rsid w:val="00B57F5B"/>
    <w:rsid w:val="00B60D8D"/>
    <w:rsid w:val="00B61FE0"/>
    <w:rsid w:val="00B656AC"/>
    <w:rsid w:val="00B73924"/>
    <w:rsid w:val="00B73F19"/>
    <w:rsid w:val="00B774A6"/>
    <w:rsid w:val="00B81D67"/>
    <w:rsid w:val="00B8397B"/>
    <w:rsid w:val="00B85FD8"/>
    <w:rsid w:val="00B868FE"/>
    <w:rsid w:val="00B87B8C"/>
    <w:rsid w:val="00B91930"/>
    <w:rsid w:val="00B92356"/>
    <w:rsid w:val="00B978D5"/>
    <w:rsid w:val="00B97932"/>
    <w:rsid w:val="00B97960"/>
    <w:rsid w:val="00BA0893"/>
    <w:rsid w:val="00BA2CD1"/>
    <w:rsid w:val="00BA3D1E"/>
    <w:rsid w:val="00BA62FD"/>
    <w:rsid w:val="00BA7072"/>
    <w:rsid w:val="00BB366A"/>
    <w:rsid w:val="00BB3FD3"/>
    <w:rsid w:val="00BB40F4"/>
    <w:rsid w:val="00BB4501"/>
    <w:rsid w:val="00BB52BB"/>
    <w:rsid w:val="00BB5981"/>
    <w:rsid w:val="00BB723D"/>
    <w:rsid w:val="00BC07CD"/>
    <w:rsid w:val="00BC47EE"/>
    <w:rsid w:val="00BC4C77"/>
    <w:rsid w:val="00BC61CE"/>
    <w:rsid w:val="00BC68AA"/>
    <w:rsid w:val="00BD5D77"/>
    <w:rsid w:val="00BD5ED8"/>
    <w:rsid w:val="00BD77C5"/>
    <w:rsid w:val="00BE15B1"/>
    <w:rsid w:val="00BE164F"/>
    <w:rsid w:val="00BE1E0F"/>
    <w:rsid w:val="00BE2905"/>
    <w:rsid w:val="00BE474C"/>
    <w:rsid w:val="00BE5675"/>
    <w:rsid w:val="00BF0814"/>
    <w:rsid w:val="00BF0923"/>
    <w:rsid w:val="00BF20E5"/>
    <w:rsid w:val="00BF5756"/>
    <w:rsid w:val="00BF7A52"/>
    <w:rsid w:val="00C00797"/>
    <w:rsid w:val="00C00EFB"/>
    <w:rsid w:val="00C01B13"/>
    <w:rsid w:val="00C01CDA"/>
    <w:rsid w:val="00C04E9C"/>
    <w:rsid w:val="00C060A5"/>
    <w:rsid w:val="00C06603"/>
    <w:rsid w:val="00C0717B"/>
    <w:rsid w:val="00C109BC"/>
    <w:rsid w:val="00C119A6"/>
    <w:rsid w:val="00C12351"/>
    <w:rsid w:val="00C13676"/>
    <w:rsid w:val="00C13888"/>
    <w:rsid w:val="00C13A0B"/>
    <w:rsid w:val="00C14095"/>
    <w:rsid w:val="00C149B6"/>
    <w:rsid w:val="00C202C1"/>
    <w:rsid w:val="00C21271"/>
    <w:rsid w:val="00C220E5"/>
    <w:rsid w:val="00C22B3A"/>
    <w:rsid w:val="00C23A9A"/>
    <w:rsid w:val="00C243AC"/>
    <w:rsid w:val="00C2488C"/>
    <w:rsid w:val="00C2713B"/>
    <w:rsid w:val="00C2761D"/>
    <w:rsid w:val="00C3168C"/>
    <w:rsid w:val="00C322CE"/>
    <w:rsid w:val="00C3331A"/>
    <w:rsid w:val="00C35127"/>
    <w:rsid w:val="00C37045"/>
    <w:rsid w:val="00C3726D"/>
    <w:rsid w:val="00C41221"/>
    <w:rsid w:val="00C41584"/>
    <w:rsid w:val="00C417DD"/>
    <w:rsid w:val="00C43D55"/>
    <w:rsid w:val="00C44D0F"/>
    <w:rsid w:val="00C47204"/>
    <w:rsid w:val="00C47B87"/>
    <w:rsid w:val="00C51463"/>
    <w:rsid w:val="00C51826"/>
    <w:rsid w:val="00C543BD"/>
    <w:rsid w:val="00C62897"/>
    <w:rsid w:val="00C63551"/>
    <w:rsid w:val="00C65002"/>
    <w:rsid w:val="00C65376"/>
    <w:rsid w:val="00C66A6B"/>
    <w:rsid w:val="00C66E3F"/>
    <w:rsid w:val="00C703F5"/>
    <w:rsid w:val="00C70E12"/>
    <w:rsid w:val="00C7139A"/>
    <w:rsid w:val="00C734B3"/>
    <w:rsid w:val="00C750DA"/>
    <w:rsid w:val="00C76D17"/>
    <w:rsid w:val="00C803C0"/>
    <w:rsid w:val="00C8269C"/>
    <w:rsid w:val="00C836C4"/>
    <w:rsid w:val="00C85B7E"/>
    <w:rsid w:val="00C872A0"/>
    <w:rsid w:val="00C90611"/>
    <w:rsid w:val="00C91A6B"/>
    <w:rsid w:val="00C92B4D"/>
    <w:rsid w:val="00C93192"/>
    <w:rsid w:val="00C936E7"/>
    <w:rsid w:val="00C96D21"/>
    <w:rsid w:val="00C96DDA"/>
    <w:rsid w:val="00CA0D11"/>
    <w:rsid w:val="00CA227B"/>
    <w:rsid w:val="00CA2324"/>
    <w:rsid w:val="00CA3453"/>
    <w:rsid w:val="00CA5563"/>
    <w:rsid w:val="00CA7A39"/>
    <w:rsid w:val="00CB2937"/>
    <w:rsid w:val="00CB2E99"/>
    <w:rsid w:val="00CB2EA4"/>
    <w:rsid w:val="00CB3740"/>
    <w:rsid w:val="00CB37A5"/>
    <w:rsid w:val="00CB3FB8"/>
    <w:rsid w:val="00CB4278"/>
    <w:rsid w:val="00CB4EAC"/>
    <w:rsid w:val="00CB4FFC"/>
    <w:rsid w:val="00CC442D"/>
    <w:rsid w:val="00CC5D2F"/>
    <w:rsid w:val="00CC5E80"/>
    <w:rsid w:val="00CC5E9B"/>
    <w:rsid w:val="00CC785D"/>
    <w:rsid w:val="00CC7C31"/>
    <w:rsid w:val="00CD19CB"/>
    <w:rsid w:val="00CD2A30"/>
    <w:rsid w:val="00CD2C18"/>
    <w:rsid w:val="00CD4FB9"/>
    <w:rsid w:val="00CD54EE"/>
    <w:rsid w:val="00CD66AF"/>
    <w:rsid w:val="00CD6B90"/>
    <w:rsid w:val="00CD7332"/>
    <w:rsid w:val="00CE0842"/>
    <w:rsid w:val="00CE0894"/>
    <w:rsid w:val="00CE0961"/>
    <w:rsid w:val="00CE2867"/>
    <w:rsid w:val="00CE2BEE"/>
    <w:rsid w:val="00CE4FE9"/>
    <w:rsid w:val="00CE610A"/>
    <w:rsid w:val="00CE62D7"/>
    <w:rsid w:val="00CF12DF"/>
    <w:rsid w:val="00CF2446"/>
    <w:rsid w:val="00CF5071"/>
    <w:rsid w:val="00CF5A45"/>
    <w:rsid w:val="00CF7DD8"/>
    <w:rsid w:val="00D01CF6"/>
    <w:rsid w:val="00D03540"/>
    <w:rsid w:val="00D04CD3"/>
    <w:rsid w:val="00D064D5"/>
    <w:rsid w:val="00D10A27"/>
    <w:rsid w:val="00D1241A"/>
    <w:rsid w:val="00D1362A"/>
    <w:rsid w:val="00D13E0B"/>
    <w:rsid w:val="00D17C1A"/>
    <w:rsid w:val="00D17E1E"/>
    <w:rsid w:val="00D218CE"/>
    <w:rsid w:val="00D21E2E"/>
    <w:rsid w:val="00D223BF"/>
    <w:rsid w:val="00D22E21"/>
    <w:rsid w:val="00D23718"/>
    <w:rsid w:val="00D23AF0"/>
    <w:rsid w:val="00D23DBC"/>
    <w:rsid w:val="00D24F57"/>
    <w:rsid w:val="00D25770"/>
    <w:rsid w:val="00D2720B"/>
    <w:rsid w:val="00D3049C"/>
    <w:rsid w:val="00D333E7"/>
    <w:rsid w:val="00D3340C"/>
    <w:rsid w:val="00D33D9A"/>
    <w:rsid w:val="00D37CA1"/>
    <w:rsid w:val="00D42A69"/>
    <w:rsid w:val="00D4428A"/>
    <w:rsid w:val="00D445DC"/>
    <w:rsid w:val="00D446E0"/>
    <w:rsid w:val="00D447ED"/>
    <w:rsid w:val="00D45546"/>
    <w:rsid w:val="00D45AFD"/>
    <w:rsid w:val="00D469B6"/>
    <w:rsid w:val="00D46E54"/>
    <w:rsid w:val="00D502E5"/>
    <w:rsid w:val="00D512B7"/>
    <w:rsid w:val="00D52FC5"/>
    <w:rsid w:val="00D53158"/>
    <w:rsid w:val="00D532BD"/>
    <w:rsid w:val="00D54748"/>
    <w:rsid w:val="00D55958"/>
    <w:rsid w:val="00D55CC6"/>
    <w:rsid w:val="00D574BD"/>
    <w:rsid w:val="00D63055"/>
    <w:rsid w:val="00D63372"/>
    <w:rsid w:val="00D64889"/>
    <w:rsid w:val="00D6625A"/>
    <w:rsid w:val="00D6719D"/>
    <w:rsid w:val="00D67803"/>
    <w:rsid w:val="00D67CCC"/>
    <w:rsid w:val="00D7131B"/>
    <w:rsid w:val="00D71F18"/>
    <w:rsid w:val="00D7281B"/>
    <w:rsid w:val="00D72AAE"/>
    <w:rsid w:val="00D73048"/>
    <w:rsid w:val="00D75205"/>
    <w:rsid w:val="00D80961"/>
    <w:rsid w:val="00D82087"/>
    <w:rsid w:val="00D838E3"/>
    <w:rsid w:val="00D8721D"/>
    <w:rsid w:val="00D879D2"/>
    <w:rsid w:val="00D9081B"/>
    <w:rsid w:val="00D9333D"/>
    <w:rsid w:val="00D949F2"/>
    <w:rsid w:val="00D94B39"/>
    <w:rsid w:val="00D95E97"/>
    <w:rsid w:val="00D97AEE"/>
    <w:rsid w:val="00DA07A2"/>
    <w:rsid w:val="00DA185D"/>
    <w:rsid w:val="00DA3D8E"/>
    <w:rsid w:val="00DA4678"/>
    <w:rsid w:val="00DB24CC"/>
    <w:rsid w:val="00DB49FD"/>
    <w:rsid w:val="00DB5408"/>
    <w:rsid w:val="00DB63F5"/>
    <w:rsid w:val="00DB69F4"/>
    <w:rsid w:val="00DB6B93"/>
    <w:rsid w:val="00DC18D2"/>
    <w:rsid w:val="00DC1D64"/>
    <w:rsid w:val="00DC28D1"/>
    <w:rsid w:val="00DC3628"/>
    <w:rsid w:val="00DC3FD0"/>
    <w:rsid w:val="00DC479E"/>
    <w:rsid w:val="00DC63F8"/>
    <w:rsid w:val="00DC717F"/>
    <w:rsid w:val="00DD040E"/>
    <w:rsid w:val="00DD11C1"/>
    <w:rsid w:val="00DD18CB"/>
    <w:rsid w:val="00DD1ED6"/>
    <w:rsid w:val="00DD251F"/>
    <w:rsid w:val="00DD5732"/>
    <w:rsid w:val="00DE2122"/>
    <w:rsid w:val="00DE395F"/>
    <w:rsid w:val="00DE4801"/>
    <w:rsid w:val="00DE49EF"/>
    <w:rsid w:val="00DE5BF4"/>
    <w:rsid w:val="00DE5E9C"/>
    <w:rsid w:val="00DE6629"/>
    <w:rsid w:val="00DE758B"/>
    <w:rsid w:val="00DE7782"/>
    <w:rsid w:val="00DE78C7"/>
    <w:rsid w:val="00DF0297"/>
    <w:rsid w:val="00DF1068"/>
    <w:rsid w:val="00DF349D"/>
    <w:rsid w:val="00DF4C3F"/>
    <w:rsid w:val="00DF5423"/>
    <w:rsid w:val="00E002D6"/>
    <w:rsid w:val="00E00B17"/>
    <w:rsid w:val="00E011F5"/>
    <w:rsid w:val="00E02105"/>
    <w:rsid w:val="00E025B7"/>
    <w:rsid w:val="00E02E5B"/>
    <w:rsid w:val="00E031E5"/>
    <w:rsid w:val="00E037C9"/>
    <w:rsid w:val="00E03FB5"/>
    <w:rsid w:val="00E03FD5"/>
    <w:rsid w:val="00E05B1E"/>
    <w:rsid w:val="00E05DB6"/>
    <w:rsid w:val="00E073CE"/>
    <w:rsid w:val="00E07C40"/>
    <w:rsid w:val="00E10662"/>
    <w:rsid w:val="00E12BD4"/>
    <w:rsid w:val="00E15B0B"/>
    <w:rsid w:val="00E169A4"/>
    <w:rsid w:val="00E1774F"/>
    <w:rsid w:val="00E200C8"/>
    <w:rsid w:val="00E210B6"/>
    <w:rsid w:val="00E226D7"/>
    <w:rsid w:val="00E23541"/>
    <w:rsid w:val="00E2635A"/>
    <w:rsid w:val="00E27F87"/>
    <w:rsid w:val="00E300AF"/>
    <w:rsid w:val="00E3069F"/>
    <w:rsid w:val="00E32706"/>
    <w:rsid w:val="00E331A0"/>
    <w:rsid w:val="00E3376E"/>
    <w:rsid w:val="00E33F62"/>
    <w:rsid w:val="00E352E2"/>
    <w:rsid w:val="00E371B4"/>
    <w:rsid w:val="00E41509"/>
    <w:rsid w:val="00E418D3"/>
    <w:rsid w:val="00E42EC0"/>
    <w:rsid w:val="00E432F9"/>
    <w:rsid w:val="00E44746"/>
    <w:rsid w:val="00E447B9"/>
    <w:rsid w:val="00E46106"/>
    <w:rsid w:val="00E461BB"/>
    <w:rsid w:val="00E4640C"/>
    <w:rsid w:val="00E47403"/>
    <w:rsid w:val="00E47E79"/>
    <w:rsid w:val="00E5523F"/>
    <w:rsid w:val="00E57B78"/>
    <w:rsid w:val="00E6043C"/>
    <w:rsid w:val="00E6383B"/>
    <w:rsid w:val="00E63E43"/>
    <w:rsid w:val="00E6703B"/>
    <w:rsid w:val="00E7072E"/>
    <w:rsid w:val="00E70BE9"/>
    <w:rsid w:val="00E70DAB"/>
    <w:rsid w:val="00E737BB"/>
    <w:rsid w:val="00E75C5F"/>
    <w:rsid w:val="00E777E3"/>
    <w:rsid w:val="00E80EC5"/>
    <w:rsid w:val="00E812F3"/>
    <w:rsid w:val="00E82288"/>
    <w:rsid w:val="00E8323E"/>
    <w:rsid w:val="00E83F26"/>
    <w:rsid w:val="00E91D3E"/>
    <w:rsid w:val="00E91E01"/>
    <w:rsid w:val="00E924D7"/>
    <w:rsid w:val="00E937F4"/>
    <w:rsid w:val="00E94FCA"/>
    <w:rsid w:val="00E9594B"/>
    <w:rsid w:val="00E96B2C"/>
    <w:rsid w:val="00E96FA2"/>
    <w:rsid w:val="00E976CB"/>
    <w:rsid w:val="00EA12B7"/>
    <w:rsid w:val="00EA42E3"/>
    <w:rsid w:val="00EA7E59"/>
    <w:rsid w:val="00EB353B"/>
    <w:rsid w:val="00EB59EC"/>
    <w:rsid w:val="00EB777F"/>
    <w:rsid w:val="00EB78A8"/>
    <w:rsid w:val="00EB7CE6"/>
    <w:rsid w:val="00EC00CD"/>
    <w:rsid w:val="00EC0709"/>
    <w:rsid w:val="00EC0B4C"/>
    <w:rsid w:val="00EC4C7B"/>
    <w:rsid w:val="00EC5260"/>
    <w:rsid w:val="00ED1203"/>
    <w:rsid w:val="00ED21CD"/>
    <w:rsid w:val="00ED279A"/>
    <w:rsid w:val="00ED445B"/>
    <w:rsid w:val="00ED5B50"/>
    <w:rsid w:val="00ED71F3"/>
    <w:rsid w:val="00EE37AC"/>
    <w:rsid w:val="00EE5B98"/>
    <w:rsid w:val="00EE6F8F"/>
    <w:rsid w:val="00EF0E0D"/>
    <w:rsid w:val="00EF10F1"/>
    <w:rsid w:val="00EF3787"/>
    <w:rsid w:val="00EF39BB"/>
    <w:rsid w:val="00EF61B8"/>
    <w:rsid w:val="00EF6677"/>
    <w:rsid w:val="00EF699C"/>
    <w:rsid w:val="00EF7574"/>
    <w:rsid w:val="00F00B81"/>
    <w:rsid w:val="00F03477"/>
    <w:rsid w:val="00F04D9D"/>
    <w:rsid w:val="00F0534D"/>
    <w:rsid w:val="00F058A3"/>
    <w:rsid w:val="00F05E4B"/>
    <w:rsid w:val="00F06FB0"/>
    <w:rsid w:val="00F10E00"/>
    <w:rsid w:val="00F1341D"/>
    <w:rsid w:val="00F13F4C"/>
    <w:rsid w:val="00F17A27"/>
    <w:rsid w:val="00F208A0"/>
    <w:rsid w:val="00F22CDD"/>
    <w:rsid w:val="00F24CCC"/>
    <w:rsid w:val="00F25103"/>
    <w:rsid w:val="00F25958"/>
    <w:rsid w:val="00F275F1"/>
    <w:rsid w:val="00F3032D"/>
    <w:rsid w:val="00F30CA2"/>
    <w:rsid w:val="00F31694"/>
    <w:rsid w:val="00F33320"/>
    <w:rsid w:val="00F4132C"/>
    <w:rsid w:val="00F41348"/>
    <w:rsid w:val="00F4264A"/>
    <w:rsid w:val="00F4300C"/>
    <w:rsid w:val="00F452BC"/>
    <w:rsid w:val="00F45923"/>
    <w:rsid w:val="00F471BB"/>
    <w:rsid w:val="00F477EA"/>
    <w:rsid w:val="00F50382"/>
    <w:rsid w:val="00F51046"/>
    <w:rsid w:val="00F5113F"/>
    <w:rsid w:val="00F5371F"/>
    <w:rsid w:val="00F539A7"/>
    <w:rsid w:val="00F5492F"/>
    <w:rsid w:val="00F55CD1"/>
    <w:rsid w:val="00F57166"/>
    <w:rsid w:val="00F57B0F"/>
    <w:rsid w:val="00F57FE9"/>
    <w:rsid w:val="00F60BA4"/>
    <w:rsid w:val="00F60E63"/>
    <w:rsid w:val="00F64772"/>
    <w:rsid w:val="00F64B84"/>
    <w:rsid w:val="00F662B0"/>
    <w:rsid w:val="00F66BCC"/>
    <w:rsid w:val="00F706EA"/>
    <w:rsid w:val="00F726B5"/>
    <w:rsid w:val="00F726F5"/>
    <w:rsid w:val="00F7466E"/>
    <w:rsid w:val="00F74EF7"/>
    <w:rsid w:val="00F74FDE"/>
    <w:rsid w:val="00F765BA"/>
    <w:rsid w:val="00F77B38"/>
    <w:rsid w:val="00F8411A"/>
    <w:rsid w:val="00F86023"/>
    <w:rsid w:val="00F86CEE"/>
    <w:rsid w:val="00F8729A"/>
    <w:rsid w:val="00F87E8C"/>
    <w:rsid w:val="00F90E57"/>
    <w:rsid w:val="00F92FA6"/>
    <w:rsid w:val="00F9504F"/>
    <w:rsid w:val="00F95499"/>
    <w:rsid w:val="00F957AA"/>
    <w:rsid w:val="00F95A0A"/>
    <w:rsid w:val="00F96342"/>
    <w:rsid w:val="00F96A3A"/>
    <w:rsid w:val="00F96AF0"/>
    <w:rsid w:val="00F973B5"/>
    <w:rsid w:val="00F97ED1"/>
    <w:rsid w:val="00FA09DF"/>
    <w:rsid w:val="00FA1896"/>
    <w:rsid w:val="00FA2478"/>
    <w:rsid w:val="00FA3D36"/>
    <w:rsid w:val="00FA4B25"/>
    <w:rsid w:val="00FA4FF0"/>
    <w:rsid w:val="00FA6788"/>
    <w:rsid w:val="00FA78A7"/>
    <w:rsid w:val="00FB0AE1"/>
    <w:rsid w:val="00FB181B"/>
    <w:rsid w:val="00FB2F33"/>
    <w:rsid w:val="00FB559A"/>
    <w:rsid w:val="00FB5E5A"/>
    <w:rsid w:val="00FB7CB8"/>
    <w:rsid w:val="00FC006D"/>
    <w:rsid w:val="00FC33A6"/>
    <w:rsid w:val="00FC4728"/>
    <w:rsid w:val="00FC5A27"/>
    <w:rsid w:val="00FC6AA0"/>
    <w:rsid w:val="00FC6BD3"/>
    <w:rsid w:val="00FC7401"/>
    <w:rsid w:val="00FC7DEC"/>
    <w:rsid w:val="00FD0731"/>
    <w:rsid w:val="00FD0B6C"/>
    <w:rsid w:val="00FD1386"/>
    <w:rsid w:val="00FD3047"/>
    <w:rsid w:val="00FD3F0B"/>
    <w:rsid w:val="00FD4B56"/>
    <w:rsid w:val="00FD5743"/>
    <w:rsid w:val="00FD6C3C"/>
    <w:rsid w:val="00FD7E8F"/>
    <w:rsid w:val="00FE010B"/>
    <w:rsid w:val="00FE0F44"/>
    <w:rsid w:val="00FE387F"/>
    <w:rsid w:val="00FE3D47"/>
    <w:rsid w:val="00FE4E47"/>
    <w:rsid w:val="00FE51EC"/>
    <w:rsid w:val="00FE58A4"/>
    <w:rsid w:val="00FE5CD0"/>
    <w:rsid w:val="00FE5D82"/>
    <w:rsid w:val="00FF4B02"/>
    <w:rsid w:val="00FF6C5E"/>
    <w:rsid w:val="00FF7D78"/>
    <w:rsid w:val="00FF7FF5"/>
    <w:rsid w:val="0687105E"/>
    <w:rsid w:val="0B556DB1"/>
    <w:rsid w:val="1F8454BF"/>
    <w:rsid w:val="216FE6D2"/>
    <w:rsid w:val="294E8EEE"/>
    <w:rsid w:val="2B3DCA50"/>
    <w:rsid w:val="2BF18DE6"/>
    <w:rsid w:val="51FBBAE9"/>
    <w:rsid w:val="577C669B"/>
    <w:rsid w:val="5DBDCD1E"/>
    <w:rsid w:val="72533627"/>
    <w:rsid w:val="7886CF16"/>
    <w:rsid w:val="7C36CC79"/>
    <w:rsid w:val="7C45CB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2D693"/>
  <w15:docId w15:val="{5C691CBC-DC48-451F-8705-9D4C6151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192"/>
    <w:pPr>
      <w:spacing w:before="120" w:after="120"/>
    </w:pPr>
  </w:style>
  <w:style w:type="paragraph" w:styleId="Heading1">
    <w:name w:val="heading 1"/>
    <w:basedOn w:val="HeadingBase"/>
    <w:next w:val="Normal"/>
    <w:qFormat/>
    <w:rsid w:val="005411A2"/>
    <w:pPr>
      <w:keepNext/>
      <w:pageBreakBefore/>
      <w:spacing w:after="120"/>
      <w:outlineLvl w:val="0"/>
    </w:pPr>
    <w:rPr>
      <w:rFonts w:cs="Arial"/>
      <w:bCs/>
      <w:color w:val="C00000"/>
      <w:kern w:val="32"/>
      <w:sz w:val="48"/>
      <w:szCs w:val="38"/>
    </w:rPr>
  </w:style>
  <w:style w:type="paragraph" w:styleId="Heading2">
    <w:name w:val="heading 2"/>
    <w:basedOn w:val="HeadingBase"/>
    <w:next w:val="Normal"/>
    <w:qFormat/>
    <w:rsid w:val="00E4640C"/>
    <w:pPr>
      <w:keepNext/>
      <w:spacing w:before="120" w:after="120"/>
      <w:outlineLvl w:val="1"/>
    </w:pPr>
    <w:rPr>
      <w:rFonts w:asciiTheme="minorHAnsi" w:hAnsiTheme="minorHAnsi" w:cs="Arial"/>
      <w:bCs/>
      <w:iCs/>
      <w:color w:val="C00000"/>
      <w:sz w:val="36"/>
      <w:szCs w:val="30"/>
    </w:rPr>
  </w:style>
  <w:style w:type="paragraph" w:styleId="Heading3">
    <w:name w:val="heading 3"/>
    <w:basedOn w:val="HeadingBase"/>
    <w:next w:val="Normal"/>
    <w:qFormat/>
    <w:rsid w:val="00130039"/>
    <w:pPr>
      <w:keepNext/>
      <w:spacing w:before="240" w:after="120"/>
      <w:outlineLvl w:val="2"/>
    </w:pPr>
    <w:rPr>
      <w:rFonts w:cs="Arial"/>
      <w:b/>
      <w:bCs/>
      <w:color w:val="17365D" w:themeColor="text2" w:themeShade="BF"/>
      <w:sz w:val="28"/>
      <w:szCs w:val="26"/>
    </w:rPr>
  </w:style>
  <w:style w:type="paragraph" w:styleId="Heading4">
    <w:name w:val="heading 4"/>
    <w:basedOn w:val="HeadingBase"/>
    <w:next w:val="Normal"/>
    <w:qFormat/>
    <w:rsid w:val="005E4808"/>
    <w:pPr>
      <w:keepNext/>
      <w:spacing w:before="120" w:after="120"/>
      <w:outlineLvl w:val="3"/>
    </w:pPr>
    <w:rPr>
      <w:bCs/>
      <w:i/>
      <w:color w:val="C00000"/>
      <w:sz w:val="28"/>
      <w:szCs w:val="23"/>
    </w:rPr>
  </w:style>
  <w:style w:type="paragraph" w:styleId="Heading5">
    <w:name w:val="heading 5"/>
    <w:basedOn w:val="HeadingBase"/>
    <w:next w:val="Normal"/>
    <w:rsid w:val="005E4808"/>
    <w:pPr>
      <w:spacing w:before="160" w:after="80"/>
      <w:outlineLvl w:val="4"/>
    </w:pPr>
    <w:rPr>
      <w:b/>
      <w:bCs/>
      <w:iCs/>
      <w:sz w:val="24"/>
    </w:rPr>
  </w:style>
  <w:style w:type="paragraph" w:styleId="Heading6">
    <w:name w:val="heading 6"/>
    <w:basedOn w:val="HeadingBase"/>
    <w:next w:val="Normal"/>
    <w:rsid w:val="005E4808"/>
    <w:pPr>
      <w:spacing w:after="120"/>
      <w:outlineLvl w:val="5"/>
    </w:pPr>
    <w:rPr>
      <w:bCs/>
      <w:i/>
      <w:sz w:val="24"/>
    </w:rPr>
  </w:style>
  <w:style w:type="paragraph" w:styleId="Heading7">
    <w:name w:val="heading 7"/>
    <w:basedOn w:val="HeadingBase"/>
    <w:next w:val="Normal"/>
    <w:rsid w:val="00894823"/>
    <w:pPr>
      <w:spacing w:after="120"/>
      <w:outlineLvl w:val="6"/>
    </w:pPr>
    <w:rPr>
      <w:szCs w:val="24"/>
    </w:rPr>
  </w:style>
  <w:style w:type="paragraph" w:styleId="Heading8">
    <w:name w:val="heading 8"/>
    <w:basedOn w:val="HeadingBase"/>
    <w:next w:val="Normal"/>
    <w:rsid w:val="00894823"/>
    <w:pPr>
      <w:spacing w:after="120"/>
      <w:outlineLvl w:val="7"/>
    </w:pPr>
    <w:rPr>
      <w:iCs/>
      <w:szCs w:val="24"/>
    </w:rPr>
  </w:style>
  <w:style w:type="paragraph" w:styleId="Heading9">
    <w:name w:val="heading 9"/>
    <w:basedOn w:val="HeadingBase"/>
    <w:next w:val="Normal"/>
    <w:rsid w:val="00894823"/>
    <w:p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5E4808"/>
    <w:rPr>
      <w:color w:val="000080"/>
    </w:rPr>
  </w:style>
  <w:style w:type="paragraph" w:customStyle="1" w:styleId="SingleParagraph">
    <w:name w:val="Single Paragraph"/>
    <w:basedOn w:val="Normal"/>
    <w:link w:val="SingleParagraphChar"/>
    <w:rsid w:val="00894823"/>
    <w:pPr>
      <w:spacing w:after="0"/>
    </w:pPr>
  </w:style>
  <w:style w:type="character" w:styleId="Hyperlink">
    <w:name w:val="Hyperlink"/>
    <w:basedOn w:val="DefaultParagraphFont"/>
    <w:rsid w:val="004E7BE7"/>
    <w:rPr>
      <w:color w:val="365F91" w:themeColor="accent1" w:themeShade="BF"/>
      <w:u w:val="single"/>
    </w:rPr>
  </w:style>
  <w:style w:type="character" w:styleId="PageNumber">
    <w:name w:val="page number"/>
    <w:basedOn w:val="DefaultParagraphFont"/>
    <w:rsid w:val="00EA12B7"/>
    <w:rPr>
      <w:rFonts w:ascii="Calibri" w:hAnsi="Calibri"/>
      <w:b/>
      <w:color w:val="FFFFFF" w:themeColor="background1"/>
      <w:sz w:val="20"/>
    </w:rPr>
  </w:style>
  <w:style w:type="paragraph" w:customStyle="1" w:styleId="Bullet">
    <w:name w:val="Bullet"/>
    <w:aliases w:val="Body,b,b + line,b1,level 1,Bullet + line"/>
    <w:basedOn w:val="Normal"/>
    <w:link w:val="BulletChar"/>
    <w:qFormat/>
    <w:rsid w:val="00827A53"/>
    <w:pPr>
      <w:numPr>
        <w:numId w:val="13"/>
      </w:numPr>
      <w:tabs>
        <w:tab w:val="left" w:pos="567"/>
      </w:tabs>
    </w:pPr>
  </w:style>
  <w:style w:type="paragraph" w:customStyle="1" w:styleId="Dash">
    <w:name w:val="Dash"/>
    <w:basedOn w:val="Normal"/>
    <w:qFormat/>
    <w:rsid w:val="00B97960"/>
    <w:pPr>
      <w:numPr>
        <w:numId w:val="14"/>
      </w:numPr>
      <w:tabs>
        <w:tab w:val="left" w:pos="1134"/>
      </w:tabs>
      <w:ind w:left="1134" w:hanging="567"/>
    </w:pPr>
  </w:style>
  <w:style w:type="paragraph" w:customStyle="1" w:styleId="DoubleDot">
    <w:name w:val="Double Dot"/>
    <w:basedOn w:val="Normal"/>
    <w:qFormat/>
    <w:rsid w:val="00B97960"/>
    <w:pPr>
      <w:numPr>
        <w:numId w:val="15"/>
      </w:numPr>
      <w:tabs>
        <w:tab w:val="left" w:pos="1701"/>
      </w:tabs>
      <w:ind w:left="1701" w:hanging="567"/>
    </w:pPr>
  </w:style>
  <w:style w:type="paragraph" w:customStyle="1" w:styleId="OutlineNumbered1">
    <w:name w:val="Outline Numbered 1"/>
    <w:basedOn w:val="Normal"/>
    <w:link w:val="OutlineNumbered1Char"/>
    <w:rsid w:val="00894823"/>
    <w:pPr>
      <w:numPr>
        <w:numId w:val="1"/>
      </w:numPr>
    </w:pPr>
  </w:style>
  <w:style w:type="paragraph" w:customStyle="1" w:styleId="OutlineNumbered2">
    <w:name w:val="Outline Numbered 2"/>
    <w:basedOn w:val="Normal"/>
    <w:link w:val="OutlineNumbered2Char"/>
    <w:rsid w:val="00894823"/>
    <w:pPr>
      <w:numPr>
        <w:ilvl w:val="1"/>
        <w:numId w:val="1"/>
      </w:numPr>
    </w:pPr>
  </w:style>
  <w:style w:type="paragraph" w:customStyle="1" w:styleId="OutlineNumbered3">
    <w:name w:val="Outline Numbered 3"/>
    <w:basedOn w:val="Normal"/>
    <w:rsid w:val="00894823"/>
    <w:pPr>
      <w:numPr>
        <w:ilvl w:val="2"/>
        <w:numId w:val="1"/>
      </w:numPr>
    </w:pPr>
  </w:style>
  <w:style w:type="paragraph" w:customStyle="1" w:styleId="AlphaParagraph">
    <w:name w:val="Alpha Paragraph"/>
    <w:basedOn w:val="Normal"/>
    <w:rsid w:val="000E775B"/>
    <w:pPr>
      <w:numPr>
        <w:numId w:val="2"/>
      </w:numPr>
    </w:pPr>
  </w:style>
  <w:style w:type="paragraph" w:customStyle="1" w:styleId="AppendixHeading">
    <w:name w:val="Appendix Heading"/>
    <w:basedOn w:val="HeadingBase"/>
    <w:next w:val="Normal"/>
    <w:rsid w:val="00284F92"/>
    <w:pPr>
      <w:pBdr>
        <w:bottom w:val="single" w:sz="2" w:space="1" w:color="000080"/>
      </w:pBdr>
      <w:spacing w:after="240"/>
    </w:pPr>
    <w:rPr>
      <w:smallCaps/>
      <w:sz w:val="38"/>
      <w:szCs w:val="38"/>
    </w:rPr>
  </w:style>
  <w:style w:type="character" w:customStyle="1" w:styleId="Bold">
    <w:name w:val="Bold"/>
    <w:basedOn w:val="DefaultParagraphFont"/>
    <w:rsid w:val="00894823"/>
    <w:rPr>
      <w:b/>
    </w:rPr>
  </w:style>
  <w:style w:type="paragraph" w:customStyle="1" w:styleId="BoxHeading">
    <w:name w:val="Box Heading"/>
    <w:basedOn w:val="HeadingBase"/>
    <w:next w:val="BoxText"/>
    <w:rsid w:val="00130039"/>
    <w:pPr>
      <w:spacing w:before="120" w:after="80"/>
    </w:pPr>
    <w:rPr>
      <w:rFonts w:asciiTheme="minorHAnsi" w:hAnsiTheme="minorHAnsi"/>
      <w:b/>
      <w:color w:val="17365D" w:themeColor="text2" w:themeShade="BF"/>
      <w:sz w:val="26"/>
    </w:rPr>
  </w:style>
  <w:style w:type="paragraph" w:customStyle="1" w:styleId="BoxText">
    <w:name w:val="Box Text"/>
    <w:basedOn w:val="BoxTextBase"/>
    <w:rsid w:val="00894823"/>
  </w:style>
  <w:style w:type="paragraph" w:customStyle="1" w:styleId="BoxTextBase">
    <w:name w:val="Box Text Base"/>
    <w:basedOn w:val="Normal"/>
    <w:rsid w:val="00130039"/>
    <w:rPr>
      <w:sz w:val="20"/>
    </w:rPr>
  </w:style>
  <w:style w:type="paragraph" w:customStyle="1" w:styleId="ChartandTableFootnoteAlpha">
    <w:name w:val="Chart and Table Footnote Alpha"/>
    <w:rsid w:val="000E775B"/>
    <w:pPr>
      <w:numPr>
        <w:numId w:val="3"/>
      </w:numPr>
      <w:jc w:val="both"/>
    </w:pPr>
    <w:rPr>
      <w:rFonts w:asciiTheme="minorHAnsi" w:hAnsiTheme="minorHAnsi"/>
      <w:color w:val="000000"/>
      <w:sz w:val="18"/>
      <w:szCs w:val="16"/>
    </w:rPr>
  </w:style>
  <w:style w:type="paragraph" w:customStyle="1" w:styleId="ChartGraphic">
    <w:name w:val="Chart Graphic"/>
    <w:basedOn w:val="HeadingBase"/>
    <w:next w:val="Normal"/>
    <w:rsid w:val="00894823"/>
    <w:pPr>
      <w:spacing w:after="20"/>
      <w:jc w:val="center"/>
    </w:pPr>
  </w:style>
  <w:style w:type="paragraph" w:customStyle="1" w:styleId="ChartMainHeading">
    <w:name w:val="Chart Main Heading"/>
    <w:basedOn w:val="HeadingBase"/>
    <w:next w:val="ChartGraphic"/>
    <w:rsid w:val="00894823"/>
    <w:pPr>
      <w:keepNext/>
      <w:spacing w:after="20"/>
      <w:jc w:val="center"/>
    </w:pPr>
    <w:rPr>
      <w:b/>
    </w:rPr>
  </w:style>
  <w:style w:type="paragraph" w:customStyle="1" w:styleId="ChartorTableNote">
    <w:name w:val="Chart or Table Note"/>
    <w:next w:val="Normal"/>
    <w:rsid w:val="00894823"/>
    <w:pPr>
      <w:jc w:val="both"/>
    </w:pPr>
    <w:rPr>
      <w:rFonts w:ascii="Arial" w:hAnsi="Arial"/>
      <w:color w:val="000000"/>
      <w:sz w:val="16"/>
    </w:rPr>
  </w:style>
  <w:style w:type="paragraph" w:customStyle="1" w:styleId="ChartSecondHeading">
    <w:name w:val="Chart Second Heading"/>
    <w:basedOn w:val="HeadingBase"/>
    <w:next w:val="ChartGraphic"/>
    <w:rsid w:val="00894823"/>
    <w:pPr>
      <w:keepNext/>
      <w:spacing w:after="20"/>
      <w:jc w:val="center"/>
    </w:pPr>
  </w:style>
  <w:style w:type="paragraph" w:customStyle="1" w:styleId="Classification">
    <w:name w:val="Classification"/>
    <w:basedOn w:val="HeadingBase"/>
    <w:next w:val="Footer"/>
    <w:rsid w:val="00894823"/>
    <w:pPr>
      <w:spacing w:after="120"/>
      <w:jc w:val="center"/>
    </w:pPr>
    <w:rPr>
      <w:b/>
      <w:smallCaps/>
    </w:rPr>
  </w:style>
  <w:style w:type="paragraph" w:styleId="Footer">
    <w:name w:val="footer"/>
    <w:basedOn w:val="HeadingBase"/>
    <w:link w:val="FooterChar"/>
    <w:uiPriority w:val="99"/>
    <w:rsid w:val="00093E3E"/>
    <w:rPr>
      <w:color w:val="17365D" w:themeColor="text2" w:themeShade="BF"/>
      <w:sz w:val="18"/>
    </w:rPr>
  </w:style>
  <w:style w:type="paragraph" w:customStyle="1" w:styleId="ContentsHeading">
    <w:name w:val="Contents Heading"/>
    <w:basedOn w:val="HeadingBase"/>
    <w:next w:val="Normal"/>
    <w:rsid w:val="006B5D7C"/>
    <w:pPr>
      <w:spacing w:after="120"/>
    </w:pPr>
    <w:rPr>
      <w:color w:val="C00000"/>
      <w:sz w:val="48"/>
      <w:szCs w:val="38"/>
    </w:rPr>
  </w:style>
  <w:style w:type="paragraph" w:customStyle="1" w:styleId="CoverTitleMain">
    <w:name w:val="Cover Title Main"/>
    <w:basedOn w:val="HeadingBase"/>
    <w:next w:val="Normal"/>
    <w:rsid w:val="00374D4E"/>
    <w:pPr>
      <w:spacing w:after="240"/>
      <w:jc w:val="center"/>
    </w:pPr>
    <w:rPr>
      <w:b/>
      <w:spacing w:val="20"/>
      <w:sz w:val="52"/>
      <w:szCs w:val="52"/>
    </w:rPr>
  </w:style>
  <w:style w:type="paragraph" w:customStyle="1" w:styleId="CoverTitleSub">
    <w:name w:val="Cover Title Sub"/>
    <w:basedOn w:val="HeadingBase"/>
    <w:rsid w:val="00374D4E"/>
    <w:pPr>
      <w:spacing w:after="120" w:line="420" w:lineRule="exact"/>
      <w:jc w:val="center"/>
    </w:pPr>
    <w:rPr>
      <w:sz w:val="36"/>
      <w:szCs w:val="36"/>
    </w:rPr>
  </w:style>
  <w:style w:type="paragraph" w:customStyle="1" w:styleId="FooterCentered">
    <w:name w:val="Footer Centered"/>
    <w:basedOn w:val="Footer"/>
    <w:rsid w:val="00894823"/>
    <w:pPr>
      <w:jc w:val="center"/>
    </w:pPr>
  </w:style>
  <w:style w:type="paragraph" w:customStyle="1" w:styleId="FooterEven">
    <w:name w:val="Footer Even"/>
    <w:basedOn w:val="Footer"/>
    <w:rsid w:val="00093E3E"/>
  </w:style>
  <w:style w:type="paragraph" w:customStyle="1" w:styleId="FooterOdd">
    <w:name w:val="Footer Odd"/>
    <w:basedOn w:val="Footer"/>
    <w:rsid w:val="00AD0BB8"/>
    <w:pPr>
      <w:ind w:right="567"/>
      <w:jc w:val="right"/>
    </w:pPr>
  </w:style>
  <w:style w:type="character" w:customStyle="1" w:styleId="FramedFooter">
    <w:name w:val="Framed Footer"/>
    <w:rsid w:val="00894823"/>
    <w:rPr>
      <w:rFonts w:ascii="Arial" w:hAnsi="Arial"/>
      <w:color w:val="000080"/>
      <w:sz w:val="18"/>
      <w:szCs w:val="18"/>
    </w:rPr>
  </w:style>
  <w:style w:type="character" w:customStyle="1" w:styleId="FramedHeader">
    <w:name w:val="Framed Header"/>
    <w:basedOn w:val="DefaultParagraphFont"/>
    <w:rsid w:val="00894823"/>
    <w:rPr>
      <w:rFonts w:ascii="Arial" w:hAnsi="Arial"/>
      <w:dstrike w:val="0"/>
      <w:color w:val="000080"/>
      <w:sz w:val="18"/>
      <w:szCs w:val="18"/>
      <w:vertAlign w:val="baseline"/>
    </w:rPr>
  </w:style>
  <w:style w:type="paragraph" w:styleId="Header">
    <w:name w:val="header"/>
    <w:basedOn w:val="HeadingBase"/>
    <w:link w:val="HeaderChar"/>
    <w:rsid w:val="00622D85"/>
    <w:pPr>
      <w:jc w:val="right"/>
    </w:pPr>
    <w:rPr>
      <w:sz w:val="18"/>
    </w:rPr>
  </w:style>
  <w:style w:type="paragraph" w:customStyle="1" w:styleId="HeaderEven">
    <w:name w:val="Header Even"/>
    <w:basedOn w:val="Header"/>
    <w:rsid w:val="00894823"/>
  </w:style>
  <w:style w:type="paragraph" w:customStyle="1" w:styleId="HeaderOdd">
    <w:name w:val="Header Odd"/>
    <w:basedOn w:val="Header"/>
    <w:rsid w:val="00894823"/>
  </w:style>
  <w:style w:type="paragraph" w:styleId="NormalIndent">
    <w:name w:val="Normal Indent"/>
    <w:basedOn w:val="Normal"/>
    <w:rsid w:val="00894823"/>
    <w:pPr>
      <w:ind w:left="567"/>
    </w:pPr>
    <w:rPr>
      <w:sz w:val="20"/>
    </w:rPr>
  </w:style>
  <w:style w:type="paragraph" w:customStyle="1" w:styleId="TableTextBase">
    <w:name w:val="Table Text Base"/>
    <w:rsid w:val="001D57F0"/>
    <w:pPr>
      <w:spacing w:before="40" w:after="40"/>
    </w:pPr>
    <w:rPr>
      <w:rFonts w:asciiTheme="minorHAnsi" w:hAnsiTheme="minorHAnsi"/>
      <w:color w:val="000000"/>
      <w:sz w:val="20"/>
      <w:szCs w:val="18"/>
    </w:rPr>
  </w:style>
  <w:style w:type="paragraph" w:customStyle="1" w:styleId="TableColumnHeadingCentred">
    <w:name w:val="Table Column Heading Centred"/>
    <w:basedOn w:val="TableTextBase"/>
    <w:rsid w:val="00130039"/>
    <w:pPr>
      <w:jc w:val="center"/>
    </w:pPr>
    <w:rPr>
      <w:b/>
      <w:color w:val="C00000"/>
      <w:sz w:val="28"/>
    </w:rPr>
  </w:style>
  <w:style w:type="paragraph" w:customStyle="1" w:styleId="TableColumnHeadingLeft">
    <w:name w:val="Table Column Heading Left"/>
    <w:basedOn w:val="TableTextBase"/>
    <w:rsid w:val="00130039"/>
    <w:rPr>
      <w:b/>
      <w:color w:val="C00000"/>
      <w:sz w:val="28"/>
    </w:rPr>
  </w:style>
  <w:style w:type="paragraph" w:customStyle="1" w:styleId="TableColumnHeadingRight">
    <w:name w:val="Table Column Heading Right"/>
    <w:basedOn w:val="TableTextBase"/>
    <w:rsid w:val="00130039"/>
    <w:pPr>
      <w:jc w:val="right"/>
    </w:pPr>
    <w:rPr>
      <w:rFonts w:ascii="Calibri" w:hAnsi="Calibri"/>
      <w:b/>
      <w:color w:val="C00000"/>
      <w:sz w:val="28"/>
    </w:rPr>
  </w:style>
  <w:style w:type="paragraph" w:customStyle="1" w:styleId="TableGraphic">
    <w:name w:val="Table Graphic"/>
    <w:basedOn w:val="HeadingBase"/>
    <w:next w:val="Normal"/>
    <w:rsid w:val="00894823"/>
    <w:pPr>
      <w:spacing w:after="40"/>
      <w:ind w:right="-113"/>
    </w:pPr>
  </w:style>
  <w:style w:type="paragraph" w:customStyle="1" w:styleId="TableMainHeading">
    <w:name w:val="Table Main Heading"/>
    <w:basedOn w:val="HeadingBase"/>
    <w:next w:val="TableGraphic"/>
    <w:rsid w:val="005E4808"/>
    <w:pPr>
      <w:keepNext/>
      <w:spacing w:after="20"/>
    </w:pPr>
    <w:rPr>
      <w:b/>
      <w:sz w:val="24"/>
    </w:rPr>
  </w:style>
  <w:style w:type="paragraph" w:customStyle="1" w:styleId="TableMainHeadingContd">
    <w:name w:val="Table Main Heading Contd"/>
    <w:basedOn w:val="HeadingBase"/>
    <w:next w:val="TableGraphic"/>
    <w:rsid w:val="00894823"/>
    <w:pPr>
      <w:keepNext/>
      <w:spacing w:after="20"/>
    </w:pPr>
    <w:rPr>
      <w:b/>
    </w:rPr>
  </w:style>
  <w:style w:type="paragraph" w:customStyle="1" w:styleId="TableSecondHeading">
    <w:name w:val="Table Second Heading"/>
    <w:basedOn w:val="HeadingBase"/>
    <w:next w:val="TableGraphic"/>
    <w:rsid w:val="00894823"/>
    <w:pPr>
      <w:keepNext/>
      <w:spacing w:after="20"/>
    </w:pPr>
  </w:style>
  <w:style w:type="paragraph" w:customStyle="1" w:styleId="TableTextCentered">
    <w:name w:val="Table Text Centered"/>
    <w:basedOn w:val="TableTextBase"/>
    <w:rsid w:val="00894823"/>
    <w:pPr>
      <w:jc w:val="center"/>
    </w:pPr>
  </w:style>
  <w:style w:type="paragraph" w:customStyle="1" w:styleId="TableTextIndented">
    <w:name w:val="Table Text Indented"/>
    <w:basedOn w:val="TableTextBase"/>
    <w:rsid w:val="00894823"/>
    <w:pPr>
      <w:ind w:left="284"/>
    </w:pPr>
  </w:style>
  <w:style w:type="paragraph" w:customStyle="1" w:styleId="TableTextLeft">
    <w:name w:val="Table Text Left"/>
    <w:basedOn w:val="TableTextBase"/>
    <w:rsid w:val="001D57F0"/>
  </w:style>
  <w:style w:type="paragraph" w:customStyle="1" w:styleId="TableTextRight">
    <w:name w:val="Table Text Right"/>
    <w:basedOn w:val="TableTextBase"/>
    <w:rsid w:val="00894823"/>
    <w:pPr>
      <w:jc w:val="right"/>
    </w:pPr>
  </w:style>
  <w:style w:type="paragraph" w:styleId="TOC1">
    <w:name w:val="toc 1"/>
    <w:basedOn w:val="HeadingBase"/>
    <w:next w:val="Normal"/>
    <w:uiPriority w:val="39"/>
    <w:rsid w:val="006B5D7C"/>
    <w:pPr>
      <w:tabs>
        <w:tab w:val="right" w:leader="dot" w:pos="8505"/>
      </w:tabs>
      <w:spacing w:before="60" w:after="60"/>
      <w:ind w:right="1134"/>
    </w:pPr>
    <w:rPr>
      <w:rFonts w:asciiTheme="minorHAnsi" w:hAnsiTheme="minorHAnsi"/>
      <w:b/>
      <w:color w:val="17365D" w:themeColor="text2" w:themeShade="BF"/>
    </w:rPr>
  </w:style>
  <w:style w:type="paragraph" w:styleId="TOC2">
    <w:name w:val="toc 2"/>
    <w:basedOn w:val="Normal"/>
    <w:next w:val="Normal"/>
    <w:uiPriority w:val="39"/>
    <w:rsid w:val="006B5D7C"/>
    <w:pPr>
      <w:tabs>
        <w:tab w:val="right" w:leader="dot" w:pos="8505"/>
      </w:tabs>
      <w:ind w:left="340" w:right="1134"/>
    </w:pPr>
    <w:rPr>
      <w:rFonts w:asciiTheme="minorHAnsi" w:hAnsiTheme="minorHAnsi"/>
      <w:color w:val="17365D" w:themeColor="text2" w:themeShade="BF"/>
      <w:sz w:val="20"/>
      <w:szCs w:val="20"/>
    </w:rPr>
  </w:style>
  <w:style w:type="paragraph" w:styleId="TOC3">
    <w:name w:val="toc 3"/>
    <w:basedOn w:val="Normal"/>
    <w:next w:val="Normal"/>
    <w:rsid w:val="00894823"/>
    <w:pPr>
      <w:tabs>
        <w:tab w:val="right" w:pos="7700"/>
      </w:tabs>
      <w:spacing w:before="20" w:after="0"/>
      <w:ind w:left="284" w:right="851"/>
    </w:pPr>
  </w:style>
  <w:style w:type="paragraph" w:styleId="TOC4">
    <w:name w:val="toc 4"/>
    <w:basedOn w:val="Normal"/>
    <w:next w:val="Normal"/>
    <w:rsid w:val="00894823"/>
    <w:pPr>
      <w:tabs>
        <w:tab w:val="right" w:pos="7700"/>
      </w:tabs>
      <w:spacing w:after="0"/>
      <w:ind w:left="284" w:right="851"/>
    </w:pPr>
  </w:style>
  <w:style w:type="character" w:customStyle="1" w:styleId="italic">
    <w:name w:val="italic"/>
    <w:basedOn w:val="DefaultParagraphFont"/>
    <w:rsid w:val="00894823"/>
    <w:rPr>
      <w:i/>
    </w:rPr>
  </w:style>
  <w:style w:type="paragraph" w:customStyle="1" w:styleId="OneLevelNumberedParagraph">
    <w:name w:val="One Level Numbered Paragraph"/>
    <w:basedOn w:val="Normal"/>
    <w:rsid w:val="00894823"/>
    <w:pPr>
      <w:numPr>
        <w:numId w:val="5"/>
      </w:numPr>
    </w:pPr>
  </w:style>
  <w:style w:type="paragraph" w:customStyle="1" w:styleId="BoxBullet">
    <w:name w:val="Box Bullet"/>
    <w:basedOn w:val="BoxTextBase"/>
    <w:rsid w:val="000E775B"/>
    <w:pPr>
      <w:numPr>
        <w:numId w:val="4"/>
      </w:numPr>
      <w:tabs>
        <w:tab w:val="clear" w:pos="283"/>
        <w:tab w:val="num" w:pos="567"/>
      </w:tabs>
      <w:ind w:left="567" w:hanging="567"/>
    </w:pPr>
  </w:style>
  <w:style w:type="paragraph" w:customStyle="1" w:styleId="BoxDash">
    <w:name w:val="Box Dash"/>
    <w:basedOn w:val="Normal"/>
    <w:rsid w:val="000E775B"/>
    <w:pPr>
      <w:numPr>
        <w:ilvl w:val="1"/>
        <w:numId w:val="4"/>
      </w:numPr>
      <w:tabs>
        <w:tab w:val="clear" w:pos="567"/>
        <w:tab w:val="left" w:pos="1134"/>
      </w:tabs>
      <w:ind w:left="1134" w:hanging="567"/>
    </w:pPr>
  </w:style>
  <w:style w:type="paragraph" w:customStyle="1" w:styleId="BoxDoubleDot">
    <w:name w:val="Box Double Dot"/>
    <w:basedOn w:val="BoxTextBase"/>
    <w:rsid w:val="000E775B"/>
    <w:pPr>
      <w:numPr>
        <w:ilvl w:val="2"/>
        <w:numId w:val="4"/>
      </w:numPr>
      <w:tabs>
        <w:tab w:val="clear" w:pos="850"/>
        <w:tab w:val="left" w:pos="1134"/>
      </w:tabs>
      <w:ind w:left="1701" w:hanging="567"/>
    </w:pPr>
  </w:style>
  <w:style w:type="paragraph" w:customStyle="1" w:styleId="CoverTitleSub2">
    <w:name w:val="Cover Title Sub 2"/>
    <w:basedOn w:val="HeadingBase"/>
    <w:rsid w:val="00374D4E"/>
    <w:pPr>
      <w:spacing w:after="120" w:line="420" w:lineRule="exact"/>
      <w:jc w:val="center"/>
    </w:pPr>
    <w:rPr>
      <w:sz w:val="28"/>
      <w:szCs w:val="28"/>
    </w:rPr>
  </w:style>
  <w:style w:type="character" w:styleId="FootnoteReference">
    <w:name w:val="footnote reference"/>
    <w:basedOn w:val="DefaultParagraphFont"/>
    <w:rsid w:val="00894823"/>
    <w:rPr>
      <w:sz w:val="20"/>
      <w:szCs w:val="20"/>
      <w:vertAlign w:val="superscript"/>
    </w:rPr>
  </w:style>
  <w:style w:type="paragraph" w:styleId="FootnoteText">
    <w:name w:val="footnote text"/>
    <w:basedOn w:val="Normal"/>
    <w:rsid w:val="00D3340C"/>
    <w:pPr>
      <w:tabs>
        <w:tab w:val="left" w:pos="567"/>
      </w:tabs>
      <w:spacing w:after="0"/>
      <w:ind w:left="567" w:hanging="567"/>
    </w:pPr>
    <w:rPr>
      <w:sz w:val="18"/>
      <w:szCs w:val="18"/>
    </w:rPr>
  </w:style>
  <w:style w:type="table" w:styleId="TableContemporary">
    <w:name w:val="Table Contemporary"/>
    <w:basedOn w:val="TableNormal"/>
    <w:rsid w:val="00894823"/>
    <w:pPr>
      <w:spacing w:after="24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basedOn w:val="DefaultParagraphFont"/>
    <w:rsid w:val="00894823"/>
    <w:rPr>
      <w:b/>
      <w:i/>
    </w:rPr>
  </w:style>
  <w:style w:type="paragraph" w:customStyle="1" w:styleId="Graphic">
    <w:name w:val="Graphic"/>
    <w:basedOn w:val="Normal"/>
    <w:rsid w:val="00894823"/>
    <w:pPr>
      <w:spacing w:after="0"/>
      <w:jc w:val="center"/>
    </w:pPr>
  </w:style>
  <w:style w:type="paragraph" w:customStyle="1" w:styleId="Normalindentitalics">
    <w:name w:val="Normal indent italics"/>
    <w:basedOn w:val="NormalIndent"/>
    <w:rsid w:val="006E5992"/>
    <w:pPr>
      <w:tabs>
        <w:tab w:val="left" w:pos="1134"/>
      </w:tabs>
    </w:pPr>
    <w:rPr>
      <w:i/>
      <w:szCs w:val="20"/>
    </w:rPr>
  </w:style>
  <w:style w:type="paragraph" w:customStyle="1" w:styleId="NormalIndentbold">
    <w:name w:val="Normal Indent bold"/>
    <w:basedOn w:val="Normal"/>
    <w:rsid w:val="006E5992"/>
    <w:pPr>
      <w:tabs>
        <w:tab w:val="left" w:pos="1134"/>
      </w:tabs>
      <w:spacing w:after="0"/>
      <w:ind w:left="567"/>
    </w:pPr>
    <w:rPr>
      <w:b/>
      <w:sz w:val="20"/>
      <w:szCs w:val="20"/>
    </w:rPr>
  </w:style>
  <w:style w:type="character" w:customStyle="1" w:styleId="Italics">
    <w:name w:val="Italics"/>
    <w:basedOn w:val="DefaultParagraphFont"/>
    <w:rsid w:val="00D3340C"/>
    <w:rPr>
      <w:i/>
    </w:rPr>
  </w:style>
  <w:style w:type="paragraph" w:customStyle="1" w:styleId="Romannumeral">
    <w:name w:val="Roman numeral"/>
    <w:basedOn w:val="Normal"/>
    <w:rsid w:val="00D3340C"/>
    <w:pPr>
      <w:numPr>
        <w:numId w:val="10"/>
      </w:numPr>
    </w:pPr>
  </w:style>
  <w:style w:type="paragraph" w:styleId="BalloonText">
    <w:name w:val="Balloon Text"/>
    <w:basedOn w:val="Normal"/>
    <w:link w:val="BalloonTextChar"/>
    <w:rsid w:val="00E83F26"/>
    <w:pPr>
      <w:spacing w:after="0"/>
    </w:pPr>
    <w:rPr>
      <w:rFonts w:ascii="Tahoma" w:hAnsi="Tahoma" w:cs="Tahoma"/>
      <w:sz w:val="16"/>
      <w:szCs w:val="16"/>
    </w:rPr>
  </w:style>
  <w:style w:type="character" w:customStyle="1" w:styleId="BalloonTextChar">
    <w:name w:val="Balloon Text Char"/>
    <w:basedOn w:val="DefaultParagraphFont"/>
    <w:link w:val="BalloonText"/>
    <w:rsid w:val="00E83F26"/>
    <w:rPr>
      <w:rFonts w:ascii="Tahoma" w:hAnsi="Tahoma" w:cs="Tahoma"/>
      <w:color w:val="000000"/>
      <w:sz w:val="16"/>
      <w:szCs w:val="16"/>
    </w:rPr>
  </w:style>
  <w:style w:type="table" w:styleId="TableGrid">
    <w:name w:val="Table Grid"/>
    <w:basedOn w:val="TableNormal"/>
    <w:rsid w:val="00A6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B5D7C"/>
    <w:pPr>
      <w:spacing w:before="1440"/>
      <w:jc w:val="right"/>
    </w:pPr>
    <w:rPr>
      <w:caps/>
      <w:color w:val="17365D" w:themeColor="text2" w:themeShade="BF"/>
      <w:sz w:val="52"/>
    </w:rPr>
  </w:style>
  <w:style w:type="character" w:customStyle="1" w:styleId="TitleChar">
    <w:name w:val="Title Char"/>
    <w:basedOn w:val="DefaultParagraphFont"/>
    <w:link w:val="Title"/>
    <w:rsid w:val="006B5D7C"/>
    <w:rPr>
      <w:caps/>
      <w:color w:val="17365D" w:themeColor="text2" w:themeShade="BF"/>
      <w:sz w:val="52"/>
    </w:rPr>
  </w:style>
  <w:style w:type="table" w:customStyle="1" w:styleId="Style1">
    <w:name w:val="Style1"/>
    <w:basedOn w:val="TableNormal"/>
    <w:uiPriority w:val="99"/>
    <w:rsid w:val="00727CAF"/>
    <w:tblPr/>
  </w:style>
  <w:style w:type="table" w:customStyle="1" w:styleId="Othertableformat">
    <w:name w:val="Other table format"/>
    <w:basedOn w:val="TableNormal"/>
    <w:uiPriority w:val="99"/>
    <w:rsid w:val="00727CAF"/>
    <w:tblPr/>
    <w:tblStylePr w:type="firstRow">
      <w:rPr>
        <w:rFonts w:asciiTheme="minorHAnsi" w:hAnsiTheme="minorHAnsi"/>
        <w:b/>
        <w:color w:val="17365D" w:themeColor="text2" w:themeShade="BF"/>
        <w:sz w:val="24"/>
      </w:rPr>
      <w:tblPr/>
      <w:tcPr>
        <w:shd w:val="clear" w:color="auto" w:fill="D9D9D9" w:themeFill="background1" w:themeFillShade="D9"/>
      </w:tcPr>
    </w:tblStylePr>
  </w:style>
  <w:style w:type="paragraph" w:styleId="ListParagraph">
    <w:name w:val="List Paragraph"/>
    <w:basedOn w:val="Normal"/>
    <w:uiPriority w:val="34"/>
    <w:qFormat/>
    <w:rsid w:val="00174E54"/>
    <w:pPr>
      <w:ind w:left="720"/>
      <w:contextualSpacing/>
    </w:pPr>
  </w:style>
  <w:style w:type="paragraph" w:styleId="Quote">
    <w:name w:val="Quote"/>
    <w:basedOn w:val="Normal"/>
    <w:next w:val="Normal"/>
    <w:link w:val="QuoteChar"/>
    <w:uiPriority w:val="29"/>
    <w:qFormat/>
    <w:rsid w:val="00385635"/>
    <w:rPr>
      <w:i/>
      <w:iCs/>
      <w:color w:val="000000" w:themeColor="text1"/>
    </w:rPr>
  </w:style>
  <w:style w:type="character" w:customStyle="1" w:styleId="QuoteChar">
    <w:name w:val="Quote Char"/>
    <w:basedOn w:val="DefaultParagraphFont"/>
    <w:link w:val="Quote"/>
    <w:uiPriority w:val="29"/>
    <w:rsid w:val="00385635"/>
    <w:rPr>
      <w:i/>
      <w:iCs/>
      <w:color w:val="000000" w:themeColor="text1"/>
    </w:rPr>
  </w:style>
  <w:style w:type="paragraph" w:styleId="Subtitle">
    <w:name w:val="Subtitle"/>
    <w:basedOn w:val="Normal"/>
    <w:next w:val="Normal"/>
    <w:link w:val="SubtitleChar"/>
    <w:qFormat/>
    <w:rsid w:val="006B5D7C"/>
    <w:pPr>
      <w:numPr>
        <w:ilvl w:val="1"/>
      </w:numPr>
      <w:spacing w:after="3600"/>
      <w:jc w:val="right"/>
    </w:pPr>
    <w:rPr>
      <w:rFonts w:asciiTheme="minorHAnsi" w:eastAsiaTheme="majorEastAsia" w:hAnsiTheme="minorHAnsi" w:cstheme="majorBidi"/>
      <w:iCs/>
      <w:color w:val="595959" w:themeColor="text1" w:themeTint="A6"/>
      <w:spacing w:val="15"/>
      <w:sz w:val="44"/>
      <w:szCs w:val="24"/>
    </w:rPr>
  </w:style>
  <w:style w:type="character" w:customStyle="1" w:styleId="SubtitleChar">
    <w:name w:val="Subtitle Char"/>
    <w:basedOn w:val="DefaultParagraphFont"/>
    <w:link w:val="Subtitle"/>
    <w:rsid w:val="006B5D7C"/>
    <w:rPr>
      <w:rFonts w:asciiTheme="minorHAnsi" w:eastAsiaTheme="majorEastAsia" w:hAnsiTheme="minorHAnsi" w:cstheme="majorBidi"/>
      <w:iCs/>
      <w:color w:val="595959" w:themeColor="text1" w:themeTint="A6"/>
      <w:spacing w:val="15"/>
      <w:sz w:val="44"/>
      <w:szCs w:val="24"/>
    </w:rPr>
  </w:style>
  <w:style w:type="paragraph" w:styleId="NoSpacing">
    <w:name w:val="No Spacing"/>
    <w:link w:val="NoSpacingChar"/>
    <w:uiPriority w:val="1"/>
    <w:qFormat/>
    <w:rsid w:val="00AB3A45"/>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AB3A45"/>
    <w:rPr>
      <w:rFonts w:asciiTheme="minorHAnsi" w:eastAsiaTheme="minorEastAsia" w:hAnsiTheme="minorHAnsi" w:cstheme="minorBidi"/>
      <w:lang w:val="en-US" w:eastAsia="ja-JP"/>
    </w:rPr>
  </w:style>
  <w:style w:type="character" w:customStyle="1" w:styleId="FooterChar">
    <w:name w:val="Footer Char"/>
    <w:basedOn w:val="DefaultParagraphFont"/>
    <w:link w:val="Footer"/>
    <w:uiPriority w:val="99"/>
    <w:rsid w:val="00AB3A45"/>
    <w:rPr>
      <w:color w:val="17365D" w:themeColor="text2" w:themeShade="BF"/>
      <w:sz w:val="18"/>
    </w:rPr>
  </w:style>
  <w:style w:type="table" w:customStyle="1" w:styleId="Maintablestyle">
    <w:name w:val="Main table style"/>
    <w:basedOn w:val="TableNormal"/>
    <w:uiPriority w:val="99"/>
    <w:rsid w:val="00172454"/>
    <w:pPr>
      <w:spacing w:before="40" w:after="40"/>
    </w:pPr>
    <w:rPr>
      <w:sz w:val="20"/>
    </w:rPr>
    <w:tblPr>
      <w:tblBorders>
        <w:bottom w:val="single" w:sz="2" w:space="0" w:color="C00000"/>
        <w:insideH w:val="single" w:sz="2" w:space="0" w:color="C00000"/>
      </w:tblBorders>
    </w:tblPr>
    <w:tcPr>
      <w:shd w:val="clear" w:color="auto" w:fill="auto"/>
    </w:tcPr>
    <w:tblStylePr w:type="firstRow">
      <w:pPr>
        <w:wordWrap/>
        <w:spacing w:beforeLines="40" w:before="40" w:beforeAutospacing="0" w:afterLines="40" w:after="40" w:afterAutospacing="0" w:line="240" w:lineRule="auto"/>
        <w:jc w:val="center"/>
      </w:pPr>
      <w:rPr>
        <w:rFonts w:asciiTheme="minorHAnsi" w:hAnsiTheme="minorHAnsi"/>
        <w:b/>
        <w:color w:val="C00000"/>
        <w:sz w:val="28"/>
      </w:rPr>
      <w:tblPr/>
      <w:tcPr>
        <w:shd w:val="clear" w:color="auto" w:fill="F2F2F2" w:themeFill="background1" w:themeFillShade="F2"/>
      </w:tcPr>
    </w:tblStylePr>
    <w:tblStylePr w:type="firstCol">
      <w:rPr>
        <w:rFonts w:asciiTheme="minorHAnsi" w:hAnsiTheme="minorHAnsi"/>
        <w:b/>
        <w:color w:val="17365D" w:themeColor="text2" w:themeShade="BF"/>
        <w:sz w:val="24"/>
      </w:rPr>
    </w:tblStylePr>
  </w:style>
  <w:style w:type="paragraph" w:customStyle="1" w:styleId="Introductoryparagraph">
    <w:name w:val="Introductory paragraph"/>
    <w:basedOn w:val="Heading3"/>
    <w:qFormat/>
    <w:rsid w:val="000C48A8"/>
    <w:pPr>
      <w:spacing w:before="120" w:after="240"/>
    </w:pPr>
    <w:rPr>
      <w:b w:val="0"/>
    </w:rPr>
  </w:style>
  <w:style w:type="paragraph" w:customStyle="1" w:styleId="BoxTextnumbered">
    <w:name w:val="Box Text numbered"/>
    <w:basedOn w:val="Normal"/>
    <w:qFormat/>
    <w:rsid w:val="00380D5E"/>
    <w:pPr>
      <w:numPr>
        <w:numId w:val="18"/>
      </w:numPr>
      <w:tabs>
        <w:tab w:val="left" w:pos="357"/>
      </w:tabs>
    </w:pPr>
    <w:rPr>
      <w:sz w:val="20"/>
    </w:rPr>
  </w:style>
  <w:style w:type="paragraph" w:customStyle="1" w:styleId="Designfeaturenumberedlist">
    <w:name w:val="Design feature numbered list"/>
    <w:basedOn w:val="Normal"/>
    <w:qFormat/>
    <w:rsid w:val="00EA12B7"/>
    <w:pPr>
      <w:numPr>
        <w:numId w:val="19"/>
      </w:numPr>
      <w:tabs>
        <w:tab w:val="left" w:pos="426"/>
      </w:tabs>
      <w:spacing w:before="0" w:after="240"/>
      <w:ind w:left="426" w:hanging="426"/>
    </w:pPr>
    <w:rPr>
      <w:b/>
      <w:color w:val="17365D" w:themeColor="text2" w:themeShade="BF"/>
      <w:sz w:val="36"/>
    </w:rPr>
  </w:style>
  <w:style w:type="paragraph" w:customStyle="1" w:styleId="Designfeatureitalics">
    <w:name w:val="Design feature italics"/>
    <w:basedOn w:val="Normal"/>
    <w:qFormat/>
    <w:rsid w:val="00EA12B7"/>
    <w:pPr>
      <w:shd w:val="clear" w:color="auto" w:fill="F2F2F2" w:themeFill="background1" w:themeFillShade="F2"/>
      <w:spacing w:before="0" w:after="160"/>
    </w:pPr>
    <w:rPr>
      <w:i/>
    </w:rPr>
  </w:style>
  <w:style w:type="paragraph" w:customStyle="1" w:styleId="TableFirstColumnHeading">
    <w:name w:val="Table First Column Heading"/>
    <w:basedOn w:val="Normal"/>
    <w:qFormat/>
    <w:rsid w:val="00172454"/>
    <w:pPr>
      <w:spacing w:before="40" w:after="40"/>
    </w:pPr>
    <w:rPr>
      <w:rFonts w:asciiTheme="minorHAnsi" w:hAnsiTheme="minorHAnsi"/>
      <w:b/>
      <w:color w:val="17365D" w:themeColor="text2" w:themeShade="BF"/>
      <w:sz w:val="24"/>
    </w:rPr>
  </w:style>
  <w:style w:type="paragraph" w:customStyle="1" w:styleId="TableTextBullet">
    <w:name w:val="Table Text Bullet"/>
    <w:basedOn w:val="TableTextBase"/>
    <w:qFormat/>
    <w:rsid w:val="001D57F0"/>
    <w:pPr>
      <w:numPr>
        <w:numId w:val="20"/>
      </w:numPr>
      <w:ind w:left="714" w:hanging="357"/>
    </w:pPr>
  </w:style>
  <w:style w:type="table" w:customStyle="1" w:styleId="QuestionBox">
    <w:name w:val="Question Box"/>
    <w:basedOn w:val="TableNormal"/>
    <w:uiPriority w:val="99"/>
    <w:rsid w:val="004E7BE7"/>
    <w:tblPr>
      <w:tblBorders>
        <w:bottom w:val="single" w:sz="18" w:space="0" w:color="17365D" w:themeColor="text2" w:themeShade="BF"/>
      </w:tblBorders>
    </w:tblPr>
    <w:tcPr>
      <w:shd w:val="clear" w:color="auto" w:fill="F2F2F2" w:themeFill="background1" w:themeFillShade="F2"/>
    </w:tcPr>
  </w:style>
  <w:style w:type="table" w:customStyle="1" w:styleId="HeadingsAboveOnly">
    <w:name w:val="Headings Above Only"/>
    <w:basedOn w:val="TableNormal"/>
    <w:uiPriority w:val="99"/>
    <w:rsid w:val="002D6E49"/>
    <w:rPr>
      <w:rFonts w:asciiTheme="minorHAnsi" w:hAnsiTheme="minorHAnsi"/>
    </w:rPr>
    <w:tblPr>
      <w:tblBorders>
        <w:top w:val="single" w:sz="4" w:space="0" w:color="3F6294"/>
        <w:left w:val="single" w:sz="4" w:space="0" w:color="3F6294"/>
        <w:bottom w:val="single" w:sz="4" w:space="0" w:color="3F6294"/>
        <w:right w:val="single" w:sz="4" w:space="0" w:color="3F6294"/>
      </w:tblBorders>
    </w:tblPr>
    <w:tcPr>
      <w:shd w:val="clear" w:color="auto" w:fill="C2DAEB"/>
    </w:tcPr>
    <w:tblStylePr w:type="firstRow">
      <w:rPr>
        <w:rFonts w:ascii="Arial" w:hAnsi="Arial"/>
        <w:color w:val="FFFFFF"/>
        <w:sz w:val="22"/>
      </w:rPr>
      <w:tblPr/>
      <w:tcPr>
        <w:shd w:val="clear" w:color="auto" w:fill="3F6294"/>
      </w:tcPr>
    </w:tblStylePr>
  </w:style>
  <w:style w:type="numbering" w:customStyle="1" w:styleId="BulletedList">
    <w:name w:val="Bulleted List"/>
    <w:uiPriority w:val="99"/>
    <w:rsid w:val="001B0859"/>
    <w:pPr>
      <w:numPr>
        <w:numId w:val="24"/>
      </w:numPr>
    </w:pPr>
  </w:style>
  <w:style w:type="character" w:customStyle="1" w:styleId="SingleParagraphChar">
    <w:name w:val="Single Paragraph Char"/>
    <w:basedOn w:val="DefaultParagraphFont"/>
    <w:link w:val="SingleParagraph"/>
    <w:rsid w:val="001B0859"/>
  </w:style>
  <w:style w:type="paragraph" w:customStyle="1" w:styleId="TableHeadingContinued">
    <w:name w:val="Table Heading Continued"/>
    <w:basedOn w:val="Normal"/>
    <w:next w:val="Normal"/>
    <w:qFormat/>
    <w:rsid w:val="001B0859"/>
    <w:pPr>
      <w:keepNext/>
      <w:spacing w:after="0"/>
      <w:outlineLvl w:val="2"/>
    </w:pPr>
    <w:rPr>
      <w:rFonts w:cs="Arial"/>
      <w:b/>
      <w:color w:val="002060"/>
      <w:kern w:val="32"/>
      <w:sz w:val="28"/>
      <w:szCs w:val="26"/>
    </w:rPr>
  </w:style>
  <w:style w:type="paragraph" w:customStyle="1" w:styleId="Introductionparagraph">
    <w:name w:val="Introduction paragraph"/>
    <w:basedOn w:val="Normal"/>
    <w:qFormat/>
    <w:rsid w:val="001B0859"/>
    <w:pPr>
      <w:spacing w:after="240"/>
    </w:pPr>
    <w:rPr>
      <w:color w:val="002060"/>
      <w:sz w:val="28"/>
      <w:szCs w:val="32"/>
    </w:rPr>
  </w:style>
  <w:style w:type="character" w:customStyle="1" w:styleId="BulletChar">
    <w:name w:val="Bullet Char"/>
    <w:aliases w:val="b + line Char Char,b Char,b Char Char,Body Char,Bullet + line Char,b + line Char,b1 Char,level 1 Char"/>
    <w:link w:val="Bullet"/>
    <w:rsid w:val="001B0859"/>
  </w:style>
  <w:style w:type="character" w:styleId="UnresolvedMention">
    <w:name w:val="Unresolved Mention"/>
    <w:basedOn w:val="DefaultParagraphFont"/>
    <w:uiPriority w:val="99"/>
    <w:semiHidden/>
    <w:unhideWhenUsed/>
    <w:rsid w:val="00BB5981"/>
    <w:rPr>
      <w:color w:val="605E5C"/>
      <w:shd w:val="clear" w:color="auto" w:fill="E1DFDD"/>
    </w:rPr>
  </w:style>
  <w:style w:type="character" w:styleId="CommentReference">
    <w:name w:val="annotation reference"/>
    <w:basedOn w:val="DefaultParagraphFont"/>
    <w:semiHidden/>
    <w:unhideWhenUsed/>
    <w:rsid w:val="002B0D1D"/>
    <w:rPr>
      <w:sz w:val="16"/>
      <w:szCs w:val="16"/>
    </w:rPr>
  </w:style>
  <w:style w:type="paragraph" w:styleId="CommentText">
    <w:name w:val="annotation text"/>
    <w:basedOn w:val="Normal"/>
    <w:link w:val="CommentTextChar"/>
    <w:unhideWhenUsed/>
    <w:rsid w:val="002B0D1D"/>
    <w:rPr>
      <w:sz w:val="20"/>
      <w:szCs w:val="20"/>
    </w:rPr>
  </w:style>
  <w:style w:type="character" w:customStyle="1" w:styleId="CommentTextChar">
    <w:name w:val="Comment Text Char"/>
    <w:basedOn w:val="DefaultParagraphFont"/>
    <w:link w:val="CommentText"/>
    <w:rsid w:val="002B0D1D"/>
    <w:rPr>
      <w:sz w:val="20"/>
      <w:szCs w:val="20"/>
    </w:rPr>
  </w:style>
  <w:style w:type="paragraph" w:styleId="CommentSubject">
    <w:name w:val="annotation subject"/>
    <w:basedOn w:val="CommentText"/>
    <w:next w:val="CommentText"/>
    <w:link w:val="CommentSubjectChar"/>
    <w:semiHidden/>
    <w:unhideWhenUsed/>
    <w:rsid w:val="002B0D1D"/>
    <w:rPr>
      <w:b/>
      <w:bCs/>
    </w:rPr>
  </w:style>
  <w:style w:type="character" w:customStyle="1" w:styleId="CommentSubjectChar">
    <w:name w:val="Comment Subject Char"/>
    <w:basedOn w:val="CommentTextChar"/>
    <w:link w:val="CommentSubject"/>
    <w:semiHidden/>
    <w:rsid w:val="002B0D1D"/>
    <w:rPr>
      <w:b/>
      <w:bCs/>
      <w:sz w:val="20"/>
      <w:szCs w:val="20"/>
    </w:rPr>
  </w:style>
  <w:style w:type="paragraph" w:styleId="NormalWeb">
    <w:name w:val="Normal (Web)"/>
    <w:basedOn w:val="Normal"/>
    <w:uiPriority w:val="99"/>
    <w:unhideWhenUsed/>
    <w:rsid w:val="00D73048"/>
    <w:pPr>
      <w:spacing w:before="100" w:beforeAutospacing="1" w:after="100" w:afterAutospacing="1"/>
    </w:pPr>
    <w:rPr>
      <w:rFonts w:ascii="Times New Roman" w:hAnsi="Times New Roman"/>
      <w:sz w:val="24"/>
      <w:szCs w:val="24"/>
    </w:rPr>
  </w:style>
  <w:style w:type="paragraph" w:customStyle="1" w:styleId="Default">
    <w:name w:val="Default"/>
    <w:rsid w:val="00EB7CE6"/>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B46B05"/>
    <w:rPr>
      <w:color w:val="000080"/>
      <w:sz w:val="18"/>
    </w:rPr>
  </w:style>
  <w:style w:type="paragraph" w:styleId="Revision">
    <w:name w:val="Revision"/>
    <w:hidden/>
    <w:uiPriority w:val="99"/>
    <w:semiHidden/>
    <w:rsid w:val="008F26F5"/>
  </w:style>
  <w:style w:type="character" w:styleId="FollowedHyperlink">
    <w:name w:val="FollowedHyperlink"/>
    <w:basedOn w:val="DefaultParagraphFont"/>
    <w:semiHidden/>
    <w:unhideWhenUsed/>
    <w:rsid w:val="005743F3"/>
    <w:rPr>
      <w:color w:val="800080" w:themeColor="followedHyperlink"/>
      <w:u w:val="single"/>
    </w:rPr>
  </w:style>
  <w:style w:type="character" w:customStyle="1" w:styleId="OutlineNumbered1Char">
    <w:name w:val="Outline Numbered 1 Char"/>
    <w:basedOn w:val="DefaultParagraphFont"/>
    <w:link w:val="OutlineNumbered1"/>
    <w:locked/>
    <w:rsid w:val="007D54C0"/>
  </w:style>
  <w:style w:type="character" w:customStyle="1" w:styleId="OutlineNumbered2Char">
    <w:name w:val="Outline Numbered 2 Char"/>
    <w:basedOn w:val="DefaultParagraphFont"/>
    <w:link w:val="OutlineNumbered2"/>
    <w:locked/>
    <w:rsid w:val="007D54C0"/>
  </w:style>
  <w:style w:type="table" w:styleId="TableGridLight">
    <w:name w:val="Grid Table Light"/>
    <w:basedOn w:val="TableNormal"/>
    <w:uiPriority w:val="40"/>
    <w:rsid w:val="00C43D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1">
    <w:name w:val="Grid Table 2 Accent 1"/>
    <w:basedOn w:val="TableNormal"/>
    <w:uiPriority w:val="47"/>
    <w:rsid w:val="00C43D5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8495">
      <w:bodyDiv w:val="1"/>
      <w:marLeft w:val="0"/>
      <w:marRight w:val="0"/>
      <w:marTop w:val="0"/>
      <w:marBottom w:val="0"/>
      <w:divBdr>
        <w:top w:val="none" w:sz="0" w:space="0" w:color="auto"/>
        <w:left w:val="none" w:sz="0" w:space="0" w:color="auto"/>
        <w:bottom w:val="none" w:sz="0" w:space="0" w:color="auto"/>
        <w:right w:val="none" w:sz="0" w:space="0" w:color="auto"/>
      </w:divBdr>
    </w:div>
    <w:div w:id="160389285">
      <w:bodyDiv w:val="1"/>
      <w:marLeft w:val="0"/>
      <w:marRight w:val="0"/>
      <w:marTop w:val="0"/>
      <w:marBottom w:val="0"/>
      <w:divBdr>
        <w:top w:val="none" w:sz="0" w:space="0" w:color="auto"/>
        <w:left w:val="none" w:sz="0" w:space="0" w:color="auto"/>
        <w:bottom w:val="none" w:sz="0" w:space="0" w:color="auto"/>
        <w:right w:val="none" w:sz="0" w:space="0" w:color="auto"/>
      </w:divBdr>
    </w:div>
    <w:div w:id="357196669">
      <w:bodyDiv w:val="1"/>
      <w:marLeft w:val="0"/>
      <w:marRight w:val="0"/>
      <w:marTop w:val="0"/>
      <w:marBottom w:val="0"/>
      <w:divBdr>
        <w:top w:val="none" w:sz="0" w:space="0" w:color="auto"/>
        <w:left w:val="none" w:sz="0" w:space="0" w:color="auto"/>
        <w:bottom w:val="none" w:sz="0" w:space="0" w:color="auto"/>
        <w:right w:val="none" w:sz="0" w:space="0" w:color="auto"/>
      </w:divBdr>
    </w:div>
    <w:div w:id="507057542">
      <w:bodyDiv w:val="1"/>
      <w:marLeft w:val="0"/>
      <w:marRight w:val="0"/>
      <w:marTop w:val="0"/>
      <w:marBottom w:val="0"/>
      <w:divBdr>
        <w:top w:val="none" w:sz="0" w:space="0" w:color="auto"/>
        <w:left w:val="none" w:sz="0" w:space="0" w:color="auto"/>
        <w:bottom w:val="none" w:sz="0" w:space="0" w:color="auto"/>
        <w:right w:val="none" w:sz="0" w:space="0" w:color="auto"/>
      </w:divBdr>
    </w:div>
    <w:div w:id="590092524">
      <w:bodyDiv w:val="1"/>
      <w:marLeft w:val="0"/>
      <w:marRight w:val="0"/>
      <w:marTop w:val="0"/>
      <w:marBottom w:val="0"/>
      <w:divBdr>
        <w:top w:val="none" w:sz="0" w:space="0" w:color="auto"/>
        <w:left w:val="none" w:sz="0" w:space="0" w:color="auto"/>
        <w:bottom w:val="none" w:sz="0" w:space="0" w:color="auto"/>
        <w:right w:val="none" w:sz="0" w:space="0" w:color="auto"/>
      </w:divBdr>
    </w:div>
    <w:div w:id="642580602">
      <w:bodyDiv w:val="1"/>
      <w:marLeft w:val="0"/>
      <w:marRight w:val="0"/>
      <w:marTop w:val="0"/>
      <w:marBottom w:val="0"/>
      <w:divBdr>
        <w:top w:val="none" w:sz="0" w:space="0" w:color="auto"/>
        <w:left w:val="none" w:sz="0" w:space="0" w:color="auto"/>
        <w:bottom w:val="none" w:sz="0" w:space="0" w:color="auto"/>
        <w:right w:val="none" w:sz="0" w:space="0" w:color="auto"/>
      </w:divBdr>
    </w:div>
    <w:div w:id="696271811">
      <w:bodyDiv w:val="1"/>
      <w:marLeft w:val="0"/>
      <w:marRight w:val="0"/>
      <w:marTop w:val="0"/>
      <w:marBottom w:val="0"/>
      <w:divBdr>
        <w:top w:val="none" w:sz="0" w:space="0" w:color="auto"/>
        <w:left w:val="none" w:sz="0" w:space="0" w:color="auto"/>
        <w:bottom w:val="none" w:sz="0" w:space="0" w:color="auto"/>
        <w:right w:val="none" w:sz="0" w:space="0" w:color="auto"/>
      </w:divBdr>
    </w:div>
    <w:div w:id="742338208">
      <w:bodyDiv w:val="1"/>
      <w:marLeft w:val="0"/>
      <w:marRight w:val="0"/>
      <w:marTop w:val="0"/>
      <w:marBottom w:val="0"/>
      <w:divBdr>
        <w:top w:val="none" w:sz="0" w:space="0" w:color="auto"/>
        <w:left w:val="none" w:sz="0" w:space="0" w:color="auto"/>
        <w:bottom w:val="none" w:sz="0" w:space="0" w:color="auto"/>
        <w:right w:val="none" w:sz="0" w:space="0" w:color="auto"/>
      </w:divBdr>
    </w:div>
    <w:div w:id="907375820">
      <w:bodyDiv w:val="1"/>
      <w:marLeft w:val="0"/>
      <w:marRight w:val="0"/>
      <w:marTop w:val="0"/>
      <w:marBottom w:val="0"/>
      <w:divBdr>
        <w:top w:val="none" w:sz="0" w:space="0" w:color="auto"/>
        <w:left w:val="none" w:sz="0" w:space="0" w:color="auto"/>
        <w:bottom w:val="none" w:sz="0" w:space="0" w:color="auto"/>
        <w:right w:val="none" w:sz="0" w:space="0" w:color="auto"/>
      </w:divBdr>
      <w:divsChild>
        <w:div w:id="1880044342">
          <w:marLeft w:val="0"/>
          <w:marRight w:val="0"/>
          <w:marTop w:val="0"/>
          <w:marBottom w:val="0"/>
          <w:divBdr>
            <w:top w:val="none" w:sz="0" w:space="0" w:color="auto"/>
            <w:left w:val="none" w:sz="0" w:space="0" w:color="auto"/>
            <w:bottom w:val="none" w:sz="0" w:space="0" w:color="auto"/>
            <w:right w:val="none" w:sz="0" w:space="0" w:color="auto"/>
          </w:divBdr>
          <w:divsChild>
            <w:div w:id="18004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0282">
      <w:bodyDiv w:val="1"/>
      <w:marLeft w:val="0"/>
      <w:marRight w:val="0"/>
      <w:marTop w:val="0"/>
      <w:marBottom w:val="0"/>
      <w:divBdr>
        <w:top w:val="none" w:sz="0" w:space="0" w:color="auto"/>
        <w:left w:val="none" w:sz="0" w:space="0" w:color="auto"/>
        <w:bottom w:val="none" w:sz="0" w:space="0" w:color="auto"/>
        <w:right w:val="none" w:sz="0" w:space="0" w:color="auto"/>
      </w:divBdr>
    </w:div>
    <w:div w:id="1159541569">
      <w:bodyDiv w:val="1"/>
      <w:marLeft w:val="0"/>
      <w:marRight w:val="0"/>
      <w:marTop w:val="0"/>
      <w:marBottom w:val="0"/>
      <w:divBdr>
        <w:top w:val="none" w:sz="0" w:space="0" w:color="auto"/>
        <w:left w:val="none" w:sz="0" w:space="0" w:color="auto"/>
        <w:bottom w:val="none" w:sz="0" w:space="0" w:color="auto"/>
        <w:right w:val="none" w:sz="0" w:space="0" w:color="auto"/>
      </w:divBdr>
    </w:div>
    <w:div w:id="1257783051">
      <w:bodyDiv w:val="1"/>
      <w:marLeft w:val="0"/>
      <w:marRight w:val="0"/>
      <w:marTop w:val="0"/>
      <w:marBottom w:val="0"/>
      <w:divBdr>
        <w:top w:val="none" w:sz="0" w:space="0" w:color="auto"/>
        <w:left w:val="none" w:sz="0" w:space="0" w:color="auto"/>
        <w:bottom w:val="none" w:sz="0" w:space="0" w:color="auto"/>
        <w:right w:val="none" w:sz="0" w:space="0" w:color="auto"/>
      </w:divBdr>
    </w:div>
    <w:div w:id="1408765416">
      <w:bodyDiv w:val="1"/>
      <w:marLeft w:val="0"/>
      <w:marRight w:val="0"/>
      <w:marTop w:val="0"/>
      <w:marBottom w:val="0"/>
      <w:divBdr>
        <w:top w:val="none" w:sz="0" w:space="0" w:color="auto"/>
        <w:left w:val="none" w:sz="0" w:space="0" w:color="auto"/>
        <w:bottom w:val="none" w:sz="0" w:space="0" w:color="auto"/>
        <w:right w:val="none" w:sz="0" w:space="0" w:color="auto"/>
      </w:divBdr>
    </w:div>
    <w:div w:id="1439258405">
      <w:bodyDiv w:val="1"/>
      <w:marLeft w:val="0"/>
      <w:marRight w:val="0"/>
      <w:marTop w:val="0"/>
      <w:marBottom w:val="0"/>
      <w:divBdr>
        <w:top w:val="none" w:sz="0" w:space="0" w:color="auto"/>
        <w:left w:val="none" w:sz="0" w:space="0" w:color="auto"/>
        <w:bottom w:val="none" w:sz="0" w:space="0" w:color="auto"/>
        <w:right w:val="none" w:sz="0" w:space="0" w:color="auto"/>
      </w:divBdr>
    </w:div>
    <w:div w:id="1737438855">
      <w:bodyDiv w:val="1"/>
      <w:marLeft w:val="0"/>
      <w:marRight w:val="0"/>
      <w:marTop w:val="0"/>
      <w:marBottom w:val="0"/>
      <w:divBdr>
        <w:top w:val="none" w:sz="0" w:space="0" w:color="auto"/>
        <w:left w:val="none" w:sz="0" w:space="0" w:color="auto"/>
        <w:bottom w:val="none" w:sz="0" w:space="0" w:color="auto"/>
        <w:right w:val="none" w:sz="0" w:space="0" w:color="auto"/>
      </w:divBdr>
    </w:div>
    <w:div w:id="1739668264">
      <w:bodyDiv w:val="1"/>
      <w:marLeft w:val="0"/>
      <w:marRight w:val="0"/>
      <w:marTop w:val="0"/>
      <w:marBottom w:val="0"/>
      <w:divBdr>
        <w:top w:val="none" w:sz="0" w:space="0" w:color="auto"/>
        <w:left w:val="none" w:sz="0" w:space="0" w:color="auto"/>
        <w:bottom w:val="none" w:sz="0" w:space="0" w:color="auto"/>
        <w:right w:val="none" w:sz="0" w:space="0" w:color="auto"/>
      </w:divBdr>
    </w:div>
    <w:div w:id="1783303789">
      <w:bodyDiv w:val="1"/>
      <w:marLeft w:val="0"/>
      <w:marRight w:val="0"/>
      <w:marTop w:val="0"/>
      <w:marBottom w:val="0"/>
      <w:divBdr>
        <w:top w:val="none" w:sz="0" w:space="0" w:color="auto"/>
        <w:left w:val="none" w:sz="0" w:space="0" w:color="auto"/>
        <w:bottom w:val="none" w:sz="0" w:space="0" w:color="auto"/>
        <w:right w:val="none" w:sz="0" w:space="0" w:color="auto"/>
      </w:divBdr>
    </w:div>
    <w:div w:id="2040160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hyperlink" Target="mailto:TaxDigitalAssets@taxboard.gov.au" TargetMode="External"/><Relationship Id="rId21" Type="http://schemas.openxmlformats.org/officeDocument/2006/relationships/hyperlink" Target="http://creativecommons.org/licenses/by/3.0/au/legalcode" TargetMode="External"/><Relationship Id="rId34" Type="http://schemas.openxmlformats.org/officeDocument/2006/relationships/header" Target="header9.xml"/><Relationship Id="rId42" Type="http://schemas.openxmlformats.org/officeDocument/2006/relationships/header" Target="header1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pmc.gov.au/government/commonwealth-coat-arms" TargetMode="External"/><Relationship Id="rId32" Type="http://schemas.openxmlformats.org/officeDocument/2006/relationships/footer" Target="footer5.xml"/><Relationship Id="rId37" Type="http://schemas.openxmlformats.org/officeDocument/2006/relationships/hyperlink" Target="https://www.ato.gov.au/Business/GST/When-to-charge-GST-(and-when-not-to)/Taxable-sales/" TargetMode="External"/><Relationship Id="rId40" Type="http://schemas.openxmlformats.org/officeDocument/2006/relationships/hyperlink" Target="mailto:TaxDigitalAssets@taxboard.gov.au"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creativecommons.org/licenses/by/3.0/au/deed.en" TargetMode="External"/><Relationship Id="rId28" Type="http://schemas.openxmlformats.org/officeDocument/2006/relationships/header" Target="header6.xml"/><Relationship Id="rId36" Type="http://schemas.openxmlformats.org/officeDocument/2006/relationships/hyperlink" Target="http://www.taxboard.gov.au"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8.xm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2.wmf"/><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oter" Target="footer7.xml"/><Relationship Id="rId43" Type="http://schemas.openxmlformats.org/officeDocument/2006/relationships/header" Target="header1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mailto:medialiaison@treasury.gov.au" TargetMode="External"/><Relationship Id="rId33" Type="http://schemas.openxmlformats.org/officeDocument/2006/relationships/footer" Target="footer6.xml"/><Relationship Id="rId38" Type="http://schemas.openxmlformats.org/officeDocument/2006/relationships/hyperlink" Target="mailto:TaxDigitalAssets@taxboard.gov.au" TargetMode="External"/><Relationship Id="rId46" Type="http://schemas.openxmlformats.org/officeDocument/2006/relationships/theme" Target="theme/theme1.xml"/><Relationship Id="rId20" Type="http://schemas.openxmlformats.org/officeDocument/2006/relationships/hyperlink" Target="http://creativecommons.org/licenses/by/3.0/au/deed.en" TargetMode="External"/><Relationship Id="rId41" Type="http://schemas.openxmlformats.org/officeDocument/2006/relationships/header" Target="header10.xml"/></Relationships>
</file>

<file path=word/_rels/footnotes.xml.rels><?xml version="1.0" encoding="UTF-8" standalone="yes"?>
<Relationships xmlns="http://schemas.openxmlformats.org/package/2006/relationships"><Relationship Id="rId8" Type="http://schemas.openxmlformats.org/officeDocument/2006/relationships/hyperlink" Target="https://www.ato.gov.au/Individuals/Investments-and-assets/Crypto-asset-investments/Transactions---acquiring-and-disposing-of-crypto-assets/Gifts-and-donations-of-crypto-assets/" TargetMode="External"/><Relationship Id="rId13" Type="http://schemas.openxmlformats.org/officeDocument/2006/relationships/hyperlink" Target="https://www.oecd.org/ctp/exchange-of-tax-information/oecd-seeks-input-on-new-tax-transparency-framework-for-crypto-assets-and-amendments-to-the-common-reporting-standard.htm" TargetMode="External"/><Relationship Id="rId3" Type="http://schemas.openxmlformats.org/officeDocument/2006/relationships/hyperlink" Target="https://www.atlanticcouncil.org/cbdctracker/" TargetMode="External"/><Relationship Id="rId7" Type="http://schemas.openxmlformats.org/officeDocument/2006/relationships/hyperlink" Target="https://www.ato.gov.au/business/gst/in-detail/your-industry/financial-services-and-insurance/gst-and-digital-currency/" TargetMode="External"/><Relationship Id="rId12" Type="http://schemas.openxmlformats.org/officeDocument/2006/relationships/hyperlink" Target="https://www.oecd.org/tax/tax-policy/taxing-virtual-currencies-an-overview-of-tax-treatments-and-emerging-tax-policy-issues.htm" TargetMode="External"/><Relationship Id="rId2" Type="http://schemas.openxmlformats.org/officeDocument/2006/relationships/hyperlink" Target="https://treasury.gov.au/sites/default/files/2022-03/c2022-259046.pdf" TargetMode="External"/><Relationship Id="rId1" Type="http://schemas.openxmlformats.org/officeDocument/2006/relationships/hyperlink" Target="https://www.oecd.org/tax/tax-policy/taxing-virtual-currencies-an-overview-of-tax-treatments-and-emerging-tax-policy-issues.htm" TargetMode="External"/><Relationship Id="rId6" Type="http://schemas.openxmlformats.org/officeDocument/2006/relationships/hyperlink" Target="https://www.ato.gov.au/business/income-and-deductions-for-business/crypto-assets-used-in-business/" TargetMode="External"/><Relationship Id="rId11" Type="http://schemas.openxmlformats.org/officeDocument/2006/relationships/hyperlink" Target="https://doi.org/10.1787/9789264241046-en" TargetMode="External"/><Relationship Id="rId5" Type="http://schemas.openxmlformats.org/officeDocument/2006/relationships/hyperlink" Target="https://www.ato.gov.au/business/income-and-deductions-for-business/crypto-assets-used-in-business/" TargetMode="External"/><Relationship Id="rId15" Type="http://schemas.openxmlformats.org/officeDocument/2006/relationships/hyperlink" Target="https://data.europa.eu/doi/10.2861/280969" TargetMode="External"/><Relationship Id="rId10" Type="http://schemas.openxmlformats.org/officeDocument/2006/relationships/hyperlink" Target="https://www.ato.gov.au/individuals/investments-and-assets/crypto-asset-investments/transactions---acquiring-and-disposing-of-crypto-assets/non-fungible-tokens/" TargetMode="External"/><Relationship Id="rId4" Type="http://schemas.openxmlformats.org/officeDocument/2006/relationships/hyperlink" Target="https://www.ato.gov.au/individuals/investments-and-assets/crypto-asset-investments/transactions---acquiring-and-disposing-of-crypto-assets/crypto-asset-transactions/" TargetMode="External"/><Relationship Id="rId9" Type="http://schemas.openxmlformats.org/officeDocument/2006/relationships/hyperlink" Target="https://www.ato.gov.au/Business/Income-and-deductions-for-business/Crypto-assets-used-in-business/" TargetMode="External"/><Relationship Id="rId14" Type="http://schemas.openxmlformats.org/officeDocument/2006/relationships/hyperlink" Target="http://documents.worldbank.org/curated/en/177911513714062215/Distributed-Ledger-Technology-DLT-and-blockchain"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Consultation%20Gu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18</Value>
    </TaxCatchAll>
    <_dlc_DocId xmlns="0f563589-9cf9-4143-b1eb-fb0534803d38">2022RG-355-14511</_dlc_DocId>
    <_dlc_DocIdUrl xmlns="0f563589-9cf9-4143-b1eb-fb0534803d38">
      <Url>http://tweb/sites/rg/bots/projects/_layouts/15/DocIdRedir.aspx?ID=2022RG-355-14511</Url>
      <Description>2022RG-355-14511</Description>
    </_dlc_DocIdUrl>
    <TaxCatchAllLabel xmlns="0f563589-9cf9-4143-b1eb-fb0534803d38"/>
    <_dlc_DocIdPersistId xmlns="0f563589-9cf9-4143-b1eb-fb0534803d38"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F2E04CA2AAA104DB2D93AC73B6CBA42" ma:contentTypeVersion="49239" ma:contentTypeDescription="" ma:contentTypeScope="" ma:versionID="2e56b7aa8d66cbed1fb9213816ee3e4b">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b952e54e921e57b0a8ddff2b710a3b61"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2AC71-942B-4BAF-93C9-A41EFC2EBF60}">
  <ds:schemaRefs>
    <ds:schemaRef ds:uri="office.server.policy"/>
  </ds:schemaRefs>
</ds:datastoreItem>
</file>

<file path=customXml/itemProps2.xml><?xml version="1.0" encoding="utf-8"?>
<ds:datastoreItem xmlns:ds="http://schemas.openxmlformats.org/officeDocument/2006/customXml" ds:itemID="{B05E93C5-2077-4108-9CE9-589424BC45CD}">
  <ds:schemaRefs>
    <ds:schemaRef ds:uri="http://schemas.microsoft.com/office/2006/metadata/properties"/>
    <ds:schemaRef ds:uri="http://schemas.microsoft.com/office/infopath/2007/PartnerControls"/>
    <ds:schemaRef ds:uri="0f563589-9cf9-4143-b1eb-fb0534803d38"/>
    <ds:schemaRef ds:uri="9f7bc583-7cbe-45b9-a2bd-8bbb6543b37e"/>
    <ds:schemaRef ds:uri="http://schemas.microsoft.com/sharepoint/v4"/>
  </ds:schemaRefs>
</ds:datastoreItem>
</file>

<file path=customXml/itemProps3.xml><?xml version="1.0" encoding="utf-8"?>
<ds:datastoreItem xmlns:ds="http://schemas.openxmlformats.org/officeDocument/2006/customXml" ds:itemID="{B7473044-7DBC-40E0-B211-B9DC68154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EB4EE-9921-461F-89A1-7AE412648E4F}">
  <ds:schemaRefs>
    <ds:schemaRef ds:uri="http://schemas.microsoft.com/sharepoint/events"/>
  </ds:schemaRefs>
</ds:datastoreItem>
</file>

<file path=customXml/itemProps5.xml><?xml version="1.0" encoding="utf-8"?>
<ds:datastoreItem xmlns:ds="http://schemas.openxmlformats.org/officeDocument/2006/customXml" ds:itemID="{A266AF16-E830-45E5-9303-CD54D95A6021}">
  <ds:schemaRefs>
    <ds:schemaRef ds:uri="http://schemas.openxmlformats.org/officeDocument/2006/bibliography"/>
  </ds:schemaRefs>
</ds:datastoreItem>
</file>

<file path=customXml/itemProps6.xml><?xml version="1.0" encoding="utf-8"?>
<ds:datastoreItem xmlns:ds="http://schemas.openxmlformats.org/officeDocument/2006/customXml" ds:itemID="{86038433-F8A9-4A6C-A9A9-CF3792EDE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Consultation Guide.dotm</Template>
  <TotalTime>86</TotalTime>
  <Pages>18</Pages>
  <Words>4129</Words>
  <Characters>23538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Review of the Tax Treatment of Digital Assets and Transactions - Consultation Guide</vt:lpstr>
    </vt:vector>
  </TitlesOfParts>
  <Company>The Treasury</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Tax Treatment of Digital Assets and Transactions - Consultation Guide</dc:title>
  <dc:subject/>
  <dc:creator>The Board of Taxation</dc:creator>
  <cp:keywords/>
  <cp:lastModifiedBy>Smith, Matthew</cp:lastModifiedBy>
  <cp:revision>6</cp:revision>
  <cp:lastPrinted>2022-06-16T16:45:00Z</cp:lastPrinted>
  <dcterms:created xsi:type="dcterms:W3CDTF">2022-08-24T22:59:00Z</dcterms:created>
  <dcterms:modified xsi:type="dcterms:W3CDTF">2022-08-30T06:18:00Z</dcterms:modified>
</cp:coreProperties>
</file>