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6C32" w14:textId="68F6A077" w:rsidR="00254D20" w:rsidRDefault="004D37AA" w:rsidP="00E712D3">
      <w:r>
        <w:rPr>
          <w:noProof/>
        </w:rPr>
        <w:drawing>
          <wp:anchor distT="0" distB="0" distL="114300" distR="114300" simplePos="0" relativeHeight="251658240" behindDoc="1" locked="0" layoutInCell="1" allowOverlap="1" wp14:anchorId="2C3D5E62" wp14:editId="495A9152">
            <wp:simplePos x="904875" y="1466850"/>
            <wp:positionH relativeFrom="page">
              <wp:align>center</wp:align>
            </wp:positionH>
            <wp:positionV relativeFrom="page">
              <wp:align>center</wp:align>
            </wp:positionV>
            <wp:extent cx="7560360" cy="1069452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 Cover_Consultation gui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106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3285C7B6" wp14:editId="514B718D">
            <wp:simplePos x="904875" y="1466850"/>
            <wp:positionH relativeFrom="page">
              <wp:align>center</wp:align>
            </wp:positionH>
            <wp:positionV relativeFrom="page">
              <wp:align>center</wp:align>
            </wp:positionV>
            <wp:extent cx="7560360" cy="106945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 Cover_Consultation gui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106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476C8" w14:textId="77777777" w:rsidR="00254D20" w:rsidRDefault="00254D20" w:rsidP="00E712D3"/>
    <w:p w14:paraId="256DAE79" w14:textId="77777777" w:rsidR="00254D20" w:rsidRDefault="009C6248" w:rsidP="009C6248">
      <w:pPr>
        <w:tabs>
          <w:tab w:val="right" w:pos="9070"/>
        </w:tabs>
      </w:pPr>
      <w:r>
        <w:tab/>
      </w:r>
    </w:p>
    <w:p w14:paraId="7BCB2D4C" w14:textId="77777777" w:rsidR="00254D20" w:rsidRDefault="00254D20" w:rsidP="00E712D3"/>
    <w:p w14:paraId="3C95B88B" w14:textId="77777777" w:rsidR="00254D20" w:rsidRDefault="00254D20" w:rsidP="00E712D3"/>
    <w:p w14:paraId="56D570C1" w14:textId="77777777" w:rsidR="00254D20" w:rsidRDefault="00254D20" w:rsidP="00E712D3"/>
    <w:p w14:paraId="55538829" w14:textId="77777777" w:rsidR="00254D20" w:rsidRDefault="00254D20" w:rsidP="00E712D3"/>
    <w:p w14:paraId="009B63E4" w14:textId="77777777" w:rsidR="00254D20" w:rsidRPr="00E712D3" w:rsidRDefault="00254D20" w:rsidP="00E712D3"/>
    <w:p w14:paraId="6453D0E2" w14:textId="5ACE20B7" w:rsidR="000E0B74" w:rsidRPr="00E712D3" w:rsidRDefault="00254D20" w:rsidP="00E712D3">
      <w:pPr>
        <w:pStyle w:val="Title"/>
        <w:rPr>
          <w:sz w:val="56"/>
          <w:szCs w:val="56"/>
        </w:rPr>
      </w:pPr>
      <w:r>
        <w:rPr>
          <w:sz w:val="56"/>
          <w:szCs w:val="56"/>
        </w:rPr>
        <w:t xml:space="preserve">Review of </w:t>
      </w:r>
      <w:r w:rsidR="00880373">
        <w:rPr>
          <w:sz w:val="56"/>
          <w:szCs w:val="56"/>
        </w:rPr>
        <w:t xml:space="preserve">GST ON </w:t>
      </w:r>
      <w:r w:rsidR="004E4766">
        <w:rPr>
          <w:sz w:val="56"/>
          <w:szCs w:val="56"/>
        </w:rPr>
        <w:br/>
      </w:r>
      <w:r w:rsidR="00064FCF">
        <w:rPr>
          <w:sz w:val="56"/>
          <w:szCs w:val="56"/>
        </w:rPr>
        <w:t>LOW VALUE IMPORTED GOODS</w:t>
      </w:r>
    </w:p>
    <w:p w14:paraId="7E814AA3" w14:textId="77777777" w:rsidR="000E0B74" w:rsidRPr="00706E8E" w:rsidRDefault="003857B7" w:rsidP="003857B7">
      <w:pPr>
        <w:pStyle w:val="Subtitle"/>
        <w:spacing w:after="3000"/>
      </w:pPr>
      <w:r w:rsidRPr="003857B7">
        <w:t>Consultation Guide</w:t>
      </w:r>
    </w:p>
    <w:p w14:paraId="41194108" w14:textId="77777777" w:rsidR="00754A10" w:rsidRDefault="00754A10" w:rsidP="000E0B74">
      <w:pPr>
        <w:pStyle w:val="ReportDate"/>
        <w:ind w:right="0"/>
        <w:rPr>
          <w:rStyle w:val="ReportDateChar"/>
        </w:rPr>
      </w:pPr>
    </w:p>
    <w:p w14:paraId="00E0A674" w14:textId="09CE0032" w:rsidR="00056880" w:rsidRDefault="004F5563" w:rsidP="000E0B74">
      <w:pPr>
        <w:pStyle w:val="ReportDate"/>
        <w:ind w:right="0"/>
        <w:rPr>
          <w:rFonts w:ascii="Rockwell" w:hAnsi="Rockwell"/>
          <w:sz w:val="24"/>
        </w:rPr>
      </w:pPr>
      <w:r>
        <w:rPr>
          <w:rStyle w:val="ReportDateChar"/>
        </w:rPr>
        <w:t>August</w:t>
      </w:r>
      <w:r w:rsidR="00AC503D">
        <w:rPr>
          <w:rStyle w:val="ReportDateChar"/>
        </w:rPr>
        <w:t xml:space="preserve"> </w:t>
      </w:r>
      <w:r w:rsidR="003857B7">
        <w:rPr>
          <w:rStyle w:val="ReportDateChar"/>
        </w:rPr>
        <w:t>20</w:t>
      </w:r>
      <w:r w:rsidR="00AC503D">
        <w:rPr>
          <w:rStyle w:val="ReportDateChar"/>
        </w:rPr>
        <w:t>2</w:t>
      </w:r>
      <w:r w:rsidR="00800E7C">
        <w:rPr>
          <w:rStyle w:val="ReportDateChar"/>
        </w:rPr>
        <w:t>1</w:t>
      </w:r>
    </w:p>
    <w:p w14:paraId="455E5BC0" w14:textId="77777777" w:rsidR="002F617F" w:rsidRPr="005D561D" w:rsidRDefault="002F617F" w:rsidP="002F617F">
      <w:pPr>
        <w:pStyle w:val="Divider"/>
      </w:pPr>
    </w:p>
    <w:p w14:paraId="4FF2A3A6" w14:textId="77777777" w:rsidR="002F617F" w:rsidRDefault="002F617F"/>
    <w:p w14:paraId="2A7D06E0" w14:textId="77777777" w:rsidR="000E0B74" w:rsidRDefault="000E0B74" w:rsidP="000E0B74">
      <w:pPr>
        <w:rPr>
          <w:rFonts w:cs="Calibri"/>
          <w:sz w:val="20"/>
        </w:rPr>
      </w:pPr>
    </w:p>
    <w:p w14:paraId="197D849D" w14:textId="77777777" w:rsidR="000E0B74" w:rsidRDefault="000E0B74" w:rsidP="000E0B74">
      <w:pPr>
        <w:sectPr w:rsidR="000E0B74" w:rsidSect="00C01DCC">
          <w:footerReference w:type="even" r:id="rId14"/>
          <w:pgSz w:w="11906" w:h="16838"/>
          <w:pgMar w:top="1418" w:right="1418" w:bottom="1418" w:left="1418" w:header="709" w:footer="709" w:gutter="0"/>
          <w:cols w:space="720"/>
        </w:sectPr>
      </w:pPr>
    </w:p>
    <w:p w14:paraId="7F552837" w14:textId="77777777" w:rsidR="000E0B74" w:rsidRDefault="000E0B74" w:rsidP="00ED53E0">
      <w:pPr>
        <w:pStyle w:val="Heading1"/>
        <w:spacing w:before="0"/>
      </w:pPr>
      <w:bookmarkStart w:id="0" w:name="_Toc504653882"/>
      <w:bookmarkStart w:id="1" w:name="_Toc78808480"/>
      <w:r w:rsidRPr="001F1B27">
        <w:lastRenderedPageBreak/>
        <w:t>Contents</w:t>
      </w:r>
      <w:bookmarkEnd w:id="0"/>
      <w:bookmarkEnd w:id="1"/>
    </w:p>
    <w:p w14:paraId="3C70D20E" w14:textId="71A27198" w:rsidR="000D4CCF" w:rsidRDefault="000E0B74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r>
        <w:rPr>
          <w:color w:val="004A7F"/>
        </w:rPr>
        <w:fldChar w:fldCharType="begin"/>
      </w:r>
      <w:r w:rsidRPr="0025652F">
        <w:instrText xml:space="preserve"> TOC \o "1-3" \h \z \u </w:instrText>
      </w:r>
      <w:r>
        <w:rPr>
          <w:color w:val="004A7F"/>
        </w:rPr>
        <w:fldChar w:fldCharType="separate"/>
      </w:r>
      <w:hyperlink w:anchor="_Toc78808480" w:history="1">
        <w:r w:rsidR="000D4CCF" w:rsidRPr="00AE0D47">
          <w:rPr>
            <w:rStyle w:val="Hyperlink"/>
          </w:rPr>
          <w:t>Contents</w:t>
        </w:r>
        <w:r w:rsidR="000D4CCF">
          <w:rPr>
            <w:webHidden/>
          </w:rPr>
          <w:tab/>
        </w:r>
        <w:r w:rsidR="000D4CCF">
          <w:rPr>
            <w:webHidden/>
          </w:rPr>
          <w:fldChar w:fldCharType="begin"/>
        </w:r>
        <w:r w:rsidR="000D4CCF">
          <w:rPr>
            <w:webHidden/>
          </w:rPr>
          <w:instrText xml:space="preserve"> PAGEREF _Toc78808480 \h </w:instrText>
        </w:r>
        <w:r w:rsidR="000D4CCF">
          <w:rPr>
            <w:webHidden/>
          </w:rPr>
        </w:r>
        <w:r w:rsidR="000D4CCF">
          <w:rPr>
            <w:webHidden/>
          </w:rPr>
          <w:fldChar w:fldCharType="separate"/>
        </w:r>
        <w:r w:rsidR="007E0FCA">
          <w:rPr>
            <w:webHidden/>
          </w:rPr>
          <w:t>2</w:t>
        </w:r>
        <w:r w:rsidR="000D4CCF">
          <w:rPr>
            <w:webHidden/>
          </w:rPr>
          <w:fldChar w:fldCharType="end"/>
        </w:r>
      </w:hyperlink>
    </w:p>
    <w:p w14:paraId="4F3749F6" w14:textId="4D63206B" w:rsidR="000D4CCF" w:rsidRDefault="00096AB3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78808481" w:history="1">
        <w:r w:rsidR="000D4CCF" w:rsidRPr="00AE0D47">
          <w:rPr>
            <w:rStyle w:val="Hyperlink"/>
          </w:rPr>
          <w:t>The Board’s review</w:t>
        </w:r>
        <w:r w:rsidR="000D4CCF">
          <w:rPr>
            <w:webHidden/>
          </w:rPr>
          <w:tab/>
        </w:r>
        <w:r w:rsidR="000D4CCF">
          <w:rPr>
            <w:webHidden/>
          </w:rPr>
          <w:fldChar w:fldCharType="begin"/>
        </w:r>
        <w:r w:rsidR="000D4CCF">
          <w:rPr>
            <w:webHidden/>
          </w:rPr>
          <w:instrText xml:space="preserve"> PAGEREF _Toc78808481 \h </w:instrText>
        </w:r>
        <w:r w:rsidR="000D4CCF">
          <w:rPr>
            <w:webHidden/>
          </w:rPr>
        </w:r>
        <w:r w:rsidR="000D4CCF">
          <w:rPr>
            <w:webHidden/>
          </w:rPr>
          <w:fldChar w:fldCharType="separate"/>
        </w:r>
        <w:r w:rsidR="007E0FCA">
          <w:rPr>
            <w:webHidden/>
          </w:rPr>
          <w:t>3</w:t>
        </w:r>
        <w:r w:rsidR="000D4CCF">
          <w:rPr>
            <w:webHidden/>
          </w:rPr>
          <w:fldChar w:fldCharType="end"/>
        </w:r>
      </w:hyperlink>
    </w:p>
    <w:p w14:paraId="171D4B45" w14:textId="12414ACB" w:rsidR="000D4CCF" w:rsidRDefault="00096AB3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78808482" w:history="1">
        <w:r w:rsidR="000D4CCF" w:rsidRPr="00AE0D47">
          <w:rPr>
            <w:rStyle w:val="Hyperlink"/>
          </w:rPr>
          <w:t>Consultation process</w:t>
        </w:r>
        <w:r w:rsidR="000D4CCF">
          <w:rPr>
            <w:webHidden/>
          </w:rPr>
          <w:tab/>
        </w:r>
        <w:r w:rsidR="000D4CCF">
          <w:rPr>
            <w:webHidden/>
          </w:rPr>
          <w:fldChar w:fldCharType="begin"/>
        </w:r>
        <w:r w:rsidR="000D4CCF">
          <w:rPr>
            <w:webHidden/>
          </w:rPr>
          <w:instrText xml:space="preserve"> PAGEREF _Toc78808482 \h </w:instrText>
        </w:r>
        <w:r w:rsidR="000D4CCF">
          <w:rPr>
            <w:webHidden/>
          </w:rPr>
        </w:r>
        <w:r w:rsidR="000D4CCF">
          <w:rPr>
            <w:webHidden/>
          </w:rPr>
          <w:fldChar w:fldCharType="separate"/>
        </w:r>
        <w:r w:rsidR="007E0FCA">
          <w:rPr>
            <w:webHidden/>
          </w:rPr>
          <w:t>4</w:t>
        </w:r>
        <w:r w:rsidR="000D4CCF">
          <w:rPr>
            <w:webHidden/>
          </w:rPr>
          <w:fldChar w:fldCharType="end"/>
        </w:r>
      </w:hyperlink>
    </w:p>
    <w:p w14:paraId="59DD54EE" w14:textId="1E478481" w:rsidR="000D4CCF" w:rsidRDefault="00096AB3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78808483" w:history="1">
        <w:r w:rsidR="000D4CCF" w:rsidRPr="00AE0D47">
          <w:rPr>
            <w:rStyle w:val="Hyperlink"/>
          </w:rPr>
          <w:t>The Review Team</w:t>
        </w:r>
        <w:r w:rsidR="000D4CCF">
          <w:rPr>
            <w:webHidden/>
          </w:rPr>
          <w:tab/>
        </w:r>
        <w:r w:rsidR="000D4CCF">
          <w:rPr>
            <w:webHidden/>
          </w:rPr>
          <w:fldChar w:fldCharType="begin"/>
        </w:r>
        <w:r w:rsidR="000D4CCF">
          <w:rPr>
            <w:webHidden/>
          </w:rPr>
          <w:instrText xml:space="preserve"> PAGEREF _Toc78808483 \h </w:instrText>
        </w:r>
        <w:r w:rsidR="000D4CCF">
          <w:rPr>
            <w:webHidden/>
          </w:rPr>
        </w:r>
        <w:r w:rsidR="000D4CCF">
          <w:rPr>
            <w:webHidden/>
          </w:rPr>
          <w:fldChar w:fldCharType="separate"/>
        </w:r>
        <w:r w:rsidR="007E0FCA">
          <w:rPr>
            <w:webHidden/>
          </w:rPr>
          <w:t>5</w:t>
        </w:r>
        <w:r w:rsidR="000D4CCF">
          <w:rPr>
            <w:webHidden/>
          </w:rPr>
          <w:fldChar w:fldCharType="end"/>
        </w:r>
      </w:hyperlink>
    </w:p>
    <w:p w14:paraId="1B101783" w14:textId="46D4D847" w:rsidR="000D4CCF" w:rsidRDefault="00096AB3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78808484" w:history="1">
        <w:r w:rsidR="000D4CCF" w:rsidRPr="00AE0D47">
          <w:rPr>
            <w:rStyle w:val="Hyperlink"/>
          </w:rPr>
          <w:t>An overview of the LVIG regime</w:t>
        </w:r>
        <w:r w:rsidR="000D4CCF">
          <w:rPr>
            <w:webHidden/>
          </w:rPr>
          <w:tab/>
        </w:r>
        <w:r w:rsidR="000D4CCF">
          <w:rPr>
            <w:webHidden/>
          </w:rPr>
          <w:fldChar w:fldCharType="begin"/>
        </w:r>
        <w:r w:rsidR="000D4CCF">
          <w:rPr>
            <w:webHidden/>
          </w:rPr>
          <w:instrText xml:space="preserve"> PAGEREF _Toc78808484 \h </w:instrText>
        </w:r>
        <w:r w:rsidR="000D4CCF">
          <w:rPr>
            <w:webHidden/>
          </w:rPr>
        </w:r>
        <w:r w:rsidR="000D4CCF">
          <w:rPr>
            <w:webHidden/>
          </w:rPr>
          <w:fldChar w:fldCharType="separate"/>
        </w:r>
        <w:r w:rsidR="007E0FCA">
          <w:rPr>
            <w:webHidden/>
          </w:rPr>
          <w:t>5</w:t>
        </w:r>
        <w:r w:rsidR="000D4CCF">
          <w:rPr>
            <w:webHidden/>
          </w:rPr>
          <w:fldChar w:fldCharType="end"/>
        </w:r>
      </w:hyperlink>
    </w:p>
    <w:p w14:paraId="5362C964" w14:textId="551978D2" w:rsidR="000D4CCF" w:rsidRDefault="00096AB3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78808485" w:history="1">
        <w:r w:rsidR="000D4CCF" w:rsidRPr="00AE0D47">
          <w:rPr>
            <w:rStyle w:val="Hyperlink"/>
          </w:rPr>
          <w:t>Consultation questions</w:t>
        </w:r>
        <w:r w:rsidR="000D4CCF">
          <w:rPr>
            <w:webHidden/>
          </w:rPr>
          <w:tab/>
        </w:r>
        <w:r w:rsidR="000D4CCF">
          <w:rPr>
            <w:webHidden/>
          </w:rPr>
          <w:fldChar w:fldCharType="begin"/>
        </w:r>
        <w:r w:rsidR="000D4CCF">
          <w:rPr>
            <w:webHidden/>
          </w:rPr>
          <w:instrText xml:space="preserve"> PAGEREF _Toc78808485 \h </w:instrText>
        </w:r>
        <w:r w:rsidR="000D4CCF">
          <w:rPr>
            <w:webHidden/>
          </w:rPr>
        </w:r>
        <w:r w:rsidR="000D4CCF">
          <w:rPr>
            <w:webHidden/>
          </w:rPr>
          <w:fldChar w:fldCharType="separate"/>
        </w:r>
        <w:r w:rsidR="007E0FCA">
          <w:rPr>
            <w:webHidden/>
          </w:rPr>
          <w:t>7</w:t>
        </w:r>
        <w:r w:rsidR="000D4CCF">
          <w:rPr>
            <w:webHidden/>
          </w:rPr>
          <w:fldChar w:fldCharType="end"/>
        </w:r>
      </w:hyperlink>
    </w:p>
    <w:p w14:paraId="0FD4E224" w14:textId="34D7C6B2" w:rsidR="000D4CCF" w:rsidRDefault="00096AB3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hyperlink w:anchor="_Toc78808486" w:history="1">
        <w:r w:rsidR="000D4CCF" w:rsidRPr="00AE0D47">
          <w:rPr>
            <w:rStyle w:val="Hyperlink"/>
          </w:rPr>
          <w:t>How to participate</w:t>
        </w:r>
        <w:r w:rsidR="000D4CCF">
          <w:rPr>
            <w:webHidden/>
          </w:rPr>
          <w:tab/>
        </w:r>
        <w:r w:rsidR="000D4CCF">
          <w:rPr>
            <w:webHidden/>
          </w:rPr>
          <w:fldChar w:fldCharType="begin"/>
        </w:r>
        <w:r w:rsidR="000D4CCF">
          <w:rPr>
            <w:webHidden/>
          </w:rPr>
          <w:instrText xml:space="preserve"> PAGEREF _Toc78808486 \h </w:instrText>
        </w:r>
        <w:r w:rsidR="000D4CCF">
          <w:rPr>
            <w:webHidden/>
          </w:rPr>
        </w:r>
        <w:r w:rsidR="000D4CCF">
          <w:rPr>
            <w:webHidden/>
          </w:rPr>
          <w:fldChar w:fldCharType="separate"/>
        </w:r>
        <w:r w:rsidR="007E0FCA">
          <w:rPr>
            <w:webHidden/>
          </w:rPr>
          <w:t>8</w:t>
        </w:r>
        <w:r w:rsidR="000D4CCF">
          <w:rPr>
            <w:webHidden/>
          </w:rPr>
          <w:fldChar w:fldCharType="end"/>
        </w:r>
      </w:hyperlink>
    </w:p>
    <w:p w14:paraId="58355DA2" w14:textId="74F42643" w:rsidR="00254D20" w:rsidRDefault="000E0B74" w:rsidP="00296283">
      <w:pPr>
        <w:tabs>
          <w:tab w:val="left" w:pos="7686"/>
        </w:tabs>
      </w:pPr>
      <w:r>
        <w:fldChar w:fldCharType="end"/>
      </w:r>
      <w:bookmarkStart w:id="2" w:name="_Toc432067103"/>
      <w:bookmarkStart w:id="3" w:name="_Toc452635030"/>
    </w:p>
    <w:p w14:paraId="1255F11D" w14:textId="77777777" w:rsidR="00251099" w:rsidRDefault="00251099" w:rsidP="00E712D3"/>
    <w:p w14:paraId="060F902C" w14:textId="77777777" w:rsidR="00251099" w:rsidRDefault="00251099" w:rsidP="00251099">
      <w:pPr>
        <w:jc w:val="center"/>
      </w:pPr>
    </w:p>
    <w:p w14:paraId="1E1AA906" w14:textId="77777777" w:rsidR="00B37C6C" w:rsidRPr="00251099" w:rsidRDefault="00251099" w:rsidP="00251099">
      <w:pPr>
        <w:tabs>
          <w:tab w:val="center" w:pos="4819"/>
        </w:tabs>
        <w:sectPr w:rsidR="00B37C6C" w:rsidRPr="00251099" w:rsidSect="00D5404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835" w:right="1134" w:bottom="1985" w:left="1134" w:header="709" w:footer="1134" w:gutter="0"/>
          <w:cols w:space="708"/>
          <w:docGrid w:linePitch="360"/>
        </w:sectPr>
      </w:pPr>
      <w:r>
        <w:tab/>
      </w:r>
    </w:p>
    <w:p w14:paraId="7FD31821" w14:textId="637A2F96" w:rsidR="008A12E3" w:rsidRDefault="008A12E3" w:rsidP="008A12E3">
      <w:pPr>
        <w:pStyle w:val="Heading1"/>
      </w:pPr>
      <w:bookmarkStart w:id="4" w:name="_Toc78808481"/>
      <w:bookmarkEnd w:id="2"/>
      <w:bookmarkEnd w:id="3"/>
      <w:r>
        <w:lastRenderedPageBreak/>
        <w:t>The Board’s review</w:t>
      </w:r>
      <w:bookmarkEnd w:id="4"/>
    </w:p>
    <w:p w14:paraId="605198BB" w14:textId="3137ADF8" w:rsidR="008A12E3" w:rsidRDefault="008A12E3" w:rsidP="008A12E3">
      <w:pPr>
        <w:pStyle w:val="Introductionparagraph"/>
      </w:pPr>
      <w:r w:rsidRPr="005670FB">
        <w:t xml:space="preserve">On </w:t>
      </w:r>
      <w:r w:rsidR="00064FCF">
        <w:t xml:space="preserve">5 July </w:t>
      </w:r>
      <w:r w:rsidRPr="005670FB">
        <w:t>2021, the Government announced that the Board</w:t>
      </w:r>
      <w:r w:rsidR="00064FCF">
        <w:t xml:space="preserve"> of Taxation (Board)</w:t>
      </w:r>
      <w:r w:rsidRPr="005670FB">
        <w:t xml:space="preserve"> would undertake a review </w:t>
      </w:r>
      <w:r w:rsidR="00EA61B8">
        <w:t>of</w:t>
      </w:r>
      <w:r w:rsidR="00EA61B8" w:rsidRPr="005670FB">
        <w:t xml:space="preserve"> </w:t>
      </w:r>
      <w:r w:rsidR="00064FCF">
        <w:t xml:space="preserve">the collection of goods and services tax (GST) on low value </w:t>
      </w:r>
      <w:r w:rsidR="001B4E8A">
        <w:t xml:space="preserve">imported </w:t>
      </w:r>
      <w:r w:rsidR="00064FCF">
        <w:t xml:space="preserve">goods </w:t>
      </w:r>
      <w:r w:rsidR="00EA61B8">
        <w:t xml:space="preserve">to </w:t>
      </w:r>
      <w:r w:rsidR="00064FCF">
        <w:t xml:space="preserve">ensure the system is operating as intended. </w:t>
      </w:r>
      <w:r>
        <w:t xml:space="preserve">The terms of reference set out the objectives </w:t>
      </w:r>
      <w:r w:rsidRPr="00A65719">
        <w:t xml:space="preserve">in undertaking this </w:t>
      </w:r>
      <w:r>
        <w:t>review</w:t>
      </w:r>
      <w:r w:rsidRPr="00A65719">
        <w:t>, the scope of work</w:t>
      </w:r>
      <w:r>
        <w:t>,</w:t>
      </w:r>
      <w:r w:rsidRPr="00A65719">
        <w:t xml:space="preserve"> and the timing of </w:t>
      </w:r>
      <w:r>
        <w:t>the review</w:t>
      </w:r>
      <w:r w:rsidRPr="00A65719">
        <w:t>.</w:t>
      </w:r>
    </w:p>
    <w:p w14:paraId="6A29B859" w14:textId="02E8048C" w:rsidR="00766B8F" w:rsidRPr="00766B8F" w:rsidRDefault="00766B8F" w:rsidP="00766B8F">
      <w:pPr>
        <w:pStyle w:val="NormalWeb"/>
        <w:rPr>
          <w:rFonts w:ascii="Calibri" w:hAnsi="Calibri"/>
          <w:sz w:val="22"/>
          <w:szCs w:val="20"/>
        </w:rPr>
      </w:pPr>
      <w:r w:rsidRPr="00766B8F">
        <w:rPr>
          <w:rFonts w:ascii="Calibri" w:hAnsi="Calibri"/>
          <w:sz w:val="22"/>
          <w:szCs w:val="20"/>
        </w:rPr>
        <w:t xml:space="preserve">The GST on Low Value Imported Goods </w:t>
      </w:r>
      <w:r w:rsidR="00EA61B8">
        <w:rPr>
          <w:rFonts w:ascii="Calibri" w:hAnsi="Calibri"/>
          <w:sz w:val="22"/>
          <w:szCs w:val="20"/>
        </w:rPr>
        <w:t>(</w:t>
      </w:r>
      <w:r w:rsidR="00EA61B8">
        <w:rPr>
          <w:rFonts w:ascii="Calibri" w:hAnsi="Calibri"/>
          <w:b/>
          <w:bCs/>
          <w:sz w:val="22"/>
          <w:szCs w:val="20"/>
        </w:rPr>
        <w:t>LVIG</w:t>
      </w:r>
      <w:r w:rsidR="00EA61B8">
        <w:rPr>
          <w:rFonts w:ascii="Calibri" w:hAnsi="Calibri"/>
          <w:sz w:val="22"/>
          <w:szCs w:val="20"/>
        </w:rPr>
        <w:t xml:space="preserve">) </w:t>
      </w:r>
      <w:r w:rsidRPr="00766B8F">
        <w:rPr>
          <w:rFonts w:ascii="Calibri" w:hAnsi="Calibri"/>
          <w:sz w:val="22"/>
          <w:szCs w:val="20"/>
        </w:rPr>
        <w:t xml:space="preserve">was introduced on 1 July 2018 </w:t>
      </w:r>
      <w:r w:rsidR="00EA61B8">
        <w:rPr>
          <w:rFonts w:ascii="Calibri" w:hAnsi="Calibri"/>
          <w:sz w:val="22"/>
          <w:szCs w:val="20"/>
        </w:rPr>
        <w:t xml:space="preserve">to </w:t>
      </w:r>
      <w:r w:rsidR="007845DB" w:rsidRPr="007845DB">
        <w:rPr>
          <w:rFonts w:ascii="Calibri" w:hAnsi="Calibri"/>
          <w:sz w:val="22"/>
          <w:szCs w:val="20"/>
        </w:rPr>
        <w:t xml:space="preserve">ensure that </w:t>
      </w:r>
      <w:r w:rsidR="007469B6">
        <w:rPr>
          <w:rFonts w:ascii="Calibri" w:hAnsi="Calibri"/>
          <w:sz w:val="22"/>
          <w:szCs w:val="20"/>
        </w:rPr>
        <w:t>low value goods imported by consumers will face the same tax regime as goods that are sourced domestically</w:t>
      </w:r>
      <w:r w:rsidR="007845DB">
        <w:rPr>
          <w:rFonts w:ascii="Calibri" w:hAnsi="Calibri"/>
          <w:sz w:val="22"/>
          <w:szCs w:val="20"/>
        </w:rPr>
        <w:t>.</w:t>
      </w:r>
    </w:p>
    <w:p w14:paraId="5D9230B5" w14:textId="76ACC50C" w:rsidR="00766B8F" w:rsidRPr="00766B8F" w:rsidRDefault="00766B8F" w:rsidP="00766B8F">
      <w:pPr>
        <w:pStyle w:val="NormalWeb"/>
        <w:rPr>
          <w:rFonts w:ascii="Calibri" w:hAnsi="Calibri"/>
          <w:sz w:val="22"/>
          <w:szCs w:val="20"/>
        </w:rPr>
      </w:pPr>
      <w:r w:rsidRPr="00766B8F">
        <w:rPr>
          <w:rFonts w:ascii="Calibri" w:hAnsi="Calibri"/>
          <w:sz w:val="22"/>
          <w:szCs w:val="20"/>
        </w:rPr>
        <w:t>Before this date, goods imported directly by consumers costing $1,000 or less did not attract GST</w:t>
      </w:r>
      <w:r w:rsidR="00EA61B8">
        <w:rPr>
          <w:rFonts w:ascii="Calibri" w:hAnsi="Calibri"/>
          <w:sz w:val="22"/>
          <w:szCs w:val="20"/>
        </w:rPr>
        <w:t>. O</w:t>
      </w:r>
      <w:r w:rsidRPr="00766B8F">
        <w:rPr>
          <w:rFonts w:ascii="Calibri" w:hAnsi="Calibri"/>
          <w:sz w:val="22"/>
          <w:szCs w:val="20"/>
        </w:rPr>
        <w:t xml:space="preserve">nly high value goods with a customs value over $1,000 </w:t>
      </w:r>
      <w:r w:rsidR="00EA61B8">
        <w:rPr>
          <w:rFonts w:ascii="Calibri" w:hAnsi="Calibri"/>
          <w:sz w:val="22"/>
          <w:szCs w:val="20"/>
        </w:rPr>
        <w:t>attracted GST, which was</w:t>
      </w:r>
      <w:r w:rsidRPr="00766B8F">
        <w:rPr>
          <w:rFonts w:ascii="Calibri" w:hAnsi="Calibri"/>
          <w:sz w:val="22"/>
          <w:szCs w:val="20"/>
        </w:rPr>
        <w:t xml:space="preserve"> assessed and charged at the border.</w:t>
      </w:r>
    </w:p>
    <w:p w14:paraId="4C636BB1" w14:textId="4682F03D" w:rsidR="00766B8F" w:rsidRPr="00766B8F" w:rsidRDefault="00766B8F" w:rsidP="00766B8F">
      <w:pPr>
        <w:pStyle w:val="NormalWeb"/>
        <w:rPr>
          <w:rFonts w:ascii="Calibri" w:hAnsi="Calibri"/>
          <w:sz w:val="22"/>
          <w:szCs w:val="20"/>
        </w:rPr>
      </w:pPr>
      <w:r w:rsidRPr="00766B8F">
        <w:rPr>
          <w:rFonts w:ascii="Calibri" w:hAnsi="Calibri"/>
          <w:sz w:val="22"/>
          <w:szCs w:val="20"/>
        </w:rPr>
        <w:t xml:space="preserve">Australia was one of the first countries in the world to implement a vendor model, requiring suppliers, online platforms and re-deliverers with an Australian </w:t>
      </w:r>
      <w:r w:rsidR="00910EE1">
        <w:rPr>
          <w:rFonts w:ascii="Calibri" w:hAnsi="Calibri"/>
          <w:sz w:val="22"/>
          <w:szCs w:val="20"/>
        </w:rPr>
        <w:t xml:space="preserve">annual </w:t>
      </w:r>
      <w:r w:rsidRPr="00766B8F">
        <w:rPr>
          <w:rFonts w:ascii="Calibri" w:hAnsi="Calibri"/>
          <w:sz w:val="22"/>
          <w:szCs w:val="20"/>
        </w:rPr>
        <w:t>GST turnover of $75,000 or more to register, collect and pay GST to the ATO.</w:t>
      </w:r>
    </w:p>
    <w:p w14:paraId="1D273A46" w14:textId="1EF77110" w:rsidR="00766B8F" w:rsidRDefault="00766B8F" w:rsidP="00766B8F">
      <w:pPr>
        <w:pStyle w:val="NormalWeb"/>
        <w:rPr>
          <w:rFonts w:ascii="Helvetica" w:hAnsi="Helvetica" w:cs="Helvetica"/>
          <w:color w:val="333333"/>
          <w:lang w:val="en"/>
        </w:rPr>
      </w:pPr>
      <w:r w:rsidRPr="00766B8F">
        <w:rPr>
          <w:rFonts w:ascii="Calibri" w:hAnsi="Calibri"/>
          <w:sz w:val="22"/>
          <w:szCs w:val="20"/>
        </w:rPr>
        <w:t>When announcing the measure in the 2016-17 Budget, the Government committed to reviewing the measure after it was operational, to ensure it was consistent with international best practice. </w:t>
      </w:r>
      <w:r w:rsidR="00EA61B8">
        <w:rPr>
          <w:rFonts w:ascii="Calibri" w:hAnsi="Calibri"/>
          <w:sz w:val="22"/>
          <w:szCs w:val="20"/>
        </w:rPr>
        <w:t xml:space="preserve"> The Board is to conduct this review.</w:t>
      </w:r>
    </w:p>
    <w:p w14:paraId="134E9322" w14:textId="2E209D66" w:rsidR="008A12E3" w:rsidRDefault="008A12E3" w:rsidP="008A12E3">
      <w:r>
        <w:t xml:space="preserve">In conducting the review, the Board </w:t>
      </w:r>
      <w:r w:rsidR="00766B8F">
        <w:t xml:space="preserve">is asked to: </w:t>
      </w:r>
    </w:p>
    <w:p w14:paraId="4291852A" w14:textId="15BA960A" w:rsidR="00766B8F" w:rsidRPr="00766B8F" w:rsidRDefault="00766B8F" w:rsidP="00766B8F">
      <w:pPr>
        <w:numPr>
          <w:ilvl w:val="0"/>
          <w:numId w:val="32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Cs w:val="22"/>
          <w:lang w:val="en"/>
        </w:rPr>
      </w:pPr>
      <w:r w:rsidRPr="00766B8F">
        <w:rPr>
          <w:rFonts w:asciiTheme="minorHAnsi" w:hAnsiTheme="minorHAnsi" w:cstheme="minorHAnsi"/>
          <w:color w:val="333333"/>
          <w:szCs w:val="22"/>
          <w:lang w:val="en"/>
        </w:rPr>
        <w:t xml:space="preserve">Assess the effectiveness of the LVIG regime </w:t>
      </w:r>
      <w:bookmarkStart w:id="5" w:name="_Hlk78787413"/>
      <w:r w:rsidRPr="00766B8F">
        <w:rPr>
          <w:rFonts w:asciiTheme="minorHAnsi" w:hAnsiTheme="minorHAnsi" w:cstheme="minorHAnsi"/>
          <w:color w:val="333333"/>
          <w:szCs w:val="22"/>
          <w:lang w:val="en"/>
        </w:rPr>
        <w:t xml:space="preserve">to efficiently collect GST with reference to the policy intent of the law that low value goods imported by consumers face the same tax regime as goods that are sourced domestically. </w:t>
      </w:r>
      <w:bookmarkEnd w:id="5"/>
      <w:r w:rsidRPr="00766B8F">
        <w:rPr>
          <w:rFonts w:asciiTheme="minorHAnsi" w:hAnsiTheme="minorHAnsi" w:cstheme="minorHAnsi"/>
          <w:color w:val="333333"/>
          <w:szCs w:val="22"/>
          <w:lang w:val="en"/>
        </w:rPr>
        <w:t xml:space="preserve">In doing so, the review will: </w:t>
      </w:r>
    </w:p>
    <w:p w14:paraId="63AE6A08" w14:textId="77777777" w:rsidR="00766B8F" w:rsidRPr="00766B8F" w:rsidRDefault="00766B8F" w:rsidP="00766B8F">
      <w:pPr>
        <w:spacing w:before="0" w:after="150"/>
        <w:ind w:left="720"/>
        <w:rPr>
          <w:rFonts w:asciiTheme="minorHAnsi" w:hAnsiTheme="minorHAnsi" w:cstheme="minorHAnsi"/>
          <w:color w:val="333333"/>
          <w:szCs w:val="22"/>
          <w:lang w:val="en"/>
        </w:rPr>
      </w:pPr>
      <w:r w:rsidRPr="00766B8F">
        <w:rPr>
          <w:rFonts w:asciiTheme="minorHAnsi" w:hAnsiTheme="minorHAnsi" w:cstheme="minorHAnsi"/>
          <w:color w:val="333333"/>
          <w:szCs w:val="22"/>
          <w:lang w:val="en"/>
        </w:rPr>
        <w:t>1.1 assess the effectiveness of the administration of the measure;</w:t>
      </w:r>
    </w:p>
    <w:p w14:paraId="3526A394" w14:textId="77777777" w:rsidR="00766B8F" w:rsidRPr="00766B8F" w:rsidRDefault="00766B8F" w:rsidP="00766B8F">
      <w:pPr>
        <w:spacing w:before="0" w:after="150"/>
        <w:ind w:left="720"/>
        <w:rPr>
          <w:rFonts w:asciiTheme="minorHAnsi" w:hAnsiTheme="minorHAnsi" w:cstheme="minorHAnsi"/>
          <w:color w:val="333333"/>
          <w:szCs w:val="22"/>
          <w:lang w:val="en"/>
        </w:rPr>
      </w:pPr>
      <w:r w:rsidRPr="00766B8F">
        <w:rPr>
          <w:rFonts w:asciiTheme="minorHAnsi" w:hAnsiTheme="minorHAnsi" w:cstheme="minorHAnsi"/>
          <w:color w:val="333333"/>
          <w:szCs w:val="22"/>
          <w:lang w:val="en"/>
        </w:rPr>
        <w:t>1.2 assess industry compliance with the LVIG rules;</w:t>
      </w:r>
    </w:p>
    <w:p w14:paraId="265E231C" w14:textId="77777777" w:rsidR="00766B8F" w:rsidRPr="00766B8F" w:rsidRDefault="00766B8F" w:rsidP="00766B8F">
      <w:pPr>
        <w:spacing w:before="0" w:after="150"/>
        <w:ind w:left="720"/>
        <w:rPr>
          <w:rFonts w:asciiTheme="minorHAnsi" w:hAnsiTheme="minorHAnsi" w:cstheme="minorHAnsi"/>
          <w:color w:val="333333"/>
          <w:szCs w:val="22"/>
          <w:lang w:val="en"/>
        </w:rPr>
      </w:pPr>
      <w:r w:rsidRPr="00766B8F">
        <w:rPr>
          <w:rFonts w:asciiTheme="minorHAnsi" w:hAnsiTheme="minorHAnsi" w:cstheme="minorHAnsi"/>
          <w:color w:val="333333"/>
          <w:szCs w:val="22"/>
          <w:lang w:val="en"/>
        </w:rPr>
        <w:t>1.3 </w:t>
      </w:r>
      <w:bookmarkStart w:id="6" w:name="_Hlk76631468"/>
      <w:r w:rsidRPr="00766B8F">
        <w:rPr>
          <w:rFonts w:asciiTheme="minorHAnsi" w:hAnsiTheme="minorHAnsi" w:cstheme="minorHAnsi"/>
          <w:color w:val="333333"/>
          <w:szCs w:val="22"/>
          <w:lang w:val="en"/>
        </w:rPr>
        <w:t>undertake a targeted external consultation process, working closely and collaboratively with the Treasury, Australian Taxation Office, and Australian Border Force;</w:t>
      </w:r>
      <w:bookmarkEnd w:id="6"/>
    </w:p>
    <w:p w14:paraId="0475A172" w14:textId="77777777" w:rsidR="00766B8F" w:rsidRPr="00766B8F" w:rsidRDefault="00766B8F" w:rsidP="00766B8F">
      <w:pPr>
        <w:spacing w:before="0" w:after="150"/>
        <w:ind w:left="720"/>
        <w:rPr>
          <w:rFonts w:asciiTheme="minorHAnsi" w:hAnsiTheme="minorHAnsi" w:cstheme="minorHAnsi"/>
          <w:color w:val="333333"/>
          <w:szCs w:val="22"/>
          <w:lang w:val="en"/>
        </w:rPr>
      </w:pPr>
      <w:r w:rsidRPr="00766B8F">
        <w:rPr>
          <w:rFonts w:asciiTheme="minorHAnsi" w:hAnsiTheme="minorHAnsi" w:cstheme="minorHAnsi"/>
          <w:color w:val="333333"/>
          <w:szCs w:val="22"/>
          <w:lang w:val="en"/>
        </w:rPr>
        <w:t>1.4 examine the issues identified in the consultation process; and</w:t>
      </w:r>
    </w:p>
    <w:p w14:paraId="2FBF55B3" w14:textId="77777777" w:rsidR="00766B8F" w:rsidRPr="00766B8F" w:rsidRDefault="00766B8F" w:rsidP="00766B8F">
      <w:pPr>
        <w:spacing w:before="0" w:after="150"/>
        <w:ind w:left="720"/>
        <w:rPr>
          <w:rFonts w:asciiTheme="minorHAnsi" w:hAnsiTheme="minorHAnsi" w:cstheme="minorHAnsi"/>
          <w:color w:val="333333"/>
          <w:szCs w:val="22"/>
          <w:lang w:val="en"/>
        </w:rPr>
      </w:pPr>
      <w:r w:rsidRPr="00766B8F">
        <w:rPr>
          <w:rFonts w:asciiTheme="minorHAnsi" w:hAnsiTheme="minorHAnsi" w:cstheme="minorHAnsi"/>
          <w:color w:val="333333"/>
          <w:szCs w:val="22"/>
          <w:lang w:val="en"/>
        </w:rPr>
        <w:t>1.5 provide any observations, findings, and appropriate recommendations for improvements and certainty to the ongoing operation of the LVIG regime.</w:t>
      </w:r>
    </w:p>
    <w:p w14:paraId="5A479236" w14:textId="77777777" w:rsidR="00766B8F" w:rsidRPr="00766B8F" w:rsidRDefault="00766B8F" w:rsidP="00766B8F">
      <w:pPr>
        <w:numPr>
          <w:ilvl w:val="0"/>
          <w:numId w:val="32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1"/>
          <w:szCs w:val="21"/>
          <w:lang w:val="en"/>
        </w:rPr>
      </w:pPr>
      <w:r w:rsidRPr="00766B8F">
        <w:rPr>
          <w:rFonts w:asciiTheme="minorHAnsi" w:hAnsiTheme="minorHAnsi" w:cstheme="minorHAnsi"/>
          <w:color w:val="333333"/>
          <w:szCs w:val="22"/>
          <w:lang w:val="en"/>
        </w:rPr>
        <w:t>Report on and assess any relevant international developments and experiences regarding the collection of GST and other consumption taxes on LVIG.</w:t>
      </w:r>
    </w:p>
    <w:p w14:paraId="1E96174D" w14:textId="17E31234" w:rsidR="008A12E3" w:rsidRDefault="008A12E3" w:rsidP="008A12E3"/>
    <w:p w14:paraId="46316386" w14:textId="77777777" w:rsidR="00EA61B8" w:rsidRDefault="00EA61B8" w:rsidP="008A12E3">
      <w:pPr>
        <w:rPr>
          <w:rFonts w:cs="Arial"/>
          <w:color w:val="C00000"/>
          <w:kern w:val="32"/>
          <w:sz w:val="48"/>
          <w:szCs w:val="36"/>
        </w:rPr>
      </w:pPr>
    </w:p>
    <w:p w14:paraId="7F089C57" w14:textId="321AB8D4" w:rsidR="008A12E3" w:rsidRPr="003A6050" w:rsidRDefault="008A12E3" w:rsidP="008A12E3">
      <w:pPr>
        <w:rPr>
          <w:color w:val="C00000"/>
          <w:sz w:val="36"/>
          <w:szCs w:val="36"/>
        </w:rPr>
      </w:pPr>
      <w:r w:rsidRPr="00766B8F">
        <w:rPr>
          <w:rFonts w:cs="Arial"/>
          <w:color w:val="C00000"/>
          <w:kern w:val="32"/>
          <w:sz w:val="48"/>
          <w:szCs w:val="36"/>
        </w:rPr>
        <w:lastRenderedPageBreak/>
        <w:t>Timing</w:t>
      </w:r>
    </w:p>
    <w:p w14:paraId="0862BEBA" w14:textId="6180FEAC" w:rsidR="008A12E3" w:rsidRDefault="008A12E3" w:rsidP="008A12E3">
      <w:r w:rsidRPr="008A12E3">
        <w:t xml:space="preserve">The Board is asked to report back to the Government by </w:t>
      </w:r>
      <w:r w:rsidR="00766B8F">
        <w:t>17 December</w:t>
      </w:r>
      <w:r w:rsidRPr="008A12E3">
        <w:t xml:space="preserve"> 2021.</w:t>
      </w:r>
    </w:p>
    <w:p w14:paraId="4F3BA8A1" w14:textId="77777777" w:rsidR="00754A10" w:rsidRPr="005044AB" w:rsidRDefault="00754A10" w:rsidP="00754A10">
      <w:pPr>
        <w:pStyle w:val="Heading1"/>
        <w:spacing w:before="0"/>
      </w:pPr>
      <w:bookmarkStart w:id="7" w:name="_Toc78808482"/>
      <w:r w:rsidRPr="005044AB">
        <w:t>Consultation</w:t>
      </w:r>
      <w:r w:rsidR="0057600D">
        <w:t xml:space="preserve"> process</w:t>
      </w:r>
      <w:bookmarkEnd w:id="7"/>
    </w:p>
    <w:p w14:paraId="3EC11822" w14:textId="440DC62F" w:rsidR="00754A10" w:rsidRPr="00296283" w:rsidRDefault="00F30492" w:rsidP="00754A10">
      <w:pPr>
        <w:pStyle w:val="Introductionparagraph"/>
      </w:pPr>
      <w:r>
        <w:rPr>
          <w:lang w:val="en"/>
        </w:rPr>
        <w:t xml:space="preserve">The Board will </w:t>
      </w:r>
      <w:r w:rsidRPr="00766B8F">
        <w:rPr>
          <w:lang w:val="en"/>
        </w:rPr>
        <w:t>undertake a targeted external consultation process, working closely and collaboratively with the Treasury, Australian Taxation Office, and Australian Border Force</w:t>
      </w:r>
      <w:r>
        <w:rPr>
          <w:lang w:val="en"/>
        </w:rPr>
        <w:t>.</w:t>
      </w:r>
    </w:p>
    <w:p w14:paraId="10C79C8F" w14:textId="7A20ACEE" w:rsidR="00754A10" w:rsidRDefault="00754A10" w:rsidP="00EB2D92">
      <w:r>
        <w:t xml:space="preserve">Interested parties may contribute </w:t>
      </w:r>
      <w:r w:rsidR="00284882">
        <w:t xml:space="preserve">to </w:t>
      </w:r>
      <w:r>
        <w:t>the review by participating in one of the consultat</w:t>
      </w:r>
      <w:r w:rsidR="00DA57BA">
        <w:t xml:space="preserve">ion activities conducted by the </w:t>
      </w:r>
      <w:r w:rsidR="0057600D">
        <w:t>Board</w:t>
      </w:r>
      <w:r w:rsidR="007E20BF">
        <w:t xml:space="preserve"> </w:t>
      </w:r>
      <w:r>
        <w:t xml:space="preserve">or </w:t>
      </w:r>
      <w:r w:rsidR="00DA57BA">
        <w:t xml:space="preserve">through </w:t>
      </w:r>
      <w:r>
        <w:t>online submissions</w:t>
      </w:r>
      <w:r w:rsidR="00F60987">
        <w:t xml:space="preserve">. </w:t>
      </w:r>
      <w:r w:rsidR="00DA57BA">
        <w:t>Set out below is</w:t>
      </w:r>
      <w:r>
        <w:t xml:space="preserve"> an indicative timeframe for consultation. Further information will be made available at: </w:t>
      </w:r>
      <w:hyperlink r:id="rId21" w:history="1">
        <w:r w:rsidRPr="006A5F6C">
          <w:rPr>
            <w:rStyle w:val="Hyperlink"/>
          </w:rPr>
          <w:t>www.taxboard.gov.au</w:t>
        </w:r>
      </w:hyperlink>
      <w:r>
        <w:t>.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15"/>
        <w:gridCol w:w="7023"/>
      </w:tblGrid>
      <w:tr w:rsidR="00EB2D92" w:rsidRPr="001852CD" w14:paraId="74BF123E" w14:textId="77777777" w:rsidTr="00EB2D92">
        <w:tc>
          <w:tcPr>
            <w:tcW w:w="9638" w:type="dxa"/>
            <w:gridSpan w:val="2"/>
            <w:shd w:val="clear" w:color="auto" w:fill="auto"/>
          </w:tcPr>
          <w:p w14:paraId="54CDC302" w14:textId="77777777" w:rsidR="00EB2D92" w:rsidRPr="00540DFB" w:rsidRDefault="005C04DB" w:rsidP="00EB2D92">
            <w:pPr>
              <w:pStyle w:val="TableHeadingContinued"/>
              <w:spacing w:before="0"/>
              <w:jc w:val="left"/>
              <w:rPr>
                <w:sz w:val="24"/>
                <w:szCs w:val="24"/>
              </w:rPr>
            </w:pPr>
            <w:r>
              <w:rPr>
                <w:color w:val="C00000"/>
                <w:sz w:val="32"/>
                <w:szCs w:val="24"/>
              </w:rPr>
              <w:t>Timetable</w:t>
            </w:r>
          </w:p>
        </w:tc>
      </w:tr>
      <w:tr w:rsidR="00EB2D92" w:rsidRPr="001852CD" w14:paraId="2CD0AF23" w14:textId="77777777" w:rsidTr="00D80865">
        <w:tc>
          <w:tcPr>
            <w:tcW w:w="2615" w:type="dxa"/>
            <w:shd w:val="clear" w:color="auto" w:fill="D9D9D9" w:themeFill="background1" w:themeFillShade="D9"/>
          </w:tcPr>
          <w:p w14:paraId="612BD1A7" w14:textId="3803C352" w:rsidR="00EB2D92" w:rsidRDefault="00AA7CFC" w:rsidP="00EB2D92">
            <w:pPr>
              <w:pStyle w:val="TableHeadingContinued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  <w:r w:rsidR="00EB2D92" w:rsidRPr="00540DFB">
              <w:rPr>
                <w:sz w:val="24"/>
                <w:szCs w:val="24"/>
              </w:rPr>
              <w:t xml:space="preserve"> 202</w:t>
            </w:r>
            <w:r w:rsidR="009F526F">
              <w:rPr>
                <w:sz w:val="24"/>
                <w:szCs w:val="24"/>
              </w:rPr>
              <w:t>1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14:paraId="6916DAB1" w14:textId="77777777" w:rsidR="00EB2D92" w:rsidRPr="00540DFB" w:rsidRDefault="00EB2D92" w:rsidP="00EB2D92">
            <w:pPr>
              <w:pStyle w:val="TableHeadingContinued"/>
              <w:spacing w:before="0"/>
              <w:rPr>
                <w:sz w:val="24"/>
                <w:szCs w:val="24"/>
              </w:rPr>
            </w:pPr>
            <w:r w:rsidRPr="00540DFB">
              <w:rPr>
                <w:sz w:val="24"/>
                <w:szCs w:val="24"/>
              </w:rPr>
              <w:t>Consultation guide – released</w:t>
            </w:r>
          </w:p>
        </w:tc>
      </w:tr>
      <w:tr w:rsidR="00EB2D92" w:rsidRPr="00C33EDC" w14:paraId="487574C6" w14:textId="77777777" w:rsidTr="00D80865">
        <w:tc>
          <w:tcPr>
            <w:tcW w:w="2615" w:type="dxa"/>
            <w:shd w:val="clear" w:color="auto" w:fill="FFFFFF" w:themeFill="background1"/>
          </w:tcPr>
          <w:p w14:paraId="5CDBAEB3" w14:textId="77777777" w:rsidR="00EB2D92" w:rsidRPr="00044280" w:rsidRDefault="00EB2D92" w:rsidP="00EB2D92">
            <w:pPr>
              <w:pStyle w:val="SingleParagraph"/>
            </w:pPr>
          </w:p>
        </w:tc>
        <w:tc>
          <w:tcPr>
            <w:tcW w:w="7023" w:type="dxa"/>
            <w:shd w:val="clear" w:color="auto" w:fill="FFFFFF" w:themeFill="background1"/>
          </w:tcPr>
          <w:p w14:paraId="72C9F2D3" w14:textId="6E5AF909" w:rsidR="00EB2D92" w:rsidRPr="00044280" w:rsidRDefault="00EB2D92" w:rsidP="004D37AA">
            <w:pPr>
              <w:spacing w:before="60" w:afterLines="30" w:after="72"/>
              <w:jc w:val="left"/>
              <w:rPr>
                <w:b/>
                <w:bCs/>
                <w:color w:val="44546A" w:themeColor="text2"/>
              </w:rPr>
            </w:pPr>
            <w:r w:rsidRPr="00044280">
              <w:rPr>
                <w:sz w:val="22"/>
              </w:rPr>
              <w:t xml:space="preserve">This consultation guide </w:t>
            </w:r>
            <w:r w:rsidR="00CE2816" w:rsidRPr="00044280">
              <w:rPr>
                <w:sz w:val="22"/>
              </w:rPr>
              <w:t xml:space="preserve">will be </w:t>
            </w:r>
            <w:r w:rsidRPr="00044280">
              <w:rPr>
                <w:sz w:val="22"/>
              </w:rPr>
              <w:t xml:space="preserve">released in </w:t>
            </w:r>
            <w:r w:rsidR="00AA7CFC">
              <w:rPr>
                <w:sz w:val="22"/>
              </w:rPr>
              <w:t>August</w:t>
            </w:r>
            <w:r w:rsidR="009F526F" w:rsidRPr="00044280">
              <w:rPr>
                <w:sz w:val="22"/>
              </w:rPr>
              <w:t xml:space="preserve"> 2021</w:t>
            </w:r>
            <w:r w:rsidRPr="00044280">
              <w:rPr>
                <w:sz w:val="22"/>
              </w:rPr>
              <w:t>.</w:t>
            </w:r>
          </w:p>
        </w:tc>
      </w:tr>
      <w:tr w:rsidR="00EB2D92" w:rsidRPr="001852CD" w14:paraId="1E47736E" w14:textId="77777777" w:rsidTr="00D80865">
        <w:tc>
          <w:tcPr>
            <w:tcW w:w="2615" w:type="dxa"/>
            <w:shd w:val="clear" w:color="auto" w:fill="D9D9D9" w:themeFill="background1" w:themeFillShade="D9"/>
          </w:tcPr>
          <w:p w14:paraId="5D0DADF7" w14:textId="5E4874F1" w:rsidR="00EB2D92" w:rsidRPr="00044280" w:rsidRDefault="003637C5" w:rsidP="00044280">
            <w:pPr>
              <w:pStyle w:val="TableHeadingContinued"/>
              <w:spacing w:before="0"/>
              <w:jc w:val="left"/>
              <w:rPr>
                <w:sz w:val="24"/>
                <w:szCs w:val="24"/>
              </w:rPr>
            </w:pPr>
            <w:r w:rsidRPr="00044280">
              <w:rPr>
                <w:sz w:val="24"/>
                <w:szCs w:val="24"/>
              </w:rPr>
              <w:t>August</w:t>
            </w:r>
            <w:r w:rsidR="00044280">
              <w:rPr>
                <w:sz w:val="24"/>
                <w:szCs w:val="24"/>
              </w:rPr>
              <w:t xml:space="preserve"> </w:t>
            </w:r>
            <w:r w:rsidR="009F526F" w:rsidRPr="00044280">
              <w:rPr>
                <w:sz w:val="24"/>
                <w:szCs w:val="24"/>
              </w:rPr>
              <w:t>–</w:t>
            </w:r>
            <w:r w:rsidR="00044280">
              <w:rPr>
                <w:sz w:val="24"/>
                <w:szCs w:val="24"/>
              </w:rPr>
              <w:t xml:space="preserve"> </w:t>
            </w:r>
            <w:r w:rsidRPr="00044280">
              <w:rPr>
                <w:sz w:val="24"/>
                <w:szCs w:val="24"/>
              </w:rPr>
              <w:t xml:space="preserve">September </w:t>
            </w:r>
            <w:r w:rsidR="009F526F" w:rsidRPr="00044280">
              <w:rPr>
                <w:sz w:val="24"/>
                <w:szCs w:val="24"/>
              </w:rPr>
              <w:t>2021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14:paraId="70D7B4FE" w14:textId="1DDA5685" w:rsidR="00EB2D92" w:rsidRPr="00044280" w:rsidRDefault="00EB2D92" w:rsidP="00EB2D92">
            <w:pPr>
              <w:pStyle w:val="TableHeadingContinued"/>
              <w:spacing w:before="0"/>
              <w:rPr>
                <w:bCs/>
                <w:color w:val="44546A" w:themeColor="text2"/>
                <w:sz w:val="24"/>
                <w:szCs w:val="24"/>
              </w:rPr>
            </w:pPr>
            <w:r w:rsidRPr="00044280">
              <w:rPr>
                <w:sz w:val="24"/>
                <w:szCs w:val="24"/>
              </w:rPr>
              <w:t>Consultation roundtables</w:t>
            </w:r>
            <w:r w:rsidR="0035051E" w:rsidRPr="00044280">
              <w:rPr>
                <w:sz w:val="24"/>
                <w:szCs w:val="24"/>
              </w:rPr>
              <w:t xml:space="preserve"> and submissions</w:t>
            </w:r>
          </w:p>
        </w:tc>
      </w:tr>
      <w:tr w:rsidR="00EB2D92" w:rsidRPr="00C33EDC" w14:paraId="108CAB98" w14:textId="77777777" w:rsidTr="00D80865">
        <w:tc>
          <w:tcPr>
            <w:tcW w:w="2615" w:type="dxa"/>
            <w:shd w:val="clear" w:color="auto" w:fill="FFFFFF" w:themeFill="background1"/>
          </w:tcPr>
          <w:p w14:paraId="3623FFE1" w14:textId="77777777" w:rsidR="00EB2D92" w:rsidRPr="00044280" w:rsidRDefault="00EB2D92" w:rsidP="00EB2D92">
            <w:pPr>
              <w:pStyle w:val="SingleParagraph"/>
            </w:pPr>
          </w:p>
        </w:tc>
        <w:tc>
          <w:tcPr>
            <w:tcW w:w="7023" w:type="dxa"/>
            <w:shd w:val="clear" w:color="auto" w:fill="FFFFFF" w:themeFill="background1"/>
          </w:tcPr>
          <w:p w14:paraId="7A2C0131" w14:textId="5D105FCF" w:rsidR="00DD6362" w:rsidRPr="00044280" w:rsidRDefault="00EB2D92" w:rsidP="00D14137">
            <w:pPr>
              <w:spacing w:before="60" w:after="60"/>
              <w:jc w:val="left"/>
              <w:rPr>
                <w:sz w:val="22"/>
              </w:rPr>
            </w:pPr>
            <w:r w:rsidRPr="00044280">
              <w:rPr>
                <w:sz w:val="22"/>
                <w:szCs w:val="22"/>
              </w:rPr>
              <w:t xml:space="preserve">The </w:t>
            </w:r>
            <w:r w:rsidR="009F526F" w:rsidRPr="00044280">
              <w:rPr>
                <w:sz w:val="22"/>
                <w:szCs w:val="22"/>
              </w:rPr>
              <w:t>Board</w:t>
            </w:r>
            <w:r w:rsidRPr="00044280">
              <w:rPr>
                <w:sz w:val="22"/>
                <w:szCs w:val="22"/>
              </w:rPr>
              <w:t xml:space="preserve"> will hold a series of roundtable meetings to </w:t>
            </w:r>
            <w:r w:rsidR="009F526F" w:rsidRPr="00044280">
              <w:rPr>
                <w:sz w:val="22"/>
                <w:szCs w:val="22"/>
              </w:rPr>
              <w:t>consult with stakeholders to understand the</w:t>
            </w:r>
            <w:r w:rsidR="00CE2816" w:rsidRPr="00044280">
              <w:rPr>
                <w:sz w:val="22"/>
                <w:szCs w:val="22"/>
              </w:rPr>
              <w:t xml:space="preserve"> effectiveness of the regime to collect GST on </w:t>
            </w:r>
            <w:r w:rsidR="00D14137" w:rsidRPr="00044280">
              <w:rPr>
                <w:sz w:val="22"/>
                <w:szCs w:val="22"/>
              </w:rPr>
              <w:t>LVIG</w:t>
            </w:r>
            <w:r w:rsidR="00217A2D" w:rsidRPr="00044280">
              <w:rPr>
                <w:sz w:val="22"/>
                <w:szCs w:val="22"/>
              </w:rPr>
              <w:t xml:space="preserve"> </w:t>
            </w:r>
            <w:r w:rsidR="003D210A" w:rsidRPr="00044280">
              <w:rPr>
                <w:sz w:val="22"/>
                <w:szCs w:val="22"/>
              </w:rPr>
              <w:t>(</w:t>
            </w:r>
            <w:r w:rsidR="00217A2D" w:rsidRPr="00044280">
              <w:rPr>
                <w:sz w:val="22"/>
                <w:szCs w:val="22"/>
              </w:rPr>
              <w:t xml:space="preserve">including </w:t>
            </w:r>
            <w:r w:rsidR="003D210A" w:rsidRPr="00044280">
              <w:rPr>
                <w:sz w:val="22"/>
                <w:szCs w:val="22"/>
              </w:rPr>
              <w:t xml:space="preserve">relevant </w:t>
            </w:r>
            <w:r w:rsidR="00217A2D" w:rsidRPr="00044280">
              <w:rPr>
                <w:sz w:val="22"/>
                <w:szCs w:val="22"/>
              </w:rPr>
              <w:t>international</w:t>
            </w:r>
            <w:r w:rsidR="003D210A" w:rsidRPr="00044280">
              <w:rPr>
                <w:sz w:val="22"/>
                <w:szCs w:val="22"/>
              </w:rPr>
              <w:t xml:space="preserve"> developments and experiences), </w:t>
            </w:r>
            <w:r w:rsidR="00CE2816" w:rsidRPr="00044280">
              <w:rPr>
                <w:sz w:val="22"/>
                <w:szCs w:val="22"/>
              </w:rPr>
              <w:t>assess industry compliance with the regime</w:t>
            </w:r>
            <w:r w:rsidR="00217A2D" w:rsidRPr="00044280">
              <w:rPr>
                <w:sz w:val="22"/>
                <w:szCs w:val="22"/>
              </w:rPr>
              <w:t xml:space="preserve"> </w:t>
            </w:r>
            <w:r w:rsidR="00CE2816" w:rsidRPr="00044280">
              <w:rPr>
                <w:sz w:val="22"/>
                <w:szCs w:val="22"/>
              </w:rPr>
              <w:t>and</w:t>
            </w:r>
            <w:r w:rsidR="00D14137" w:rsidRPr="00044280">
              <w:rPr>
                <w:sz w:val="22"/>
                <w:szCs w:val="22"/>
              </w:rPr>
              <w:t xml:space="preserve"> </w:t>
            </w:r>
            <w:r w:rsidR="003D210A" w:rsidRPr="00044280">
              <w:rPr>
                <w:sz w:val="22"/>
                <w:szCs w:val="22"/>
              </w:rPr>
              <w:t>consider opportunities</w:t>
            </w:r>
            <w:r w:rsidR="00D14137" w:rsidRPr="00044280">
              <w:rPr>
                <w:sz w:val="22"/>
                <w:szCs w:val="22"/>
              </w:rPr>
              <w:t xml:space="preserve"> for improvements to the ongoing operation of the LVIG </w:t>
            </w:r>
            <w:r w:rsidR="008E6B5D" w:rsidRPr="00044280">
              <w:rPr>
                <w:sz w:val="22"/>
                <w:szCs w:val="22"/>
              </w:rPr>
              <w:t xml:space="preserve">regime. </w:t>
            </w:r>
            <w:r w:rsidR="0035051E" w:rsidRPr="00044280">
              <w:rPr>
                <w:sz w:val="22"/>
                <w:szCs w:val="22"/>
              </w:rPr>
              <w:t xml:space="preserve">Consultation roundtables will be held </w:t>
            </w:r>
            <w:r w:rsidR="00D14137" w:rsidRPr="00044280">
              <w:rPr>
                <w:sz w:val="22"/>
                <w:szCs w:val="22"/>
              </w:rPr>
              <w:t xml:space="preserve">virtually throughout the months of August and September 2021. </w:t>
            </w:r>
          </w:p>
          <w:p w14:paraId="2E1F035B" w14:textId="04D15131" w:rsidR="00DD6362" w:rsidRPr="00044280" w:rsidRDefault="00DD6362" w:rsidP="00FC17E1">
            <w:pPr>
              <w:spacing w:before="60" w:after="60"/>
              <w:ind w:left="357"/>
            </w:pPr>
          </w:p>
          <w:p w14:paraId="39F1A23A" w14:textId="32504D6D" w:rsidR="0035051E" w:rsidRPr="00044280" w:rsidRDefault="0035051E" w:rsidP="00F03540">
            <w:pPr>
              <w:spacing w:before="60" w:afterLines="30" w:after="72"/>
              <w:jc w:val="left"/>
              <w:rPr>
                <w:sz w:val="22"/>
              </w:rPr>
            </w:pPr>
            <w:r w:rsidRPr="00044280">
              <w:rPr>
                <w:sz w:val="22"/>
              </w:rPr>
              <w:t xml:space="preserve">More detailed information on session times and how to register is included in ‘How to participate’ on page </w:t>
            </w:r>
            <w:r w:rsidR="00F97CF7" w:rsidRPr="00044280">
              <w:rPr>
                <w:sz w:val="22"/>
              </w:rPr>
              <w:t>8</w:t>
            </w:r>
            <w:r w:rsidRPr="00044280">
              <w:rPr>
                <w:sz w:val="22"/>
              </w:rPr>
              <w:t xml:space="preserve"> of this consultation guide. </w:t>
            </w:r>
          </w:p>
          <w:p w14:paraId="0F1E4A83" w14:textId="6EFABDBA" w:rsidR="00D50F8C" w:rsidRPr="00044280" w:rsidRDefault="00D50F8C" w:rsidP="00F03540">
            <w:pPr>
              <w:spacing w:before="60" w:afterLines="30" w:after="72"/>
              <w:jc w:val="left"/>
              <w:rPr>
                <w:sz w:val="22"/>
              </w:rPr>
            </w:pPr>
            <w:r w:rsidRPr="00044280">
              <w:rPr>
                <w:sz w:val="22"/>
              </w:rPr>
              <w:t xml:space="preserve">Any written submissions will be accepted until </w:t>
            </w:r>
            <w:r w:rsidR="00F03540">
              <w:rPr>
                <w:b/>
                <w:sz w:val="22"/>
              </w:rPr>
              <w:t>22</w:t>
            </w:r>
            <w:r w:rsidR="00CE2816" w:rsidRPr="00044280">
              <w:rPr>
                <w:b/>
                <w:bCs/>
                <w:sz w:val="22"/>
              </w:rPr>
              <w:t xml:space="preserve"> September 2021</w:t>
            </w:r>
            <w:r w:rsidRPr="00044280">
              <w:rPr>
                <w:sz w:val="22"/>
              </w:rPr>
              <w:t xml:space="preserve">. </w:t>
            </w:r>
            <w:r w:rsidR="00F03540">
              <w:rPr>
                <w:sz w:val="22"/>
              </w:rPr>
              <w:br/>
            </w:r>
            <w:r w:rsidR="004E02E3" w:rsidRPr="00044280">
              <w:rPr>
                <w:sz w:val="22"/>
              </w:rPr>
              <w:t>All submissions will be published on the Board’s website except where the submission is made on a confidential basis.</w:t>
            </w:r>
          </w:p>
          <w:p w14:paraId="6BED7ACB" w14:textId="3EAD0825" w:rsidR="00D66E41" w:rsidRPr="00044280" w:rsidRDefault="00D66E41" w:rsidP="00D50F8C">
            <w:pPr>
              <w:spacing w:before="60" w:afterLines="30" w:after="72"/>
              <w:rPr>
                <w:b/>
                <w:bCs/>
                <w:color w:val="44546A" w:themeColor="text2"/>
              </w:rPr>
            </w:pPr>
          </w:p>
        </w:tc>
      </w:tr>
      <w:tr w:rsidR="00EB2D92" w:rsidRPr="001852CD" w14:paraId="451FDB9A" w14:textId="77777777" w:rsidTr="00D80865">
        <w:tc>
          <w:tcPr>
            <w:tcW w:w="2615" w:type="dxa"/>
            <w:shd w:val="clear" w:color="auto" w:fill="D9D9D9" w:themeFill="background1" w:themeFillShade="D9"/>
          </w:tcPr>
          <w:p w14:paraId="7F9FA4C8" w14:textId="1DF0ABDC" w:rsidR="00EB2D92" w:rsidRPr="00540DFB" w:rsidRDefault="00F30492" w:rsidP="00EB2D92">
            <w:pPr>
              <w:pStyle w:val="TableHeadingContinued"/>
              <w:spacing w:before="0"/>
              <w:rPr>
                <w:bCs/>
                <w:color w:val="44546A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14:paraId="2A818033" w14:textId="77777777" w:rsidR="00EB2D92" w:rsidRPr="00540DFB" w:rsidRDefault="00EB2D92" w:rsidP="00EB2D92">
            <w:pPr>
              <w:pStyle w:val="TableHeadingContinued"/>
              <w:spacing w:before="0"/>
              <w:rPr>
                <w:bCs/>
                <w:color w:val="44546A" w:themeColor="text2"/>
                <w:sz w:val="24"/>
                <w:szCs w:val="24"/>
              </w:rPr>
            </w:pPr>
            <w:r w:rsidRPr="00540DFB">
              <w:rPr>
                <w:sz w:val="24"/>
                <w:szCs w:val="24"/>
              </w:rPr>
              <w:t>Final report</w:t>
            </w:r>
          </w:p>
        </w:tc>
      </w:tr>
      <w:tr w:rsidR="00EB2D92" w:rsidRPr="00C33EDC" w14:paraId="43AF456D" w14:textId="77777777" w:rsidTr="00D80865">
        <w:tc>
          <w:tcPr>
            <w:tcW w:w="2615" w:type="dxa"/>
            <w:shd w:val="clear" w:color="auto" w:fill="FFFFFF" w:themeFill="background1"/>
          </w:tcPr>
          <w:p w14:paraId="723869D3" w14:textId="77777777" w:rsidR="00EB2D92" w:rsidRPr="00C33EDC" w:rsidRDefault="00EB2D92" w:rsidP="00EB2D92"/>
        </w:tc>
        <w:tc>
          <w:tcPr>
            <w:tcW w:w="7023" w:type="dxa"/>
            <w:shd w:val="clear" w:color="auto" w:fill="FFFFFF" w:themeFill="background1"/>
          </w:tcPr>
          <w:p w14:paraId="7940BD68" w14:textId="49E02A97" w:rsidR="00EB2D92" w:rsidRPr="00C33EDC" w:rsidRDefault="00EB2D92" w:rsidP="005C04DB">
            <w:pPr>
              <w:spacing w:before="60" w:afterLines="30" w:after="72"/>
              <w:rPr>
                <w:bCs/>
                <w:sz w:val="22"/>
                <w:szCs w:val="22"/>
              </w:rPr>
            </w:pPr>
            <w:r w:rsidRPr="00C33EDC">
              <w:rPr>
                <w:bCs/>
                <w:sz w:val="22"/>
                <w:szCs w:val="22"/>
              </w:rPr>
              <w:t xml:space="preserve">The Board is </w:t>
            </w:r>
            <w:r>
              <w:rPr>
                <w:bCs/>
                <w:sz w:val="22"/>
                <w:szCs w:val="22"/>
              </w:rPr>
              <w:t xml:space="preserve">required to report to the Government by </w:t>
            </w:r>
            <w:r w:rsidR="00F30492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30492">
              <w:rPr>
                <w:bCs/>
                <w:sz w:val="22"/>
                <w:szCs w:val="22"/>
              </w:rPr>
              <w:t xml:space="preserve">December </w:t>
            </w:r>
            <w:r>
              <w:rPr>
                <w:bCs/>
                <w:sz w:val="22"/>
                <w:szCs w:val="22"/>
              </w:rPr>
              <w:t>202</w:t>
            </w:r>
            <w:r w:rsidR="009F526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14:paraId="3607502C" w14:textId="77777777" w:rsidR="008A12E3" w:rsidRDefault="00B37C6C" w:rsidP="00754A10">
      <w:pPr>
        <w:pStyle w:val="Heading1"/>
      </w:pPr>
      <w:r>
        <w:br w:type="page"/>
      </w:r>
    </w:p>
    <w:p w14:paraId="5FCD957D" w14:textId="66756681" w:rsidR="003746D1" w:rsidRDefault="009A25B3" w:rsidP="00D66E41">
      <w:pPr>
        <w:pStyle w:val="Heading1"/>
      </w:pPr>
      <w:bookmarkStart w:id="8" w:name="_Toc78808483"/>
      <w:r>
        <w:lastRenderedPageBreak/>
        <w:t>The Review Team</w:t>
      </w:r>
      <w:bookmarkEnd w:id="8"/>
    </w:p>
    <w:p w14:paraId="177B3C55" w14:textId="1001491D" w:rsidR="003746D1" w:rsidRPr="00296283" w:rsidRDefault="003746D1" w:rsidP="008A12E3">
      <w:pPr>
        <w:pStyle w:val="Introductionparagraph"/>
      </w:pPr>
      <w:r w:rsidRPr="004714F8">
        <w:t xml:space="preserve">The Board has appointed Board members </w:t>
      </w:r>
      <w:r w:rsidR="00F30492">
        <w:t xml:space="preserve">Dr Julianne Jaques </w:t>
      </w:r>
      <w:r w:rsidR="00EA61B8">
        <w:t xml:space="preserve">QC </w:t>
      </w:r>
      <w:r w:rsidR="00F30492">
        <w:t xml:space="preserve">and Ms Tanya Titman </w:t>
      </w:r>
      <w:r w:rsidRPr="004714F8">
        <w:t xml:space="preserve">to </w:t>
      </w:r>
      <w:r w:rsidR="00EA61B8">
        <w:t>overse</w:t>
      </w:r>
      <w:r w:rsidR="005E3BC6">
        <w:t>e</w:t>
      </w:r>
      <w:r w:rsidR="00EA61B8" w:rsidRPr="004714F8">
        <w:t xml:space="preserve"> </w:t>
      </w:r>
      <w:r>
        <w:t>the</w:t>
      </w:r>
      <w:r w:rsidRPr="004714F8">
        <w:t xml:space="preserve"> review</w:t>
      </w:r>
      <w:r>
        <w:t xml:space="preserve">. They will be assisted by a working group comprising industry experts, members of the tax profession, and representatives of </w:t>
      </w:r>
      <w:r w:rsidR="00F30492">
        <w:t>Australian Border Force</w:t>
      </w:r>
      <w:r>
        <w:t xml:space="preserve">, the Treasury, and the ATO. </w:t>
      </w:r>
    </w:p>
    <w:p w14:paraId="41E531BE" w14:textId="122AA56C" w:rsidR="00827552" w:rsidRDefault="00FB0630" w:rsidP="00187C2E">
      <w:pPr>
        <w:pStyle w:val="Heading1"/>
      </w:pPr>
      <w:bookmarkStart w:id="9" w:name="_Toc78808484"/>
      <w:r>
        <w:t xml:space="preserve">An overview </w:t>
      </w:r>
      <w:r w:rsidR="003C4D67">
        <w:t>of the LVIG regime</w:t>
      </w:r>
      <w:bookmarkEnd w:id="9"/>
    </w:p>
    <w:p w14:paraId="620D218A" w14:textId="1A0323E9" w:rsidR="00886A0C" w:rsidRPr="00AC09BB" w:rsidRDefault="004B4314" w:rsidP="00252C30">
      <w:pPr>
        <w:pStyle w:val="Introductionparagraph"/>
      </w:pPr>
      <w:r w:rsidRPr="00252C30">
        <w:t xml:space="preserve">The </w:t>
      </w:r>
      <w:r w:rsidR="00A74C03">
        <w:t xml:space="preserve">LVIG </w:t>
      </w:r>
      <w:r w:rsidR="00997A0F">
        <w:t xml:space="preserve">regime </w:t>
      </w:r>
      <w:r w:rsidR="00AC09BB">
        <w:t xml:space="preserve">aims to </w:t>
      </w:r>
      <w:r w:rsidR="00AC09BB" w:rsidRPr="00AC09BB">
        <w:t>level the playing field for Australian businesses and international competitors and, in so doing, strengthen the integrity and fairness of the Australian tax system</w:t>
      </w:r>
      <w:r w:rsidR="00910EE1">
        <w:t>.</w:t>
      </w:r>
      <w:r w:rsidR="00AC09BB" w:rsidRPr="00AC09BB">
        <w:rPr>
          <w:vertAlign w:val="superscript"/>
        </w:rPr>
        <w:footnoteReference w:id="2"/>
      </w:r>
    </w:p>
    <w:p w14:paraId="0275D7CF" w14:textId="6F169817" w:rsidR="00886A0C" w:rsidRDefault="00802781" w:rsidP="00252C30">
      <w:pPr>
        <w:pStyle w:val="Introductionparagraph"/>
        <w:rPr>
          <w:color w:val="auto"/>
          <w:sz w:val="22"/>
          <w:szCs w:val="20"/>
        </w:rPr>
      </w:pPr>
      <w:r w:rsidRPr="00781607">
        <w:rPr>
          <w:color w:val="auto"/>
          <w:sz w:val="22"/>
          <w:szCs w:val="20"/>
        </w:rPr>
        <w:t xml:space="preserve">From its commencement on 1 July </w:t>
      </w:r>
      <w:r w:rsidR="003E6E9A">
        <w:rPr>
          <w:color w:val="auto"/>
          <w:sz w:val="22"/>
          <w:szCs w:val="20"/>
        </w:rPr>
        <w:t>2000</w:t>
      </w:r>
      <w:r w:rsidR="002235BE">
        <w:rPr>
          <w:color w:val="auto"/>
          <w:sz w:val="22"/>
          <w:szCs w:val="20"/>
        </w:rPr>
        <w:t>,</w:t>
      </w:r>
      <w:r w:rsidR="00886A0C" w:rsidRPr="00781607">
        <w:rPr>
          <w:color w:val="auto"/>
          <w:sz w:val="22"/>
          <w:szCs w:val="20"/>
        </w:rPr>
        <w:t xml:space="preserve"> </w:t>
      </w:r>
      <w:r w:rsidR="00F73861" w:rsidRPr="00781607">
        <w:rPr>
          <w:color w:val="auto"/>
          <w:sz w:val="22"/>
          <w:szCs w:val="20"/>
        </w:rPr>
        <w:t xml:space="preserve">GST </w:t>
      </w:r>
      <w:r w:rsidRPr="00781607">
        <w:rPr>
          <w:color w:val="auto"/>
          <w:sz w:val="22"/>
          <w:szCs w:val="20"/>
        </w:rPr>
        <w:t>provided separate regimes for the treatment of domestic supplies of goods and import</w:t>
      </w:r>
      <w:r w:rsidR="00DD6A63">
        <w:rPr>
          <w:color w:val="auto"/>
          <w:sz w:val="22"/>
          <w:szCs w:val="20"/>
        </w:rPr>
        <w:t>ed goods</w:t>
      </w:r>
      <w:r w:rsidR="005627FB" w:rsidRPr="00781607">
        <w:rPr>
          <w:color w:val="auto"/>
          <w:sz w:val="22"/>
          <w:szCs w:val="20"/>
        </w:rPr>
        <w:t>.</w:t>
      </w:r>
      <w:r w:rsidR="00781607" w:rsidRPr="00781607">
        <w:rPr>
          <w:color w:val="auto"/>
          <w:sz w:val="22"/>
          <w:szCs w:val="20"/>
        </w:rPr>
        <w:t xml:space="preserve"> While domestic supplies were taxable to the supplier</w:t>
      </w:r>
      <w:r w:rsidR="00404ACA" w:rsidRPr="00781607">
        <w:rPr>
          <w:color w:val="auto"/>
          <w:sz w:val="22"/>
          <w:szCs w:val="20"/>
        </w:rPr>
        <w:t>, import</w:t>
      </w:r>
      <w:r w:rsidR="009C2DDC">
        <w:rPr>
          <w:color w:val="auto"/>
          <w:sz w:val="22"/>
          <w:szCs w:val="20"/>
        </w:rPr>
        <w:t>ed</w:t>
      </w:r>
      <w:r w:rsidR="00DD6A63">
        <w:rPr>
          <w:color w:val="auto"/>
          <w:sz w:val="22"/>
          <w:szCs w:val="20"/>
        </w:rPr>
        <w:t xml:space="preserve"> goods</w:t>
      </w:r>
      <w:r w:rsidR="00404ACA" w:rsidRPr="00781607">
        <w:rPr>
          <w:color w:val="auto"/>
          <w:sz w:val="22"/>
          <w:szCs w:val="20"/>
        </w:rPr>
        <w:t xml:space="preserve"> were subject to taxable importation rules </w:t>
      </w:r>
      <w:r w:rsidR="00BA5A25" w:rsidRPr="00781607">
        <w:rPr>
          <w:color w:val="auto"/>
          <w:sz w:val="22"/>
          <w:szCs w:val="20"/>
        </w:rPr>
        <w:t xml:space="preserve">involving collection </w:t>
      </w:r>
      <w:r w:rsidR="00EA61B8">
        <w:rPr>
          <w:color w:val="auto"/>
          <w:sz w:val="22"/>
          <w:szCs w:val="20"/>
        </w:rPr>
        <w:t xml:space="preserve">of </w:t>
      </w:r>
      <w:r w:rsidR="00404ACA" w:rsidRPr="00781607">
        <w:rPr>
          <w:color w:val="auto"/>
          <w:sz w:val="22"/>
          <w:szCs w:val="20"/>
        </w:rPr>
        <w:t xml:space="preserve">GST </w:t>
      </w:r>
      <w:r w:rsidR="00EA61B8">
        <w:rPr>
          <w:color w:val="auto"/>
          <w:sz w:val="22"/>
          <w:szCs w:val="20"/>
        </w:rPr>
        <w:t xml:space="preserve">from the importer </w:t>
      </w:r>
      <w:r w:rsidR="00404ACA" w:rsidRPr="00781607">
        <w:rPr>
          <w:color w:val="auto"/>
          <w:sz w:val="22"/>
          <w:szCs w:val="20"/>
        </w:rPr>
        <w:t xml:space="preserve">at the border. </w:t>
      </w:r>
      <w:r w:rsidR="00772523" w:rsidRPr="00781607">
        <w:rPr>
          <w:color w:val="auto"/>
          <w:sz w:val="22"/>
          <w:szCs w:val="20"/>
        </w:rPr>
        <w:t xml:space="preserve"> </w:t>
      </w:r>
      <w:r w:rsidR="00BA5A25" w:rsidRPr="00781607">
        <w:rPr>
          <w:color w:val="auto"/>
          <w:sz w:val="22"/>
          <w:szCs w:val="20"/>
        </w:rPr>
        <w:t>However, the taxable importation rules only applied to consignment</w:t>
      </w:r>
      <w:r w:rsidR="002819FC">
        <w:rPr>
          <w:color w:val="auto"/>
          <w:sz w:val="22"/>
          <w:szCs w:val="20"/>
        </w:rPr>
        <w:t>s</w:t>
      </w:r>
      <w:r w:rsidR="00BA5A25" w:rsidRPr="00781607">
        <w:rPr>
          <w:color w:val="auto"/>
          <w:sz w:val="22"/>
          <w:szCs w:val="20"/>
        </w:rPr>
        <w:t xml:space="preserve"> with a customs value of more than $1000.</w:t>
      </w:r>
      <w:r w:rsidR="00BA5A25">
        <w:rPr>
          <w:color w:val="auto"/>
          <w:sz w:val="22"/>
          <w:szCs w:val="20"/>
        </w:rPr>
        <w:t xml:space="preserve"> </w:t>
      </w:r>
      <w:r w:rsidR="00781607">
        <w:rPr>
          <w:color w:val="auto"/>
          <w:sz w:val="22"/>
          <w:szCs w:val="20"/>
        </w:rPr>
        <w:t xml:space="preserve">The effect was that low value </w:t>
      </w:r>
      <w:r w:rsidR="00910EE1">
        <w:rPr>
          <w:color w:val="auto"/>
          <w:sz w:val="22"/>
          <w:szCs w:val="20"/>
        </w:rPr>
        <w:t xml:space="preserve">imported </w:t>
      </w:r>
      <w:r w:rsidR="00781607">
        <w:rPr>
          <w:color w:val="auto"/>
          <w:sz w:val="22"/>
          <w:szCs w:val="20"/>
        </w:rPr>
        <w:t xml:space="preserve">goods were exempt from GST. </w:t>
      </w:r>
    </w:p>
    <w:p w14:paraId="7556E751" w14:textId="13E307E9" w:rsidR="002A50B2" w:rsidRDefault="00781607" w:rsidP="00252C30">
      <w:pPr>
        <w:pStyle w:val="Introductionparagrap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The years following the introduction</w:t>
      </w:r>
      <w:r w:rsidR="006A2348">
        <w:rPr>
          <w:color w:val="auto"/>
          <w:sz w:val="22"/>
          <w:szCs w:val="20"/>
        </w:rPr>
        <w:t xml:space="preserve"> of GST</w:t>
      </w:r>
      <w:r>
        <w:rPr>
          <w:color w:val="auto"/>
          <w:sz w:val="22"/>
          <w:szCs w:val="20"/>
        </w:rPr>
        <w:t xml:space="preserve"> saw an exponential growth in internet commerce, with a significant proportion of Australian </w:t>
      </w:r>
      <w:r w:rsidR="002A50B2">
        <w:rPr>
          <w:color w:val="auto"/>
          <w:sz w:val="22"/>
          <w:szCs w:val="20"/>
        </w:rPr>
        <w:t xml:space="preserve">online </w:t>
      </w:r>
      <w:r>
        <w:rPr>
          <w:color w:val="auto"/>
          <w:sz w:val="22"/>
          <w:szCs w:val="20"/>
        </w:rPr>
        <w:t>purchases</w:t>
      </w:r>
      <w:r w:rsidR="002A50B2">
        <w:rPr>
          <w:color w:val="auto"/>
          <w:sz w:val="22"/>
          <w:szCs w:val="20"/>
        </w:rPr>
        <w:t xml:space="preserve"> being made from overseas suppliers. There was a growing appreciation </w:t>
      </w:r>
      <w:r w:rsidR="00EA61B8">
        <w:rPr>
          <w:color w:val="auto"/>
          <w:sz w:val="22"/>
          <w:szCs w:val="20"/>
        </w:rPr>
        <w:t xml:space="preserve">of </w:t>
      </w:r>
      <w:r w:rsidR="002A50B2">
        <w:rPr>
          <w:color w:val="auto"/>
          <w:sz w:val="22"/>
          <w:szCs w:val="20"/>
        </w:rPr>
        <w:t xml:space="preserve">the need to address the competitive neutrality issues created by the </w:t>
      </w:r>
      <w:r w:rsidR="00997A0F">
        <w:rPr>
          <w:color w:val="auto"/>
          <w:sz w:val="22"/>
          <w:szCs w:val="20"/>
        </w:rPr>
        <w:t xml:space="preserve">GST </w:t>
      </w:r>
      <w:r w:rsidR="002A50B2">
        <w:rPr>
          <w:color w:val="auto"/>
          <w:sz w:val="22"/>
          <w:szCs w:val="20"/>
        </w:rPr>
        <w:t xml:space="preserve">exemption </w:t>
      </w:r>
      <w:r w:rsidR="00997A0F">
        <w:rPr>
          <w:color w:val="auto"/>
          <w:sz w:val="22"/>
          <w:szCs w:val="20"/>
        </w:rPr>
        <w:t xml:space="preserve">for LVIGs </w:t>
      </w:r>
      <w:r w:rsidR="002A50B2">
        <w:rPr>
          <w:color w:val="auto"/>
          <w:sz w:val="22"/>
          <w:szCs w:val="20"/>
        </w:rPr>
        <w:t>– essentially by ‘levelling the playing field</w:t>
      </w:r>
      <w:r w:rsidR="00F32919">
        <w:rPr>
          <w:color w:val="auto"/>
          <w:sz w:val="22"/>
          <w:szCs w:val="20"/>
        </w:rPr>
        <w:t>’</w:t>
      </w:r>
      <w:r w:rsidR="002A50B2">
        <w:rPr>
          <w:color w:val="auto"/>
          <w:sz w:val="22"/>
          <w:szCs w:val="20"/>
        </w:rPr>
        <w:t xml:space="preserve"> between domestic and foreign suppliers.  </w:t>
      </w:r>
      <w:r w:rsidR="00C7387E">
        <w:rPr>
          <w:color w:val="auto"/>
          <w:sz w:val="22"/>
          <w:szCs w:val="20"/>
        </w:rPr>
        <w:t xml:space="preserve">However, designing an efficient, alternative collection mechanism was challenging </w:t>
      </w:r>
      <w:r w:rsidR="000E3F3C">
        <w:rPr>
          <w:color w:val="auto"/>
          <w:sz w:val="22"/>
          <w:szCs w:val="20"/>
        </w:rPr>
        <w:t xml:space="preserve">and the revenue authority was encouraged to investigate innovative ways to efficiently collect GST from </w:t>
      </w:r>
      <w:r w:rsidR="00997A0F">
        <w:rPr>
          <w:color w:val="auto"/>
          <w:sz w:val="22"/>
          <w:szCs w:val="20"/>
        </w:rPr>
        <w:t>LVIG</w:t>
      </w:r>
      <w:r w:rsidR="000E3F3C">
        <w:rPr>
          <w:color w:val="auto"/>
          <w:sz w:val="22"/>
          <w:szCs w:val="20"/>
        </w:rPr>
        <w:t xml:space="preserve">. </w:t>
      </w:r>
    </w:p>
    <w:p w14:paraId="2C906C8C" w14:textId="19A7EE74" w:rsidR="00D20256" w:rsidRDefault="00BA5A25" w:rsidP="00D20256">
      <w:pPr>
        <w:pStyle w:val="Introductionparagrap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T</w:t>
      </w:r>
      <w:r w:rsidR="005627FB">
        <w:rPr>
          <w:color w:val="auto"/>
          <w:sz w:val="22"/>
          <w:szCs w:val="20"/>
        </w:rPr>
        <w:t>he LVIG regime</w:t>
      </w:r>
      <w:r>
        <w:rPr>
          <w:color w:val="auto"/>
          <w:sz w:val="22"/>
          <w:szCs w:val="20"/>
        </w:rPr>
        <w:t xml:space="preserve"> </w:t>
      </w:r>
      <w:r w:rsidR="000E3F3C">
        <w:rPr>
          <w:color w:val="auto"/>
          <w:sz w:val="22"/>
          <w:szCs w:val="20"/>
        </w:rPr>
        <w:t>came into effect on 1 July 2018, effectively removing the low value exemption</w:t>
      </w:r>
      <w:r w:rsidR="00DD75A5">
        <w:rPr>
          <w:color w:val="auto"/>
          <w:sz w:val="22"/>
          <w:szCs w:val="20"/>
        </w:rPr>
        <w:t xml:space="preserve"> for consumers in Australia</w:t>
      </w:r>
      <w:r>
        <w:rPr>
          <w:color w:val="auto"/>
          <w:sz w:val="22"/>
          <w:szCs w:val="20"/>
        </w:rPr>
        <w:t xml:space="preserve">.  The </w:t>
      </w:r>
      <w:r w:rsidR="00772523">
        <w:rPr>
          <w:color w:val="auto"/>
          <w:sz w:val="22"/>
          <w:szCs w:val="20"/>
        </w:rPr>
        <w:t xml:space="preserve">LVIG </w:t>
      </w:r>
      <w:r w:rsidR="00997A0F">
        <w:rPr>
          <w:color w:val="auto"/>
          <w:sz w:val="22"/>
          <w:szCs w:val="20"/>
        </w:rPr>
        <w:t xml:space="preserve">regime </w:t>
      </w:r>
      <w:r>
        <w:rPr>
          <w:color w:val="auto"/>
          <w:sz w:val="22"/>
          <w:szCs w:val="20"/>
        </w:rPr>
        <w:t>uses a ‘</w:t>
      </w:r>
      <w:r w:rsidR="00772523">
        <w:rPr>
          <w:color w:val="auto"/>
          <w:sz w:val="22"/>
          <w:szCs w:val="20"/>
        </w:rPr>
        <w:t xml:space="preserve">vendor </w:t>
      </w:r>
      <w:r>
        <w:rPr>
          <w:color w:val="auto"/>
          <w:sz w:val="22"/>
          <w:szCs w:val="20"/>
        </w:rPr>
        <w:t xml:space="preserve">collection’ or ‘vendor </w:t>
      </w:r>
      <w:r w:rsidR="00772523">
        <w:rPr>
          <w:color w:val="auto"/>
          <w:sz w:val="22"/>
          <w:szCs w:val="20"/>
        </w:rPr>
        <w:t>registration</w:t>
      </w:r>
      <w:r>
        <w:rPr>
          <w:color w:val="auto"/>
          <w:sz w:val="22"/>
          <w:szCs w:val="20"/>
        </w:rPr>
        <w:t>’</w:t>
      </w:r>
      <w:r w:rsidR="00772523">
        <w:rPr>
          <w:color w:val="auto"/>
          <w:sz w:val="22"/>
          <w:szCs w:val="20"/>
        </w:rPr>
        <w:t xml:space="preserve"> model</w:t>
      </w:r>
      <w:r w:rsidR="00FF0651">
        <w:rPr>
          <w:color w:val="auto"/>
          <w:sz w:val="22"/>
          <w:szCs w:val="20"/>
        </w:rPr>
        <w:t xml:space="preserve"> </w:t>
      </w:r>
      <w:r w:rsidR="000A28CB">
        <w:rPr>
          <w:color w:val="auto"/>
          <w:sz w:val="22"/>
          <w:szCs w:val="20"/>
        </w:rPr>
        <w:t>which</w:t>
      </w:r>
      <w:r w:rsidR="00FF0651">
        <w:rPr>
          <w:color w:val="auto"/>
          <w:sz w:val="22"/>
          <w:szCs w:val="20"/>
        </w:rPr>
        <w:t xml:space="preserve"> imposes the obligation to collect and remit GST on the supplier, rather than importer</w:t>
      </w:r>
      <w:r w:rsidR="00FD5D9E">
        <w:rPr>
          <w:color w:val="auto"/>
          <w:sz w:val="22"/>
          <w:szCs w:val="20"/>
        </w:rPr>
        <w:t xml:space="preserve"> as is the case for taxable importations</w:t>
      </w:r>
      <w:r w:rsidR="00772523">
        <w:rPr>
          <w:color w:val="auto"/>
          <w:sz w:val="22"/>
          <w:szCs w:val="20"/>
        </w:rPr>
        <w:t xml:space="preserve">.  </w:t>
      </w:r>
      <w:r w:rsidR="00C5204B">
        <w:rPr>
          <w:color w:val="auto"/>
          <w:sz w:val="22"/>
          <w:szCs w:val="20"/>
        </w:rPr>
        <w:t xml:space="preserve">In this sense, the LVIG </w:t>
      </w:r>
      <w:r w:rsidR="00997A0F">
        <w:rPr>
          <w:color w:val="auto"/>
          <w:sz w:val="22"/>
          <w:szCs w:val="20"/>
        </w:rPr>
        <w:t xml:space="preserve">regime </w:t>
      </w:r>
      <w:r w:rsidR="00C5204B">
        <w:rPr>
          <w:color w:val="auto"/>
          <w:sz w:val="22"/>
          <w:szCs w:val="20"/>
        </w:rPr>
        <w:t xml:space="preserve">aligns the treatment of </w:t>
      </w:r>
      <w:r w:rsidR="00997A0F">
        <w:rPr>
          <w:color w:val="auto"/>
          <w:sz w:val="22"/>
          <w:szCs w:val="20"/>
        </w:rPr>
        <w:t>LVIG</w:t>
      </w:r>
      <w:r w:rsidR="00C5204B">
        <w:rPr>
          <w:color w:val="auto"/>
          <w:sz w:val="22"/>
          <w:szCs w:val="20"/>
        </w:rPr>
        <w:t xml:space="preserve"> with domestic </w:t>
      </w:r>
      <w:r w:rsidR="00DD75A5">
        <w:rPr>
          <w:color w:val="auto"/>
          <w:sz w:val="22"/>
          <w:szCs w:val="20"/>
        </w:rPr>
        <w:t xml:space="preserve">consumer </w:t>
      </w:r>
      <w:r w:rsidR="00C5204B">
        <w:rPr>
          <w:color w:val="auto"/>
          <w:sz w:val="22"/>
          <w:szCs w:val="20"/>
        </w:rPr>
        <w:t xml:space="preserve">supplies, while </w:t>
      </w:r>
      <w:r w:rsidR="005A4FE2">
        <w:rPr>
          <w:color w:val="auto"/>
          <w:sz w:val="22"/>
          <w:szCs w:val="20"/>
        </w:rPr>
        <w:t>largely</w:t>
      </w:r>
      <w:r w:rsidR="007C3099">
        <w:rPr>
          <w:color w:val="auto"/>
          <w:sz w:val="22"/>
          <w:szCs w:val="20"/>
        </w:rPr>
        <w:t xml:space="preserve"> </w:t>
      </w:r>
      <w:r w:rsidR="00C5204B">
        <w:rPr>
          <w:color w:val="auto"/>
          <w:sz w:val="22"/>
          <w:szCs w:val="20"/>
        </w:rPr>
        <w:t>preserving the taxable importation rules for import</w:t>
      </w:r>
      <w:r w:rsidR="00997A0F">
        <w:rPr>
          <w:color w:val="auto"/>
          <w:sz w:val="22"/>
          <w:szCs w:val="20"/>
        </w:rPr>
        <w:t>ed</w:t>
      </w:r>
      <w:r w:rsidR="00C5204B">
        <w:rPr>
          <w:color w:val="auto"/>
          <w:sz w:val="22"/>
          <w:szCs w:val="20"/>
        </w:rPr>
        <w:t xml:space="preserve"> goods value</w:t>
      </w:r>
      <w:r w:rsidR="00997A0F">
        <w:rPr>
          <w:color w:val="auto"/>
          <w:sz w:val="22"/>
          <w:szCs w:val="20"/>
        </w:rPr>
        <w:t>d</w:t>
      </w:r>
      <w:r w:rsidR="00C5204B">
        <w:rPr>
          <w:color w:val="auto"/>
          <w:sz w:val="22"/>
          <w:szCs w:val="20"/>
        </w:rPr>
        <w:t xml:space="preserve"> at over $1000. </w:t>
      </w:r>
      <w:r w:rsidR="00432325">
        <w:rPr>
          <w:color w:val="auto"/>
          <w:sz w:val="22"/>
          <w:szCs w:val="20"/>
        </w:rPr>
        <w:t xml:space="preserve">A business is required to register if it has </w:t>
      </w:r>
      <w:r w:rsidR="00210C31">
        <w:rPr>
          <w:color w:val="auto"/>
          <w:sz w:val="22"/>
          <w:szCs w:val="20"/>
        </w:rPr>
        <w:t xml:space="preserve">GST </w:t>
      </w:r>
      <w:r w:rsidR="00432325">
        <w:rPr>
          <w:color w:val="auto"/>
          <w:sz w:val="22"/>
          <w:szCs w:val="20"/>
        </w:rPr>
        <w:t>turnover to Australia of</w:t>
      </w:r>
      <w:r w:rsidR="00432325" w:rsidRPr="00D20256">
        <w:rPr>
          <w:color w:val="auto"/>
          <w:sz w:val="22"/>
          <w:szCs w:val="20"/>
        </w:rPr>
        <w:t xml:space="preserve"> $75,000 </w:t>
      </w:r>
      <w:r w:rsidR="00432325">
        <w:rPr>
          <w:color w:val="auto"/>
          <w:sz w:val="22"/>
          <w:szCs w:val="20"/>
        </w:rPr>
        <w:t>(or $150,000 for non-profit bodies)</w:t>
      </w:r>
      <w:r w:rsidR="00432325" w:rsidRPr="00D20256">
        <w:rPr>
          <w:color w:val="auto"/>
          <w:sz w:val="22"/>
          <w:szCs w:val="20"/>
        </w:rPr>
        <w:t>.</w:t>
      </w:r>
    </w:p>
    <w:p w14:paraId="77F2025B" w14:textId="6E4ED305" w:rsidR="00F32DFC" w:rsidRDefault="00F32DFC" w:rsidP="00163128">
      <w:pPr>
        <w:pStyle w:val="Introductionparagraph"/>
        <w:rPr>
          <w:color w:val="auto"/>
          <w:sz w:val="22"/>
          <w:szCs w:val="20"/>
        </w:rPr>
      </w:pPr>
      <w:r w:rsidRPr="00F32DFC">
        <w:rPr>
          <w:color w:val="auto"/>
          <w:sz w:val="22"/>
          <w:szCs w:val="20"/>
        </w:rPr>
        <w:t xml:space="preserve">Non-resident businesses that are required to register for Australian GST for low value imported goods </w:t>
      </w:r>
      <w:r w:rsidR="006C34C0">
        <w:rPr>
          <w:color w:val="auto"/>
          <w:sz w:val="22"/>
          <w:szCs w:val="20"/>
        </w:rPr>
        <w:t xml:space="preserve">can choose to use the standard registration method used by domestic Australian businesses or a simplified method. </w:t>
      </w:r>
      <w:r w:rsidR="006C34C0" w:rsidRPr="006C34C0">
        <w:rPr>
          <w:color w:val="auto"/>
          <w:sz w:val="22"/>
          <w:szCs w:val="20"/>
        </w:rPr>
        <w:t xml:space="preserve">The simplified </w:t>
      </w:r>
      <w:r w:rsidR="00997A0F">
        <w:rPr>
          <w:color w:val="auto"/>
          <w:sz w:val="22"/>
          <w:szCs w:val="20"/>
        </w:rPr>
        <w:t>method</w:t>
      </w:r>
      <w:r w:rsidR="006C34C0" w:rsidRPr="006C34C0">
        <w:rPr>
          <w:color w:val="auto"/>
          <w:sz w:val="22"/>
          <w:szCs w:val="20"/>
        </w:rPr>
        <w:t xml:space="preserve"> </w:t>
      </w:r>
      <w:r w:rsidR="00CE6A53">
        <w:rPr>
          <w:color w:val="auto"/>
          <w:sz w:val="22"/>
          <w:szCs w:val="20"/>
        </w:rPr>
        <w:t xml:space="preserve">uses </w:t>
      </w:r>
      <w:r w:rsidR="006C34C0" w:rsidRPr="006C34C0">
        <w:rPr>
          <w:color w:val="auto"/>
          <w:sz w:val="22"/>
          <w:szCs w:val="20"/>
        </w:rPr>
        <w:t xml:space="preserve">an online </w:t>
      </w:r>
      <w:r w:rsidR="00EA7D92">
        <w:rPr>
          <w:color w:val="auto"/>
          <w:sz w:val="22"/>
          <w:szCs w:val="20"/>
        </w:rPr>
        <w:t>system</w:t>
      </w:r>
      <w:r w:rsidR="006C34C0">
        <w:rPr>
          <w:color w:val="auto"/>
          <w:sz w:val="22"/>
          <w:szCs w:val="20"/>
        </w:rPr>
        <w:t xml:space="preserve"> </w:t>
      </w:r>
      <w:r w:rsidR="006C34C0" w:rsidRPr="006C34C0">
        <w:rPr>
          <w:color w:val="auto"/>
          <w:sz w:val="22"/>
          <w:szCs w:val="20"/>
        </w:rPr>
        <w:t>accessible via a portal on the ATO’s website</w:t>
      </w:r>
      <w:r w:rsidR="006C34C0">
        <w:rPr>
          <w:color w:val="auto"/>
          <w:sz w:val="22"/>
          <w:szCs w:val="20"/>
        </w:rPr>
        <w:t>, that allows businesses</w:t>
      </w:r>
      <w:r w:rsidR="006C34C0" w:rsidRPr="006C34C0">
        <w:rPr>
          <w:color w:val="auto"/>
          <w:sz w:val="22"/>
          <w:szCs w:val="20"/>
        </w:rPr>
        <w:t xml:space="preserve"> to register, lodge and pay Australian GST</w:t>
      </w:r>
      <w:r w:rsidR="006C34C0">
        <w:rPr>
          <w:color w:val="auto"/>
          <w:sz w:val="22"/>
          <w:szCs w:val="20"/>
        </w:rPr>
        <w:t xml:space="preserve">. </w:t>
      </w:r>
      <w:r w:rsidR="00AC09BB">
        <w:rPr>
          <w:color w:val="auto"/>
          <w:sz w:val="22"/>
          <w:szCs w:val="20"/>
        </w:rPr>
        <w:t xml:space="preserve">However, users of the simplified method are not eligible to claim GST credits making it unsuitable for some businesses. </w:t>
      </w:r>
    </w:p>
    <w:p w14:paraId="0467CC0E" w14:textId="1C8AECBF" w:rsidR="00894BB1" w:rsidRDefault="00F90354" w:rsidP="00163128">
      <w:pPr>
        <w:pStyle w:val="Introductionparagraph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lastRenderedPageBreak/>
        <w:t>There are</w:t>
      </w:r>
      <w:r w:rsidR="00432325">
        <w:rPr>
          <w:color w:val="auto"/>
          <w:sz w:val="22"/>
          <w:szCs w:val="20"/>
        </w:rPr>
        <w:t xml:space="preserve"> </w:t>
      </w:r>
      <w:r w:rsidR="0018387E">
        <w:rPr>
          <w:color w:val="auto"/>
          <w:sz w:val="22"/>
          <w:szCs w:val="20"/>
        </w:rPr>
        <w:t>three categories</w:t>
      </w:r>
      <w:r w:rsidR="00EA07D8">
        <w:rPr>
          <w:color w:val="auto"/>
          <w:sz w:val="22"/>
          <w:szCs w:val="20"/>
        </w:rPr>
        <w:t xml:space="preserve"> of supplier</w:t>
      </w:r>
      <w:r w:rsidR="008850AC">
        <w:rPr>
          <w:color w:val="auto"/>
          <w:sz w:val="22"/>
          <w:szCs w:val="20"/>
        </w:rPr>
        <w:t xml:space="preserve">s </w:t>
      </w:r>
      <w:r>
        <w:rPr>
          <w:color w:val="auto"/>
          <w:sz w:val="22"/>
          <w:szCs w:val="20"/>
        </w:rPr>
        <w:t>that may be</w:t>
      </w:r>
      <w:r w:rsidR="008850AC">
        <w:rPr>
          <w:color w:val="auto"/>
          <w:sz w:val="22"/>
          <w:szCs w:val="20"/>
        </w:rPr>
        <w:t xml:space="preserve"> responsible for the collection of GST on low value imported goods</w:t>
      </w:r>
      <w:r w:rsidR="00EA07D8">
        <w:rPr>
          <w:color w:val="auto"/>
          <w:sz w:val="22"/>
          <w:szCs w:val="20"/>
        </w:rPr>
        <w:t>:</w:t>
      </w:r>
    </w:p>
    <w:p w14:paraId="714C17A4" w14:textId="2093B2C7" w:rsidR="00894BB1" w:rsidRDefault="00624229" w:rsidP="00432325">
      <w:pPr>
        <w:pStyle w:val="Bullet"/>
      </w:pPr>
      <w:r w:rsidRPr="002A7768">
        <w:rPr>
          <w:b/>
          <w:bCs/>
        </w:rPr>
        <w:t>m</w:t>
      </w:r>
      <w:r w:rsidR="005028A9" w:rsidRPr="002A7768">
        <w:rPr>
          <w:b/>
          <w:bCs/>
        </w:rPr>
        <w:t>erchants</w:t>
      </w:r>
      <w:r>
        <w:t xml:space="preserve"> who sell goods directly to consumers</w:t>
      </w:r>
      <w:r w:rsidR="007F1365">
        <w:t xml:space="preserve"> in Australia</w:t>
      </w:r>
      <w:r w:rsidR="00997A0F">
        <w:t>;</w:t>
      </w:r>
      <w:r w:rsidR="00871607" w:rsidRPr="00871607">
        <w:t xml:space="preserve"> </w:t>
      </w:r>
    </w:p>
    <w:p w14:paraId="7483F92A" w14:textId="24B0E963" w:rsidR="00894BB1" w:rsidRDefault="00624229" w:rsidP="00432325">
      <w:pPr>
        <w:pStyle w:val="Bullet"/>
      </w:pPr>
      <w:r>
        <w:t xml:space="preserve">operators of </w:t>
      </w:r>
      <w:r w:rsidR="00871607" w:rsidRPr="002A7768">
        <w:rPr>
          <w:b/>
          <w:bCs/>
        </w:rPr>
        <w:t>electronic distribution platforms (EDPs)</w:t>
      </w:r>
      <w:r>
        <w:t>,</w:t>
      </w:r>
      <w:r w:rsidR="00B15470" w:rsidRPr="00B15470">
        <w:t xml:space="preserve"> </w:t>
      </w:r>
      <w:r w:rsidR="00997A0F">
        <w:t xml:space="preserve">being </w:t>
      </w:r>
      <w:r w:rsidR="00B15470">
        <w:t>a service (including a website, internet portal, gateway, store or marketplace) that allows entities to make supplies available to end-users delivered by means of electronic communication</w:t>
      </w:r>
      <w:r w:rsidR="00997A0F">
        <w:t xml:space="preserve">; </w:t>
      </w:r>
      <w:r w:rsidR="00365044">
        <w:t xml:space="preserve">or  </w:t>
      </w:r>
    </w:p>
    <w:p w14:paraId="1AC1EA23" w14:textId="46EBFDFF" w:rsidR="001D696E" w:rsidRDefault="00871607" w:rsidP="001D696E">
      <w:pPr>
        <w:pStyle w:val="Bullet"/>
      </w:pPr>
      <w:r w:rsidRPr="002A7768">
        <w:rPr>
          <w:b/>
          <w:bCs/>
        </w:rPr>
        <w:t>redeliverers</w:t>
      </w:r>
      <w:r w:rsidR="002A7768">
        <w:t>, including businesses that</w:t>
      </w:r>
      <w:r w:rsidR="002A7768" w:rsidRPr="002A7768">
        <w:t xml:space="preserve"> </w:t>
      </w:r>
      <w:r w:rsidR="002A7768">
        <w:t xml:space="preserve">assist </w:t>
      </w:r>
      <w:r w:rsidR="009C2DDC">
        <w:t xml:space="preserve">and charge </w:t>
      </w:r>
      <w:r w:rsidR="002A7768">
        <w:t>entities to obtain goods from foreign suppliers by acting as a personal shopper or by provid</w:t>
      </w:r>
      <w:r w:rsidR="00997A0F">
        <w:t>ing</w:t>
      </w:r>
      <w:r w:rsidR="002A7768">
        <w:t xml:space="preserve"> a mailing address for delivery in the relevant jurisdiction and forwarding the goods to the consumer</w:t>
      </w:r>
      <w:r w:rsidR="0018387E">
        <w:t>.</w:t>
      </w:r>
      <w:r w:rsidRPr="00871607">
        <w:t xml:space="preserve"> </w:t>
      </w:r>
    </w:p>
    <w:p w14:paraId="32ECAA51" w14:textId="6CD02B92" w:rsidR="00B15470" w:rsidRPr="00AC09BB" w:rsidRDefault="00B15470" w:rsidP="00163128">
      <w:pPr>
        <w:pStyle w:val="Introductionparagraph"/>
        <w:rPr>
          <w:color w:val="auto"/>
          <w:sz w:val="22"/>
          <w:szCs w:val="20"/>
        </w:rPr>
      </w:pPr>
      <w:r w:rsidRPr="003C7825">
        <w:rPr>
          <w:color w:val="auto"/>
          <w:sz w:val="22"/>
          <w:szCs w:val="20"/>
        </w:rPr>
        <w:t xml:space="preserve">Broadly, the electronic distribution platform rules apply to shift GST liability for supplies made through </w:t>
      </w:r>
      <w:r w:rsidR="001D696E">
        <w:rPr>
          <w:color w:val="auto"/>
          <w:sz w:val="22"/>
          <w:szCs w:val="20"/>
        </w:rPr>
        <w:t xml:space="preserve">the </w:t>
      </w:r>
      <w:r w:rsidRPr="003C7825">
        <w:rPr>
          <w:color w:val="auto"/>
          <w:sz w:val="22"/>
          <w:szCs w:val="20"/>
        </w:rPr>
        <w:t xml:space="preserve">platforms from individual </w:t>
      </w:r>
      <w:r w:rsidR="007C3099">
        <w:rPr>
          <w:color w:val="auto"/>
          <w:sz w:val="22"/>
          <w:szCs w:val="20"/>
        </w:rPr>
        <w:t>merchants</w:t>
      </w:r>
      <w:r w:rsidR="007C3099" w:rsidRPr="003C7825">
        <w:rPr>
          <w:color w:val="auto"/>
          <w:sz w:val="22"/>
          <w:szCs w:val="20"/>
        </w:rPr>
        <w:t xml:space="preserve"> </w:t>
      </w:r>
      <w:r w:rsidRPr="003C7825">
        <w:rPr>
          <w:color w:val="auto"/>
          <w:sz w:val="22"/>
          <w:szCs w:val="20"/>
        </w:rPr>
        <w:t>to the operators of the platform.</w:t>
      </w:r>
      <w:r w:rsidR="001D696E" w:rsidRPr="001D696E">
        <w:t xml:space="preserve"> </w:t>
      </w:r>
      <w:r w:rsidR="004C24CA">
        <w:rPr>
          <w:color w:val="auto"/>
          <w:sz w:val="22"/>
          <w:szCs w:val="20"/>
        </w:rPr>
        <w:t>Th</w:t>
      </w:r>
      <w:r w:rsidR="004C24CA" w:rsidRPr="001D696E">
        <w:rPr>
          <w:color w:val="auto"/>
          <w:sz w:val="22"/>
          <w:szCs w:val="20"/>
        </w:rPr>
        <w:t>e operators of electronic distribution platforms are</w:t>
      </w:r>
      <w:r w:rsidR="00BC0A5F">
        <w:rPr>
          <w:color w:val="auto"/>
          <w:sz w:val="22"/>
          <w:szCs w:val="20"/>
        </w:rPr>
        <w:t xml:space="preserve"> often</w:t>
      </w:r>
      <w:r w:rsidR="004C24CA" w:rsidRPr="001D696E">
        <w:rPr>
          <w:color w:val="auto"/>
          <w:sz w:val="22"/>
          <w:szCs w:val="20"/>
        </w:rPr>
        <w:t xml:space="preserve"> better placed to comply with GST obligations because they are generally larger and better resourced entities than individual </w:t>
      </w:r>
      <w:r w:rsidR="007C3099">
        <w:rPr>
          <w:color w:val="auto"/>
          <w:sz w:val="22"/>
          <w:szCs w:val="20"/>
        </w:rPr>
        <w:t>merchants</w:t>
      </w:r>
      <w:r w:rsidR="004C24CA">
        <w:rPr>
          <w:color w:val="auto"/>
          <w:sz w:val="22"/>
          <w:szCs w:val="20"/>
        </w:rPr>
        <w:t xml:space="preserve">.  </w:t>
      </w:r>
      <w:r w:rsidR="002A7768">
        <w:rPr>
          <w:color w:val="auto"/>
          <w:sz w:val="22"/>
          <w:szCs w:val="20"/>
        </w:rPr>
        <w:t xml:space="preserve">Similarly, a redeliverer will </w:t>
      </w:r>
      <w:r w:rsidR="004C24CA">
        <w:rPr>
          <w:color w:val="auto"/>
          <w:sz w:val="22"/>
          <w:szCs w:val="20"/>
        </w:rPr>
        <w:t xml:space="preserve">bear the GST liability in circumstances where the original </w:t>
      </w:r>
      <w:r w:rsidR="007C3099">
        <w:rPr>
          <w:color w:val="auto"/>
          <w:sz w:val="22"/>
          <w:szCs w:val="20"/>
        </w:rPr>
        <w:t xml:space="preserve">merchant </w:t>
      </w:r>
      <w:r w:rsidR="00806627">
        <w:rPr>
          <w:color w:val="auto"/>
          <w:sz w:val="22"/>
          <w:szCs w:val="20"/>
        </w:rPr>
        <w:t xml:space="preserve">or platform has </w:t>
      </w:r>
      <w:r w:rsidR="007C3099">
        <w:rPr>
          <w:color w:val="auto"/>
          <w:sz w:val="22"/>
          <w:szCs w:val="20"/>
        </w:rPr>
        <w:t>no role in assisting the consumer in getting the goods to Australia</w:t>
      </w:r>
      <w:r w:rsidR="004C24CA">
        <w:rPr>
          <w:color w:val="auto"/>
          <w:sz w:val="22"/>
          <w:szCs w:val="20"/>
        </w:rPr>
        <w:t xml:space="preserve">. </w:t>
      </w:r>
    </w:p>
    <w:p w14:paraId="6BE55652" w14:textId="29AF43F4" w:rsidR="005C0D65" w:rsidRDefault="005C0D65" w:rsidP="00163128">
      <w:pPr>
        <w:pStyle w:val="Introductionparagraph"/>
        <w:rPr>
          <w:i/>
          <w:iCs/>
          <w:color w:val="auto"/>
          <w:sz w:val="22"/>
          <w:szCs w:val="20"/>
        </w:rPr>
      </w:pPr>
      <w:r w:rsidRPr="00F43E36">
        <w:t xml:space="preserve">International </w:t>
      </w:r>
      <w:r w:rsidR="000A28CB">
        <w:t>developments</w:t>
      </w:r>
    </w:p>
    <w:p w14:paraId="35B780D9" w14:textId="749D63D8" w:rsidR="006A744E" w:rsidRDefault="00EC3ED9" w:rsidP="006A744E">
      <w:pPr>
        <w:pStyle w:val="Dash"/>
        <w:numPr>
          <w:ilvl w:val="0"/>
          <w:numId w:val="0"/>
        </w:numPr>
        <w:spacing w:after="160" w:line="256" w:lineRule="auto"/>
      </w:pPr>
      <w:r>
        <w:t xml:space="preserve">The introduction of the LVIG regime in Australia was the beginning of an emerging international trend for the implementation </w:t>
      </w:r>
      <w:r w:rsidR="00997A0F">
        <w:t xml:space="preserve">of </w:t>
      </w:r>
      <w:r w:rsidR="00C7387E">
        <w:t xml:space="preserve">measures </w:t>
      </w:r>
      <w:r w:rsidR="008E6B5D">
        <w:t>that increased</w:t>
      </w:r>
      <w:r>
        <w:t xml:space="preserve"> the coverage and efficiency of GST and VAT collection on online sales </w:t>
      </w:r>
      <w:r w:rsidR="00997A0F">
        <w:t xml:space="preserve">to </w:t>
      </w:r>
      <w:r>
        <w:t>consumers. The OECD</w:t>
      </w:r>
      <w:r w:rsidR="00CE1543">
        <w:rPr>
          <w:rStyle w:val="FootnoteReference"/>
        </w:rPr>
        <w:footnoteReference w:id="3"/>
      </w:r>
      <w:r>
        <w:t xml:space="preserve"> has advocated an approach that </w:t>
      </w:r>
      <w:r w:rsidR="004416C5">
        <w:t>leverages electronic platforms and other intermediaries and uses simplified registration and compliance processes, all of which are features of the Australian LVIG regime.</w:t>
      </w:r>
    </w:p>
    <w:p w14:paraId="10C18955" w14:textId="1590F216" w:rsidR="00627E30" w:rsidRDefault="00221913" w:rsidP="006A744E">
      <w:pPr>
        <w:pStyle w:val="Dash"/>
        <w:numPr>
          <w:ilvl w:val="0"/>
          <w:numId w:val="0"/>
        </w:num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Since the adoption of the LVIG regime, a number of other countries</w:t>
      </w:r>
      <w:r w:rsidR="00997A0F">
        <w:rPr>
          <w:rFonts w:asciiTheme="minorHAnsi" w:hAnsiTheme="minorHAnsi"/>
        </w:rPr>
        <w:t xml:space="preserve"> </w:t>
      </w:r>
      <w:r w:rsidR="00CE1543">
        <w:rPr>
          <w:rFonts w:asciiTheme="minorHAnsi" w:hAnsiTheme="minorHAnsi"/>
        </w:rPr>
        <w:softHyphen/>
      </w:r>
      <w:r w:rsidR="00CE1543">
        <w:rPr>
          <w:rFonts w:asciiTheme="minorHAnsi" w:hAnsiTheme="minorHAnsi"/>
        </w:rPr>
        <w:softHyphen/>
        <w:t>–</w:t>
      </w:r>
      <w:r w:rsidR="00997A0F">
        <w:rPr>
          <w:rFonts w:asciiTheme="minorHAnsi" w:hAnsiTheme="minorHAnsi"/>
        </w:rPr>
        <w:t xml:space="preserve"> </w:t>
      </w:r>
      <w:r w:rsidR="00CE1543">
        <w:rPr>
          <w:rFonts w:asciiTheme="minorHAnsi" w:hAnsiTheme="minorHAnsi"/>
        </w:rPr>
        <w:t xml:space="preserve">including New Zealand, </w:t>
      </w:r>
      <w:r w:rsidR="00102A5D">
        <w:rPr>
          <w:rFonts w:asciiTheme="minorHAnsi" w:hAnsiTheme="minorHAnsi"/>
        </w:rPr>
        <w:t xml:space="preserve">Norway, </w:t>
      </w:r>
      <w:r w:rsidR="00CE1543">
        <w:rPr>
          <w:rFonts w:asciiTheme="minorHAnsi" w:hAnsiTheme="minorHAnsi"/>
        </w:rPr>
        <w:t xml:space="preserve">the United Kingdom, </w:t>
      </w:r>
      <w:r w:rsidR="006A2348">
        <w:rPr>
          <w:rFonts w:asciiTheme="minorHAnsi" w:hAnsiTheme="minorHAnsi"/>
        </w:rPr>
        <w:t>the European Union countries</w:t>
      </w:r>
      <w:r w:rsidR="00997A0F">
        <w:rPr>
          <w:rFonts w:asciiTheme="minorHAnsi" w:hAnsiTheme="minorHAnsi"/>
        </w:rPr>
        <w:t xml:space="preserve"> </w:t>
      </w:r>
      <w:r w:rsidR="00FC161F">
        <w:rPr>
          <w:rFonts w:asciiTheme="minorHAnsi" w:hAnsiTheme="minorHAnsi"/>
        </w:rPr>
        <w:t xml:space="preserve">and Singapore </w:t>
      </w:r>
      <w:r w:rsidR="00CE1543">
        <w:rPr>
          <w:rFonts w:asciiTheme="minorHAnsi" w:hAnsiTheme="minorHAnsi"/>
        </w:rPr>
        <w:t>–</w:t>
      </w:r>
      <w:r w:rsidR="00997A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have either implemented </w:t>
      </w:r>
      <w:r w:rsidR="00CE1543">
        <w:rPr>
          <w:rFonts w:asciiTheme="minorHAnsi" w:hAnsiTheme="minorHAnsi"/>
        </w:rPr>
        <w:t xml:space="preserve">a </w:t>
      </w:r>
      <w:r w:rsidR="00C279F5">
        <w:rPr>
          <w:rFonts w:asciiTheme="minorHAnsi" w:hAnsiTheme="minorHAnsi"/>
        </w:rPr>
        <w:t xml:space="preserve">low value imported goods </w:t>
      </w:r>
      <w:r w:rsidR="00CE1543">
        <w:rPr>
          <w:rFonts w:asciiTheme="minorHAnsi" w:hAnsiTheme="minorHAnsi"/>
        </w:rPr>
        <w:t xml:space="preserve">regime or are in the process of doing so. </w:t>
      </w:r>
      <w:r w:rsidR="006A2348">
        <w:rPr>
          <w:rFonts w:asciiTheme="minorHAnsi" w:hAnsiTheme="minorHAnsi"/>
        </w:rPr>
        <w:t xml:space="preserve">The Board understands that while </w:t>
      </w:r>
      <w:r w:rsidR="00C7387E">
        <w:rPr>
          <w:rFonts w:asciiTheme="minorHAnsi" w:hAnsiTheme="minorHAnsi"/>
        </w:rPr>
        <w:t xml:space="preserve">the </w:t>
      </w:r>
      <w:r w:rsidR="006A2348">
        <w:rPr>
          <w:rFonts w:asciiTheme="minorHAnsi" w:hAnsiTheme="minorHAnsi"/>
        </w:rPr>
        <w:t>regime</w:t>
      </w:r>
      <w:r w:rsidR="00C7387E">
        <w:rPr>
          <w:rFonts w:asciiTheme="minorHAnsi" w:hAnsiTheme="minorHAnsi"/>
        </w:rPr>
        <w:t>s</w:t>
      </w:r>
      <w:r w:rsidR="006A2348">
        <w:rPr>
          <w:rFonts w:asciiTheme="minorHAnsi" w:hAnsiTheme="minorHAnsi"/>
        </w:rPr>
        <w:t xml:space="preserve"> differ</w:t>
      </w:r>
      <w:r w:rsidR="00C7387E">
        <w:rPr>
          <w:rFonts w:asciiTheme="minorHAnsi" w:hAnsiTheme="minorHAnsi"/>
        </w:rPr>
        <w:t xml:space="preserve"> in terms of the details of their design, they all adopt the core ‘vendor collection’ model. </w:t>
      </w:r>
    </w:p>
    <w:p w14:paraId="52335025" w14:textId="77777777" w:rsidR="005C0D65" w:rsidRPr="005C0D65" w:rsidRDefault="005C0D65" w:rsidP="00163128">
      <w:pPr>
        <w:pStyle w:val="Introductionparagraph"/>
        <w:rPr>
          <w:color w:val="auto"/>
          <w:sz w:val="22"/>
          <w:szCs w:val="20"/>
        </w:rPr>
      </w:pPr>
    </w:p>
    <w:p w14:paraId="71D944EC" w14:textId="77777777" w:rsidR="00D419C2" w:rsidRDefault="00D419C2">
      <w:pPr>
        <w:spacing w:before="0" w:after="160" w:line="259" w:lineRule="auto"/>
        <w:rPr>
          <w:rFonts w:cs="Arial"/>
          <w:color w:val="C00000"/>
          <w:kern w:val="32"/>
          <w:sz w:val="48"/>
          <w:szCs w:val="36"/>
        </w:rPr>
      </w:pPr>
      <w:r>
        <w:br w:type="page"/>
      </w:r>
    </w:p>
    <w:p w14:paraId="2B602DA4" w14:textId="35ECE449" w:rsidR="00754A10" w:rsidRDefault="00754A10" w:rsidP="000D4CCF">
      <w:pPr>
        <w:pStyle w:val="Heading1"/>
        <w:spacing w:before="0"/>
      </w:pPr>
      <w:bookmarkStart w:id="10" w:name="_Toc78808485"/>
      <w:r>
        <w:lastRenderedPageBreak/>
        <w:t>Consultation questions</w:t>
      </w:r>
      <w:bookmarkEnd w:id="10"/>
    </w:p>
    <w:p w14:paraId="23C3C78B" w14:textId="14DD6560" w:rsidR="000424AE" w:rsidRPr="00465E6A" w:rsidRDefault="00754A10" w:rsidP="001327B3">
      <w:pPr>
        <w:pStyle w:val="Introductionparagraph"/>
        <w:spacing w:before="60" w:after="120"/>
      </w:pPr>
      <w:r w:rsidRPr="005044AB">
        <w:t>The Board encourages you to reflect on the</w:t>
      </w:r>
      <w:r w:rsidR="00D312C0">
        <w:t xml:space="preserve"> </w:t>
      </w:r>
      <w:r w:rsidRPr="005044AB">
        <w:t xml:space="preserve">consultation questions </w:t>
      </w:r>
      <w:r w:rsidR="00073AEF">
        <w:t xml:space="preserve">below </w:t>
      </w:r>
      <w:r w:rsidRPr="005044AB">
        <w:t xml:space="preserve">to assist </w:t>
      </w:r>
      <w:r w:rsidR="00D312C0">
        <w:t xml:space="preserve">in </w:t>
      </w:r>
      <w:r w:rsidRPr="005044AB">
        <w:t xml:space="preserve">formulating your input </w:t>
      </w:r>
      <w:r w:rsidR="00981A88">
        <w:t>to</w:t>
      </w:r>
      <w:r w:rsidRPr="005044AB">
        <w:t xml:space="preserve"> the review.</w:t>
      </w:r>
      <w:r>
        <w:t xml:space="preserve"> </w:t>
      </w:r>
      <w:r w:rsidR="00997A0F">
        <w:t>Not all of these questions may be relevant to you and y</w:t>
      </w:r>
      <w:r w:rsidR="002C6583">
        <w:t xml:space="preserve">ou </w:t>
      </w:r>
      <w:r w:rsidR="00FF2817">
        <w:t xml:space="preserve">should not feel obliged </w:t>
      </w:r>
      <w:r w:rsidR="002C6583">
        <w:t xml:space="preserve">to address all </w:t>
      </w:r>
      <w:r w:rsidR="00997A0F">
        <w:t>the</w:t>
      </w:r>
      <w:r w:rsidR="002C6583">
        <w:t xml:space="preserve"> questions</w:t>
      </w:r>
      <w:r w:rsidR="00997A0F">
        <w:t>. W</w:t>
      </w:r>
      <w:r w:rsidRPr="005044AB">
        <w:t xml:space="preserve">e encourage you to raise </w:t>
      </w:r>
      <w:r>
        <w:t xml:space="preserve">any other issues relevant to </w:t>
      </w:r>
      <w:r w:rsidR="00413D7A">
        <w:t xml:space="preserve">the </w:t>
      </w:r>
      <w:r w:rsidR="00486AC9">
        <w:t xml:space="preserve">administration of the </w:t>
      </w:r>
      <w:r w:rsidR="00B30E1A">
        <w:t>LVIG</w:t>
      </w:r>
      <w:r w:rsidR="00486AC9">
        <w:t xml:space="preserve"> program</w:t>
      </w:r>
      <w:r w:rsidRPr="005044AB">
        <w:t>.</w:t>
      </w:r>
    </w:p>
    <w:p w14:paraId="1E5A4838" w14:textId="0E4D6D39" w:rsidR="00296A65" w:rsidRDefault="00296A65" w:rsidP="000D4CCF">
      <w:pPr>
        <w:spacing w:before="80" w:after="80"/>
        <w:rPr>
          <w:i/>
        </w:rPr>
      </w:pPr>
      <w:r>
        <w:rPr>
          <w:b/>
          <w:bCs/>
          <w:i/>
        </w:rPr>
        <w:t>Your business</w:t>
      </w:r>
    </w:p>
    <w:p w14:paraId="0E08BF17" w14:textId="0E380DDE" w:rsidR="005667CB" w:rsidRPr="00EF393C" w:rsidRDefault="00296A65" w:rsidP="000D4CCF">
      <w:pPr>
        <w:numPr>
          <w:ilvl w:val="0"/>
          <w:numId w:val="31"/>
        </w:numPr>
        <w:spacing w:before="80" w:after="80"/>
        <w:rPr>
          <w:b/>
          <w:bCs/>
          <w:i/>
        </w:rPr>
      </w:pPr>
      <w:r>
        <w:t>We are interested in hearing a little about your business (including type of business, platform etc) and your experience with the LVIG regime</w:t>
      </w:r>
      <w:r w:rsidR="00C13741">
        <w:t xml:space="preserve"> including the nature of your interactions with the ATO and ABF? </w:t>
      </w:r>
    </w:p>
    <w:p w14:paraId="66E05A26" w14:textId="3309E9C7" w:rsidR="000C5C5C" w:rsidRPr="00AC09BB" w:rsidRDefault="00465E6A" w:rsidP="000D4CCF">
      <w:pPr>
        <w:spacing w:before="80" w:after="80"/>
        <w:rPr>
          <w:b/>
          <w:bCs/>
          <w:i/>
        </w:rPr>
      </w:pPr>
      <w:r w:rsidRPr="00AC09BB">
        <w:rPr>
          <w:b/>
          <w:bCs/>
          <w:i/>
        </w:rPr>
        <w:t>Awareness of the LVIG regime</w:t>
      </w:r>
    </w:p>
    <w:p w14:paraId="409E90DA" w14:textId="11800D62" w:rsidR="00AC09BB" w:rsidRPr="00FC72B7" w:rsidRDefault="00555792" w:rsidP="000D4CCF">
      <w:pPr>
        <w:numPr>
          <w:ilvl w:val="0"/>
          <w:numId w:val="31"/>
        </w:numPr>
        <w:spacing w:before="80" w:after="80"/>
      </w:pPr>
      <w:r>
        <w:t>H</w:t>
      </w:r>
      <w:r w:rsidR="002854CB">
        <w:t xml:space="preserve">ave </w:t>
      </w:r>
      <w:r>
        <w:t xml:space="preserve">measures adopted to make </w:t>
      </w:r>
      <w:r w:rsidR="00465E6A">
        <w:t xml:space="preserve">foreign suppliers </w:t>
      </w:r>
      <w:r>
        <w:t>of goods aware of their obligations under the LVIG regime</w:t>
      </w:r>
      <w:r w:rsidR="002854CB">
        <w:t xml:space="preserve"> been effective</w:t>
      </w:r>
      <w:r>
        <w:t xml:space="preserve">? </w:t>
      </w:r>
    </w:p>
    <w:p w14:paraId="3DAF1400" w14:textId="0DC6E394" w:rsidR="00183F49" w:rsidRPr="00AC09BB" w:rsidRDefault="0010535E" w:rsidP="000D4CCF">
      <w:pPr>
        <w:spacing w:before="80" w:after="80"/>
        <w:rPr>
          <w:b/>
          <w:bCs/>
          <w:i/>
        </w:rPr>
      </w:pPr>
      <w:r>
        <w:rPr>
          <w:b/>
          <w:bCs/>
          <w:i/>
        </w:rPr>
        <w:t>Ease of compliance</w:t>
      </w:r>
    </w:p>
    <w:p w14:paraId="446226DB" w14:textId="2817F200" w:rsidR="00183F49" w:rsidRPr="00BC3E13" w:rsidRDefault="00997A0F" w:rsidP="000D4CCF">
      <w:pPr>
        <w:numPr>
          <w:ilvl w:val="0"/>
          <w:numId w:val="31"/>
        </w:numPr>
        <w:spacing w:before="80" w:after="80"/>
        <w:rPr>
          <w:iCs/>
        </w:rPr>
      </w:pPr>
      <w:r>
        <w:rPr>
          <w:iCs/>
        </w:rPr>
        <w:t>P</w:t>
      </w:r>
      <w:r w:rsidR="00296A65">
        <w:rPr>
          <w:iCs/>
        </w:rPr>
        <w:t>lease p</w:t>
      </w:r>
      <w:r w:rsidR="00FC72B7">
        <w:rPr>
          <w:iCs/>
        </w:rPr>
        <w:t>rovide</w:t>
      </w:r>
      <w:r w:rsidR="00FC72B7" w:rsidDel="00296A65">
        <w:rPr>
          <w:iCs/>
        </w:rPr>
        <w:t xml:space="preserve"> </w:t>
      </w:r>
      <w:r w:rsidR="00FC72B7">
        <w:rPr>
          <w:iCs/>
        </w:rPr>
        <w:t xml:space="preserve">insights on the </w:t>
      </w:r>
      <w:r w:rsidR="0010535E">
        <w:rPr>
          <w:iCs/>
        </w:rPr>
        <w:t xml:space="preserve">compliance burden associated with </w:t>
      </w:r>
      <w:r w:rsidR="00FC72B7">
        <w:rPr>
          <w:iCs/>
        </w:rPr>
        <w:t xml:space="preserve">the LVIG regime in relation to the </w:t>
      </w:r>
      <w:r>
        <w:rPr>
          <w:iCs/>
        </w:rPr>
        <w:t xml:space="preserve">following </w:t>
      </w:r>
      <w:r w:rsidR="00FC72B7">
        <w:rPr>
          <w:iCs/>
        </w:rPr>
        <w:t xml:space="preserve">activities: </w:t>
      </w:r>
    </w:p>
    <w:p w14:paraId="4019C47F" w14:textId="1E4BE7C0" w:rsidR="00BC3E13" w:rsidRPr="00BC3E13" w:rsidRDefault="00BC3E13" w:rsidP="000D4CCF">
      <w:pPr>
        <w:numPr>
          <w:ilvl w:val="1"/>
          <w:numId w:val="31"/>
        </w:numPr>
        <w:spacing w:before="80" w:after="80"/>
        <w:rPr>
          <w:iCs/>
        </w:rPr>
      </w:pPr>
      <w:r>
        <w:rPr>
          <w:iCs/>
        </w:rPr>
        <w:t xml:space="preserve">determining whether an entity is subject to LVIG obligations </w:t>
      </w:r>
    </w:p>
    <w:p w14:paraId="55B77E8B" w14:textId="1DF28EE6" w:rsidR="00183F49" w:rsidRPr="00BC3E13" w:rsidRDefault="00FC72B7" w:rsidP="000D4CCF">
      <w:pPr>
        <w:numPr>
          <w:ilvl w:val="1"/>
          <w:numId w:val="31"/>
        </w:numPr>
        <w:spacing w:before="80" w:after="80"/>
        <w:rPr>
          <w:iCs/>
        </w:rPr>
      </w:pPr>
      <w:r>
        <w:t xml:space="preserve">the </w:t>
      </w:r>
      <w:r w:rsidR="002854CB">
        <w:t>registr</w:t>
      </w:r>
      <w:r w:rsidR="002854CB" w:rsidRPr="00BC3E13">
        <w:rPr>
          <w:iCs/>
        </w:rPr>
        <w:t>ation process</w:t>
      </w:r>
    </w:p>
    <w:p w14:paraId="38DB95C7" w14:textId="74075839" w:rsidR="00BC3E13" w:rsidRDefault="00FC72B7" w:rsidP="000D4CCF">
      <w:pPr>
        <w:numPr>
          <w:ilvl w:val="1"/>
          <w:numId w:val="31"/>
        </w:numPr>
        <w:spacing w:before="80" w:after="80"/>
        <w:rPr>
          <w:iCs/>
        </w:rPr>
      </w:pPr>
      <w:r>
        <w:rPr>
          <w:iCs/>
        </w:rPr>
        <w:t xml:space="preserve">managing </w:t>
      </w:r>
      <w:r w:rsidR="00BC3E13">
        <w:rPr>
          <w:iCs/>
        </w:rPr>
        <w:t>payments and refunds</w:t>
      </w:r>
    </w:p>
    <w:p w14:paraId="124FBFB9" w14:textId="6431411D" w:rsidR="002854CB" w:rsidRPr="00BC3E13" w:rsidRDefault="00BC3E13" w:rsidP="000D4CCF">
      <w:pPr>
        <w:numPr>
          <w:ilvl w:val="1"/>
          <w:numId w:val="31"/>
        </w:numPr>
        <w:spacing w:before="80" w:after="80"/>
        <w:rPr>
          <w:iCs/>
        </w:rPr>
      </w:pPr>
      <w:r>
        <w:rPr>
          <w:iCs/>
        </w:rPr>
        <w:t xml:space="preserve">notification and record-keeping </w:t>
      </w:r>
      <w:r w:rsidR="00FC72B7">
        <w:rPr>
          <w:iCs/>
        </w:rPr>
        <w:t>requirements</w:t>
      </w:r>
    </w:p>
    <w:p w14:paraId="063509D1" w14:textId="6E0DE180" w:rsidR="00FC161F" w:rsidRDefault="00ED2066" w:rsidP="000D4CCF">
      <w:pPr>
        <w:numPr>
          <w:ilvl w:val="1"/>
          <w:numId w:val="31"/>
        </w:numPr>
        <w:spacing w:before="80" w:after="80"/>
      </w:pPr>
      <w:r w:rsidRPr="00BC3E13">
        <w:rPr>
          <w:iCs/>
        </w:rPr>
        <w:t>lodg</w:t>
      </w:r>
      <w:r>
        <w:rPr>
          <w:iCs/>
        </w:rPr>
        <w:t>ement</w:t>
      </w:r>
      <w:r w:rsidR="00183F49">
        <w:t xml:space="preserve"> of returns</w:t>
      </w:r>
    </w:p>
    <w:p w14:paraId="1F35E8FC" w14:textId="3BC64E99" w:rsidR="00AC09BB" w:rsidRPr="00AC09BB" w:rsidRDefault="00FC161F" w:rsidP="000D4CCF">
      <w:pPr>
        <w:numPr>
          <w:ilvl w:val="1"/>
          <w:numId w:val="31"/>
        </w:numPr>
        <w:spacing w:before="80" w:after="80"/>
      </w:pPr>
      <w:r>
        <w:t>obtaining assistance to comply with LVIG obligations</w:t>
      </w:r>
    </w:p>
    <w:p w14:paraId="57ED91A5" w14:textId="7CC48036" w:rsidR="00C37B0E" w:rsidRPr="00AC09BB" w:rsidRDefault="002854CB" w:rsidP="000D4CCF">
      <w:pPr>
        <w:spacing w:before="80" w:after="80"/>
        <w:rPr>
          <w:b/>
          <w:bCs/>
          <w:i/>
          <w:iCs/>
        </w:rPr>
      </w:pPr>
      <w:bookmarkStart w:id="11" w:name="_Hlk74910988"/>
      <w:r w:rsidRPr="00AC09BB">
        <w:rPr>
          <w:b/>
          <w:bCs/>
          <w:i/>
          <w:iCs/>
        </w:rPr>
        <w:t xml:space="preserve">Interaction with </w:t>
      </w:r>
      <w:r w:rsidR="00F93861" w:rsidRPr="00AC09BB">
        <w:rPr>
          <w:b/>
          <w:bCs/>
          <w:i/>
          <w:iCs/>
        </w:rPr>
        <w:t>importation rules</w:t>
      </w:r>
    </w:p>
    <w:bookmarkEnd w:id="11"/>
    <w:p w14:paraId="57C86D11" w14:textId="31134EE8" w:rsidR="00AC09BB" w:rsidRPr="00EF393C" w:rsidRDefault="00FC72B7" w:rsidP="000D4CCF">
      <w:pPr>
        <w:numPr>
          <w:ilvl w:val="0"/>
          <w:numId w:val="31"/>
        </w:numPr>
        <w:spacing w:before="80" w:after="80"/>
        <w:rPr>
          <w:i/>
        </w:rPr>
      </w:pPr>
      <w:r>
        <w:rPr>
          <w:iCs/>
        </w:rPr>
        <w:t xml:space="preserve">Do the LVIG rules interact well with the taxable importation rules for higher value goods? What issues arise and how are they managed? </w:t>
      </w:r>
    </w:p>
    <w:p w14:paraId="31733C2B" w14:textId="6104AB4E" w:rsidR="00FF211F" w:rsidRPr="00AC09BB" w:rsidRDefault="00FF211F" w:rsidP="000D4CCF">
      <w:pPr>
        <w:spacing w:before="80" w:after="80"/>
        <w:rPr>
          <w:b/>
          <w:bCs/>
          <w:i/>
        </w:rPr>
      </w:pPr>
      <w:r w:rsidRPr="00AC09BB">
        <w:rPr>
          <w:b/>
          <w:bCs/>
          <w:i/>
        </w:rPr>
        <w:t>Compliance</w:t>
      </w:r>
    </w:p>
    <w:p w14:paraId="3DF3201B" w14:textId="3C3E8BDB" w:rsidR="007215AA" w:rsidRDefault="000424AE" w:rsidP="000D4CCF">
      <w:pPr>
        <w:numPr>
          <w:ilvl w:val="0"/>
          <w:numId w:val="31"/>
        </w:numPr>
        <w:spacing w:before="80" w:after="80"/>
        <w:rPr>
          <w:iCs/>
        </w:rPr>
      </w:pPr>
      <w:r w:rsidRPr="00A83410">
        <w:rPr>
          <w:iCs/>
        </w:rPr>
        <w:t xml:space="preserve">What insights do you have on overall level of compliance with the LVIG regime? </w:t>
      </w:r>
    </w:p>
    <w:p w14:paraId="46881D6F" w14:textId="065E4301" w:rsidR="00A83410" w:rsidRDefault="00A83410" w:rsidP="000D4CCF">
      <w:pPr>
        <w:numPr>
          <w:ilvl w:val="0"/>
          <w:numId w:val="31"/>
        </w:numPr>
        <w:spacing w:before="80" w:after="80"/>
        <w:rPr>
          <w:iCs/>
        </w:rPr>
      </w:pPr>
      <w:r>
        <w:rPr>
          <w:iCs/>
        </w:rPr>
        <w:t xml:space="preserve">What do you regard as the main reasons for non-compliance? </w:t>
      </w:r>
    </w:p>
    <w:p w14:paraId="1F9D02F1" w14:textId="67AD11BB" w:rsidR="00FC72B7" w:rsidRPr="00EF393C" w:rsidRDefault="00A83410" w:rsidP="000D4CCF">
      <w:pPr>
        <w:numPr>
          <w:ilvl w:val="0"/>
          <w:numId w:val="31"/>
        </w:numPr>
        <w:spacing w:before="80" w:after="80"/>
        <w:rPr>
          <w:iCs/>
        </w:rPr>
      </w:pPr>
      <w:r>
        <w:rPr>
          <w:iCs/>
        </w:rPr>
        <w:t xml:space="preserve">How could compliance levels be improved? </w:t>
      </w:r>
    </w:p>
    <w:p w14:paraId="4279E1C4" w14:textId="39ABA3B2" w:rsidR="00A83410" w:rsidRPr="00AC09BB" w:rsidRDefault="00A83410" w:rsidP="000D4CCF">
      <w:pPr>
        <w:spacing w:before="80" w:after="80"/>
        <w:rPr>
          <w:b/>
          <w:bCs/>
          <w:i/>
        </w:rPr>
      </w:pPr>
      <w:r w:rsidRPr="00AC09BB">
        <w:rPr>
          <w:b/>
          <w:bCs/>
          <w:i/>
        </w:rPr>
        <w:t xml:space="preserve">International </w:t>
      </w:r>
      <w:r w:rsidR="00BC0A5F">
        <w:rPr>
          <w:b/>
          <w:bCs/>
          <w:i/>
        </w:rPr>
        <w:t>impacts</w:t>
      </w:r>
    </w:p>
    <w:p w14:paraId="33F06134" w14:textId="1778B8D8" w:rsidR="00A83410" w:rsidRDefault="00465E6A" w:rsidP="000D4CCF">
      <w:pPr>
        <w:numPr>
          <w:ilvl w:val="0"/>
          <w:numId w:val="31"/>
        </w:numPr>
        <w:spacing w:before="80" w:after="80"/>
        <w:rPr>
          <w:iCs/>
        </w:rPr>
      </w:pPr>
      <w:r>
        <w:rPr>
          <w:iCs/>
        </w:rPr>
        <w:t xml:space="preserve">What lessons can Australia draw from the implementation of low value GST or VAT regimes in other countries such as New Zealand, </w:t>
      </w:r>
      <w:r w:rsidR="009A0ED5">
        <w:rPr>
          <w:iCs/>
        </w:rPr>
        <w:t xml:space="preserve">Norway, the </w:t>
      </w:r>
      <w:r>
        <w:rPr>
          <w:iCs/>
        </w:rPr>
        <w:t>United Kingdom</w:t>
      </w:r>
      <w:r w:rsidR="00496A1D">
        <w:rPr>
          <w:iCs/>
        </w:rPr>
        <w:t xml:space="preserve">, </w:t>
      </w:r>
      <w:r>
        <w:rPr>
          <w:iCs/>
        </w:rPr>
        <w:t xml:space="preserve">the European Union </w:t>
      </w:r>
      <w:r w:rsidR="00F93861">
        <w:rPr>
          <w:iCs/>
        </w:rPr>
        <w:t>c</w:t>
      </w:r>
      <w:r>
        <w:rPr>
          <w:iCs/>
        </w:rPr>
        <w:t>ountries</w:t>
      </w:r>
      <w:r w:rsidR="00496A1D">
        <w:rPr>
          <w:iCs/>
        </w:rPr>
        <w:t xml:space="preserve"> and Singapore</w:t>
      </w:r>
      <w:r>
        <w:rPr>
          <w:iCs/>
        </w:rPr>
        <w:t xml:space="preserve">? </w:t>
      </w:r>
    </w:p>
    <w:p w14:paraId="5EAF197E" w14:textId="431AAE08" w:rsidR="0010535E" w:rsidRPr="00A83410" w:rsidRDefault="0010535E" w:rsidP="000D4CCF">
      <w:pPr>
        <w:numPr>
          <w:ilvl w:val="0"/>
          <w:numId w:val="31"/>
        </w:numPr>
        <w:spacing w:before="80" w:after="80"/>
        <w:rPr>
          <w:iCs/>
        </w:rPr>
      </w:pPr>
      <w:r>
        <w:rPr>
          <w:iCs/>
        </w:rPr>
        <w:t xml:space="preserve">How well does the LVIG regime </w:t>
      </w:r>
      <w:r w:rsidR="008824BF">
        <w:rPr>
          <w:iCs/>
        </w:rPr>
        <w:t xml:space="preserve">interact with VAT or GST obligations imposed by other jurisdictions? Do issues of double taxation arise and how are they resolved? </w:t>
      </w:r>
    </w:p>
    <w:p w14:paraId="5958F863" w14:textId="54AAE7D3" w:rsidR="00895556" w:rsidRPr="00895556" w:rsidRDefault="003524EF" w:rsidP="000D4CCF">
      <w:pPr>
        <w:spacing w:before="80" w:after="80"/>
        <w:rPr>
          <w:b/>
          <w:bCs/>
          <w:i/>
        </w:rPr>
      </w:pPr>
      <w:r>
        <w:rPr>
          <w:b/>
          <w:bCs/>
          <w:i/>
        </w:rPr>
        <w:t>Achievement of Purpose</w:t>
      </w:r>
    </w:p>
    <w:p w14:paraId="3820667F" w14:textId="444B1A0E" w:rsidR="005667CB" w:rsidRPr="00A83410" w:rsidRDefault="00895556" w:rsidP="002854CB">
      <w:pPr>
        <w:numPr>
          <w:ilvl w:val="0"/>
          <w:numId w:val="31"/>
        </w:numPr>
        <w:rPr>
          <w:iCs/>
        </w:rPr>
      </w:pPr>
      <w:r>
        <w:t xml:space="preserve">Overall, how effective is LVIG regime on delivering on </w:t>
      </w:r>
      <w:r w:rsidR="00187ACF">
        <w:t xml:space="preserve">its </w:t>
      </w:r>
      <w:r>
        <w:t>intended purpose? What is working well? Are there aspects of the regime that could be improved?</w:t>
      </w:r>
    </w:p>
    <w:p w14:paraId="49F15F51" w14:textId="3056D4B9" w:rsidR="00754A10" w:rsidRDefault="00754A10" w:rsidP="00296A65">
      <w:pPr>
        <w:pStyle w:val="Heading1"/>
      </w:pPr>
      <w:bookmarkStart w:id="12" w:name="_Toc78808486"/>
      <w:r>
        <w:lastRenderedPageBreak/>
        <w:t>How to participate</w:t>
      </w:r>
      <w:bookmarkEnd w:id="12"/>
    </w:p>
    <w:p w14:paraId="4BE27FD1" w14:textId="600829C2" w:rsidR="00754A10" w:rsidRPr="005044AB" w:rsidRDefault="00754A10" w:rsidP="00754A10">
      <w:pPr>
        <w:pStyle w:val="Introductionparagraph"/>
      </w:pPr>
      <w:r w:rsidRPr="005044AB">
        <w:t>T</w:t>
      </w:r>
      <w:r>
        <w:t xml:space="preserve">he Board invites comment on the </w:t>
      </w:r>
      <w:r w:rsidR="003524EF">
        <w:t>matters</w:t>
      </w:r>
      <w:r w:rsidRPr="005044AB">
        <w:t xml:space="preserve"> set out in this consultation guide and looks forward to engaging further with </w:t>
      </w:r>
      <w:r>
        <w:t xml:space="preserve">interested parties </w:t>
      </w:r>
      <w:r w:rsidRPr="005044AB">
        <w:t>throughout the course of this review.</w:t>
      </w:r>
    </w:p>
    <w:p w14:paraId="4B4E4327" w14:textId="77777777" w:rsidR="00754A10" w:rsidRPr="003A6050" w:rsidRDefault="00754A10" w:rsidP="00754A10">
      <w:pPr>
        <w:rPr>
          <w:color w:val="C00000"/>
          <w:sz w:val="36"/>
          <w:szCs w:val="36"/>
        </w:rPr>
      </w:pPr>
      <w:r w:rsidRPr="003A6050">
        <w:rPr>
          <w:color w:val="C00000"/>
          <w:sz w:val="36"/>
          <w:szCs w:val="36"/>
        </w:rPr>
        <w:t>Consultations</w:t>
      </w:r>
    </w:p>
    <w:p w14:paraId="1472FAEC" w14:textId="587DA1CE" w:rsidR="008353B9" w:rsidRDefault="00754A10" w:rsidP="00754A10">
      <w:r>
        <w:t>The</w:t>
      </w:r>
      <w:r w:rsidRPr="00F05CA4">
        <w:t xml:space="preserve"> </w:t>
      </w:r>
      <w:r>
        <w:t xml:space="preserve">Board </w:t>
      </w:r>
      <w:r w:rsidR="008353B9">
        <w:t>will be holding</w:t>
      </w:r>
      <w:r>
        <w:t xml:space="preserve"> </w:t>
      </w:r>
      <w:r w:rsidR="008353B9">
        <w:t xml:space="preserve">a series </w:t>
      </w:r>
      <w:r>
        <w:t>of</w:t>
      </w:r>
      <w:r w:rsidR="008353B9">
        <w:t xml:space="preserve"> </w:t>
      </w:r>
      <w:r w:rsidR="0095625B">
        <w:t xml:space="preserve">virtual </w:t>
      </w:r>
      <w:r>
        <w:t>consultations</w:t>
      </w:r>
      <w:r w:rsidR="00222FCF">
        <w:t xml:space="preserve"> during August and September</w:t>
      </w:r>
      <w:r w:rsidR="008353B9">
        <w:t>:</w:t>
      </w:r>
    </w:p>
    <w:p w14:paraId="2F744AB8" w14:textId="77777777" w:rsidR="00C915A0" w:rsidRDefault="00C915A0" w:rsidP="00C915A0">
      <w:pPr>
        <w:pStyle w:val="ListParagraph"/>
        <w:numPr>
          <w:ilvl w:val="0"/>
          <w:numId w:val="20"/>
        </w:numPr>
        <w:spacing w:before="60" w:after="60"/>
      </w:pPr>
      <w:r>
        <w:t>Tuesday 17 August 2021</w:t>
      </w:r>
    </w:p>
    <w:p w14:paraId="1B634099" w14:textId="77777777" w:rsidR="00C915A0" w:rsidRDefault="00C915A0" w:rsidP="00C915A0">
      <w:pPr>
        <w:pStyle w:val="ListParagraph"/>
        <w:numPr>
          <w:ilvl w:val="0"/>
          <w:numId w:val="20"/>
        </w:numPr>
        <w:spacing w:before="60" w:after="60"/>
      </w:pPr>
      <w:r>
        <w:t>Tuesday 24 August 2021</w:t>
      </w:r>
    </w:p>
    <w:p w14:paraId="49B1F98F" w14:textId="77777777" w:rsidR="00C915A0" w:rsidRDefault="00C915A0" w:rsidP="00C915A0">
      <w:pPr>
        <w:pStyle w:val="ListParagraph"/>
        <w:numPr>
          <w:ilvl w:val="0"/>
          <w:numId w:val="20"/>
        </w:numPr>
        <w:spacing w:before="60" w:after="60"/>
      </w:pPr>
      <w:r>
        <w:t>Thursday 2 September 2021</w:t>
      </w:r>
    </w:p>
    <w:p w14:paraId="4BBFC3D5" w14:textId="77777777" w:rsidR="00C915A0" w:rsidRDefault="00C915A0" w:rsidP="00C915A0">
      <w:pPr>
        <w:pStyle w:val="ListParagraph"/>
        <w:numPr>
          <w:ilvl w:val="0"/>
          <w:numId w:val="20"/>
        </w:numPr>
        <w:spacing w:before="60" w:after="60"/>
      </w:pPr>
      <w:r>
        <w:t>Wednesday 8 September 2021</w:t>
      </w:r>
    </w:p>
    <w:p w14:paraId="3CBBA172" w14:textId="0A855D08" w:rsidR="008353B9" w:rsidRDefault="008353B9" w:rsidP="008353B9">
      <w:r>
        <w:t xml:space="preserve">If you would like to participate in discussions, please express your interest at </w:t>
      </w:r>
      <w:hyperlink r:id="rId22" w:history="1">
        <w:r w:rsidR="00AC09BB" w:rsidRPr="004269CA">
          <w:rPr>
            <w:rStyle w:val="Hyperlink"/>
          </w:rPr>
          <w:t>LVIG@taxboard.gov.au</w:t>
        </w:r>
      </w:hyperlink>
      <w:r>
        <w:t xml:space="preserve">, and let us know where you are located. </w:t>
      </w:r>
    </w:p>
    <w:p w14:paraId="052D6C68" w14:textId="0B9588D9" w:rsidR="00754A10" w:rsidRPr="003A6050" w:rsidRDefault="00754A10" w:rsidP="00754A10">
      <w:pPr>
        <w:rPr>
          <w:color w:val="C00000"/>
          <w:sz w:val="36"/>
          <w:szCs w:val="36"/>
        </w:rPr>
      </w:pPr>
      <w:r w:rsidRPr="003A6050">
        <w:rPr>
          <w:color w:val="C00000"/>
          <w:sz w:val="36"/>
          <w:szCs w:val="36"/>
        </w:rPr>
        <w:t>Submissions</w:t>
      </w:r>
      <w:r w:rsidR="00E77619">
        <w:rPr>
          <w:color w:val="C00000"/>
          <w:sz w:val="36"/>
          <w:szCs w:val="36"/>
        </w:rPr>
        <w:t xml:space="preserve"> </w:t>
      </w:r>
    </w:p>
    <w:p w14:paraId="3AA48B07" w14:textId="0264018E" w:rsidR="00D50F8C" w:rsidRDefault="00E53F33" w:rsidP="00754A10">
      <w:r>
        <w:t>In addition to participating in consultations, t</w:t>
      </w:r>
      <w:r w:rsidR="00754A10" w:rsidRPr="00F05CA4">
        <w:t xml:space="preserve">he Board </w:t>
      </w:r>
      <w:r w:rsidR="005E4884">
        <w:t>welcomes any</w:t>
      </w:r>
      <w:r w:rsidR="00754A10" w:rsidRPr="00F05CA4">
        <w:t xml:space="preserve"> </w:t>
      </w:r>
      <w:r w:rsidR="00754A10">
        <w:t xml:space="preserve">written </w:t>
      </w:r>
      <w:r w:rsidR="005E4884">
        <w:t xml:space="preserve">submissions to this review. </w:t>
      </w:r>
      <w:r w:rsidR="00754A10" w:rsidRPr="00F05CA4">
        <w:t xml:space="preserve">Submissions can be made </w:t>
      </w:r>
      <w:r w:rsidR="00754A10">
        <w:t>to</w:t>
      </w:r>
      <w:hyperlink r:id="rId23" w:history="1">
        <w:r w:rsidR="00B45C99" w:rsidRPr="00802AD8">
          <w:rPr>
            <w:rStyle w:val="Hyperlink"/>
          </w:rPr>
          <w:t xml:space="preserve"> LVIG@taxboard.gov.au</w:t>
        </w:r>
      </w:hyperlink>
      <w:r w:rsidR="00754A10" w:rsidRPr="00F05CA4">
        <w:t>.</w:t>
      </w:r>
      <w:r w:rsidR="002459A3">
        <w:t xml:space="preserve"> </w:t>
      </w:r>
    </w:p>
    <w:p w14:paraId="55765CB0" w14:textId="4C1E09A6" w:rsidR="001B7E07" w:rsidRDefault="002459A3" w:rsidP="001B7E07">
      <w:r>
        <w:t>Th</w:t>
      </w:r>
      <w:r w:rsidR="005F5591">
        <w:t>e Board will accept submissions in response to this Consultation Guide</w:t>
      </w:r>
      <w:r w:rsidR="00D50F8C">
        <w:t xml:space="preserve"> </w:t>
      </w:r>
      <w:r w:rsidR="00D50F8C" w:rsidRPr="00F03540">
        <w:t xml:space="preserve">until </w:t>
      </w:r>
      <w:r w:rsidR="00140BFC" w:rsidRPr="00F03540">
        <w:rPr>
          <w:b/>
        </w:rPr>
        <w:t xml:space="preserve">22 </w:t>
      </w:r>
      <w:r w:rsidR="00CE2816" w:rsidRPr="00F03540">
        <w:rPr>
          <w:b/>
        </w:rPr>
        <w:t>September</w:t>
      </w:r>
      <w:r w:rsidR="00F03540">
        <w:rPr>
          <w:b/>
        </w:rPr>
        <w:t xml:space="preserve"> 2021</w:t>
      </w:r>
      <w:r w:rsidR="00B45C99">
        <w:rPr>
          <w:b/>
        </w:rPr>
        <w:t xml:space="preserve">. </w:t>
      </w:r>
      <w:r w:rsidR="00F03540">
        <w:rPr>
          <w:b/>
        </w:rPr>
        <w:br/>
      </w:r>
      <w:r w:rsidR="001B7E07">
        <w:t xml:space="preserve">All submissions will be published on the Board’s website except where the submission is made on a confidential basis. </w:t>
      </w:r>
    </w:p>
    <w:p w14:paraId="38CEC147" w14:textId="77777777" w:rsidR="00754A10" w:rsidRPr="003A6050" w:rsidRDefault="00754A10" w:rsidP="00754A10">
      <w:pPr>
        <w:rPr>
          <w:color w:val="C00000"/>
          <w:sz w:val="36"/>
          <w:szCs w:val="36"/>
        </w:rPr>
      </w:pPr>
      <w:r w:rsidRPr="003A6050">
        <w:rPr>
          <w:color w:val="C00000"/>
          <w:sz w:val="36"/>
          <w:szCs w:val="36"/>
        </w:rPr>
        <w:t>Contact information</w:t>
      </w:r>
    </w:p>
    <w:p w14:paraId="6ED98580" w14:textId="77777777" w:rsidR="00754A10" w:rsidRPr="00F05CA4" w:rsidRDefault="00754A10" w:rsidP="00754A10">
      <w:r w:rsidRPr="00F05CA4">
        <w:t>The Board is supported by a sec</w:t>
      </w:r>
      <w:r>
        <w:t>retariat based in the Treasury.</w:t>
      </w:r>
    </w:p>
    <w:p w14:paraId="45D5615D" w14:textId="71C2E78D" w:rsidR="00754A10" w:rsidRDefault="00BE1FBE" w:rsidP="00754A10">
      <w:r>
        <w:t xml:space="preserve">Email: </w:t>
      </w:r>
      <w:hyperlink r:id="rId24" w:history="1">
        <w:r w:rsidR="00B45C99" w:rsidRPr="00802AD8">
          <w:rPr>
            <w:rStyle w:val="Hyperlink"/>
          </w:rPr>
          <w:t>LVIG@taxboard.gov.au</w:t>
        </w:r>
      </w:hyperlink>
    </w:p>
    <w:p w14:paraId="26051683" w14:textId="77777777" w:rsidR="00754A10" w:rsidRPr="00043A4B" w:rsidRDefault="00754A10" w:rsidP="00754A10">
      <w:r w:rsidRPr="00F05CA4">
        <w:t xml:space="preserve">Phone: (02) 6263 </w:t>
      </w:r>
      <w:r w:rsidR="008353B9">
        <w:t>4366</w:t>
      </w:r>
    </w:p>
    <w:sectPr w:rsidR="00754A10" w:rsidRPr="00043A4B" w:rsidSect="000D4CCF">
      <w:headerReference w:type="even" r:id="rId25"/>
      <w:pgSz w:w="11906" w:h="16838" w:code="9"/>
      <w:pgMar w:top="2127" w:right="1134" w:bottom="1276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655B" w14:textId="77777777" w:rsidR="00096AB3" w:rsidRDefault="00096AB3">
      <w:pPr>
        <w:spacing w:before="0" w:after="0"/>
      </w:pPr>
      <w:r>
        <w:separator/>
      </w:r>
    </w:p>
  </w:endnote>
  <w:endnote w:type="continuationSeparator" w:id="0">
    <w:p w14:paraId="1AB3BE5A" w14:textId="77777777" w:rsidR="00096AB3" w:rsidRDefault="00096AB3">
      <w:pPr>
        <w:spacing w:before="0" w:after="0"/>
      </w:pPr>
      <w:r>
        <w:continuationSeparator/>
      </w:r>
    </w:p>
  </w:endnote>
  <w:endnote w:type="continuationNotice" w:id="1">
    <w:p w14:paraId="44E0535A" w14:textId="77777777" w:rsidR="00096AB3" w:rsidRDefault="00096AB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82C1" w14:textId="77777777" w:rsidR="00672371" w:rsidRDefault="00672371" w:rsidP="003C24B4">
    <w:pPr>
      <w:pStyle w:val="FooterEven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  <w:r>
      <w:t xml:space="preserve"> </w:t>
    </w:r>
    <w:r w:rsidRPr="00043A4B">
      <w:rPr>
        <w:color w:val="7F7F7F" w:themeColor="text1" w:themeTint="80"/>
      </w:rPr>
      <w:t>Consultation Guide |</w:t>
    </w:r>
    <w:r w:rsidRPr="00043A4B">
      <w:t xml:space="preserve"> Review of Small Business Tax Concessions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E3D6" w14:textId="77777777" w:rsidR="00672371" w:rsidRDefault="00672371" w:rsidP="002D340B">
    <w:pPr>
      <w:pStyle w:val="Footer"/>
    </w:pPr>
    <w:r w:rsidRPr="007929CA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347500" wp14:editId="637956DE">
              <wp:simplePos x="0" y="0"/>
              <wp:positionH relativeFrom="column">
                <wp:posOffset>467995</wp:posOffset>
              </wp:positionH>
              <wp:positionV relativeFrom="paragraph">
                <wp:posOffset>252095</wp:posOffset>
              </wp:positionV>
              <wp:extent cx="4428000" cy="412200"/>
              <wp:effectExtent l="0" t="0" r="0" b="698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000" cy="41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AAB6C" w14:textId="1410F555" w:rsidR="00672371" w:rsidRDefault="00672371" w:rsidP="002D340B">
                          <w:pPr>
                            <w:pStyle w:val="FooterEven"/>
                          </w:pPr>
                          <w:r>
                            <w:rPr>
                              <w:color w:val="7F7F7F" w:themeColor="text1" w:themeTint="80"/>
                            </w:rPr>
                            <w:t>C</w:t>
                          </w:r>
                          <w:r w:rsidRPr="00043A4B">
                            <w:rPr>
                              <w:color w:val="7F7F7F" w:themeColor="text1" w:themeTint="80"/>
                            </w:rPr>
                            <w:t>onsultation Guide |</w:t>
                          </w:r>
                          <w:r w:rsidRPr="00043A4B">
                            <w:t xml:space="preserve"> Review of </w:t>
                          </w:r>
                          <w:r>
                            <w:t>GST on low value imported goods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475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.85pt;margin-top:19.85pt;width:348.65pt;height:32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" stroked="f">
              <v:textbox>
                <w:txbxContent>
                  <w:p w14:paraId="405AAB6C" w14:textId="1410F555" w:rsidR="00672371" w:rsidRDefault="00672371" w:rsidP="002D340B">
                    <w:pPr>
                      <w:pStyle w:val="FooterEven"/>
                    </w:pPr>
                    <w:r>
                      <w:rPr>
                        <w:color w:val="7F7F7F" w:themeColor="text1" w:themeTint="80"/>
                      </w:rPr>
                      <w:t>C</w:t>
                    </w:r>
                    <w:r w:rsidRPr="00043A4B">
                      <w:rPr>
                        <w:color w:val="7F7F7F" w:themeColor="text1" w:themeTint="80"/>
                      </w:rPr>
                      <w:t>onsultation Guide |</w:t>
                    </w:r>
                    <w:r w:rsidRPr="00043A4B">
                      <w:t xml:space="preserve"> Review of </w:t>
                    </w:r>
                    <w:r>
                      <w:t>GST on low value imported goods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662A2" wp14:editId="2D02AE7B">
              <wp:simplePos x="0" y="0"/>
              <wp:positionH relativeFrom="column">
                <wp:posOffset>0</wp:posOffset>
              </wp:positionH>
              <wp:positionV relativeFrom="paragraph">
                <wp:posOffset>252095</wp:posOffset>
              </wp:positionV>
              <wp:extent cx="431280" cy="431280"/>
              <wp:effectExtent l="0" t="0" r="6985" b="698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80" cy="431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205F9" w14:textId="409A9E5A" w:rsidR="00672371" w:rsidRPr="004B2B98" w:rsidRDefault="00672371" w:rsidP="002D340B">
                          <w:pPr>
                            <w:jc w:val="center"/>
                            <w:rPr>
                              <w:color w:val="FFFFFF" w:themeColor="background1"/>
                              <w:szCs w:val="22"/>
                            </w:rPr>
                          </w:pPr>
                          <w:r w:rsidRPr="004B2B98">
                            <w:rPr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Pr="004B2B98">
                            <w:rPr>
                              <w:color w:val="FFFFFF" w:themeColor="background1"/>
                              <w:szCs w:val="22"/>
                            </w:rPr>
                            <w:instrText xml:space="preserve"> PAGE   \* MERGEFORMAT </w:instrText>
                          </w:r>
                          <w:r w:rsidRPr="004B2B98">
                            <w:rPr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t>8</w:t>
                          </w:r>
                          <w:r w:rsidRPr="004B2B98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0662A2" id="_x0000_s1027" type="#_x0000_t202" style="position:absolute;left:0;text-align:left;margin-left:0;margin-top:19.85pt;width:33.9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" fillcolor="#002060" stroked="f">
              <v:textbox>
                <w:txbxContent>
                  <w:p w14:paraId="4EB205F9" w14:textId="409A9E5A" w:rsidR="00672371" w:rsidRPr="004B2B98" w:rsidRDefault="00672371" w:rsidP="002D340B">
                    <w:pPr>
                      <w:jc w:val="center"/>
                      <w:rPr>
                        <w:color w:val="FFFFFF" w:themeColor="background1"/>
                        <w:szCs w:val="22"/>
                      </w:rPr>
                    </w:pPr>
                    <w:r w:rsidRPr="004B2B98">
                      <w:rPr>
                        <w:color w:val="FFFFFF" w:themeColor="background1"/>
                        <w:szCs w:val="22"/>
                      </w:rPr>
                      <w:fldChar w:fldCharType="begin"/>
                    </w:r>
                    <w:r w:rsidRPr="004B2B98">
                      <w:rPr>
                        <w:color w:val="FFFFFF" w:themeColor="background1"/>
                        <w:szCs w:val="22"/>
                      </w:rPr>
                      <w:instrText xml:space="preserve"> PAGE   \* MERGEFORMAT </w:instrText>
                    </w:r>
                    <w:r w:rsidRPr="004B2B98">
                      <w:rPr>
                        <w:color w:val="FFFFFF" w:themeColor="background1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22"/>
                      </w:rPr>
                      <w:t>8</w:t>
                    </w:r>
                    <w:r w:rsidRPr="004B2B98">
                      <w:rPr>
                        <w:noProof/>
                        <w:color w:val="FFFFFF" w:themeColor="background1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EC5F0D" wp14:editId="390762AB">
          <wp:extent cx="6120130" cy="132715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s 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AF30" w14:textId="77777777" w:rsidR="00672371" w:rsidRDefault="00672371" w:rsidP="00157DFC">
    <w:pPr>
      <w:pStyle w:val="Footer"/>
    </w:pPr>
    <w:r w:rsidRPr="007929CA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B611801" wp14:editId="06E2CF0F">
              <wp:simplePos x="0" y="0"/>
              <wp:positionH relativeFrom="column">
                <wp:posOffset>467995</wp:posOffset>
              </wp:positionH>
              <wp:positionV relativeFrom="paragraph">
                <wp:posOffset>252095</wp:posOffset>
              </wp:positionV>
              <wp:extent cx="4428000" cy="412200"/>
              <wp:effectExtent l="0" t="0" r="0" b="698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000" cy="41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9DD8E" w14:textId="13F35B21" w:rsidR="00672371" w:rsidRDefault="00672371" w:rsidP="00157DFC">
                          <w:pPr>
                            <w:pStyle w:val="FooterEven"/>
                          </w:pPr>
                          <w:r>
                            <w:rPr>
                              <w:color w:val="7F7F7F" w:themeColor="text1" w:themeTint="80"/>
                            </w:rPr>
                            <w:t>C</w:t>
                          </w:r>
                          <w:r w:rsidRPr="00043A4B">
                            <w:rPr>
                              <w:color w:val="7F7F7F" w:themeColor="text1" w:themeTint="80"/>
                            </w:rPr>
                            <w:t>onsultation Guide |</w:t>
                          </w:r>
                          <w:r w:rsidRPr="00043A4B">
                            <w:t xml:space="preserve"> Review of </w:t>
                          </w:r>
                          <w:r>
                            <w:t>GST on low value imported goods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118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.85pt;margin-top:19.85pt;width:348.65pt;height:32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" stroked="f">
              <v:textbox>
                <w:txbxContent>
                  <w:p w14:paraId="6199DD8E" w14:textId="13F35B21" w:rsidR="00672371" w:rsidRDefault="00672371" w:rsidP="00157DFC">
                    <w:pPr>
                      <w:pStyle w:val="FooterEven"/>
                    </w:pPr>
                    <w:r>
                      <w:rPr>
                        <w:color w:val="7F7F7F" w:themeColor="text1" w:themeTint="80"/>
                      </w:rPr>
                      <w:t>C</w:t>
                    </w:r>
                    <w:r w:rsidRPr="00043A4B">
                      <w:rPr>
                        <w:color w:val="7F7F7F" w:themeColor="text1" w:themeTint="80"/>
                      </w:rPr>
                      <w:t>onsultation Guide |</w:t>
                    </w:r>
                    <w:r w:rsidRPr="00043A4B">
                      <w:t xml:space="preserve"> Review of </w:t>
                    </w:r>
                    <w:r>
                      <w:t>GST on low value imported goods</w:t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62E2D1E" wp14:editId="7485BA5A">
              <wp:simplePos x="0" y="0"/>
              <wp:positionH relativeFrom="column">
                <wp:posOffset>0</wp:posOffset>
              </wp:positionH>
              <wp:positionV relativeFrom="paragraph">
                <wp:posOffset>252095</wp:posOffset>
              </wp:positionV>
              <wp:extent cx="431280" cy="431280"/>
              <wp:effectExtent l="0" t="0" r="6985" b="698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80" cy="431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0CEA1" w14:textId="43D7DD54" w:rsidR="00672371" w:rsidRPr="004B2B98" w:rsidRDefault="00672371" w:rsidP="00157DFC">
                          <w:pPr>
                            <w:jc w:val="center"/>
                            <w:rPr>
                              <w:color w:val="FFFFFF" w:themeColor="background1"/>
                              <w:szCs w:val="22"/>
                            </w:rPr>
                          </w:pPr>
                          <w:r w:rsidRPr="004B2B98">
                            <w:rPr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Pr="004B2B98">
                            <w:rPr>
                              <w:color w:val="FFFFFF" w:themeColor="background1"/>
                              <w:szCs w:val="22"/>
                            </w:rPr>
                            <w:instrText xml:space="preserve"> PAGE   \* MERGEFORMAT </w:instrText>
                          </w:r>
                          <w:r w:rsidRPr="004B2B98">
                            <w:rPr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t>7</w:t>
                          </w:r>
                          <w:r w:rsidRPr="004B2B98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2E2D1E" id="_x0000_s1029" type="#_x0000_t202" style="position:absolute;left:0;text-align:left;margin-left:0;margin-top:19.85pt;width:33.95pt;height:33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" fillcolor="#002060" stroked="f">
              <v:textbox>
                <w:txbxContent>
                  <w:p w14:paraId="26B0CEA1" w14:textId="43D7DD54" w:rsidR="00672371" w:rsidRPr="004B2B98" w:rsidRDefault="00672371" w:rsidP="00157DFC">
                    <w:pPr>
                      <w:jc w:val="center"/>
                      <w:rPr>
                        <w:color w:val="FFFFFF" w:themeColor="background1"/>
                        <w:szCs w:val="22"/>
                      </w:rPr>
                    </w:pPr>
                    <w:r w:rsidRPr="004B2B98">
                      <w:rPr>
                        <w:color w:val="FFFFFF" w:themeColor="background1"/>
                        <w:szCs w:val="22"/>
                      </w:rPr>
                      <w:fldChar w:fldCharType="begin"/>
                    </w:r>
                    <w:r w:rsidRPr="004B2B98">
                      <w:rPr>
                        <w:color w:val="FFFFFF" w:themeColor="background1"/>
                        <w:szCs w:val="22"/>
                      </w:rPr>
                      <w:instrText xml:space="preserve"> PAGE   \* MERGEFORMAT </w:instrText>
                    </w:r>
                    <w:r w:rsidRPr="004B2B98">
                      <w:rPr>
                        <w:color w:val="FFFFFF" w:themeColor="background1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22"/>
                      </w:rPr>
                      <w:t>7</w:t>
                    </w:r>
                    <w:r w:rsidRPr="004B2B98">
                      <w:rPr>
                        <w:noProof/>
                        <w:color w:val="FFFFFF" w:themeColor="background1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4B0276" wp14:editId="5DAA34C5">
          <wp:extent cx="6120130" cy="132715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s 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EBBDF" w14:textId="77777777" w:rsidR="00672371" w:rsidRPr="00827552" w:rsidRDefault="00672371" w:rsidP="008275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54EC2" w14:textId="77777777" w:rsidR="00672371" w:rsidRPr="00827552" w:rsidRDefault="00672371" w:rsidP="00827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B590" w14:textId="77777777" w:rsidR="00096AB3" w:rsidRDefault="00096AB3">
      <w:pPr>
        <w:spacing w:before="0" w:after="0"/>
      </w:pPr>
      <w:r>
        <w:separator/>
      </w:r>
    </w:p>
  </w:footnote>
  <w:footnote w:type="continuationSeparator" w:id="0">
    <w:p w14:paraId="4EABFE13" w14:textId="77777777" w:rsidR="00096AB3" w:rsidRDefault="00096AB3">
      <w:pPr>
        <w:spacing w:before="0" w:after="0"/>
      </w:pPr>
      <w:r>
        <w:continuationSeparator/>
      </w:r>
    </w:p>
  </w:footnote>
  <w:footnote w:type="continuationNotice" w:id="1">
    <w:p w14:paraId="0948FB20" w14:textId="77777777" w:rsidR="00096AB3" w:rsidRDefault="00096AB3">
      <w:pPr>
        <w:spacing w:before="0" w:after="0"/>
      </w:pPr>
    </w:p>
  </w:footnote>
  <w:footnote w:id="2">
    <w:p w14:paraId="6D99F5AA" w14:textId="7DC729A9" w:rsidR="00672371" w:rsidRDefault="00672371" w:rsidP="00AC09BB">
      <w:pPr>
        <w:pStyle w:val="FootnoteText"/>
      </w:pPr>
      <w:r>
        <w:rPr>
          <w:rStyle w:val="FootnoteReference"/>
        </w:rPr>
        <w:footnoteRef/>
      </w:r>
      <w:r>
        <w:t xml:space="preserve"> Treasurer, Terms of Reference for Productivity Commission Inquiry, </w:t>
      </w:r>
      <w:r>
        <w:rPr>
          <w:i/>
          <w:iCs/>
        </w:rPr>
        <w:t xml:space="preserve">Collection Models for GST on Low Value Imported Goods </w:t>
      </w:r>
      <w:r w:rsidRPr="000A28CB">
        <w:t>(</w:t>
      </w:r>
      <w:r>
        <w:t xml:space="preserve">July 2017). </w:t>
      </w:r>
    </w:p>
  </w:footnote>
  <w:footnote w:id="3">
    <w:p w14:paraId="6186055F" w14:textId="5069BDA5" w:rsidR="00672371" w:rsidRPr="00CE1543" w:rsidRDefault="00672371">
      <w:pPr>
        <w:pStyle w:val="FootnoteText"/>
      </w:pPr>
      <w:r>
        <w:rPr>
          <w:rStyle w:val="FootnoteReference"/>
        </w:rPr>
        <w:footnoteRef/>
      </w:r>
      <w:r>
        <w:t xml:space="preserve"> OECD, </w:t>
      </w:r>
      <w:r>
        <w:rPr>
          <w:i/>
          <w:iCs/>
        </w:rPr>
        <w:t xml:space="preserve">The Role of Digital Platforms in the Collection of VAT/GST on Online Sales </w:t>
      </w:r>
      <w:r>
        <w:t>(March, 2019</w:t>
      </w:r>
      <w:r w:rsidR="00F90354">
        <w:t>)</w:t>
      </w:r>
      <w:r w:rsidR="0087237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EB48" w14:textId="77777777" w:rsidR="00672371" w:rsidRPr="001F3912" w:rsidRDefault="00672371" w:rsidP="00B37C6C">
    <w:r>
      <w:rPr>
        <w:noProof/>
      </w:rPr>
      <w:drawing>
        <wp:anchor distT="0" distB="0" distL="114300" distR="114300" simplePos="0" relativeHeight="251658242" behindDoc="1" locked="0" layoutInCell="1" allowOverlap="1" wp14:anchorId="16416BCA" wp14:editId="66D0D89B">
          <wp:simplePos x="723900" y="523875"/>
          <wp:positionH relativeFrom="page">
            <wp:align>center</wp:align>
          </wp:positionH>
          <wp:positionV relativeFrom="page">
            <wp:align>top</wp:align>
          </wp:positionV>
          <wp:extent cx="7560360" cy="181224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_no 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181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91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D5F7" w14:textId="77777777" w:rsidR="00672371" w:rsidRPr="00827552" w:rsidRDefault="00672371" w:rsidP="00827552">
    <w:pPr>
      <w:pStyle w:val="Header"/>
    </w:pPr>
    <w:r>
      <w:rPr>
        <w:noProof/>
      </w:rPr>
      <w:drawing>
        <wp:anchor distT="0" distB="0" distL="114300" distR="114300" simplePos="0" relativeHeight="251658246" behindDoc="1" locked="0" layoutInCell="1" allowOverlap="1" wp14:anchorId="7512A34C" wp14:editId="670F978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04025" cy="15335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_no 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2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F8AD" w14:textId="77777777" w:rsidR="00672371" w:rsidRPr="00827552" w:rsidRDefault="00672371" w:rsidP="008275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00BE" w14:textId="77777777" w:rsidR="00672371" w:rsidRPr="001F3912" w:rsidRDefault="00672371" w:rsidP="00157DFC">
    <w:pPr>
      <w:tabs>
        <w:tab w:val="center" w:pos="4819"/>
      </w:tabs>
    </w:pPr>
    <w:r>
      <w:rPr>
        <w:noProof/>
      </w:rPr>
      <w:drawing>
        <wp:anchor distT="0" distB="0" distL="114300" distR="114300" simplePos="0" relativeHeight="251658243" behindDoc="1" locked="0" layoutInCell="1" allowOverlap="1" wp14:anchorId="65B7437A" wp14:editId="42A49E53">
          <wp:simplePos x="0" y="0"/>
          <wp:positionH relativeFrom="page">
            <wp:posOffset>428625</wp:posOffset>
          </wp:positionH>
          <wp:positionV relativeFrom="page">
            <wp:align>top</wp:align>
          </wp:positionV>
          <wp:extent cx="6804025" cy="1533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_no 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2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912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 w15:restartNumberingAfterBreak="0">
    <w:nsid w:val="08100FD2"/>
    <w:multiLevelType w:val="hybridMultilevel"/>
    <w:tmpl w:val="1748A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2612"/>
    <w:multiLevelType w:val="hybridMultilevel"/>
    <w:tmpl w:val="89C0FF98"/>
    <w:lvl w:ilvl="0" w:tplc="0B7C0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F4DDE"/>
    <w:multiLevelType w:val="hybridMultilevel"/>
    <w:tmpl w:val="E5C42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49BD"/>
    <w:multiLevelType w:val="multilevel"/>
    <w:tmpl w:val="4FCA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A92595"/>
    <w:multiLevelType w:val="hybridMultilevel"/>
    <w:tmpl w:val="DE46B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4E5D"/>
    <w:multiLevelType w:val="multilevel"/>
    <w:tmpl w:val="D10E9CF6"/>
    <w:numStyleLink w:val="OneLevelList"/>
  </w:abstractNum>
  <w:abstractNum w:abstractNumId="8" w15:restartNumberingAfterBreak="0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8440D8F"/>
    <w:multiLevelType w:val="hybridMultilevel"/>
    <w:tmpl w:val="ACE8A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2508B"/>
    <w:multiLevelType w:val="hybridMultilevel"/>
    <w:tmpl w:val="AD38E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00F8A"/>
    <w:multiLevelType w:val="hybridMultilevel"/>
    <w:tmpl w:val="22265E6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7826BF0"/>
    <w:multiLevelType w:val="multilevel"/>
    <w:tmpl w:val="6D0AA75C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BC31B7"/>
    <w:multiLevelType w:val="hybridMultilevel"/>
    <w:tmpl w:val="E58CA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C2710"/>
    <w:multiLevelType w:val="multilevel"/>
    <w:tmpl w:val="0D723674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5679"/>
        </w:tabs>
        <w:ind w:left="5679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963"/>
        </w:tabs>
        <w:ind w:left="5963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6246"/>
        </w:tabs>
        <w:ind w:left="6246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6836"/>
        </w:tabs>
        <w:ind w:left="6836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7196"/>
        </w:tabs>
        <w:ind w:left="7196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7556"/>
        </w:tabs>
        <w:ind w:left="7556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7916"/>
        </w:tabs>
        <w:ind w:left="7916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8276"/>
        </w:tabs>
        <w:ind w:left="8276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8636"/>
        </w:tabs>
        <w:ind w:left="8636" w:hanging="360"/>
      </w:pPr>
      <w:rPr>
        <w:rFonts w:hint="default"/>
        <w:b w:val="0"/>
        <w:i w:val="0"/>
      </w:rPr>
    </w:lvl>
  </w:abstractNum>
  <w:abstractNum w:abstractNumId="15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5429CE"/>
    <w:multiLevelType w:val="multilevel"/>
    <w:tmpl w:val="D95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D1629"/>
    <w:multiLevelType w:val="hybridMultilevel"/>
    <w:tmpl w:val="A4FE4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45844"/>
    <w:multiLevelType w:val="multilevel"/>
    <w:tmpl w:val="5312367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C1614A"/>
    <w:multiLevelType w:val="hybridMultilevel"/>
    <w:tmpl w:val="4E964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D2021"/>
    <w:multiLevelType w:val="multilevel"/>
    <w:tmpl w:val="72F8140E"/>
    <w:numStyleLink w:val="OutlineList"/>
  </w:abstractNum>
  <w:abstractNum w:abstractNumId="22" w15:restartNumberingAfterBreak="0">
    <w:nsid w:val="552124BF"/>
    <w:multiLevelType w:val="multilevel"/>
    <w:tmpl w:val="3FECD122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730BC6"/>
    <w:multiLevelType w:val="multilevel"/>
    <w:tmpl w:val="968E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308BF"/>
    <w:multiLevelType w:val="multilevel"/>
    <w:tmpl w:val="5EF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674D41"/>
    <w:multiLevelType w:val="hybridMultilevel"/>
    <w:tmpl w:val="DAB04550"/>
    <w:lvl w:ilvl="0" w:tplc="D41E2C6E">
      <w:start w:val="1"/>
      <w:numFmt w:val="decimal"/>
      <w:lvlText w:val="%1"/>
      <w:lvlJc w:val="center"/>
      <w:pPr>
        <w:ind w:left="720" w:hanging="360"/>
      </w:pPr>
      <w:rPr>
        <w:rFonts w:hint="default"/>
        <w:color w:val="002060"/>
        <w:position w:val="-6"/>
        <w:sz w:val="64"/>
        <w:szCs w:val="6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C2962"/>
    <w:multiLevelType w:val="hybridMultilevel"/>
    <w:tmpl w:val="7EFC1760"/>
    <w:lvl w:ilvl="0" w:tplc="9552F286">
      <w:start w:val="1"/>
      <w:numFmt w:val="decimal"/>
      <w:lvlText w:val="%1"/>
      <w:lvlJc w:val="center"/>
      <w:pPr>
        <w:ind w:left="360" w:hanging="360"/>
      </w:pPr>
      <w:rPr>
        <w:rFonts w:hint="default"/>
        <w:color w:val="002060"/>
        <w:position w:val="-6"/>
        <w:sz w:val="64"/>
        <w:szCs w:val="6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E5277"/>
    <w:multiLevelType w:val="hybridMultilevel"/>
    <w:tmpl w:val="D4A66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06CE4"/>
    <w:multiLevelType w:val="multilevel"/>
    <w:tmpl w:val="4AE46AAE"/>
    <w:name w:val="StandardNumberedList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780B98"/>
    <w:multiLevelType w:val="multilevel"/>
    <w:tmpl w:val="69BA62C6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C87DCA"/>
    <w:multiLevelType w:val="hybridMultilevel"/>
    <w:tmpl w:val="FB1ACC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70AD4"/>
    <w:multiLevelType w:val="hybridMultilevel"/>
    <w:tmpl w:val="E96205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545F85"/>
    <w:multiLevelType w:val="hybridMultilevel"/>
    <w:tmpl w:val="6D3E4EC4"/>
    <w:lvl w:ilvl="0" w:tplc="5830A922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5"/>
  </w:num>
  <w:num w:numId="5">
    <w:abstractNumId w:val="7"/>
  </w:num>
  <w:num w:numId="6">
    <w:abstractNumId w:val="21"/>
  </w:num>
  <w:num w:numId="7">
    <w:abstractNumId w:val="15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8"/>
  </w:num>
  <w:num w:numId="9">
    <w:abstractNumId w:val="12"/>
  </w:num>
  <w:num w:numId="10">
    <w:abstractNumId w:val="15"/>
  </w:num>
  <w:num w:numId="11">
    <w:abstractNumId w:val="26"/>
  </w:num>
  <w:num w:numId="12">
    <w:abstractNumId w:val="28"/>
  </w:num>
  <w:num w:numId="13">
    <w:abstractNumId w:val="31"/>
  </w:num>
  <w:num w:numId="14">
    <w:abstractNumId w:val="20"/>
  </w:num>
  <w:num w:numId="15">
    <w:abstractNumId w:val="18"/>
  </w:num>
  <w:num w:numId="16">
    <w:abstractNumId w:val="30"/>
  </w:num>
  <w:num w:numId="17">
    <w:abstractNumId w:val="1"/>
  </w:num>
  <w:num w:numId="18">
    <w:abstractNumId w:val="9"/>
  </w:num>
  <w:num w:numId="19">
    <w:abstractNumId w:val="6"/>
  </w:num>
  <w:num w:numId="20">
    <w:abstractNumId w:val="3"/>
  </w:num>
  <w:num w:numId="21">
    <w:abstractNumId w:val="27"/>
  </w:num>
  <w:num w:numId="22">
    <w:abstractNumId w:val="25"/>
  </w:num>
  <w:num w:numId="23">
    <w:abstractNumId w:val="32"/>
  </w:num>
  <w:num w:numId="24">
    <w:abstractNumId w:val="13"/>
  </w:num>
  <w:num w:numId="25">
    <w:abstractNumId w:val="21"/>
  </w:num>
  <w:num w:numId="26">
    <w:abstractNumId w:val="22"/>
  </w:num>
  <w:num w:numId="27">
    <w:abstractNumId w:val="11"/>
  </w:num>
  <w:num w:numId="28">
    <w:abstractNumId w:val="10"/>
  </w:num>
  <w:num w:numId="29">
    <w:abstractNumId w:val="4"/>
  </w:num>
  <w:num w:numId="30">
    <w:abstractNumId w:val="23"/>
  </w:num>
  <w:num w:numId="31">
    <w:abstractNumId w:val="2"/>
  </w:num>
  <w:num w:numId="32">
    <w:abstractNumId w:val="24"/>
  </w:num>
  <w:num w:numId="33">
    <w:abstractNumId w:val="17"/>
  </w:num>
  <w:num w:numId="3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proofState w:spelling="clean" w:grammar="clean"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IClassificationInHeader" w:val="False"/>
    <w:docVar w:name="SecurityClassificationInHeader" w:val="False"/>
    <w:docVar w:name="SecurityDLMInHeader" w:val="False"/>
  </w:docVars>
  <w:rsids>
    <w:rsidRoot w:val="003D11E7"/>
    <w:rsid w:val="000108AA"/>
    <w:rsid w:val="00011725"/>
    <w:rsid w:val="00012C62"/>
    <w:rsid w:val="00014940"/>
    <w:rsid w:val="00014AC7"/>
    <w:rsid w:val="000152D6"/>
    <w:rsid w:val="00020170"/>
    <w:rsid w:val="000207C3"/>
    <w:rsid w:val="000242A4"/>
    <w:rsid w:val="00024DFB"/>
    <w:rsid w:val="0002544D"/>
    <w:rsid w:val="00025D46"/>
    <w:rsid w:val="00026C90"/>
    <w:rsid w:val="00030AA1"/>
    <w:rsid w:val="0003190B"/>
    <w:rsid w:val="000352C4"/>
    <w:rsid w:val="000371FA"/>
    <w:rsid w:val="00037361"/>
    <w:rsid w:val="00041F22"/>
    <w:rsid w:val="000424AE"/>
    <w:rsid w:val="0004274D"/>
    <w:rsid w:val="00042FD8"/>
    <w:rsid w:val="00043348"/>
    <w:rsid w:val="00043A4B"/>
    <w:rsid w:val="00044280"/>
    <w:rsid w:val="0004483F"/>
    <w:rsid w:val="00044901"/>
    <w:rsid w:val="00046C42"/>
    <w:rsid w:val="0005138B"/>
    <w:rsid w:val="0005166C"/>
    <w:rsid w:val="000522B7"/>
    <w:rsid w:val="0005440A"/>
    <w:rsid w:val="00056307"/>
    <w:rsid w:val="00056880"/>
    <w:rsid w:val="00056B68"/>
    <w:rsid w:val="000574E3"/>
    <w:rsid w:val="00060720"/>
    <w:rsid w:val="00064FCF"/>
    <w:rsid w:val="000675D1"/>
    <w:rsid w:val="000725A3"/>
    <w:rsid w:val="00073521"/>
    <w:rsid w:val="00073AEF"/>
    <w:rsid w:val="000775DE"/>
    <w:rsid w:val="0008037B"/>
    <w:rsid w:val="00080BEA"/>
    <w:rsid w:val="00081250"/>
    <w:rsid w:val="00081CC1"/>
    <w:rsid w:val="00082082"/>
    <w:rsid w:val="00083542"/>
    <w:rsid w:val="00084765"/>
    <w:rsid w:val="00086170"/>
    <w:rsid w:val="0008646F"/>
    <w:rsid w:val="00087635"/>
    <w:rsid w:val="00087A8B"/>
    <w:rsid w:val="00087FAF"/>
    <w:rsid w:val="00090A79"/>
    <w:rsid w:val="00091514"/>
    <w:rsid w:val="00092238"/>
    <w:rsid w:val="000935B0"/>
    <w:rsid w:val="000955DF"/>
    <w:rsid w:val="00095F49"/>
    <w:rsid w:val="000963E4"/>
    <w:rsid w:val="0009655C"/>
    <w:rsid w:val="00096AB3"/>
    <w:rsid w:val="000A2356"/>
    <w:rsid w:val="000A28CB"/>
    <w:rsid w:val="000A2BF4"/>
    <w:rsid w:val="000A3A83"/>
    <w:rsid w:val="000A58DA"/>
    <w:rsid w:val="000B0423"/>
    <w:rsid w:val="000B1A58"/>
    <w:rsid w:val="000B5F2E"/>
    <w:rsid w:val="000B610B"/>
    <w:rsid w:val="000B67CD"/>
    <w:rsid w:val="000B736C"/>
    <w:rsid w:val="000C0DE4"/>
    <w:rsid w:val="000C3381"/>
    <w:rsid w:val="000C4C09"/>
    <w:rsid w:val="000C571D"/>
    <w:rsid w:val="000C5C5C"/>
    <w:rsid w:val="000C5F40"/>
    <w:rsid w:val="000C6512"/>
    <w:rsid w:val="000C69F0"/>
    <w:rsid w:val="000D0260"/>
    <w:rsid w:val="000D03AD"/>
    <w:rsid w:val="000D4CCF"/>
    <w:rsid w:val="000D564A"/>
    <w:rsid w:val="000D5C39"/>
    <w:rsid w:val="000E071E"/>
    <w:rsid w:val="000E0B74"/>
    <w:rsid w:val="000E2441"/>
    <w:rsid w:val="000E3F3C"/>
    <w:rsid w:val="000E7449"/>
    <w:rsid w:val="000E7901"/>
    <w:rsid w:val="000F0D27"/>
    <w:rsid w:val="000F1B34"/>
    <w:rsid w:val="000F46D1"/>
    <w:rsid w:val="0010133E"/>
    <w:rsid w:val="001025D6"/>
    <w:rsid w:val="0010278E"/>
    <w:rsid w:val="00102A5D"/>
    <w:rsid w:val="0010478B"/>
    <w:rsid w:val="00104904"/>
    <w:rsid w:val="0010535E"/>
    <w:rsid w:val="00106FAB"/>
    <w:rsid w:val="00111BF6"/>
    <w:rsid w:val="00112EA9"/>
    <w:rsid w:val="00114A6B"/>
    <w:rsid w:val="00115441"/>
    <w:rsid w:val="00116219"/>
    <w:rsid w:val="001207A8"/>
    <w:rsid w:val="00120C87"/>
    <w:rsid w:val="00121D2D"/>
    <w:rsid w:val="00125B15"/>
    <w:rsid w:val="00125D50"/>
    <w:rsid w:val="00127C34"/>
    <w:rsid w:val="00127E5D"/>
    <w:rsid w:val="00127EC4"/>
    <w:rsid w:val="00131539"/>
    <w:rsid w:val="00131BF0"/>
    <w:rsid w:val="00131DC3"/>
    <w:rsid w:val="001327B3"/>
    <w:rsid w:val="00135E4C"/>
    <w:rsid w:val="0013625A"/>
    <w:rsid w:val="001373F5"/>
    <w:rsid w:val="00140398"/>
    <w:rsid w:val="00140822"/>
    <w:rsid w:val="00140BFC"/>
    <w:rsid w:val="00143F01"/>
    <w:rsid w:val="0014645F"/>
    <w:rsid w:val="00146F60"/>
    <w:rsid w:val="001513B3"/>
    <w:rsid w:val="00154D0F"/>
    <w:rsid w:val="00156571"/>
    <w:rsid w:val="00156956"/>
    <w:rsid w:val="00157DFC"/>
    <w:rsid w:val="00157F77"/>
    <w:rsid w:val="001606CF"/>
    <w:rsid w:val="0016128D"/>
    <w:rsid w:val="00163128"/>
    <w:rsid w:val="001644C1"/>
    <w:rsid w:val="00165524"/>
    <w:rsid w:val="0016777E"/>
    <w:rsid w:val="00167D37"/>
    <w:rsid w:val="0017089D"/>
    <w:rsid w:val="001710B2"/>
    <w:rsid w:val="00171690"/>
    <w:rsid w:val="00172573"/>
    <w:rsid w:val="00176154"/>
    <w:rsid w:val="00181140"/>
    <w:rsid w:val="00182908"/>
    <w:rsid w:val="00183783"/>
    <w:rsid w:val="0018387E"/>
    <w:rsid w:val="00183F49"/>
    <w:rsid w:val="00184C82"/>
    <w:rsid w:val="001852CD"/>
    <w:rsid w:val="0018678D"/>
    <w:rsid w:val="00187ACF"/>
    <w:rsid w:val="00187C2E"/>
    <w:rsid w:val="001903C3"/>
    <w:rsid w:val="0019101A"/>
    <w:rsid w:val="00193143"/>
    <w:rsid w:val="00194E43"/>
    <w:rsid w:val="00196141"/>
    <w:rsid w:val="001972D2"/>
    <w:rsid w:val="001A0C80"/>
    <w:rsid w:val="001A0CB7"/>
    <w:rsid w:val="001A26E6"/>
    <w:rsid w:val="001A3D44"/>
    <w:rsid w:val="001A3E17"/>
    <w:rsid w:val="001A4B95"/>
    <w:rsid w:val="001A4C85"/>
    <w:rsid w:val="001A4DF1"/>
    <w:rsid w:val="001A5402"/>
    <w:rsid w:val="001A5CCC"/>
    <w:rsid w:val="001A6D9F"/>
    <w:rsid w:val="001A6FA7"/>
    <w:rsid w:val="001B0F44"/>
    <w:rsid w:val="001B3623"/>
    <w:rsid w:val="001B4197"/>
    <w:rsid w:val="001B4974"/>
    <w:rsid w:val="001B4E8A"/>
    <w:rsid w:val="001B7324"/>
    <w:rsid w:val="001B7E07"/>
    <w:rsid w:val="001C0D9C"/>
    <w:rsid w:val="001C1A56"/>
    <w:rsid w:val="001C28D7"/>
    <w:rsid w:val="001C2A3B"/>
    <w:rsid w:val="001C2CCE"/>
    <w:rsid w:val="001C358D"/>
    <w:rsid w:val="001C4331"/>
    <w:rsid w:val="001C490F"/>
    <w:rsid w:val="001C5207"/>
    <w:rsid w:val="001C6987"/>
    <w:rsid w:val="001D2CA3"/>
    <w:rsid w:val="001D3A58"/>
    <w:rsid w:val="001D46C4"/>
    <w:rsid w:val="001D4CF9"/>
    <w:rsid w:val="001D696E"/>
    <w:rsid w:val="001D71AE"/>
    <w:rsid w:val="001E1198"/>
    <w:rsid w:val="001E2522"/>
    <w:rsid w:val="001E27C2"/>
    <w:rsid w:val="001E44BA"/>
    <w:rsid w:val="001E6777"/>
    <w:rsid w:val="001E67B9"/>
    <w:rsid w:val="001E6CB8"/>
    <w:rsid w:val="001F167A"/>
    <w:rsid w:val="001F1B27"/>
    <w:rsid w:val="001F2A0F"/>
    <w:rsid w:val="001F589A"/>
    <w:rsid w:val="002010BB"/>
    <w:rsid w:val="002033DE"/>
    <w:rsid w:val="002046C0"/>
    <w:rsid w:val="00206756"/>
    <w:rsid w:val="00206D81"/>
    <w:rsid w:val="00207F44"/>
    <w:rsid w:val="00210C31"/>
    <w:rsid w:val="00210F60"/>
    <w:rsid w:val="00212A58"/>
    <w:rsid w:val="00214CB8"/>
    <w:rsid w:val="0021757C"/>
    <w:rsid w:val="00217A2D"/>
    <w:rsid w:val="00221913"/>
    <w:rsid w:val="00221EC0"/>
    <w:rsid w:val="00222FCF"/>
    <w:rsid w:val="0022357B"/>
    <w:rsid w:val="002235BE"/>
    <w:rsid w:val="0022505E"/>
    <w:rsid w:val="0022546C"/>
    <w:rsid w:val="00231049"/>
    <w:rsid w:val="002314D2"/>
    <w:rsid w:val="0023305C"/>
    <w:rsid w:val="002357AD"/>
    <w:rsid w:val="00235D51"/>
    <w:rsid w:val="0024003D"/>
    <w:rsid w:val="0024006C"/>
    <w:rsid w:val="002408A8"/>
    <w:rsid w:val="00240E62"/>
    <w:rsid w:val="0024122D"/>
    <w:rsid w:val="00241881"/>
    <w:rsid w:val="0024294C"/>
    <w:rsid w:val="002459A3"/>
    <w:rsid w:val="00246D8B"/>
    <w:rsid w:val="00250CD5"/>
    <w:rsid w:val="00251099"/>
    <w:rsid w:val="00251D9E"/>
    <w:rsid w:val="00252C30"/>
    <w:rsid w:val="00254B85"/>
    <w:rsid w:val="00254D20"/>
    <w:rsid w:val="0025652F"/>
    <w:rsid w:val="00261DB4"/>
    <w:rsid w:val="00263B6C"/>
    <w:rsid w:val="002651E8"/>
    <w:rsid w:val="00265506"/>
    <w:rsid w:val="00270EDF"/>
    <w:rsid w:val="002717C0"/>
    <w:rsid w:val="002727CF"/>
    <w:rsid w:val="00272939"/>
    <w:rsid w:val="00272A9F"/>
    <w:rsid w:val="002757FA"/>
    <w:rsid w:val="0027590B"/>
    <w:rsid w:val="002774F5"/>
    <w:rsid w:val="00281265"/>
    <w:rsid w:val="002819FC"/>
    <w:rsid w:val="00283A7F"/>
    <w:rsid w:val="00284882"/>
    <w:rsid w:val="002854CB"/>
    <w:rsid w:val="00285969"/>
    <w:rsid w:val="00286212"/>
    <w:rsid w:val="00287286"/>
    <w:rsid w:val="00290C1A"/>
    <w:rsid w:val="002911E4"/>
    <w:rsid w:val="00291E50"/>
    <w:rsid w:val="00292F2B"/>
    <w:rsid w:val="00293440"/>
    <w:rsid w:val="00293545"/>
    <w:rsid w:val="0029556D"/>
    <w:rsid w:val="00296283"/>
    <w:rsid w:val="00296A65"/>
    <w:rsid w:val="002A0367"/>
    <w:rsid w:val="002A38B3"/>
    <w:rsid w:val="002A50B2"/>
    <w:rsid w:val="002A53E2"/>
    <w:rsid w:val="002A61A2"/>
    <w:rsid w:val="002A74EF"/>
    <w:rsid w:val="002A7768"/>
    <w:rsid w:val="002A7D94"/>
    <w:rsid w:val="002B1ED3"/>
    <w:rsid w:val="002B3829"/>
    <w:rsid w:val="002B3CBC"/>
    <w:rsid w:val="002B58E9"/>
    <w:rsid w:val="002B726D"/>
    <w:rsid w:val="002C22EF"/>
    <w:rsid w:val="002C4322"/>
    <w:rsid w:val="002C6583"/>
    <w:rsid w:val="002C72B7"/>
    <w:rsid w:val="002D340B"/>
    <w:rsid w:val="002D37B2"/>
    <w:rsid w:val="002D47D3"/>
    <w:rsid w:val="002D4B41"/>
    <w:rsid w:val="002D59A0"/>
    <w:rsid w:val="002D5C9D"/>
    <w:rsid w:val="002D6C73"/>
    <w:rsid w:val="002E0FD3"/>
    <w:rsid w:val="002E16D4"/>
    <w:rsid w:val="002E454C"/>
    <w:rsid w:val="002E4741"/>
    <w:rsid w:val="002E5A99"/>
    <w:rsid w:val="002E5CAE"/>
    <w:rsid w:val="002E64C0"/>
    <w:rsid w:val="002E7475"/>
    <w:rsid w:val="002E7684"/>
    <w:rsid w:val="002E7D71"/>
    <w:rsid w:val="002F08B1"/>
    <w:rsid w:val="002F14C3"/>
    <w:rsid w:val="002F419B"/>
    <w:rsid w:val="002F4E82"/>
    <w:rsid w:val="002F617F"/>
    <w:rsid w:val="00300109"/>
    <w:rsid w:val="00305FBC"/>
    <w:rsid w:val="00306894"/>
    <w:rsid w:val="00306CF6"/>
    <w:rsid w:val="003072C3"/>
    <w:rsid w:val="0031002D"/>
    <w:rsid w:val="003122F4"/>
    <w:rsid w:val="003143FE"/>
    <w:rsid w:val="0031588B"/>
    <w:rsid w:val="003206F6"/>
    <w:rsid w:val="003208DA"/>
    <w:rsid w:val="00320BB4"/>
    <w:rsid w:val="00322243"/>
    <w:rsid w:val="00322C90"/>
    <w:rsid w:val="003239AE"/>
    <w:rsid w:val="00323AE8"/>
    <w:rsid w:val="00325204"/>
    <w:rsid w:val="00325B6F"/>
    <w:rsid w:val="00326680"/>
    <w:rsid w:val="003268D5"/>
    <w:rsid w:val="0033165F"/>
    <w:rsid w:val="003357CB"/>
    <w:rsid w:val="0033643F"/>
    <w:rsid w:val="00341113"/>
    <w:rsid w:val="003448F6"/>
    <w:rsid w:val="00344FFB"/>
    <w:rsid w:val="0035051E"/>
    <w:rsid w:val="00350759"/>
    <w:rsid w:val="00350788"/>
    <w:rsid w:val="0035099A"/>
    <w:rsid w:val="00350FD1"/>
    <w:rsid w:val="00351119"/>
    <w:rsid w:val="0035153A"/>
    <w:rsid w:val="003516B6"/>
    <w:rsid w:val="003524EF"/>
    <w:rsid w:val="00354D27"/>
    <w:rsid w:val="003572E1"/>
    <w:rsid w:val="0035738A"/>
    <w:rsid w:val="00357413"/>
    <w:rsid w:val="00360AC4"/>
    <w:rsid w:val="00362EAB"/>
    <w:rsid w:val="003637C5"/>
    <w:rsid w:val="00365044"/>
    <w:rsid w:val="00365E2D"/>
    <w:rsid w:val="00372D40"/>
    <w:rsid w:val="003740A1"/>
    <w:rsid w:val="003746D1"/>
    <w:rsid w:val="00374AC8"/>
    <w:rsid w:val="003753B9"/>
    <w:rsid w:val="003803C1"/>
    <w:rsid w:val="003857B7"/>
    <w:rsid w:val="003858A6"/>
    <w:rsid w:val="00386715"/>
    <w:rsid w:val="00386F01"/>
    <w:rsid w:val="003916B0"/>
    <w:rsid w:val="00392844"/>
    <w:rsid w:val="00392DCC"/>
    <w:rsid w:val="0039423E"/>
    <w:rsid w:val="003948A5"/>
    <w:rsid w:val="00394FE5"/>
    <w:rsid w:val="003A0947"/>
    <w:rsid w:val="003A0970"/>
    <w:rsid w:val="003A1224"/>
    <w:rsid w:val="003A309C"/>
    <w:rsid w:val="003A58D7"/>
    <w:rsid w:val="003A5B36"/>
    <w:rsid w:val="003A6050"/>
    <w:rsid w:val="003A653C"/>
    <w:rsid w:val="003B2544"/>
    <w:rsid w:val="003B5278"/>
    <w:rsid w:val="003B5656"/>
    <w:rsid w:val="003B577B"/>
    <w:rsid w:val="003C2116"/>
    <w:rsid w:val="003C24B4"/>
    <w:rsid w:val="003C4D67"/>
    <w:rsid w:val="003C4E06"/>
    <w:rsid w:val="003C6DA0"/>
    <w:rsid w:val="003C7825"/>
    <w:rsid w:val="003D11E7"/>
    <w:rsid w:val="003D210A"/>
    <w:rsid w:val="003D2654"/>
    <w:rsid w:val="003E20D6"/>
    <w:rsid w:val="003E28DE"/>
    <w:rsid w:val="003E2DBC"/>
    <w:rsid w:val="003E4D87"/>
    <w:rsid w:val="003E66E6"/>
    <w:rsid w:val="003E687D"/>
    <w:rsid w:val="003E6E9A"/>
    <w:rsid w:val="003F1C55"/>
    <w:rsid w:val="003F479F"/>
    <w:rsid w:val="003F5E4D"/>
    <w:rsid w:val="003F680F"/>
    <w:rsid w:val="003F73E5"/>
    <w:rsid w:val="00400466"/>
    <w:rsid w:val="00400676"/>
    <w:rsid w:val="00401082"/>
    <w:rsid w:val="00404ACA"/>
    <w:rsid w:val="0040593B"/>
    <w:rsid w:val="00407CDB"/>
    <w:rsid w:val="004107A5"/>
    <w:rsid w:val="00410EC5"/>
    <w:rsid w:val="00413D7A"/>
    <w:rsid w:val="00413F31"/>
    <w:rsid w:val="00414250"/>
    <w:rsid w:val="00416701"/>
    <w:rsid w:val="00416762"/>
    <w:rsid w:val="00416E55"/>
    <w:rsid w:val="00417C26"/>
    <w:rsid w:val="004246FE"/>
    <w:rsid w:val="0042518A"/>
    <w:rsid w:val="004251BE"/>
    <w:rsid w:val="00432325"/>
    <w:rsid w:val="00432E91"/>
    <w:rsid w:val="00433ABA"/>
    <w:rsid w:val="00433AE0"/>
    <w:rsid w:val="00436066"/>
    <w:rsid w:val="00437C79"/>
    <w:rsid w:val="004415EA"/>
    <w:rsid w:val="004416C5"/>
    <w:rsid w:val="004437DB"/>
    <w:rsid w:val="00445265"/>
    <w:rsid w:val="00451D57"/>
    <w:rsid w:val="00455015"/>
    <w:rsid w:val="004559CE"/>
    <w:rsid w:val="00457AAF"/>
    <w:rsid w:val="00460E1A"/>
    <w:rsid w:val="00460E43"/>
    <w:rsid w:val="00462819"/>
    <w:rsid w:val="004631C7"/>
    <w:rsid w:val="00463DF8"/>
    <w:rsid w:val="00465110"/>
    <w:rsid w:val="00465823"/>
    <w:rsid w:val="00465DDB"/>
    <w:rsid w:val="00465E6A"/>
    <w:rsid w:val="0047075F"/>
    <w:rsid w:val="0047078F"/>
    <w:rsid w:val="004714F8"/>
    <w:rsid w:val="00475085"/>
    <w:rsid w:val="004757DD"/>
    <w:rsid w:val="00476C63"/>
    <w:rsid w:val="00476CF6"/>
    <w:rsid w:val="00477693"/>
    <w:rsid w:val="00477AA8"/>
    <w:rsid w:val="00483299"/>
    <w:rsid w:val="00483628"/>
    <w:rsid w:val="0048407F"/>
    <w:rsid w:val="0048525C"/>
    <w:rsid w:val="004865EE"/>
    <w:rsid w:val="00486AC9"/>
    <w:rsid w:val="00492FCB"/>
    <w:rsid w:val="00493652"/>
    <w:rsid w:val="00495850"/>
    <w:rsid w:val="00495BBF"/>
    <w:rsid w:val="00496A1D"/>
    <w:rsid w:val="00496C47"/>
    <w:rsid w:val="00496C51"/>
    <w:rsid w:val="0049727C"/>
    <w:rsid w:val="004A03D6"/>
    <w:rsid w:val="004A0F11"/>
    <w:rsid w:val="004A254A"/>
    <w:rsid w:val="004A3EAA"/>
    <w:rsid w:val="004A3EE0"/>
    <w:rsid w:val="004A46A3"/>
    <w:rsid w:val="004A5263"/>
    <w:rsid w:val="004A76B9"/>
    <w:rsid w:val="004A7D97"/>
    <w:rsid w:val="004B287A"/>
    <w:rsid w:val="004B4314"/>
    <w:rsid w:val="004B4636"/>
    <w:rsid w:val="004B46E9"/>
    <w:rsid w:val="004B5133"/>
    <w:rsid w:val="004B6BEA"/>
    <w:rsid w:val="004C0B5C"/>
    <w:rsid w:val="004C24CA"/>
    <w:rsid w:val="004C2C83"/>
    <w:rsid w:val="004C3240"/>
    <w:rsid w:val="004C4087"/>
    <w:rsid w:val="004C41B6"/>
    <w:rsid w:val="004C44FE"/>
    <w:rsid w:val="004C46D5"/>
    <w:rsid w:val="004C575A"/>
    <w:rsid w:val="004D03A8"/>
    <w:rsid w:val="004D0713"/>
    <w:rsid w:val="004D1148"/>
    <w:rsid w:val="004D37AA"/>
    <w:rsid w:val="004D6E37"/>
    <w:rsid w:val="004E00EA"/>
    <w:rsid w:val="004E02E3"/>
    <w:rsid w:val="004E2081"/>
    <w:rsid w:val="004E28EA"/>
    <w:rsid w:val="004E32A2"/>
    <w:rsid w:val="004E35AB"/>
    <w:rsid w:val="004E3706"/>
    <w:rsid w:val="004E3A11"/>
    <w:rsid w:val="004E44B6"/>
    <w:rsid w:val="004E4766"/>
    <w:rsid w:val="004F1E97"/>
    <w:rsid w:val="004F44FB"/>
    <w:rsid w:val="004F4A3F"/>
    <w:rsid w:val="004F4B92"/>
    <w:rsid w:val="004F5563"/>
    <w:rsid w:val="004F6A18"/>
    <w:rsid w:val="004F705E"/>
    <w:rsid w:val="00501972"/>
    <w:rsid w:val="005028A9"/>
    <w:rsid w:val="00504090"/>
    <w:rsid w:val="005044AB"/>
    <w:rsid w:val="00504865"/>
    <w:rsid w:val="005134B0"/>
    <w:rsid w:val="00516212"/>
    <w:rsid w:val="00516785"/>
    <w:rsid w:val="00517DAB"/>
    <w:rsid w:val="00521D77"/>
    <w:rsid w:val="00522FF0"/>
    <w:rsid w:val="00523CB9"/>
    <w:rsid w:val="0052419D"/>
    <w:rsid w:val="005271D3"/>
    <w:rsid w:val="00527A92"/>
    <w:rsid w:val="005301F8"/>
    <w:rsid w:val="0053114A"/>
    <w:rsid w:val="005312FC"/>
    <w:rsid w:val="005325A5"/>
    <w:rsid w:val="0053569E"/>
    <w:rsid w:val="00535BF9"/>
    <w:rsid w:val="0053603D"/>
    <w:rsid w:val="00536EA9"/>
    <w:rsid w:val="0053742A"/>
    <w:rsid w:val="00537806"/>
    <w:rsid w:val="00537C5E"/>
    <w:rsid w:val="00537C85"/>
    <w:rsid w:val="00540DFB"/>
    <w:rsid w:val="00541D29"/>
    <w:rsid w:val="00543D34"/>
    <w:rsid w:val="005447D5"/>
    <w:rsid w:val="00545030"/>
    <w:rsid w:val="00545AAC"/>
    <w:rsid w:val="005470AE"/>
    <w:rsid w:val="005531FD"/>
    <w:rsid w:val="00553217"/>
    <w:rsid w:val="00555792"/>
    <w:rsid w:val="00557652"/>
    <w:rsid w:val="00560FB7"/>
    <w:rsid w:val="005627FB"/>
    <w:rsid w:val="005629C7"/>
    <w:rsid w:val="00562F17"/>
    <w:rsid w:val="0056582C"/>
    <w:rsid w:val="00565F4E"/>
    <w:rsid w:val="005667CB"/>
    <w:rsid w:val="005670FB"/>
    <w:rsid w:val="00570390"/>
    <w:rsid w:val="0057600D"/>
    <w:rsid w:val="00576A98"/>
    <w:rsid w:val="00577538"/>
    <w:rsid w:val="0058100A"/>
    <w:rsid w:val="005835D9"/>
    <w:rsid w:val="00583629"/>
    <w:rsid w:val="005841CC"/>
    <w:rsid w:val="00584A23"/>
    <w:rsid w:val="00584BF2"/>
    <w:rsid w:val="0058551D"/>
    <w:rsid w:val="0058551F"/>
    <w:rsid w:val="005868DE"/>
    <w:rsid w:val="005949EA"/>
    <w:rsid w:val="00594E31"/>
    <w:rsid w:val="005966B7"/>
    <w:rsid w:val="005972DA"/>
    <w:rsid w:val="005A234C"/>
    <w:rsid w:val="005A2C97"/>
    <w:rsid w:val="005A4540"/>
    <w:rsid w:val="005A4FE2"/>
    <w:rsid w:val="005A50BD"/>
    <w:rsid w:val="005A6DC7"/>
    <w:rsid w:val="005B2331"/>
    <w:rsid w:val="005B5E2A"/>
    <w:rsid w:val="005B6FE2"/>
    <w:rsid w:val="005B7E8A"/>
    <w:rsid w:val="005C02A4"/>
    <w:rsid w:val="005C04DB"/>
    <w:rsid w:val="005C0689"/>
    <w:rsid w:val="005C0D65"/>
    <w:rsid w:val="005C20D2"/>
    <w:rsid w:val="005C2ED3"/>
    <w:rsid w:val="005C32FE"/>
    <w:rsid w:val="005C5E4A"/>
    <w:rsid w:val="005C7055"/>
    <w:rsid w:val="005D024A"/>
    <w:rsid w:val="005D4FD4"/>
    <w:rsid w:val="005D6AF9"/>
    <w:rsid w:val="005D6D64"/>
    <w:rsid w:val="005E1EA3"/>
    <w:rsid w:val="005E3BC6"/>
    <w:rsid w:val="005E3DCE"/>
    <w:rsid w:val="005E4884"/>
    <w:rsid w:val="005E54C9"/>
    <w:rsid w:val="005E7AA7"/>
    <w:rsid w:val="005F095C"/>
    <w:rsid w:val="005F439A"/>
    <w:rsid w:val="005F5591"/>
    <w:rsid w:val="005F595C"/>
    <w:rsid w:val="005F5F76"/>
    <w:rsid w:val="005F6BEA"/>
    <w:rsid w:val="00600698"/>
    <w:rsid w:val="00601650"/>
    <w:rsid w:val="00605AFD"/>
    <w:rsid w:val="00606994"/>
    <w:rsid w:val="0060788E"/>
    <w:rsid w:val="006123D4"/>
    <w:rsid w:val="0061445B"/>
    <w:rsid w:val="00616F0A"/>
    <w:rsid w:val="00617749"/>
    <w:rsid w:val="006203B8"/>
    <w:rsid w:val="006212B3"/>
    <w:rsid w:val="006218A2"/>
    <w:rsid w:val="00621C72"/>
    <w:rsid w:val="00624229"/>
    <w:rsid w:val="00624C4B"/>
    <w:rsid w:val="00625B1B"/>
    <w:rsid w:val="006279D5"/>
    <w:rsid w:val="00627E30"/>
    <w:rsid w:val="00630CE7"/>
    <w:rsid w:val="0063194B"/>
    <w:rsid w:val="00641106"/>
    <w:rsid w:val="00642BC6"/>
    <w:rsid w:val="006449A1"/>
    <w:rsid w:val="00644A70"/>
    <w:rsid w:val="00644AC1"/>
    <w:rsid w:val="00645989"/>
    <w:rsid w:val="00645E7B"/>
    <w:rsid w:val="00652987"/>
    <w:rsid w:val="00654CF3"/>
    <w:rsid w:val="00654F2F"/>
    <w:rsid w:val="00656305"/>
    <w:rsid w:val="00656A22"/>
    <w:rsid w:val="006610FA"/>
    <w:rsid w:val="006625BF"/>
    <w:rsid w:val="00662AF5"/>
    <w:rsid w:val="0066344C"/>
    <w:rsid w:val="00670D9B"/>
    <w:rsid w:val="00670E21"/>
    <w:rsid w:val="00672371"/>
    <w:rsid w:val="00685CF7"/>
    <w:rsid w:val="00686165"/>
    <w:rsid w:val="00690138"/>
    <w:rsid w:val="00690394"/>
    <w:rsid w:val="00690780"/>
    <w:rsid w:val="00691CB5"/>
    <w:rsid w:val="006921B4"/>
    <w:rsid w:val="00692D21"/>
    <w:rsid w:val="00693BD2"/>
    <w:rsid w:val="00695080"/>
    <w:rsid w:val="00695F47"/>
    <w:rsid w:val="006A10AD"/>
    <w:rsid w:val="006A2348"/>
    <w:rsid w:val="006A37F5"/>
    <w:rsid w:val="006A53E9"/>
    <w:rsid w:val="006A744E"/>
    <w:rsid w:val="006B6CAA"/>
    <w:rsid w:val="006B6F00"/>
    <w:rsid w:val="006C0046"/>
    <w:rsid w:val="006C1892"/>
    <w:rsid w:val="006C2B57"/>
    <w:rsid w:val="006C34C0"/>
    <w:rsid w:val="006C3D28"/>
    <w:rsid w:val="006C3E7E"/>
    <w:rsid w:val="006C461E"/>
    <w:rsid w:val="006C5B73"/>
    <w:rsid w:val="006C645D"/>
    <w:rsid w:val="006D5AF7"/>
    <w:rsid w:val="006E0715"/>
    <w:rsid w:val="006E18C4"/>
    <w:rsid w:val="006E2323"/>
    <w:rsid w:val="006E2AFA"/>
    <w:rsid w:val="006E3731"/>
    <w:rsid w:val="006E3CC3"/>
    <w:rsid w:val="006E6ABB"/>
    <w:rsid w:val="006E77F2"/>
    <w:rsid w:val="006F1407"/>
    <w:rsid w:val="006F14B4"/>
    <w:rsid w:val="006F39D9"/>
    <w:rsid w:val="006F739C"/>
    <w:rsid w:val="00701041"/>
    <w:rsid w:val="0070592D"/>
    <w:rsid w:val="00706E8E"/>
    <w:rsid w:val="00712233"/>
    <w:rsid w:val="007150FE"/>
    <w:rsid w:val="00716F9F"/>
    <w:rsid w:val="00717A4E"/>
    <w:rsid w:val="007215AA"/>
    <w:rsid w:val="00722411"/>
    <w:rsid w:val="00722430"/>
    <w:rsid w:val="00722B53"/>
    <w:rsid w:val="00722C51"/>
    <w:rsid w:val="00723B13"/>
    <w:rsid w:val="00726BCD"/>
    <w:rsid w:val="00726D8B"/>
    <w:rsid w:val="00731532"/>
    <w:rsid w:val="00733A7C"/>
    <w:rsid w:val="00734B4C"/>
    <w:rsid w:val="007351B1"/>
    <w:rsid w:val="00735E5B"/>
    <w:rsid w:val="00736482"/>
    <w:rsid w:val="00737656"/>
    <w:rsid w:val="0073768D"/>
    <w:rsid w:val="00737E07"/>
    <w:rsid w:val="007425B0"/>
    <w:rsid w:val="007469B6"/>
    <w:rsid w:val="007509DD"/>
    <w:rsid w:val="00752074"/>
    <w:rsid w:val="00752203"/>
    <w:rsid w:val="00754A10"/>
    <w:rsid w:val="00756784"/>
    <w:rsid w:val="00763474"/>
    <w:rsid w:val="00765E98"/>
    <w:rsid w:val="00766B8F"/>
    <w:rsid w:val="007715B6"/>
    <w:rsid w:val="00771BA2"/>
    <w:rsid w:val="00772523"/>
    <w:rsid w:val="00780471"/>
    <w:rsid w:val="00781607"/>
    <w:rsid w:val="007845DB"/>
    <w:rsid w:val="00784C0A"/>
    <w:rsid w:val="00784EE0"/>
    <w:rsid w:val="007860E0"/>
    <w:rsid w:val="00790500"/>
    <w:rsid w:val="007929CA"/>
    <w:rsid w:val="00792F4A"/>
    <w:rsid w:val="00794B40"/>
    <w:rsid w:val="00797077"/>
    <w:rsid w:val="007975BB"/>
    <w:rsid w:val="007A06BF"/>
    <w:rsid w:val="007A0B5E"/>
    <w:rsid w:val="007A1079"/>
    <w:rsid w:val="007A19DC"/>
    <w:rsid w:val="007A23D5"/>
    <w:rsid w:val="007A6713"/>
    <w:rsid w:val="007B0083"/>
    <w:rsid w:val="007B1F22"/>
    <w:rsid w:val="007B4884"/>
    <w:rsid w:val="007B76AB"/>
    <w:rsid w:val="007C045A"/>
    <w:rsid w:val="007C1C37"/>
    <w:rsid w:val="007C3099"/>
    <w:rsid w:val="007D1CDC"/>
    <w:rsid w:val="007D592B"/>
    <w:rsid w:val="007D5AA6"/>
    <w:rsid w:val="007D7A91"/>
    <w:rsid w:val="007D7EEB"/>
    <w:rsid w:val="007E0FCA"/>
    <w:rsid w:val="007E20BF"/>
    <w:rsid w:val="007E2C45"/>
    <w:rsid w:val="007E2EE6"/>
    <w:rsid w:val="007E6456"/>
    <w:rsid w:val="007F1365"/>
    <w:rsid w:val="007F2AE5"/>
    <w:rsid w:val="007F3322"/>
    <w:rsid w:val="007F6208"/>
    <w:rsid w:val="007F69AC"/>
    <w:rsid w:val="007F6A64"/>
    <w:rsid w:val="007F7784"/>
    <w:rsid w:val="00800E7C"/>
    <w:rsid w:val="0080160B"/>
    <w:rsid w:val="00802781"/>
    <w:rsid w:val="00805046"/>
    <w:rsid w:val="00806627"/>
    <w:rsid w:val="00811943"/>
    <w:rsid w:val="00811A6A"/>
    <w:rsid w:val="00813F45"/>
    <w:rsid w:val="00814AFF"/>
    <w:rsid w:val="00824D66"/>
    <w:rsid w:val="008261DC"/>
    <w:rsid w:val="0082678E"/>
    <w:rsid w:val="00827552"/>
    <w:rsid w:val="008311B8"/>
    <w:rsid w:val="00831BC4"/>
    <w:rsid w:val="00832423"/>
    <w:rsid w:val="00833D09"/>
    <w:rsid w:val="00833D30"/>
    <w:rsid w:val="00833EDD"/>
    <w:rsid w:val="00834243"/>
    <w:rsid w:val="008353B9"/>
    <w:rsid w:val="00841FFA"/>
    <w:rsid w:val="00844AAF"/>
    <w:rsid w:val="00845329"/>
    <w:rsid w:val="0084633A"/>
    <w:rsid w:val="00853D59"/>
    <w:rsid w:val="00856634"/>
    <w:rsid w:val="008577C5"/>
    <w:rsid w:val="00857969"/>
    <w:rsid w:val="00860480"/>
    <w:rsid w:val="00860643"/>
    <w:rsid w:val="008648FC"/>
    <w:rsid w:val="00865FDB"/>
    <w:rsid w:val="00867A55"/>
    <w:rsid w:val="00870B8D"/>
    <w:rsid w:val="00871607"/>
    <w:rsid w:val="00872373"/>
    <w:rsid w:val="00873DFB"/>
    <w:rsid w:val="008761A0"/>
    <w:rsid w:val="008779BA"/>
    <w:rsid w:val="00880373"/>
    <w:rsid w:val="00880877"/>
    <w:rsid w:val="008824BF"/>
    <w:rsid w:val="00882CC4"/>
    <w:rsid w:val="00883471"/>
    <w:rsid w:val="008836ED"/>
    <w:rsid w:val="008850AC"/>
    <w:rsid w:val="00885F4C"/>
    <w:rsid w:val="00886A0C"/>
    <w:rsid w:val="0088727A"/>
    <w:rsid w:val="008875CD"/>
    <w:rsid w:val="00891743"/>
    <w:rsid w:val="008923B2"/>
    <w:rsid w:val="00894BB1"/>
    <w:rsid w:val="00895556"/>
    <w:rsid w:val="00897A4F"/>
    <w:rsid w:val="00897C27"/>
    <w:rsid w:val="008A0B4D"/>
    <w:rsid w:val="008A1227"/>
    <w:rsid w:val="008A12E3"/>
    <w:rsid w:val="008A2600"/>
    <w:rsid w:val="008A31C5"/>
    <w:rsid w:val="008A3434"/>
    <w:rsid w:val="008A3C8B"/>
    <w:rsid w:val="008A4DEB"/>
    <w:rsid w:val="008A618B"/>
    <w:rsid w:val="008A74C3"/>
    <w:rsid w:val="008B0089"/>
    <w:rsid w:val="008B01FC"/>
    <w:rsid w:val="008B030D"/>
    <w:rsid w:val="008B06EC"/>
    <w:rsid w:val="008B0AF1"/>
    <w:rsid w:val="008B315F"/>
    <w:rsid w:val="008B3A39"/>
    <w:rsid w:val="008B479C"/>
    <w:rsid w:val="008B4BE8"/>
    <w:rsid w:val="008B7302"/>
    <w:rsid w:val="008B75E1"/>
    <w:rsid w:val="008C0D82"/>
    <w:rsid w:val="008C2F12"/>
    <w:rsid w:val="008C522F"/>
    <w:rsid w:val="008C7EAA"/>
    <w:rsid w:val="008C7F34"/>
    <w:rsid w:val="008C7F71"/>
    <w:rsid w:val="008D07F4"/>
    <w:rsid w:val="008D1DD3"/>
    <w:rsid w:val="008D24A3"/>
    <w:rsid w:val="008D339F"/>
    <w:rsid w:val="008D4379"/>
    <w:rsid w:val="008D5062"/>
    <w:rsid w:val="008D65CC"/>
    <w:rsid w:val="008D6994"/>
    <w:rsid w:val="008D7AB0"/>
    <w:rsid w:val="008E19A3"/>
    <w:rsid w:val="008E23FE"/>
    <w:rsid w:val="008E246F"/>
    <w:rsid w:val="008E6292"/>
    <w:rsid w:val="008E6B5D"/>
    <w:rsid w:val="008F3163"/>
    <w:rsid w:val="008F5865"/>
    <w:rsid w:val="008F7516"/>
    <w:rsid w:val="00902211"/>
    <w:rsid w:val="00903CC9"/>
    <w:rsid w:val="00904433"/>
    <w:rsid w:val="00906C82"/>
    <w:rsid w:val="00906D53"/>
    <w:rsid w:val="00910EE1"/>
    <w:rsid w:val="009114C3"/>
    <w:rsid w:val="00911C00"/>
    <w:rsid w:val="00911E9D"/>
    <w:rsid w:val="009132BB"/>
    <w:rsid w:val="009136A2"/>
    <w:rsid w:val="009140AA"/>
    <w:rsid w:val="009141CE"/>
    <w:rsid w:val="0091507B"/>
    <w:rsid w:val="00915AA3"/>
    <w:rsid w:val="009228B9"/>
    <w:rsid w:val="00925AA5"/>
    <w:rsid w:val="0093064F"/>
    <w:rsid w:val="00933570"/>
    <w:rsid w:val="00933921"/>
    <w:rsid w:val="0093540D"/>
    <w:rsid w:val="0093551F"/>
    <w:rsid w:val="0094019D"/>
    <w:rsid w:val="009406F1"/>
    <w:rsid w:val="00941A72"/>
    <w:rsid w:val="00942C11"/>
    <w:rsid w:val="00942DB6"/>
    <w:rsid w:val="0094351F"/>
    <w:rsid w:val="0094384F"/>
    <w:rsid w:val="00944BE2"/>
    <w:rsid w:val="009466B5"/>
    <w:rsid w:val="009547F8"/>
    <w:rsid w:val="009550B1"/>
    <w:rsid w:val="0095625B"/>
    <w:rsid w:val="009570BE"/>
    <w:rsid w:val="00961075"/>
    <w:rsid w:val="00961CD3"/>
    <w:rsid w:val="00962EC5"/>
    <w:rsid w:val="009729D4"/>
    <w:rsid w:val="00972B41"/>
    <w:rsid w:val="00973831"/>
    <w:rsid w:val="009817B0"/>
    <w:rsid w:val="00981A88"/>
    <w:rsid w:val="009821CE"/>
    <w:rsid w:val="00984ADA"/>
    <w:rsid w:val="00985D40"/>
    <w:rsid w:val="00991153"/>
    <w:rsid w:val="009911AC"/>
    <w:rsid w:val="00991ED8"/>
    <w:rsid w:val="00993CB2"/>
    <w:rsid w:val="00996EAB"/>
    <w:rsid w:val="00997A0F"/>
    <w:rsid w:val="00997FC9"/>
    <w:rsid w:val="009A066C"/>
    <w:rsid w:val="009A0ABD"/>
    <w:rsid w:val="009A0CC1"/>
    <w:rsid w:val="009A0ED5"/>
    <w:rsid w:val="009A1CF1"/>
    <w:rsid w:val="009A25B3"/>
    <w:rsid w:val="009A277C"/>
    <w:rsid w:val="009A371A"/>
    <w:rsid w:val="009A4A35"/>
    <w:rsid w:val="009A5202"/>
    <w:rsid w:val="009A5BE0"/>
    <w:rsid w:val="009A5F0D"/>
    <w:rsid w:val="009A658F"/>
    <w:rsid w:val="009A7129"/>
    <w:rsid w:val="009A7E7F"/>
    <w:rsid w:val="009B0FB9"/>
    <w:rsid w:val="009B2FDE"/>
    <w:rsid w:val="009B595F"/>
    <w:rsid w:val="009B5FBE"/>
    <w:rsid w:val="009C0E2D"/>
    <w:rsid w:val="009C1B49"/>
    <w:rsid w:val="009C2DDC"/>
    <w:rsid w:val="009C308E"/>
    <w:rsid w:val="009C6248"/>
    <w:rsid w:val="009C712D"/>
    <w:rsid w:val="009D2B3C"/>
    <w:rsid w:val="009D3DA1"/>
    <w:rsid w:val="009D4EE7"/>
    <w:rsid w:val="009D4FA0"/>
    <w:rsid w:val="009D68A7"/>
    <w:rsid w:val="009D7B32"/>
    <w:rsid w:val="009E06F0"/>
    <w:rsid w:val="009E070F"/>
    <w:rsid w:val="009E171B"/>
    <w:rsid w:val="009E193D"/>
    <w:rsid w:val="009E3271"/>
    <w:rsid w:val="009E4E76"/>
    <w:rsid w:val="009E5938"/>
    <w:rsid w:val="009F26DB"/>
    <w:rsid w:val="009F35F2"/>
    <w:rsid w:val="009F37F7"/>
    <w:rsid w:val="009F4C2A"/>
    <w:rsid w:val="009F501F"/>
    <w:rsid w:val="009F526F"/>
    <w:rsid w:val="009F65FF"/>
    <w:rsid w:val="00A00EB9"/>
    <w:rsid w:val="00A015E8"/>
    <w:rsid w:val="00A018E9"/>
    <w:rsid w:val="00A01F78"/>
    <w:rsid w:val="00A02C8B"/>
    <w:rsid w:val="00A04103"/>
    <w:rsid w:val="00A071D8"/>
    <w:rsid w:val="00A07D47"/>
    <w:rsid w:val="00A11153"/>
    <w:rsid w:val="00A11F8F"/>
    <w:rsid w:val="00A12F62"/>
    <w:rsid w:val="00A135F6"/>
    <w:rsid w:val="00A13CB3"/>
    <w:rsid w:val="00A140B5"/>
    <w:rsid w:val="00A14BC7"/>
    <w:rsid w:val="00A14FE9"/>
    <w:rsid w:val="00A1609B"/>
    <w:rsid w:val="00A1611D"/>
    <w:rsid w:val="00A167E1"/>
    <w:rsid w:val="00A24FB1"/>
    <w:rsid w:val="00A27B32"/>
    <w:rsid w:val="00A27E0E"/>
    <w:rsid w:val="00A27E9A"/>
    <w:rsid w:val="00A31577"/>
    <w:rsid w:val="00A32C96"/>
    <w:rsid w:val="00A34927"/>
    <w:rsid w:val="00A36AD1"/>
    <w:rsid w:val="00A3749B"/>
    <w:rsid w:val="00A37A4D"/>
    <w:rsid w:val="00A37D87"/>
    <w:rsid w:val="00A401C6"/>
    <w:rsid w:val="00A403FE"/>
    <w:rsid w:val="00A44107"/>
    <w:rsid w:val="00A504E3"/>
    <w:rsid w:val="00A50D88"/>
    <w:rsid w:val="00A55E08"/>
    <w:rsid w:val="00A56923"/>
    <w:rsid w:val="00A56E17"/>
    <w:rsid w:val="00A5767B"/>
    <w:rsid w:val="00A62E42"/>
    <w:rsid w:val="00A636B2"/>
    <w:rsid w:val="00A64A71"/>
    <w:rsid w:val="00A65719"/>
    <w:rsid w:val="00A66263"/>
    <w:rsid w:val="00A700CA"/>
    <w:rsid w:val="00A70BCE"/>
    <w:rsid w:val="00A7151D"/>
    <w:rsid w:val="00A72960"/>
    <w:rsid w:val="00A72D8F"/>
    <w:rsid w:val="00A7467F"/>
    <w:rsid w:val="00A74C03"/>
    <w:rsid w:val="00A80501"/>
    <w:rsid w:val="00A80B3E"/>
    <w:rsid w:val="00A8108E"/>
    <w:rsid w:val="00A81672"/>
    <w:rsid w:val="00A82125"/>
    <w:rsid w:val="00A82424"/>
    <w:rsid w:val="00A83410"/>
    <w:rsid w:val="00A84E1F"/>
    <w:rsid w:val="00A878FE"/>
    <w:rsid w:val="00A92791"/>
    <w:rsid w:val="00A93401"/>
    <w:rsid w:val="00A94564"/>
    <w:rsid w:val="00A953EE"/>
    <w:rsid w:val="00A96AD4"/>
    <w:rsid w:val="00AA1302"/>
    <w:rsid w:val="00AA26DD"/>
    <w:rsid w:val="00AA2C5A"/>
    <w:rsid w:val="00AA42E3"/>
    <w:rsid w:val="00AA56D0"/>
    <w:rsid w:val="00AA76AA"/>
    <w:rsid w:val="00AA7CFC"/>
    <w:rsid w:val="00AB3A72"/>
    <w:rsid w:val="00AB6B4E"/>
    <w:rsid w:val="00AB7B6F"/>
    <w:rsid w:val="00AC09BB"/>
    <w:rsid w:val="00AC243A"/>
    <w:rsid w:val="00AC3196"/>
    <w:rsid w:val="00AC503D"/>
    <w:rsid w:val="00AC5B78"/>
    <w:rsid w:val="00AC688E"/>
    <w:rsid w:val="00AD069E"/>
    <w:rsid w:val="00AD09A9"/>
    <w:rsid w:val="00AD16FF"/>
    <w:rsid w:val="00AD2191"/>
    <w:rsid w:val="00AD39D3"/>
    <w:rsid w:val="00AE2C93"/>
    <w:rsid w:val="00AE2F90"/>
    <w:rsid w:val="00AE5844"/>
    <w:rsid w:val="00AE5FF4"/>
    <w:rsid w:val="00AE6139"/>
    <w:rsid w:val="00AE68A4"/>
    <w:rsid w:val="00AE7B68"/>
    <w:rsid w:val="00AF3939"/>
    <w:rsid w:val="00AF4636"/>
    <w:rsid w:val="00AF500C"/>
    <w:rsid w:val="00B005C8"/>
    <w:rsid w:val="00B00EB1"/>
    <w:rsid w:val="00B03DD6"/>
    <w:rsid w:val="00B04DA1"/>
    <w:rsid w:val="00B15470"/>
    <w:rsid w:val="00B2470A"/>
    <w:rsid w:val="00B25756"/>
    <w:rsid w:val="00B30D2A"/>
    <w:rsid w:val="00B30E1A"/>
    <w:rsid w:val="00B3199F"/>
    <w:rsid w:val="00B3583B"/>
    <w:rsid w:val="00B36E3B"/>
    <w:rsid w:val="00B37A8F"/>
    <w:rsid w:val="00B37C6C"/>
    <w:rsid w:val="00B404A0"/>
    <w:rsid w:val="00B45A3F"/>
    <w:rsid w:val="00B45C99"/>
    <w:rsid w:val="00B47F21"/>
    <w:rsid w:val="00B532D5"/>
    <w:rsid w:val="00B54EFC"/>
    <w:rsid w:val="00B561AC"/>
    <w:rsid w:val="00B61F82"/>
    <w:rsid w:val="00B632AB"/>
    <w:rsid w:val="00B65347"/>
    <w:rsid w:val="00B65654"/>
    <w:rsid w:val="00B65D9C"/>
    <w:rsid w:val="00B66594"/>
    <w:rsid w:val="00B66741"/>
    <w:rsid w:val="00B71710"/>
    <w:rsid w:val="00B72F60"/>
    <w:rsid w:val="00B72FA5"/>
    <w:rsid w:val="00B75044"/>
    <w:rsid w:val="00B75AE0"/>
    <w:rsid w:val="00B776B0"/>
    <w:rsid w:val="00B77AE4"/>
    <w:rsid w:val="00B77F2A"/>
    <w:rsid w:val="00B810A6"/>
    <w:rsid w:val="00B86200"/>
    <w:rsid w:val="00B873F4"/>
    <w:rsid w:val="00B87927"/>
    <w:rsid w:val="00B9136E"/>
    <w:rsid w:val="00B91449"/>
    <w:rsid w:val="00B91F7D"/>
    <w:rsid w:val="00B92823"/>
    <w:rsid w:val="00B928F5"/>
    <w:rsid w:val="00B95FD7"/>
    <w:rsid w:val="00B973D3"/>
    <w:rsid w:val="00BA0E1C"/>
    <w:rsid w:val="00BA15AC"/>
    <w:rsid w:val="00BA177A"/>
    <w:rsid w:val="00BA200A"/>
    <w:rsid w:val="00BA22E1"/>
    <w:rsid w:val="00BA28BB"/>
    <w:rsid w:val="00BA34E2"/>
    <w:rsid w:val="00BA37EC"/>
    <w:rsid w:val="00BA3E67"/>
    <w:rsid w:val="00BA5A25"/>
    <w:rsid w:val="00BA5E48"/>
    <w:rsid w:val="00BA718F"/>
    <w:rsid w:val="00BB1317"/>
    <w:rsid w:val="00BB34EE"/>
    <w:rsid w:val="00BB4541"/>
    <w:rsid w:val="00BB683F"/>
    <w:rsid w:val="00BC07DE"/>
    <w:rsid w:val="00BC0A5F"/>
    <w:rsid w:val="00BC1ECC"/>
    <w:rsid w:val="00BC3052"/>
    <w:rsid w:val="00BC3E13"/>
    <w:rsid w:val="00BC448B"/>
    <w:rsid w:val="00BC4D69"/>
    <w:rsid w:val="00BC5FDE"/>
    <w:rsid w:val="00BD0F2C"/>
    <w:rsid w:val="00BD19CC"/>
    <w:rsid w:val="00BD26AA"/>
    <w:rsid w:val="00BD3620"/>
    <w:rsid w:val="00BD436A"/>
    <w:rsid w:val="00BD454F"/>
    <w:rsid w:val="00BE0A52"/>
    <w:rsid w:val="00BE1FBE"/>
    <w:rsid w:val="00BE22E7"/>
    <w:rsid w:val="00BE33B9"/>
    <w:rsid w:val="00BE3B72"/>
    <w:rsid w:val="00BE45E3"/>
    <w:rsid w:val="00BE6FC9"/>
    <w:rsid w:val="00BF0B9D"/>
    <w:rsid w:val="00BF1A63"/>
    <w:rsid w:val="00BF5387"/>
    <w:rsid w:val="00BF75A7"/>
    <w:rsid w:val="00C00440"/>
    <w:rsid w:val="00C0088A"/>
    <w:rsid w:val="00C01DCC"/>
    <w:rsid w:val="00C076B6"/>
    <w:rsid w:val="00C1137A"/>
    <w:rsid w:val="00C114D0"/>
    <w:rsid w:val="00C13741"/>
    <w:rsid w:val="00C167C3"/>
    <w:rsid w:val="00C16870"/>
    <w:rsid w:val="00C17A14"/>
    <w:rsid w:val="00C202B3"/>
    <w:rsid w:val="00C209E0"/>
    <w:rsid w:val="00C20ED3"/>
    <w:rsid w:val="00C21150"/>
    <w:rsid w:val="00C21EE0"/>
    <w:rsid w:val="00C23172"/>
    <w:rsid w:val="00C23F0D"/>
    <w:rsid w:val="00C2512B"/>
    <w:rsid w:val="00C2513C"/>
    <w:rsid w:val="00C2574E"/>
    <w:rsid w:val="00C279A8"/>
    <w:rsid w:val="00C279F5"/>
    <w:rsid w:val="00C30297"/>
    <w:rsid w:val="00C30C59"/>
    <w:rsid w:val="00C3398C"/>
    <w:rsid w:val="00C33E0E"/>
    <w:rsid w:val="00C37B0E"/>
    <w:rsid w:val="00C37FD1"/>
    <w:rsid w:val="00C4047B"/>
    <w:rsid w:val="00C40C67"/>
    <w:rsid w:val="00C4119C"/>
    <w:rsid w:val="00C42165"/>
    <w:rsid w:val="00C42C02"/>
    <w:rsid w:val="00C45A28"/>
    <w:rsid w:val="00C46EED"/>
    <w:rsid w:val="00C5204B"/>
    <w:rsid w:val="00C5446A"/>
    <w:rsid w:val="00C5548F"/>
    <w:rsid w:val="00C5625F"/>
    <w:rsid w:val="00C61C28"/>
    <w:rsid w:val="00C64527"/>
    <w:rsid w:val="00C64A34"/>
    <w:rsid w:val="00C650C2"/>
    <w:rsid w:val="00C66502"/>
    <w:rsid w:val="00C70617"/>
    <w:rsid w:val="00C70DE7"/>
    <w:rsid w:val="00C72318"/>
    <w:rsid w:val="00C72391"/>
    <w:rsid w:val="00C724E6"/>
    <w:rsid w:val="00C73547"/>
    <w:rsid w:val="00C7387E"/>
    <w:rsid w:val="00C73982"/>
    <w:rsid w:val="00C747A5"/>
    <w:rsid w:val="00C74C57"/>
    <w:rsid w:val="00C750A3"/>
    <w:rsid w:val="00C75943"/>
    <w:rsid w:val="00C77DD3"/>
    <w:rsid w:val="00C85314"/>
    <w:rsid w:val="00C870C6"/>
    <w:rsid w:val="00C915A0"/>
    <w:rsid w:val="00C93E01"/>
    <w:rsid w:val="00C9407E"/>
    <w:rsid w:val="00C964A6"/>
    <w:rsid w:val="00CA0116"/>
    <w:rsid w:val="00CA1B59"/>
    <w:rsid w:val="00CA203D"/>
    <w:rsid w:val="00CA4BC0"/>
    <w:rsid w:val="00CA5CA8"/>
    <w:rsid w:val="00CA6607"/>
    <w:rsid w:val="00CB0157"/>
    <w:rsid w:val="00CB129B"/>
    <w:rsid w:val="00CB215F"/>
    <w:rsid w:val="00CB3124"/>
    <w:rsid w:val="00CB3222"/>
    <w:rsid w:val="00CB3745"/>
    <w:rsid w:val="00CB4ACE"/>
    <w:rsid w:val="00CB5205"/>
    <w:rsid w:val="00CB78B3"/>
    <w:rsid w:val="00CC212D"/>
    <w:rsid w:val="00CC559D"/>
    <w:rsid w:val="00CC7AAF"/>
    <w:rsid w:val="00CD1450"/>
    <w:rsid w:val="00CD5E3E"/>
    <w:rsid w:val="00CD654B"/>
    <w:rsid w:val="00CE1543"/>
    <w:rsid w:val="00CE223E"/>
    <w:rsid w:val="00CE2816"/>
    <w:rsid w:val="00CE30A9"/>
    <w:rsid w:val="00CE3E62"/>
    <w:rsid w:val="00CE4288"/>
    <w:rsid w:val="00CE51FA"/>
    <w:rsid w:val="00CE52A9"/>
    <w:rsid w:val="00CE5CF2"/>
    <w:rsid w:val="00CE6A53"/>
    <w:rsid w:val="00CF13E2"/>
    <w:rsid w:val="00CF1F48"/>
    <w:rsid w:val="00CF22DB"/>
    <w:rsid w:val="00CF3F0D"/>
    <w:rsid w:val="00CF72EB"/>
    <w:rsid w:val="00D0160F"/>
    <w:rsid w:val="00D02093"/>
    <w:rsid w:val="00D02297"/>
    <w:rsid w:val="00D022F1"/>
    <w:rsid w:val="00D06DC4"/>
    <w:rsid w:val="00D10C49"/>
    <w:rsid w:val="00D14137"/>
    <w:rsid w:val="00D145F5"/>
    <w:rsid w:val="00D1466F"/>
    <w:rsid w:val="00D1591E"/>
    <w:rsid w:val="00D15C78"/>
    <w:rsid w:val="00D16A7C"/>
    <w:rsid w:val="00D16EA8"/>
    <w:rsid w:val="00D20256"/>
    <w:rsid w:val="00D21D50"/>
    <w:rsid w:val="00D22783"/>
    <w:rsid w:val="00D26AF8"/>
    <w:rsid w:val="00D278C4"/>
    <w:rsid w:val="00D27E8E"/>
    <w:rsid w:val="00D306DC"/>
    <w:rsid w:val="00D312C0"/>
    <w:rsid w:val="00D313D3"/>
    <w:rsid w:val="00D355F0"/>
    <w:rsid w:val="00D37EF4"/>
    <w:rsid w:val="00D40F07"/>
    <w:rsid w:val="00D419C2"/>
    <w:rsid w:val="00D41A98"/>
    <w:rsid w:val="00D43AC8"/>
    <w:rsid w:val="00D443EB"/>
    <w:rsid w:val="00D44852"/>
    <w:rsid w:val="00D477B7"/>
    <w:rsid w:val="00D47AFD"/>
    <w:rsid w:val="00D50F8C"/>
    <w:rsid w:val="00D5208E"/>
    <w:rsid w:val="00D533E0"/>
    <w:rsid w:val="00D5404B"/>
    <w:rsid w:val="00D56113"/>
    <w:rsid w:val="00D56192"/>
    <w:rsid w:val="00D62752"/>
    <w:rsid w:val="00D66E41"/>
    <w:rsid w:val="00D67473"/>
    <w:rsid w:val="00D71245"/>
    <w:rsid w:val="00D74590"/>
    <w:rsid w:val="00D74B63"/>
    <w:rsid w:val="00D75AC1"/>
    <w:rsid w:val="00D7695C"/>
    <w:rsid w:val="00D773D0"/>
    <w:rsid w:val="00D80865"/>
    <w:rsid w:val="00D81B2E"/>
    <w:rsid w:val="00D81B4C"/>
    <w:rsid w:val="00D82002"/>
    <w:rsid w:val="00D833D9"/>
    <w:rsid w:val="00D83BD9"/>
    <w:rsid w:val="00D93C6B"/>
    <w:rsid w:val="00D94DCF"/>
    <w:rsid w:val="00D94EAE"/>
    <w:rsid w:val="00D955F9"/>
    <w:rsid w:val="00D9564B"/>
    <w:rsid w:val="00DA07D5"/>
    <w:rsid w:val="00DA1588"/>
    <w:rsid w:val="00DA47A0"/>
    <w:rsid w:val="00DA57BA"/>
    <w:rsid w:val="00DA586F"/>
    <w:rsid w:val="00DB04A7"/>
    <w:rsid w:val="00DB07A4"/>
    <w:rsid w:val="00DB08DA"/>
    <w:rsid w:val="00DB457C"/>
    <w:rsid w:val="00DB7F09"/>
    <w:rsid w:val="00DC00E8"/>
    <w:rsid w:val="00DC0739"/>
    <w:rsid w:val="00DC0D8C"/>
    <w:rsid w:val="00DC1C56"/>
    <w:rsid w:val="00DC4370"/>
    <w:rsid w:val="00DC4756"/>
    <w:rsid w:val="00DC6379"/>
    <w:rsid w:val="00DC77BA"/>
    <w:rsid w:val="00DC7B28"/>
    <w:rsid w:val="00DD0A51"/>
    <w:rsid w:val="00DD22E2"/>
    <w:rsid w:val="00DD2EE1"/>
    <w:rsid w:val="00DD319F"/>
    <w:rsid w:val="00DD4549"/>
    <w:rsid w:val="00DD4C95"/>
    <w:rsid w:val="00DD6362"/>
    <w:rsid w:val="00DD6A63"/>
    <w:rsid w:val="00DD75A5"/>
    <w:rsid w:val="00DE3065"/>
    <w:rsid w:val="00DE3C77"/>
    <w:rsid w:val="00DF0420"/>
    <w:rsid w:val="00DF5B14"/>
    <w:rsid w:val="00DF6152"/>
    <w:rsid w:val="00DF6F61"/>
    <w:rsid w:val="00DF74D8"/>
    <w:rsid w:val="00DF7591"/>
    <w:rsid w:val="00E002FE"/>
    <w:rsid w:val="00E00316"/>
    <w:rsid w:val="00E01795"/>
    <w:rsid w:val="00E0384D"/>
    <w:rsid w:val="00E03D56"/>
    <w:rsid w:val="00E040A3"/>
    <w:rsid w:val="00E06362"/>
    <w:rsid w:val="00E101C6"/>
    <w:rsid w:val="00E122EE"/>
    <w:rsid w:val="00E13049"/>
    <w:rsid w:val="00E135CD"/>
    <w:rsid w:val="00E14D35"/>
    <w:rsid w:val="00E15660"/>
    <w:rsid w:val="00E15A31"/>
    <w:rsid w:val="00E20A67"/>
    <w:rsid w:val="00E20DB4"/>
    <w:rsid w:val="00E22188"/>
    <w:rsid w:val="00E22D51"/>
    <w:rsid w:val="00E27F7C"/>
    <w:rsid w:val="00E306FB"/>
    <w:rsid w:val="00E31E7E"/>
    <w:rsid w:val="00E32927"/>
    <w:rsid w:val="00E33142"/>
    <w:rsid w:val="00E353D2"/>
    <w:rsid w:val="00E41948"/>
    <w:rsid w:val="00E44D45"/>
    <w:rsid w:val="00E45856"/>
    <w:rsid w:val="00E45F50"/>
    <w:rsid w:val="00E50D63"/>
    <w:rsid w:val="00E50E7C"/>
    <w:rsid w:val="00E51370"/>
    <w:rsid w:val="00E51545"/>
    <w:rsid w:val="00E51D9E"/>
    <w:rsid w:val="00E52995"/>
    <w:rsid w:val="00E537D1"/>
    <w:rsid w:val="00E53F33"/>
    <w:rsid w:val="00E567E6"/>
    <w:rsid w:val="00E56971"/>
    <w:rsid w:val="00E61484"/>
    <w:rsid w:val="00E61BFC"/>
    <w:rsid w:val="00E61C9D"/>
    <w:rsid w:val="00E63369"/>
    <w:rsid w:val="00E65553"/>
    <w:rsid w:val="00E656E0"/>
    <w:rsid w:val="00E657B7"/>
    <w:rsid w:val="00E668ED"/>
    <w:rsid w:val="00E67540"/>
    <w:rsid w:val="00E711D7"/>
    <w:rsid w:val="00E712D3"/>
    <w:rsid w:val="00E71C0A"/>
    <w:rsid w:val="00E722E0"/>
    <w:rsid w:val="00E74CE5"/>
    <w:rsid w:val="00E76154"/>
    <w:rsid w:val="00E77619"/>
    <w:rsid w:val="00E815E1"/>
    <w:rsid w:val="00E8296A"/>
    <w:rsid w:val="00E83DDC"/>
    <w:rsid w:val="00E83E8A"/>
    <w:rsid w:val="00E85525"/>
    <w:rsid w:val="00E85E6D"/>
    <w:rsid w:val="00E869D2"/>
    <w:rsid w:val="00E902B0"/>
    <w:rsid w:val="00E902E8"/>
    <w:rsid w:val="00E92F0E"/>
    <w:rsid w:val="00E9412A"/>
    <w:rsid w:val="00E95A32"/>
    <w:rsid w:val="00E96E3C"/>
    <w:rsid w:val="00EA07D8"/>
    <w:rsid w:val="00EA161A"/>
    <w:rsid w:val="00EA23AC"/>
    <w:rsid w:val="00EA49B3"/>
    <w:rsid w:val="00EA61B8"/>
    <w:rsid w:val="00EA7C3D"/>
    <w:rsid w:val="00EA7D92"/>
    <w:rsid w:val="00EB05CA"/>
    <w:rsid w:val="00EB0DC2"/>
    <w:rsid w:val="00EB17BB"/>
    <w:rsid w:val="00EB29BB"/>
    <w:rsid w:val="00EB2D92"/>
    <w:rsid w:val="00EB4642"/>
    <w:rsid w:val="00EB5B49"/>
    <w:rsid w:val="00EB6878"/>
    <w:rsid w:val="00EC0282"/>
    <w:rsid w:val="00EC1E0E"/>
    <w:rsid w:val="00EC236D"/>
    <w:rsid w:val="00EC299C"/>
    <w:rsid w:val="00EC3ED9"/>
    <w:rsid w:val="00EC6B16"/>
    <w:rsid w:val="00ED18BE"/>
    <w:rsid w:val="00ED1CFC"/>
    <w:rsid w:val="00ED2066"/>
    <w:rsid w:val="00ED21A0"/>
    <w:rsid w:val="00ED30D0"/>
    <w:rsid w:val="00ED3A90"/>
    <w:rsid w:val="00ED3C24"/>
    <w:rsid w:val="00ED4BB6"/>
    <w:rsid w:val="00ED53E0"/>
    <w:rsid w:val="00EE1447"/>
    <w:rsid w:val="00EE19D6"/>
    <w:rsid w:val="00EE2B51"/>
    <w:rsid w:val="00EE4111"/>
    <w:rsid w:val="00EE44F5"/>
    <w:rsid w:val="00EE6757"/>
    <w:rsid w:val="00EF0728"/>
    <w:rsid w:val="00EF145E"/>
    <w:rsid w:val="00EF2BBB"/>
    <w:rsid w:val="00EF393C"/>
    <w:rsid w:val="00EF617A"/>
    <w:rsid w:val="00EF7BB3"/>
    <w:rsid w:val="00F0082D"/>
    <w:rsid w:val="00F015AB"/>
    <w:rsid w:val="00F03540"/>
    <w:rsid w:val="00F056F7"/>
    <w:rsid w:val="00F05CA4"/>
    <w:rsid w:val="00F07C90"/>
    <w:rsid w:val="00F10271"/>
    <w:rsid w:val="00F10B8D"/>
    <w:rsid w:val="00F11A36"/>
    <w:rsid w:val="00F1294C"/>
    <w:rsid w:val="00F1372D"/>
    <w:rsid w:val="00F14773"/>
    <w:rsid w:val="00F15E18"/>
    <w:rsid w:val="00F166AB"/>
    <w:rsid w:val="00F167FC"/>
    <w:rsid w:val="00F17071"/>
    <w:rsid w:val="00F21E32"/>
    <w:rsid w:val="00F26192"/>
    <w:rsid w:val="00F26A2E"/>
    <w:rsid w:val="00F26EBD"/>
    <w:rsid w:val="00F26F9F"/>
    <w:rsid w:val="00F27635"/>
    <w:rsid w:val="00F27B52"/>
    <w:rsid w:val="00F30492"/>
    <w:rsid w:val="00F30625"/>
    <w:rsid w:val="00F3231E"/>
    <w:rsid w:val="00F327F9"/>
    <w:rsid w:val="00F32919"/>
    <w:rsid w:val="00F32DFC"/>
    <w:rsid w:val="00F359B8"/>
    <w:rsid w:val="00F362FA"/>
    <w:rsid w:val="00F36591"/>
    <w:rsid w:val="00F41531"/>
    <w:rsid w:val="00F437D0"/>
    <w:rsid w:val="00F43E36"/>
    <w:rsid w:val="00F44832"/>
    <w:rsid w:val="00F4521C"/>
    <w:rsid w:val="00F45EC0"/>
    <w:rsid w:val="00F46C18"/>
    <w:rsid w:val="00F5048F"/>
    <w:rsid w:val="00F524A5"/>
    <w:rsid w:val="00F542D1"/>
    <w:rsid w:val="00F56585"/>
    <w:rsid w:val="00F5682B"/>
    <w:rsid w:val="00F56972"/>
    <w:rsid w:val="00F56B08"/>
    <w:rsid w:val="00F57BED"/>
    <w:rsid w:val="00F60987"/>
    <w:rsid w:val="00F61077"/>
    <w:rsid w:val="00F6134F"/>
    <w:rsid w:val="00F619F1"/>
    <w:rsid w:val="00F62337"/>
    <w:rsid w:val="00F62C9E"/>
    <w:rsid w:val="00F638CA"/>
    <w:rsid w:val="00F676AE"/>
    <w:rsid w:val="00F70AE1"/>
    <w:rsid w:val="00F70BCA"/>
    <w:rsid w:val="00F711DF"/>
    <w:rsid w:val="00F723EB"/>
    <w:rsid w:val="00F7295D"/>
    <w:rsid w:val="00F73861"/>
    <w:rsid w:val="00F73951"/>
    <w:rsid w:val="00F73C84"/>
    <w:rsid w:val="00F7455A"/>
    <w:rsid w:val="00F74E14"/>
    <w:rsid w:val="00F75ACE"/>
    <w:rsid w:val="00F7613A"/>
    <w:rsid w:val="00F76813"/>
    <w:rsid w:val="00F82746"/>
    <w:rsid w:val="00F836F9"/>
    <w:rsid w:val="00F8416C"/>
    <w:rsid w:val="00F845D7"/>
    <w:rsid w:val="00F861B5"/>
    <w:rsid w:val="00F878AA"/>
    <w:rsid w:val="00F90354"/>
    <w:rsid w:val="00F92279"/>
    <w:rsid w:val="00F93861"/>
    <w:rsid w:val="00F95D64"/>
    <w:rsid w:val="00F96145"/>
    <w:rsid w:val="00F975F6"/>
    <w:rsid w:val="00F97CF7"/>
    <w:rsid w:val="00FA5E2D"/>
    <w:rsid w:val="00FA750A"/>
    <w:rsid w:val="00FA76E2"/>
    <w:rsid w:val="00FB0630"/>
    <w:rsid w:val="00FB1990"/>
    <w:rsid w:val="00FB4D21"/>
    <w:rsid w:val="00FB670D"/>
    <w:rsid w:val="00FB7622"/>
    <w:rsid w:val="00FB762B"/>
    <w:rsid w:val="00FB79E5"/>
    <w:rsid w:val="00FC161F"/>
    <w:rsid w:val="00FC17E1"/>
    <w:rsid w:val="00FC3978"/>
    <w:rsid w:val="00FC43FD"/>
    <w:rsid w:val="00FC45F0"/>
    <w:rsid w:val="00FC6601"/>
    <w:rsid w:val="00FC6ADA"/>
    <w:rsid w:val="00FC7004"/>
    <w:rsid w:val="00FC72B7"/>
    <w:rsid w:val="00FC7C84"/>
    <w:rsid w:val="00FD0B3F"/>
    <w:rsid w:val="00FD2AA9"/>
    <w:rsid w:val="00FD3E75"/>
    <w:rsid w:val="00FD4D83"/>
    <w:rsid w:val="00FD54DE"/>
    <w:rsid w:val="00FD55D2"/>
    <w:rsid w:val="00FD5D9E"/>
    <w:rsid w:val="00FD7AA2"/>
    <w:rsid w:val="00FE1C4D"/>
    <w:rsid w:val="00FE44B9"/>
    <w:rsid w:val="00FE4F31"/>
    <w:rsid w:val="00FE5D9E"/>
    <w:rsid w:val="00FE6237"/>
    <w:rsid w:val="00FE6DF9"/>
    <w:rsid w:val="00FF0651"/>
    <w:rsid w:val="00FF16FF"/>
    <w:rsid w:val="00FF1A08"/>
    <w:rsid w:val="00FF211F"/>
    <w:rsid w:val="00FF2817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75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D9"/>
    <w:pPr>
      <w:spacing w:before="120" w:after="12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140822"/>
    <w:pPr>
      <w:spacing w:before="240"/>
      <w:outlineLvl w:val="0"/>
    </w:pPr>
    <w:rPr>
      <w:bCs w:val="0"/>
      <w:color w:val="C00000"/>
    </w:rPr>
  </w:style>
  <w:style w:type="paragraph" w:styleId="Heading2">
    <w:name w:val="heading 2"/>
    <w:basedOn w:val="HeadingBase"/>
    <w:next w:val="Normal"/>
    <w:link w:val="Heading2Char"/>
    <w:qFormat/>
    <w:rsid w:val="00043A4B"/>
    <w:pPr>
      <w:spacing w:before="360"/>
      <w:outlineLvl w:val="1"/>
    </w:pPr>
    <w:rPr>
      <w:bCs w:val="0"/>
      <w:iCs/>
      <w:color w:val="C00000"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043A4B"/>
    <w:pPr>
      <w:spacing w:before="240"/>
      <w:outlineLvl w:val="2"/>
    </w:pPr>
    <w:rPr>
      <w:bCs w:val="0"/>
      <w:color w:val="002060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43A4B"/>
    <w:pPr>
      <w:outlineLvl w:val="3"/>
    </w:pPr>
    <w:rPr>
      <w:bCs w:val="0"/>
      <w:color w:val="002060"/>
      <w:sz w:val="26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1972D2"/>
    <w:pPr>
      <w:outlineLvl w:val="4"/>
    </w:pPr>
    <w:rPr>
      <w:b/>
      <w:bCs w:val="0"/>
      <w:iCs/>
      <w:sz w:val="22"/>
    </w:rPr>
  </w:style>
  <w:style w:type="paragraph" w:styleId="Heading6">
    <w:name w:val="heading 6"/>
    <w:basedOn w:val="HeadingBase"/>
    <w:next w:val="Normal"/>
    <w:link w:val="Heading6Char"/>
    <w:qFormat/>
    <w:rsid w:val="001972D2"/>
    <w:pPr>
      <w:outlineLvl w:val="5"/>
    </w:pPr>
    <w:rPr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822"/>
    <w:rPr>
      <w:rFonts w:ascii="Calibri" w:eastAsia="Times New Roman" w:hAnsi="Calibri" w:cs="Arial"/>
      <w:color w:val="C00000"/>
      <w:kern w:val="32"/>
      <w:sz w:val="4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3A4B"/>
    <w:rPr>
      <w:rFonts w:ascii="Calibri" w:eastAsia="Times New Roman" w:hAnsi="Calibri" w:cs="Arial"/>
      <w:iCs/>
      <w:color w:val="C00000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3A4B"/>
    <w:rPr>
      <w:rFonts w:ascii="Calibri" w:eastAsia="Times New Roman" w:hAnsi="Calibri" w:cs="Arial"/>
      <w:color w:val="002060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3A4B"/>
    <w:rPr>
      <w:rFonts w:ascii="Calibri" w:eastAsia="Times New Roman" w:hAnsi="Calibri" w:cs="Arial"/>
      <w:color w:val="002060"/>
      <w:kern w:val="32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1972D2"/>
    <w:rPr>
      <w:rFonts w:ascii="Calibri" w:eastAsia="Times New Roman" w:hAnsi="Calibri" w:cs="Arial"/>
      <w:b/>
      <w:iCs/>
      <w:color w:val="004A7F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1972D2"/>
    <w:rPr>
      <w:rFonts w:ascii="Calibri" w:eastAsia="Times New Roman" w:hAnsi="Calibri" w:cs="Arial"/>
      <w:color w:val="004A7F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9"/>
      </w:numPr>
      <w:spacing w:before="0"/>
    </w:pPr>
  </w:style>
  <w:style w:type="paragraph" w:customStyle="1" w:styleId="BoxBullet">
    <w:name w:val="Box Bullet"/>
    <w:basedOn w:val="Normal"/>
    <w:rsid w:val="000E0B74"/>
    <w:pPr>
      <w:numPr>
        <w:numId w:val="2"/>
      </w:numPr>
      <w:spacing w:before="0"/>
      <w:ind w:left="284" w:hanging="284"/>
    </w:pPr>
  </w:style>
  <w:style w:type="paragraph" w:customStyle="1" w:styleId="BoxDash">
    <w:name w:val="Box Dash"/>
    <w:basedOn w:val="Normal"/>
    <w:rsid w:val="000E0B74"/>
    <w:pPr>
      <w:numPr>
        <w:ilvl w:val="1"/>
        <w:numId w:val="2"/>
      </w:numPr>
      <w:spacing w:before="0"/>
      <w:ind w:left="568"/>
    </w:pPr>
  </w:style>
  <w:style w:type="paragraph" w:customStyle="1" w:styleId="BoxDoubleDot">
    <w:name w:val="Box Double Dot"/>
    <w:basedOn w:val="Normal"/>
    <w:rsid w:val="000E0B74"/>
    <w:pPr>
      <w:numPr>
        <w:ilvl w:val="2"/>
        <w:numId w:val="2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CE223E"/>
    <w:pPr>
      <w:keepNext/>
      <w:spacing w:before="240"/>
    </w:pPr>
    <w:rPr>
      <w:b/>
      <w:color w:val="004A7F"/>
      <w:sz w:val="26"/>
      <w:szCs w:val="26"/>
    </w:rPr>
  </w:style>
  <w:style w:type="paragraph" w:customStyle="1" w:styleId="BoxText">
    <w:name w:val="Box Text"/>
    <w:basedOn w:val="Normal"/>
    <w:rsid w:val="000E0B74"/>
  </w:style>
  <w:style w:type="paragraph" w:customStyle="1" w:styleId="Bullet">
    <w:name w:val="Bullet"/>
    <w:aliases w:val="Body,b,b + line,b1,level 1,Bullet + line"/>
    <w:basedOn w:val="Normal"/>
    <w:link w:val="BulletChar"/>
    <w:qFormat/>
    <w:rsid w:val="000E0B74"/>
    <w:pPr>
      <w:numPr>
        <w:numId w:val="1"/>
      </w:numPr>
      <w:spacing w:before="0"/>
      <w:ind w:left="284" w:hanging="284"/>
    </w:pPr>
  </w:style>
  <w:style w:type="paragraph" w:customStyle="1" w:styleId="ChartandTableFootnoteAlpha">
    <w:name w:val="Chart and Table Footnote Alpha"/>
    <w:rsid w:val="0023305C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0E0B74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E0B74"/>
    <w:pPr>
      <w:jc w:val="center"/>
    </w:pPr>
  </w:style>
  <w:style w:type="paragraph" w:customStyle="1" w:styleId="ReportDate">
    <w:name w:val="Report Date"/>
    <w:basedOn w:val="Normal"/>
    <w:link w:val="ReportDateChar"/>
    <w:rsid w:val="003857B7"/>
    <w:pPr>
      <w:keepNext/>
      <w:spacing w:before="0" w:after="360"/>
      <w:ind w:right="139"/>
      <w:jc w:val="right"/>
    </w:pPr>
    <w:rPr>
      <w:color w:val="FFFFFF" w:themeColor="background1"/>
      <w:sz w:val="44"/>
    </w:rPr>
  </w:style>
  <w:style w:type="paragraph" w:customStyle="1" w:styleId="Dash">
    <w:name w:val="Dash"/>
    <w:basedOn w:val="Normal"/>
    <w:link w:val="DashChar"/>
    <w:qFormat/>
    <w:rsid w:val="000E0B74"/>
    <w:pPr>
      <w:numPr>
        <w:ilvl w:val="1"/>
        <w:numId w:val="1"/>
      </w:numPr>
      <w:spacing w:before="0"/>
      <w:ind w:left="568"/>
    </w:pPr>
  </w:style>
  <w:style w:type="paragraph" w:customStyle="1" w:styleId="DoubleDot">
    <w:name w:val="Double Dot"/>
    <w:basedOn w:val="Normal"/>
    <w:qFormat/>
    <w:rsid w:val="000E0B74"/>
    <w:pPr>
      <w:numPr>
        <w:ilvl w:val="2"/>
        <w:numId w:val="1"/>
      </w:numPr>
      <w:spacing w:before="0"/>
      <w:ind w:left="851" w:hanging="284"/>
    </w:pPr>
  </w:style>
  <w:style w:type="paragraph" w:customStyle="1" w:styleId="TableMainHeading">
    <w:name w:val="Table Main Heading"/>
    <w:basedOn w:val="Heading3"/>
    <w:next w:val="Normal"/>
    <w:rsid w:val="000E0B74"/>
    <w:pPr>
      <w:spacing w:before="120" w:after="0"/>
    </w:pPr>
    <w:rPr>
      <w:b/>
    </w:rPr>
  </w:style>
  <w:style w:type="paragraph" w:customStyle="1" w:styleId="FooterEven">
    <w:name w:val="Footer Even"/>
    <w:basedOn w:val="Footer"/>
    <w:rsid w:val="00043A4B"/>
    <w:pPr>
      <w:keepNext/>
      <w:tabs>
        <w:tab w:val="clear" w:pos="4513"/>
        <w:tab w:val="clear" w:pos="9026"/>
      </w:tabs>
      <w:jc w:val="left"/>
    </w:pPr>
    <w:rPr>
      <w:noProof/>
      <w:color w:val="002060"/>
      <w:sz w:val="22"/>
    </w:rPr>
  </w:style>
  <w:style w:type="paragraph" w:customStyle="1" w:styleId="FooterOdd">
    <w:name w:val="Footer Odd"/>
    <w:basedOn w:val="Footer"/>
    <w:rsid w:val="00043A4B"/>
    <w:pPr>
      <w:keepNext/>
      <w:tabs>
        <w:tab w:val="clear" w:pos="4513"/>
        <w:tab w:val="clear" w:pos="9026"/>
      </w:tabs>
      <w:jc w:val="right"/>
    </w:pPr>
    <w:rPr>
      <w:color w:val="002060"/>
      <w:sz w:val="22"/>
    </w:rPr>
  </w:style>
  <w:style w:type="character" w:styleId="Hyperlink">
    <w:name w:val="Hyperlink"/>
    <w:basedOn w:val="DefaultParagraphFont"/>
    <w:uiPriority w:val="99"/>
    <w:rsid w:val="001F1B27"/>
    <w:rPr>
      <w:color w:val="004A7F"/>
      <w:u w:val="none"/>
    </w:rPr>
  </w:style>
  <w:style w:type="paragraph" w:customStyle="1" w:styleId="OutlineNumbered1">
    <w:name w:val="Outline Numbered 1"/>
    <w:basedOn w:val="Normal"/>
    <w:link w:val="OutlineNumbered1Char"/>
    <w:rsid w:val="000E0B74"/>
    <w:pPr>
      <w:numPr>
        <w:numId w:val="6"/>
      </w:numPr>
      <w:spacing w:before="0"/>
    </w:pPr>
  </w:style>
  <w:style w:type="paragraph" w:customStyle="1" w:styleId="OneLevelNumberedParagraph">
    <w:name w:val="One Level Numbered Paragraph"/>
    <w:basedOn w:val="Normal"/>
    <w:rsid w:val="000E0B74"/>
    <w:pPr>
      <w:numPr>
        <w:numId w:val="5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spacing w:before="0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spacing w:before="0"/>
    </w:pPr>
  </w:style>
  <w:style w:type="paragraph" w:customStyle="1" w:styleId="Romannumeral">
    <w:name w:val="Roman numeral"/>
    <w:basedOn w:val="Normal"/>
    <w:rsid w:val="004F4B92"/>
    <w:pPr>
      <w:numPr>
        <w:numId w:val="9"/>
      </w:numPr>
      <w:tabs>
        <w:tab w:val="clear" w:pos="720"/>
        <w:tab w:val="num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DF7591"/>
    <w:pPr>
      <w:jc w:val="center"/>
    </w:pPr>
    <w:rPr>
      <w:b/>
      <w:color w:val="C00000"/>
      <w:sz w:val="28"/>
    </w:rPr>
  </w:style>
  <w:style w:type="paragraph" w:customStyle="1" w:styleId="TableColumnHeadingLeft">
    <w:name w:val="Table Column Heading Left"/>
    <w:basedOn w:val="TableTextLeft"/>
    <w:rsid w:val="00DF7591"/>
    <w:rPr>
      <w:b/>
      <w:color w:val="002060"/>
      <w:sz w:val="24"/>
    </w:rPr>
  </w:style>
  <w:style w:type="paragraph" w:customStyle="1" w:styleId="TableColumnHeadingRight">
    <w:name w:val="Table Column Heading Right"/>
    <w:basedOn w:val="TableTextLeft"/>
    <w:rsid w:val="000E0B74"/>
    <w:pPr>
      <w:jc w:val="right"/>
    </w:pPr>
    <w:rPr>
      <w:b/>
      <w:color w:val="004A7F"/>
      <w:sz w:val="20"/>
    </w:rPr>
  </w:style>
  <w:style w:type="table" w:styleId="TableGrid">
    <w:name w:val="Table Grid"/>
    <w:basedOn w:val="TableNormal"/>
    <w:rsid w:val="000E0B74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TextCentered">
    <w:name w:val="Table Text Centered"/>
    <w:basedOn w:val="TableTextRight"/>
    <w:rsid w:val="001972D2"/>
    <w:pPr>
      <w:jc w:val="center"/>
    </w:pPr>
  </w:style>
  <w:style w:type="paragraph" w:customStyle="1" w:styleId="TableTextLeft">
    <w:name w:val="Table Text Left"/>
    <w:basedOn w:val="TableTextRight"/>
    <w:rsid w:val="00092238"/>
    <w:pPr>
      <w:jc w:val="left"/>
    </w:pPr>
    <w:rPr>
      <w:sz w:val="22"/>
    </w:r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B37C6C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2060"/>
      <w:szCs w:val="22"/>
    </w:rPr>
  </w:style>
  <w:style w:type="paragraph" w:styleId="TOC2">
    <w:name w:val="toc 2"/>
    <w:basedOn w:val="Normal"/>
    <w:next w:val="Normal"/>
    <w:uiPriority w:val="39"/>
    <w:qFormat/>
    <w:rsid w:val="0025652F"/>
    <w:pPr>
      <w:keepNext/>
      <w:tabs>
        <w:tab w:val="right" w:leader="dot" w:pos="9072"/>
      </w:tabs>
      <w:spacing w:before="40" w:after="20"/>
      <w:ind w:right="-2"/>
    </w:pPr>
    <w:rPr>
      <w:noProof/>
      <w:color w:val="004A7F"/>
    </w:rPr>
  </w:style>
  <w:style w:type="paragraph" w:styleId="TOC3">
    <w:name w:val="toc 3"/>
    <w:basedOn w:val="Normal"/>
    <w:next w:val="Normal"/>
    <w:uiPriority w:val="39"/>
    <w:qFormat/>
    <w:rsid w:val="0025652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0"/>
      </w:numPr>
    </w:pPr>
  </w:style>
  <w:style w:type="paragraph" w:customStyle="1" w:styleId="Crest">
    <w:name w:val="Crest"/>
    <w:basedOn w:val="Header"/>
    <w:rsid w:val="000E0B74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0E0B74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0E0B74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3857B7"/>
    <w:pPr>
      <w:spacing w:before="0"/>
      <w:contextualSpacing/>
      <w:jc w:val="right"/>
    </w:pPr>
    <w:rPr>
      <w:rFonts w:eastAsiaTheme="majorEastAsia" w:cstheme="majorBidi"/>
      <w:caps/>
      <w:color w:val="00206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7B7"/>
    <w:rPr>
      <w:rFonts w:ascii="Calibri" w:eastAsiaTheme="majorEastAsia" w:hAnsi="Calibri" w:cstheme="majorBidi"/>
      <w:caps/>
      <w:color w:val="002060"/>
      <w:spacing w:val="5"/>
      <w:kern w:val="28"/>
      <w:sz w:val="64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7B7"/>
    <w:pPr>
      <w:numPr>
        <w:ilvl w:val="1"/>
      </w:numPr>
      <w:jc w:val="right"/>
    </w:pPr>
    <w:rPr>
      <w:rFonts w:eastAsiaTheme="majorEastAsia" w:cstheme="majorBidi"/>
      <w:iCs/>
      <w:color w:val="595959" w:themeColor="text1" w:themeTint="A6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3857B7"/>
    <w:rPr>
      <w:rFonts w:ascii="Calibri" w:eastAsiaTheme="majorEastAsia" w:hAnsi="Calibri" w:cstheme="majorBidi"/>
      <w:iCs/>
      <w:color w:val="595959" w:themeColor="text1" w:themeTint="A6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1606CF"/>
    <w:pPr>
      <w:tabs>
        <w:tab w:val="center" w:pos="4513"/>
        <w:tab w:val="right" w:pos="9026"/>
      </w:tabs>
      <w:spacing w:before="0" w:after="0"/>
      <w:jc w:val="center"/>
    </w:pPr>
    <w:rPr>
      <w:color w:val="004A7F"/>
      <w:sz w:val="20"/>
    </w:rPr>
  </w:style>
  <w:style w:type="character" w:customStyle="1" w:styleId="FooterChar">
    <w:name w:val="Footer Char"/>
    <w:basedOn w:val="DefaultParagraphFont"/>
    <w:link w:val="Footer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Normal"/>
    <w:next w:val="Normal"/>
    <w:rsid w:val="00285969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qFormat/>
    <w:rsid w:val="00475085"/>
    <w:pPr>
      <w:keepNext/>
      <w:spacing w:after="120" w:line="240" w:lineRule="auto"/>
    </w:pPr>
    <w:rPr>
      <w:rFonts w:ascii="Calibri" w:eastAsia="Times New Roman" w:hAnsi="Calibri" w:cs="Arial"/>
      <w:bCs/>
      <w:color w:val="004A7F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3857B7"/>
    <w:rPr>
      <w:rFonts w:ascii="Calibri" w:eastAsia="Times New Roman" w:hAnsi="Calibri" w:cs="Times New Roman"/>
      <w:color w:val="FFFFFF" w:themeColor="background1"/>
      <w:sz w:val="44"/>
      <w:szCs w:val="20"/>
      <w:lang w:eastAsia="en-AU"/>
    </w:rPr>
  </w:style>
  <w:style w:type="paragraph" w:customStyle="1" w:styleId="Disclaimer">
    <w:name w:val="Disclaimer"/>
    <w:basedOn w:val="ReportDate"/>
    <w:rsid w:val="002F617F"/>
    <w:pPr>
      <w:spacing w:after="1800"/>
      <w:ind w:right="142"/>
    </w:pPr>
    <w:rPr>
      <w:rFonts w:ascii="Century Gothic" w:hAnsi="Century Gothic"/>
      <w:b/>
      <w:bCs/>
      <w:color w:val="44546A" w:themeColor="text2"/>
      <w:sz w:val="22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44546A" w:themeColor="text2"/>
      <w:sz w:val="36"/>
      <w:szCs w:val="36"/>
    </w:rPr>
  </w:style>
  <w:style w:type="paragraph" w:customStyle="1" w:styleId="Divider">
    <w:name w:val="Divider"/>
    <w:basedOn w:val="ReportDate"/>
    <w:qFormat/>
    <w:rsid w:val="002F617F"/>
    <w:pPr>
      <w:spacing w:after="1800"/>
      <w:ind w:right="0"/>
    </w:pPr>
    <w:rPr>
      <w:rFonts w:ascii="Rockwell" w:hAnsi="Rockwell"/>
      <w:sz w:val="24"/>
    </w:rPr>
  </w:style>
  <w:style w:type="character" w:customStyle="1" w:styleId="FramedFooter">
    <w:name w:val="Framed Footer"/>
    <w:rsid w:val="00E22D51"/>
    <w:rPr>
      <w:rFonts w:ascii="Arial" w:hAnsi="Arial"/>
      <w:color w:val="004A7F"/>
      <w:sz w:val="18"/>
    </w:rPr>
  </w:style>
  <w:style w:type="character" w:customStyle="1" w:styleId="FramedHeader">
    <w:name w:val="Framed Header"/>
    <w:basedOn w:val="DefaultParagraphFont"/>
    <w:rsid w:val="0027590B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9A277C"/>
  </w:style>
  <w:style w:type="paragraph" w:customStyle="1" w:styleId="TableGraphic">
    <w:name w:val="Table Graphic"/>
    <w:basedOn w:val="HeadingBase"/>
    <w:next w:val="Normal"/>
    <w:qFormat/>
    <w:rsid w:val="008E6292"/>
    <w:pPr>
      <w:spacing w:after="0"/>
    </w:pPr>
  </w:style>
  <w:style w:type="paragraph" w:customStyle="1" w:styleId="HeaderEven">
    <w:name w:val="Header Even"/>
    <w:basedOn w:val="Header"/>
    <w:qFormat/>
    <w:rsid w:val="00A12F62"/>
    <w:pPr>
      <w:jc w:val="left"/>
    </w:pPr>
  </w:style>
  <w:style w:type="paragraph" w:customStyle="1" w:styleId="HeaderOdd">
    <w:name w:val="Header Odd"/>
    <w:basedOn w:val="Header"/>
    <w:qFormat/>
    <w:rsid w:val="00A12F62"/>
  </w:style>
  <w:style w:type="paragraph" w:styleId="FootnoteText">
    <w:name w:val="footnote text"/>
    <w:basedOn w:val="Normal"/>
    <w:link w:val="FootnoteTextChar"/>
    <w:uiPriority w:val="99"/>
    <w:rsid w:val="008C7F7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7F7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4C41B6"/>
    <w:rPr>
      <w:rFonts w:ascii="Calibri" w:hAnsi="Calibri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8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Introductionparagraph">
    <w:name w:val="Introduction paragraph"/>
    <w:basedOn w:val="Normal"/>
    <w:qFormat/>
    <w:rsid w:val="00092238"/>
    <w:pPr>
      <w:spacing w:after="240"/>
    </w:pPr>
    <w:rPr>
      <w:color w:val="002060"/>
      <w:sz w:val="28"/>
      <w:szCs w:val="32"/>
    </w:rPr>
  </w:style>
  <w:style w:type="paragraph" w:styleId="ListParagraph">
    <w:name w:val="List Paragraph"/>
    <w:basedOn w:val="Normal"/>
    <w:uiPriority w:val="34"/>
    <w:qFormat/>
    <w:rsid w:val="00A7467F"/>
    <w:pPr>
      <w:spacing w:before="0" w:after="0"/>
      <w:ind w:left="720"/>
    </w:pPr>
    <w:rPr>
      <w:szCs w:val="22"/>
      <w:lang w:eastAsia="en-US"/>
    </w:rPr>
  </w:style>
  <w:style w:type="paragraph" w:customStyle="1" w:styleId="SingleParagraph0">
    <w:name w:val="SingleParagraph"/>
    <w:basedOn w:val="Normal"/>
    <w:next w:val="Normal"/>
    <w:rsid w:val="00A7467F"/>
    <w:pPr>
      <w:keepNext/>
      <w:spacing w:before="0" w:after="0"/>
      <w:jc w:val="both"/>
    </w:pPr>
    <w:rPr>
      <w:rFonts w:ascii="Book Antiqua" w:hAnsi="Book Antiqua"/>
      <w:color w:val="000000"/>
      <w:sz w:val="20"/>
    </w:rPr>
  </w:style>
  <w:style w:type="paragraph" w:customStyle="1" w:styleId="TESHeading5">
    <w:name w:val="TES Heading 5"/>
    <w:basedOn w:val="Normal"/>
    <w:next w:val="Normal"/>
    <w:rsid w:val="00A7467F"/>
    <w:pPr>
      <w:keepNext/>
      <w:tabs>
        <w:tab w:val="left" w:pos="567"/>
      </w:tabs>
      <w:spacing w:before="240"/>
      <w:ind w:left="567" w:hanging="567"/>
    </w:pPr>
    <w:rPr>
      <w:rFonts w:ascii="Arial" w:hAnsi="Arial"/>
      <w:b/>
      <w:sz w:val="20"/>
    </w:rPr>
  </w:style>
  <w:style w:type="character" w:customStyle="1" w:styleId="BulletChar">
    <w:name w:val="Bullet Char"/>
    <w:aliases w:val="b + line Char Char,b Char,b Char Char,Body Char,Bullet + line Char,b + line Char,b1 Char,level 1 Char"/>
    <w:link w:val="Bullet"/>
    <w:rsid w:val="00A7467F"/>
    <w:rPr>
      <w:rFonts w:ascii="Calibri" w:eastAsia="Times New Roman" w:hAnsi="Calibri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4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67F"/>
    <w:pPr>
      <w:spacing w:before="0"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67F"/>
    <w:rPr>
      <w:sz w:val="20"/>
      <w:szCs w:val="20"/>
    </w:rPr>
  </w:style>
  <w:style w:type="paragraph" w:customStyle="1" w:styleId="SecurityClassificationHeader">
    <w:name w:val="Security Classification Header"/>
    <w:link w:val="SecurityClassificationHeaderChar"/>
    <w:rsid w:val="00A24FB1"/>
    <w:pPr>
      <w:spacing w:before="240" w:after="6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A24FB1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A24FB1"/>
    <w:pPr>
      <w:spacing w:before="60" w:after="24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A24FB1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A24FB1"/>
    <w:pPr>
      <w:spacing w:before="60" w:after="24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A24FB1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A24FB1"/>
    <w:pPr>
      <w:spacing w:before="240" w:after="60"/>
      <w:jc w:val="center"/>
    </w:pPr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A24FB1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8AA"/>
    <w:pPr>
      <w:spacing w:before="120" w:after="120"/>
    </w:pPr>
    <w:rPr>
      <w:rFonts w:ascii="Calibri" w:eastAsia="Times New Roman" w:hAnsi="Calibri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8AA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7975BB"/>
    <w:rPr>
      <w:rFonts w:ascii="Calibri" w:eastAsia="Times New Roman" w:hAnsi="Calibri" w:cs="Times New Roman"/>
      <w:szCs w:val="20"/>
      <w:lang w:eastAsia="en-AU"/>
    </w:rPr>
  </w:style>
  <w:style w:type="character" w:customStyle="1" w:styleId="OutlineNumbered1Char">
    <w:name w:val="Outline Numbered 1 Char"/>
    <w:basedOn w:val="DefaultParagraphFont"/>
    <w:link w:val="OutlineNumbered1"/>
    <w:rsid w:val="007975BB"/>
    <w:rPr>
      <w:rFonts w:ascii="Calibri" w:eastAsia="Times New Roman" w:hAnsi="Calibri" w:cs="Times New Roman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4082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F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3831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6B8F"/>
    <w:pPr>
      <w:spacing w:before="0" w:after="15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E154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67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0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46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22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taxboard.gov.a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LVIG@taxboard.gov.au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%20LVIG@taxboard.gov.au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mailto:LVIG@taxboard.gov.a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Boa07</b:Tag>
    <b:SourceType>Report</b:SourceType>
    <b:Guid>{8C0A7B92-1616-4964-81E5-69FDE6C642E5}</b:Guid>
    <b:Title>Scoping study of small business tax compliance costs | Report to Treasurer</b:Title>
    <b:Year>December 2007</b:Year>
    <b:Publisher>Commonwealth of Australia</b:Publisher>
    <b:Author>
      <b:Author>
        <b:Corporate>Board of Taxation</b:Corporate>
      </b:Author>
    </b:Author>
    <b:RefOrder>1</b:RefOrder>
  </b:Source>
  <b:Source>
    <b:Tag>Boa14</b:Tag>
    <b:SourceType>Report</b:SourceType>
    <b:Guid>{AFAE0FE7-41D9-4383-85F8-FD1CC36C2454}</b:Guid>
    <b:Author>
      <b:Author>
        <b:Corporate>Board of Taxation</b:Corporate>
      </b:Author>
    </b:Author>
    <b:Title>Post implementation review of Division 7A of Part III of the Income Tax Assessment Act 1936 | Report to the Assistant Treasurer </b:Title>
    <b:Year>November 2014</b:Year>
    <b:Publisher>Commonwealth of Australia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GRA26-21135 - Retain as national archives</TermName>
          <TermId xmlns="http://schemas.microsoft.com/office/infopath/2007/PartnerControls">f1e1d764-3604-4ca6-bc54-6b106e291d6f</TermId>
        </TermInfo>
      </Terms>
    </lb508a4dc5e84436a0fe496b536466aa>
    <IconOverlay xmlns="http://schemas.microsoft.com/sharepoint/v4" xsi:nil="true"/>
    <TaxCatchAll xmlns="0f563589-9cf9-4143-b1eb-fb0534803d38">
      <Value>18</Value>
    </TaxCatchAll>
    <_dlc_DocId xmlns="0f563589-9cf9-4143-b1eb-fb0534803d38">2021RG-355-10390</_dlc_DocId>
    <_dlc_DocIdUrl xmlns="0f563589-9cf9-4143-b1eb-fb0534803d38">
      <Url>http://tweb/sites/rg/bots/projects/_layouts/15/DocIdRedir.aspx?ID=2021RG-355-10390</Url>
      <Description>2021RG-355-10390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7F2E04CA2AAA104DB2D93AC73B6CBA42" ma:contentTypeVersion="39822" ma:contentTypeDescription="" ma:contentTypeScope="" ma:versionID="00b398e26fe391a49fe4d145e5a4629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e929a2910a307a6ca8346e052878401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8;#GRA26-21135 - Retain as national archives|f1e1d764-3604-4ca6-bc54-6b106e291d6f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EF71A79-2B88-4C9B-944C-15490547C12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52C63A2-72BE-4992-997A-C5A4DEE468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154DA-1FB2-4363-8678-127289C4C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B52D5-BDBE-454F-8FAB-06E7089BD130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http://schemas.microsoft.com/sharepoint/v4"/>
    <ds:schemaRef ds:uri="0f563589-9cf9-4143-b1eb-fb0534803d38"/>
  </ds:schemaRefs>
</ds:datastoreItem>
</file>

<file path=customXml/itemProps5.xml><?xml version="1.0" encoding="utf-8"?>
<ds:datastoreItem xmlns:ds="http://schemas.openxmlformats.org/officeDocument/2006/customXml" ds:itemID="{D66B13D5-BC31-48C6-852B-41612A97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E67C6A-4787-4FB3-8C47-86500CC8F6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GST on low value imported goods - Consultation Guide</vt:lpstr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GST on low value imported goods - Consultation Guide</dc:title>
  <dc:subject/>
  <dc:creator/>
  <cp:keywords/>
  <cp:lastModifiedBy/>
  <cp:revision>1</cp:revision>
  <dcterms:created xsi:type="dcterms:W3CDTF">2021-08-02T05:00:00Z</dcterms:created>
  <dcterms:modified xsi:type="dcterms:W3CDTF">2021-08-03T00:16:00Z</dcterms:modified>
</cp:coreProperties>
</file>