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D56C32" w14:textId="77777777" w:rsidR="00254D20" w:rsidRDefault="004D37AA" w:rsidP="00E712D3">
      <w:r>
        <w:rPr>
          <w:noProof/>
        </w:rPr>
        <w:drawing>
          <wp:anchor distT="0" distB="0" distL="114300" distR="114300" simplePos="0" relativeHeight="251658240" behindDoc="1" locked="0" layoutInCell="1" allowOverlap="1" wp14:anchorId="2C3D5E62" wp14:editId="495A9152">
            <wp:simplePos x="904875" y="1466850"/>
            <wp:positionH relativeFrom="page">
              <wp:align>center</wp:align>
            </wp:positionH>
            <wp:positionV relativeFrom="page">
              <wp:align>center</wp:align>
            </wp:positionV>
            <wp:extent cx="7560360" cy="10694520"/>
            <wp:effectExtent l="0" t="0" r="254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 Cover_Consultation guid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0360" cy="1069452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1" behindDoc="1" locked="0" layoutInCell="1" allowOverlap="1" wp14:anchorId="3285C7B6" wp14:editId="514B718D">
            <wp:simplePos x="904875" y="1466850"/>
            <wp:positionH relativeFrom="page">
              <wp:align>center</wp:align>
            </wp:positionH>
            <wp:positionV relativeFrom="page">
              <wp:align>center</wp:align>
            </wp:positionV>
            <wp:extent cx="7560360" cy="1069452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 Cover_Consultation guid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0360" cy="10694520"/>
                    </a:xfrm>
                    <a:prstGeom prst="rect">
                      <a:avLst/>
                    </a:prstGeom>
                  </pic:spPr>
                </pic:pic>
              </a:graphicData>
            </a:graphic>
            <wp14:sizeRelH relativeFrom="margin">
              <wp14:pctWidth>0</wp14:pctWidth>
            </wp14:sizeRelH>
            <wp14:sizeRelV relativeFrom="margin">
              <wp14:pctHeight>0</wp14:pctHeight>
            </wp14:sizeRelV>
          </wp:anchor>
        </w:drawing>
      </w:r>
    </w:p>
    <w:p w14:paraId="29A476C8" w14:textId="77777777" w:rsidR="00254D20" w:rsidRDefault="00254D20" w:rsidP="00E712D3"/>
    <w:p w14:paraId="256DAE79" w14:textId="77777777" w:rsidR="00254D20" w:rsidRDefault="009C6248" w:rsidP="009C6248">
      <w:pPr>
        <w:tabs>
          <w:tab w:val="right" w:pos="9070"/>
        </w:tabs>
      </w:pPr>
      <w:r>
        <w:tab/>
      </w:r>
    </w:p>
    <w:p w14:paraId="7BCB2D4C" w14:textId="77777777" w:rsidR="00254D20" w:rsidRDefault="00254D20" w:rsidP="00E712D3"/>
    <w:p w14:paraId="3C95B88B" w14:textId="77777777" w:rsidR="00254D20" w:rsidRDefault="00254D20" w:rsidP="00E712D3"/>
    <w:p w14:paraId="56D570C1" w14:textId="77777777" w:rsidR="00254D20" w:rsidRDefault="00254D20" w:rsidP="00E712D3"/>
    <w:p w14:paraId="55538829" w14:textId="77777777" w:rsidR="00254D20" w:rsidRDefault="00254D20" w:rsidP="00E712D3"/>
    <w:p w14:paraId="009B63E4" w14:textId="77777777" w:rsidR="00254D20" w:rsidRPr="00E712D3" w:rsidRDefault="00254D20" w:rsidP="00E712D3"/>
    <w:p w14:paraId="6453D0E2" w14:textId="1E511767" w:rsidR="000E0B74" w:rsidRPr="00E712D3" w:rsidRDefault="00254D20" w:rsidP="00E712D3">
      <w:pPr>
        <w:pStyle w:val="Title"/>
        <w:rPr>
          <w:sz w:val="56"/>
          <w:szCs w:val="56"/>
        </w:rPr>
      </w:pPr>
      <w:r>
        <w:rPr>
          <w:sz w:val="56"/>
          <w:szCs w:val="56"/>
        </w:rPr>
        <w:t xml:space="preserve">Review of </w:t>
      </w:r>
      <w:r w:rsidR="00800E7C">
        <w:rPr>
          <w:sz w:val="56"/>
          <w:szCs w:val="56"/>
        </w:rPr>
        <w:t>R&amp;D</w:t>
      </w:r>
      <w:r w:rsidR="00025D46">
        <w:rPr>
          <w:sz w:val="56"/>
          <w:szCs w:val="56"/>
        </w:rPr>
        <w:t xml:space="preserve"> Tax Incentive </w:t>
      </w:r>
      <w:r w:rsidR="005E6226">
        <w:rPr>
          <w:sz w:val="56"/>
          <w:szCs w:val="56"/>
        </w:rPr>
        <w:t xml:space="preserve"> </w:t>
      </w:r>
      <w:r w:rsidR="00800E7C">
        <w:rPr>
          <w:sz w:val="56"/>
          <w:szCs w:val="56"/>
        </w:rPr>
        <w:t>dual</w:t>
      </w:r>
      <w:r w:rsidR="005E6226">
        <w:rPr>
          <w:sz w:val="56"/>
          <w:szCs w:val="56"/>
        </w:rPr>
        <w:t>-</w:t>
      </w:r>
      <w:r w:rsidR="00800E7C">
        <w:rPr>
          <w:sz w:val="56"/>
          <w:szCs w:val="56"/>
        </w:rPr>
        <w:t>agency administration model</w:t>
      </w:r>
    </w:p>
    <w:p w14:paraId="7E814AA3" w14:textId="77777777" w:rsidR="000E0B74" w:rsidRPr="00706E8E" w:rsidRDefault="003857B7" w:rsidP="003857B7">
      <w:pPr>
        <w:pStyle w:val="Subtitle"/>
        <w:spacing w:after="3000"/>
      </w:pPr>
      <w:r w:rsidRPr="003857B7">
        <w:t>Consultation Guide</w:t>
      </w:r>
    </w:p>
    <w:p w14:paraId="41194108" w14:textId="77777777" w:rsidR="00754A10" w:rsidRDefault="00754A10" w:rsidP="000E0B74">
      <w:pPr>
        <w:pStyle w:val="ReportDate"/>
        <w:ind w:right="0"/>
        <w:rPr>
          <w:rStyle w:val="ReportDateChar"/>
        </w:rPr>
      </w:pPr>
    </w:p>
    <w:p w14:paraId="00E0A674" w14:textId="77777777" w:rsidR="00056880" w:rsidRDefault="00800E7C" w:rsidP="000E0B74">
      <w:pPr>
        <w:pStyle w:val="ReportDate"/>
        <w:ind w:right="0"/>
        <w:rPr>
          <w:rFonts w:ascii="Rockwell" w:hAnsi="Rockwell"/>
          <w:sz w:val="24"/>
        </w:rPr>
      </w:pPr>
      <w:r>
        <w:rPr>
          <w:rStyle w:val="ReportDateChar"/>
        </w:rPr>
        <w:t>June</w:t>
      </w:r>
      <w:r w:rsidR="00AC503D">
        <w:rPr>
          <w:rStyle w:val="ReportDateChar"/>
        </w:rPr>
        <w:t xml:space="preserve"> </w:t>
      </w:r>
      <w:r w:rsidR="003857B7">
        <w:rPr>
          <w:rStyle w:val="ReportDateChar"/>
        </w:rPr>
        <w:t>20</w:t>
      </w:r>
      <w:r w:rsidR="00AC503D">
        <w:rPr>
          <w:rStyle w:val="ReportDateChar"/>
        </w:rPr>
        <w:t>2</w:t>
      </w:r>
      <w:r>
        <w:rPr>
          <w:rStyle w:val="ReportDateChar"/>
        </w:rPr>
        <w:t>1</w:t>
      </w:r>
    </w:p>
    <w:p w14:paraId="455E5BC0" w14:textId="77777777" w:rsidR="002F617F" w:rsidRPr="005D561D" w:rsidRDefault="002F617F" w:rsidP="002F617F">
      <w:pPr>
        <w:pStyle w:val="Divider"/>
      </w:pPr>
    </w:p>
    <w:p w14:paraId="4FF2A3A6" w14:textId="77777777" w:rsidR="002F617F" w:rsidRDefault="002F617F"/>
    <w:p w14:paraId="2A7D06E0" w14:textId="77777777" w:rsidR="000E0B74" w:rsidRDefault="000E0B74" w:rsidP="000E0B74">
      <w:pPr>
        <w:rPr>
          <w:rFonts w:cs="Calibri"/>
          <w:sz w:val="20"/>
        </w:rPr>
      </w:pPr>
    </w:p>
    <w:p w14:paraId="197D849D" w14:textId="77777777" w:rsidR="000E0B74" w:rsidRDefault="000E0B74" w:rsidP="000E0B74">
      <w:pPr>
        <w:sectPr w:rsidR="000E0B74" w:rsidSect="00C01DCC">
          <w:footerReference w:type="even" r:id="rId9"/>
          <w:pgSz w:w="11906" w:h="16838"/>
          <w:pgMar w:top="1418" w:right="1418" w:bottom="1418" w:left="1418" w:header="709" w:footer="709" w:gutter="0"/>
          <w:cols w:space="720"/>
        </w:sectPr>
      </w:pPr>
    </w:p>
    <w:p w14:paraId="7F552837" w14:textId="77777777" w:rsidR="000E0B74" w:rsidRDefault="000E0B74" w:rsidP="00ED53E0">
      <w:pPr>
        <w:pStyle w:val="Heading1"/>
        <w:spacing w:before="0"/>
      </w:pPr>
      <w:bookmarkStart w:id="0" w:name="_Toc504653882"/>
      <w:bookmarkStart w:id="1" w:name="_Toc73533742"/>
      <w:r w:rsidRPr="001F1B27">
        <w:lastRenderedPageBreak/>
        <w:t>Contents</w:t>
      </w:r>
      <w:bookmarkEnd w:id="0"/>
      <w:bookmarkEnd w:id="1"/>
    </w:p>
    <w:p w14:paraId="00F4B421" w14:textId="46079A73" w:rsidR="005C7055" w:rsidRDefault="000E0B74">
      <w:pPr>
        <w:pStyle w:val="TOC1"/>
        <w:rPr>
          <w:rFonts w:asciiTheme="minorHAnsi" w:eastAsiaTheme="minorEastAsia" w:hAnsiTheme="minorHAnsi" w:cstheme="minorBidi"/>
          <w:b w:val="0"/>
          <w:color w:val="auto"/>
          <w:lang w:eastAsia="zh-TW"/>
        </w:rPr>
      </w:pPr>
      <w:r>
        <w:rPr>
          <w:color w:val="004A7F"/>
        </w:rPr>
        <w:fldChar w:fldCharType="begin"/>
      </w:r>
      <w:r w:rsidRPr="0025652F">
        <w:instrText xml:space="preserve"> TOC \o "1-3" \h \z \u </w:instrText>
      </w:r>
      <w:r>
        <w:rPr>
          <w:color w:val="004A7F"/>
        </w:rPr>
        <w:fldChar w:fldCharType="separate"/>
      </w:r>
      <w:hyperlink w:anchor="_Toc73533742" w:history="1">
        <w:r w:rsidR="005C7055" w:rsidRPr="006975AA">
          <w:rPr>
            <w:rStyle w:val="Hyperlink"/>
          </w:rPr>
          <w:t>Contents</w:t>
        </w:r>
        <w:r w:rsidR="005C7055">
          <w:rPr>
            <w:webHidden/>
          </w:rPr>
          <w:tab/>
        </w:r>
        <w:r w:rsidR="005C7055">
          <w:rPr>
            <w:webHidden/>
          </w:rPr>
          <w:fldChar w:fldCharType="begin"/>
        </w:r>
        <w:r w:rsidR="005C7055">
          <w:rPr>
            <w:webHidden/>
          </w:rPr>
          <w:instrText xml:space="preserve"> PAGEREF _Toc73533742 \h </w:instrText>
        </w:r>
        <w:r w:rsidR="005C7055">
          <w:rPr>
            <w:webHidden/>
          </w:rPr>
        </w:r>
        <w:r w:rsidR="005C7055">
          <w:rPr>
            <w:webHidden/>
          </w:rPr>
          <w:fldChar w:fldCharType="separate"/>
        </w:r>
        <w:r w:rsidR="00CA5AC9">
          <w:rPr>
            <w:webHidden/>
          </w:rPr>
          <w:t>2</w:t>
        </w:r>
        <w:r w:rsidR="005C7055">
          <w:rPr>
            <w:webHidden/>
          </w:rPr>
          <w:fldChar w:fldCharType="end"/>
        </w:r>
      </w:hyperlink>
    </w:p>
    <w:p w14:paraId="46AF0A10" w14:textId="39E98B28" w:rsidR="005C7055" w:rsidRDefault="00D54000">
      <w:pPr>
        <w:pStyle w:val="TOC1"/>
        <w:rPr>
          <w:rFonts w:asciiTheme="minorHAnsi" w:eastAsiaTheme="minorEastAsia" w:hAnsiTheme="minorHAnsi" w:cstheme="minorBidi"/>
          <w:b w:val="0"/>
          <w:color w:val="auto"/>
          <w:lang w:eastAsia="zh-TW"/>
        </w:rPr>
      </w:pPr>
      <w:hyperlink w:anchor="_Toc73533743" w:history="1">
        <w:r w:rsidR="005C7055" w:rsidRPr="006975AA">
          <w:rPr>
            <w:rStyle w:val="Hyperlink"/>
          </w:rPr>
          <w:t>The Board’s review</w:t>
        </w:r>
        <w:r w:rsidR="005C7055">
          <w:rPr>
            <w:webHidden/>
          </w:rPr>
          <w:tab/>
        </w:r>
        <w:r w:rsidR="005C7055">
          <w:rPr>
            <w:webHidden/>
          </w:rPr>
          <w:fldChar w:fldCharType="begin"/>
        </w:r>
        <w:r w:rsidR="005C7055">
          <w:rPr>
            <w:webHidden/>
          </w:rPr>
          <w:instrText xml:space="preserve"> PAGEREF _Toc73533743 \h </w:instrText>
        </w:r>
        <w:r w:rsidR="005C7055">
          <w:rPr>
            <w:webHidden/>
          </w:rPr>
        </w:r>
        <w:r w:rsidR="005C7055">
          <w:rPr>
            <w:webHidden/>
          </w:rPr>
          <w:fldChar w:fldCharType="separate"/>
        </w:r>
        <w:r w:rsidR="00CA5AC9">
          <w:rPr>
            <w:webHidden/>
          </w:rPr>
          <w:t>3</w:t>
        </w:r>
        <w:r w:rsidR="005C7055">
          <w:rPr>
            <w:webHidden/>
          </w:rPr>
          <w:fldChar w:fldCharType="end"/>
        </w:r>
      </w:hyperlink>
    </w:p>
    <w:p w14:paraId="4421EADE" w14:textId="54209EC8" w:rsidR="005C7055" w:rsidRDefault="00D54000">
      <w:pPr>
        <w:pStyle w:val="TOC1"/>
        <w:rPr>
          <w:rFonts w:asciiTheme="minorHAnsi" w:eastAsiaTheme="minorEastAsia" w:hAnsiTheme="minorHAnsi" w:cstheme="minorBidi"/>
          <w:b w:val="0"/>
          <w:color w:val="auto"/>
          <w:lang w:eastAsia="zh-TW"/>
        </w:rPr>
      </w:pPr>
      <w:hyperlink w:anchor="_Toc73533744" w:history="1">
        <w:r w:rsidR="005C7055" w:rsidRPr="006975AA">
          <w:rPr>
            <w:rStyle w:val="Hyperlink"/>
          </w:rPr>
          <w:t>Consultation process</w:t>
        </w:r>
        <w:r w:rsidR="005C7055">
          <w:rPr>
            <w:webHidden/>
          </w:rPr>
          <w:tab/>
        </w:r>
        <w:r w:rsidR="005C7055">
          <w:rPr>
            <w:webHidden/>
          </w:rPr>
          <w:fldChar w:fldCharType="begin"/>
        </w:r>
        <w:r w:rsidR="005C7055">
          <w:rPr>
            <w:webHidden/>
          </w:rPr>
          <w:instrText xml:space="preserve"> PAGEREF _Toc73533744 \h </w:instrText>
        </w:r>
        <w:r w:rsidR="005C7055">
          <w:rPr>
            <w:webHidden/>
          </w:rPr>
        </w:r>
        <w:r w:rsidR="005C7055">
          <w:rPr>
            <w:webHidden/>
          </w:rPr>
          <w:fldChar w:fldCharType="separate"/>
        </w:r>
        <w:r w:rsidR="00CA5AC9">
          <w:rPr>
            <w:webHidden/>
          </w:rPr>
          <w:t>4</w:t>
        </w:r>
        <w:r w:rsidR="005C7055">
          <w:rPr>
            <w:webHidden/>
          </w:rPr>
          <w:fldChar w:fldCharType="end"/>
        </w:r>
      </w:hyperlink>
    </w:p>
    <w:p w14:paraId="643C30E5" w14:textId="58B1D698" w:rsidR="005C7055" w:rsidRDefault="00D54000">
      <w:pPr>
        <w:pStyle w:val="TOC1"/>
        <w:rPr>
          <w:rFonts w:asciiTheme="minorHAnsi" w:eastAsiaTheme="minorEastAsia" w:hAnsiTheme="minorHAnsi" w:cstheme="minorBidi"/>
          <w:b w:val="0"/>
          <w:color w:val="auto"/>
          <w:lang w:eastAsia="zh-TW"/>
        </w:rPr>
      </w:pPr>
      <w:hyperlink w:anchor="_Toc73533745" w:history="1">
        <w:r w:rsidR="005C7055" w:rsidRPr="006975AA">
          <w:rPr>
            <w:rStyle w:val="Hyperlink"/>
          </w:rPr>
          <w:t>Membership</w:t>
        </w:r>
        <w:r w:rsidR="005C7055">
          <w:rPr>
            <w:webHidden/>
          </w:rPr>
          <w:tab/>
        </w:r>
        <w:r w:rsidR="005C7055">
          <w:rPr>
            <w:webHidden/>
          </w:rPr>
          <w:fldChar w:fldCharType="begin"/>
        </w:r>
        <w:r w:rsidR="005C7055">
          <w:rPr>
            <w:webHidden/>
          </w:rPr>
          <w:instrText xml:space="preserve"> PAGEREF _Toc73533745 \h </w:instrText>
        </w:r>
        <w:r w:rsidR="005C7055">
          <w:rPr>
            <w:webHidden/>
          </w:rPr>
        </w:r>
        <w:r w:rsidR="005C7055">
          <w:rPr>
            <w:webHidden/>
          </w:rPr>
          <w:fldChar w:fldCharType="separate"/>
        </w:r>
        <w:r w:rsidR="00CA5AC9">
          <w:rPr>
            <w:webHidden/>
          </w:rPr>
          <w:t>5</w:t>
        </w:r>
        <w:r w:rsidR="005C7055">
          <w:rPr>
            <w:webHidden/>
          </w:rPr>
          <w:fldChar w:fldCharType="end"/>
        </w:r>
      </w:hyperlink>
    </w:p>
    <w:p w14:paraId="742CB0C2" w14:textId="594F0D94" w:rsidR="005C7055" w:rsidRDefault="00D54000">
      <w:pPr>
        <w:pStyle w:val="TOC1"/>
        <w:rPr>
          <w:rFonts w:asciiTheme="minorHAnsi" w:eastAsiaTheme="minorEastAsia" w:hAnsiTheme="minorHAnsi" w:cstheme="minorBidi"/>
          <w:b w:val="0"/>
          <w:color w:val="auto"/>
          <w:lang w:eastAsia="zh-TW"/>
        </w:rPr>
      </w:pPr>
      <w:hyperlink w:anchor="_Toc73533746" w:history="1">
        <w:r w:rsidR="005C7055" w:rsidRPr="006975AA">
          <w:rPr>
            <w:rStyle w:val="Hyperlink"/>
          </w:rPr>
          <w:t>Previous and current reviews of R&amp;DTI program</w:t>
        </w:r>
        <w:r w:rsidR="005C7055">
          <w:rPr>
            <w:webHidden/>
          </w:rPr>
          <w:tab/>
        </w:r>
        <w:r w:rsidR="005C7055">
          <w:rPr>
            <w:webHidden/>
          </w:rPr>
          <w:fldChar w:fldCharType="begin"/>
        </w:r>
        <w:r w:rsidR="005C7055">
          <w:rPr>
            <w:webHidden/>
          </w:rPr>
          <w:instrText xml:space="preserve"> PAGEREF _Toc73533746 \h </w:instrText>
        </w:r>
        <w:r w:rsidR="005C7055">
          <w:rPr>
            <w:webHidden/>
          </w:rPr>
        </w:r>
        <w:r w:rsidR="005C7055">
          <w:rPr>
            <w:webHidden/>
          </w:rPr>
          <w:fldChar w:fldCharType="separate"/>
        </w:r>
        <w:r w:rsidR="00CA5AC9">
          <w:rPr>
            <w:webHidden/>
          </w:rPr>
          <w:t>6</w:t>
        </w:r>
        <w:r w:rsidR="005C7055">
          <w:rPr>
            <w:webHidden/>
          </w:rPr>
          <w:fldChar w:fldCharType="end"/>
        </w:r>
      </w:hyperlink>
    </w:p>
    <w:p w14:paraId="7185EE12" w14:textId="5D20D779" w:rsidR="005C7055" w:rsidRDefault="00D54000">
      <w:pPr>
        <w:pStyle w:val="TOC1"/>
        <w:rPr>
          <w:rFonts w:asciiTheme="minorHAnsi" w:eastAsiaTheme="minorEastAsia" w:hAnsiTheme="minorHAnsi" w:cstheme="minorBidi"/>
          <w:b w:val="0"/>
          <w:color w:val="auto"/>
          <w:lang w:eastAsia="zh-TW"/>
        </w:rPr>
      </w:pPr>
      <w:hyperlink w:anchor="_Toc73533747" w:history="1">
        <w:r w:rsidR="005C7055" w:rsidRPr="006975AA">
          <w:rPr>
            <w:rStyle w:val="Hyperlink"/>
          </w:rPr>
          <w:t>Consultation questions</w:t>
        </w:r>
        <w:r w:rsidR="005C7055">
          <w:rPr>
            <w:webHidden/>
          </w:rPr>
          <w:tab/>
        </w:r>
        <w:r w:rsidR="005C7055">
          <w:rPr>
            <w:webHidden/>
          </w:rPr>
          <w:fldChar w:fldCharType="begin"/>
        </w:r>
        <w:r w:rsidR="005C7055">
          <w:rPr>
            <w:webHidden/>
          </w:rPr>
          <w:instrText xml:space="preserve"> PAGEREF _Toc73533747 \h </w:instrText>
        </w:r>
        <w:r w:rsidR="005C7055">
          <w:rPr>
            <w:webHidden/>
          </w:rPr>
        </w:r>
        <w:r w:rsidR="005C7055">
          <w:rPr>
            <w:webHidden/>
          </w:rPr>
          <w:fldChar w:fldCharType="separate"/>
        </w:r>
        <w:r w:rsidR="00CA5AC9">
          <w:rPr>
            <w:webHidden/>
          </w:rPr>
          <w:t>7</w:t>
        </w:r>
        <w:r w:rsidR="005C7055">
          <w:rPr>
            <w:webHidden/>
          </w:rPr>
          <w:fldChar w:fldCharType="end"/>
        </w:r>
      </w:hyperlink>
    </w:p>
    <w:p w14:paraId="3A0B2273" w14:textId="575A48F3" w:rsidR="005C7055" w:rsidRDefault="00D54000">
      <w:pPr>
        <w:pStyle w:val="TOC1"/>
        <w:rPr>
          <w:rFonts w:asciiTheme="minorHAnsi" w:eastAsiaTheme="minorEastAsia" w:hAnsiTheme="minorHAnsi" w:cstheme="minorBidi"/>
          <w:b w:val="0"/>
          <w:color w:val="auto"/>
          <w:lang w:eastAsia="zh-TW"/>
        </w:rPr>
      </w:pPr>
      <w:hyperlink w:anchor="_Toc73533748" w:history="1">
        <w:r w:rsidR="005C7055" w:rsidRPr="006975AA">
          <w:rPr>
            <w:rStyle w:val="Hyperlink"/>
          </w:rPr>
          <w:t>How to participate</w:t>
        </w:r>
        <w:r w:rsidR="005C7055">
          <w:rPr>
            <w:webHidden/>
          </w:rPr>
          <w:tab/>
        </w:r>
        <w:r w:rsidR="005C7055">
          <w:rPr>
            <w:webHidden/>
          </w:rPr>
          <w:fldChar w:fldCharType="begin"/>
        </w:r>
        <w:r w:rsidR="005C7055">
          <w:rPr>
            <w:webHidden/>
          </w:rPr>
          <w:instrText xml:space="preserve"> PAGEREF _Toc73533748 \h </w:instrText>
        </w:r>
        <w:r w:rsidR="005C7055">
          <w:rPr>
            <w:webHidden/>
          </w:rPr>
        </w:r>
        <w:r w:rsidR="005C7055">
          <w:rPr>
            <w:webHidden/>
          </w:rPr>
          <w:fldChar w:fldCharType="separate"/>
        </w:r>
        <w:r w:rsidR="00CA5AC9">
          <w:rPr>
            <w:webHidden/>
          </w:rPr>
          <w:t>8</w:t>
        </w:r>
        <w:r w:rsidR="005C7055">
          <w:rPr>
            <w:webHidden/>
          </w:rPr>
          <w:fldChar w:fldCharType="end"/>
        </w:r>
      </w:hyperlink>
    </w:p>
    <w:p w14:paraId="58355DA2" w14:textId="77777777" w:rsidR="00254D20" w:rsidRDefault="000E0B74" w:rsidP="00296283">
      <w:pPr>
        <w:tabs>
          <w:tab w:val="left" w:pos="7686"/>
        </w:tabs>
      </w:pPr>
      <w:r>
        <w:fldChar w:fldCharType="end"/>
      </w:r>
      <w:bookmarkStart w:id="2" w:name="_Toc432067103"/>
      <w:bookmarkStart w:id="3" w:name="_Toc452635030"/>
    </w:p>
    <w:p w14:paraId="1255F11D" w14:textId="77777777" w:rsidR="00251099" w:rsidRDefault="00251099" w:rsidP="00E712D3"/>
    <w:p w14:paraId="060F902C" w14:textId="77777777" w:rsidR="00251099" w:rsidRDefault="00251099" w:rsidP="00251099">
      <w:pPr>
        <w:jc w:val="center"/>
      </w:pPr>
    </w:p>
    <w:p w14:paraId="1E1AA906" w14:textId="77777777" w:rsidR="00B37C6C" w:rsidRPr="00251099" w:rsidRDefault="00251099" w:rsidP="00251099">
      <w:pPr>
        <w:tabs>
          <w:tab w:val="center" w:pos="4819"/>
        </w:tabs>
        <w:sectPr w:rsidR="00B37C6C" w:rsidRPr="00251099" w:rsidSect="00D5404B">
          <w:headerReference w:type="even" r:id="rId10"/>
          <w:headerReference w:type="default" r:id="rId11"/>
          <w:footerReference w:type="even" r:id="rId12"/>
          <w:footerReference w:type="default" r:id="rId13"/>
          <w:headerReference w:type="first" r:id="rId14"/>
          <w:footerReference w:type="first" r:id="rId15"/>
          <w:pgSz w:w="11906" w:h="16838" w:code="9"/>
          <w:pgMar w:top="2835" w:right="1134" w:bottom="1985" w:left="1134" w:header="709" w:footer="1134" w:gutter="0"/>
          <w:cols w:space="708"/>
          <w:docGrid w:linePitch="360"/>
        </w:sectPr>
      </w:pPr>
      <w:r>
        <w:tab/>
      </w:r>
    </w:p>
    <w:p w14:paraId="7FD31821" w14:textId="77777777" w:rsidR="008A12E3" w:rsidRDefault="008A12E3" w:rsidP="008A12E3">
      <w:pPr>
        <w:pStyle w:val="Heading1"/>
      </w:pPr>
      <w:bookmarkStart w:id="4" w:name="_Toc73533743"/>
      <w:bookmarkEnd w:id="2"/>
      <w:bookmarkEnd w:id="3"/>
      <w:r>
        <w:lastRenderedPageBreak/>
        <w:t>The Board’s review</w:t>
      </w:r>
      <w:bookmarkEnd w:id="4"/>
    </w:p>
    <w:p w14:paraId="605198BB" w14:textId="77777777" w:rsidR="008A12E3" w:rsidRDefault="008A12E3" w:rsidP="008A12E3">
      <w:pPr>
        <w:pStyle w:val="Introductionparagraph"/>
      </w:pPr>
      <w:r w:rsidRPr="005670FB">
        <w:t xml:space="preserve">On 11 May 2021, the Government announced that the Board would undertake a review to evaluate the dual-agency administration model for the Research and Development Tax Incentive (R&amp;DTI). </w:t>
      </w:r>
      <w:r>
        <w:t xml:space="preserve">The terms of reference set out the objectives </w:t>
      </w:r>
      <w:r w:rsidRPr="00A65719">
        <w:t xml:space="preserve">in undertaking this </w:t>
      </w:r>
      <w:r>
        <w:t>review</w:t>
      </w:r>
      <w:r w:rsidRPr="00A65719">
        <w:t>, the scope of work</w:t>
      </w:r>
      <w:r>
        <w:t>,</w:t>
      </w:r>
      <w:r w:rsidRPr="00A65719">
        <w:t xml:space="preserve"> and the timing of </w:t>
      </w:r>
      <w:r>
        <w:t>the review</w:t>
      </w:r>
      <w:r w:rsidRPr="00A65719">
        <w:t>.</w:t>
      </w:r>
    </w:p>
    <w:p w14:paraId="355D29C2" w14:textId="44432DD2" w:rsidR="008A12E3" w:rsidRDefault="008A12E3" w:rsidP="008A12E3">
      <w:r>
        <w:t>The R&amp;DTI</w:t>
      </w:r>
      <w:r w:rsidR="006D74BB">
        <w:t xml:space="preserve"> </w:t>
      </w:r>
      <w:r>
        <w:t>program is a self-assessment program that provides tax offsets for eligible company R&amp;D expenditure. The stated objective of the program is to encourage industry to conduct R&amp;D activities that may otherwise not be conducted, particularly where the new knowledge gained is likely to benefit the wider Australian economy.</w:t>
      </w:r>
    </w:p>
    <w:p w14:paraId="5217B990" w14:textId="385C8BE5" w:rsidR="008A12E3" w:rsidRDefault="008A12E3" w:rsidP="008A12E3">
      <w:r>
        <w:t>The R&amp;DTI is jointly administered by the Australian Taxation Office (ATO) and Industry Innovation and Science Australia (IISA)</w:t>
      </w:r>
      <w:r w:rsidR="006449A1">
        <w:t xml:space="preserve"> </w:t>
      </w:r>
      <w:r w:rsidR="006449A1" w:rsidRPr="006449A1">
        <w:t>and the Department of Industry, Science, Energy and Resources (DISER)</w:t>
      </w:r>
      <w:r>
        <w:t xml:space="preserve">, with the ATO being responsible for </w:t>
      </w:r>
      <w:r w:rsidR="007150FE" w:rsidRPr="007150FE">
        <w:t xml:space="preserve">determining whether an amount of expenditure is validly incurred for eligible R&amp;D activities </w:t>
      </w:r>
      <w:r>
        <w:t xml:space="preserve"> and IISA responsible </w:t>
      </w:r>
      <w:r w:rsidR="007150FE">
        <w:t xml:space="preserve">both </w:t>
      </w:r>
      <w:r>
        <w:t xml:space="preserve">for registering companies' </w:t>
      </w:r>
      <w:r w:rsidR="007150FE">
        <w:t xml:space="preserve">‘self-assessed’ </w:t>
      </w:r>
      <w:r>
        <w:t>R&amp;D activities</w:t>
      </w:r>
      <w:r w:rsidR="007150FE">
        <w:t xml:space="preserve"> </w:t>
      </w:r>
      <w:r w:rsidR="007150FE" w:rsidRPr="007150FE">
        <w:t>and in examining and making findings about those activities</w:t>
      </w:r>
      <w:r>
        <w:t>.</w:t>
      </w:r>
      <w:r w:rsidR="006449A1">
        <w:t xml:space="preserve"> AusIndustry sits within DISER and delivers the program on behalf of IISA. </w:t>
      </w:r>
    </w:p>
    <w:p w14:paraId="7336AB17" w14:textId="116BD02D" w:rsidR="008A12E3" w:rsidRDefault="008A12E3" w:rsidP="008A12E3">
      <w:r>
        <w:t>The Board of Taxation (Board) is requested to evaluate the R&amp;DTI dual</w:t>
      </w:r>
      <w:r w:rsidR="006D74BB">
        <w:t>-</w:t>
      </w:r>
      <w:r>
        <w:t>agency administration model, with a view to identifying opportunities to reduce duplication between the two administrators, simplify administrative processes, or otherwise reduce the compliance costs for applicants. The Board may make recommendations to modify the R&amp;DTI’s administrative model or to streamline existing administrative functions or processes. If the Board finds that taxpayers experience difficulty in understanding the different roles and responsibilities of the two administrators, the Board should consider whether education programs or communications would assist.</w:t>
      </w:r>
    </w:p>
    <w:p w14:paraId="134E9322" w14:textId="77777777" w:rsidR="008A12E3" w:rsidRDefault="008A12E3" w:rsidP="008A12E3">
      <w:r>
        <w:t>In conducting the review, the Board should:</w:t>
      </w:r>
    </w:p>
    <w:p w14:paraId="486F49E8" w14:textId="77777777" w:rsidR="008A12E3" w:rsidRDefault="008A12E3" w:rsidP="008A12E3">
      <w:pPr>
        <w:pStyle w:val="Bullet"/>
      </w:pPr>
      <w:r>
        <w:t>analyse R&amp;D administration models in other comparative jurisdictions and consider how the international experience may inform improvements to Australia’s R&amp;DTI dual agency delivery model;</w:t>
      </w:r>
    </w:p>
    <w:p w14:paraId="707318DA" w14:textId="77777777" w:rsidR="008A12E3" w:rsidRDefault="008A12E3" w:rsidP="008A12E3">
      <w:pPr>
        <w:pStyle w:val="Bullet"/>
      </w:pPr>
      <w:r>
        <w:t>consult with taxpayers to obtain an insight into their experience during the registration and claiming process, including their understanding of the different roles and responsibilities of the ATO and IISA in administering the program;</w:t>
      </w:r>
    </w:p>
    <w:p w14:paraId="0A8D5FA8" w14:textId="77777777" w:rsidR="008A12E3" w:rsidRDefault="008A12E3" w:rsidP="008A12E3">
      <w:pPr>
        <w:pStyle w:val="Bullet"/>
      </w:pPr>
      <w:r>
        <w:t>consider any new and streamlined processes undertaken by the two agencies in response to previous reviews of the scheme’s administration, such as the 2016 Review of the R&amp;DTI and the recent Australian Small Business and Family Enterprise Ombudsman review; and</w:t>
      </w:r>
    </w:p>
    <w:p w14:paraId="6C9B5844" w14:textId="77777777" w:rsidR="008A12E3" w:rsidRDefault="008A12E3" w:rsidP="008A12E3">
      <w:pPr>
        <w:pStyle w:val="Bullet"/>
      </w:pPr>
      <w:r>
        <w:t>identify the advantages and disadvantages of its recommendations, any potential financial impacts, and any trade-offs between simplification and/or reductions in compliance costs and the scheme’s integrity.</w:t>
      </w:r>
    </w:p>
    <w:p w14:paraId="1E96174D" w14:textId="77777777" w:rsidR="008A12E3" w:rsidRDefault="008A12E3" w:rsidP="008A12E3">
      <w:r>
        <w:t>Changes to the R&amp;DTI’s broader policy settings, such as eligibility requirements or rates of support, are outside of the scope of this review.</w:t>
      </w:r>
    </w:p>
    <w:p w14:paraId="7F089C57" w14:textId="77777777" w:rsidR="008A12E3" w:rsidRPr="003A6050" w:rsidRDefault="008A12E3" w:rsidP="008A12E3">
      <w:pPr>
        <w:rPr>
          <w:color w:val="C00000"/>
          <w:sz w:val="36"/>
          <w:szCs w:val="36"/>
        </w:rPr>
      </w:pPr>
      <w:r w:rsidRPr="003A6050">
        <w:rPr>
          <w:color w:val="C00000"/>
          <w:sz w:val="36"/>
          <w:szCs w:val="36"/>
        </w:rPr>
        <w:t>Timing</w:t>
      </w:r>
    </w:p>
    <w:p w14:paraId="0862BEBA" w14:textId="45283794" w:rsidR="008A12E3" w:rsidRDefault="008A12E3" w:rsidP="008A12E3">
      <w:r w:rsidRPr="008A12E3">
        <w:t xml:space="preserve">The Board </w:t>
      </w:r>
      <w:r w:rsidR="002D47FC">
        <w:t>has been</w:t>
      </w:r>
      <w:r w:rsidRPr="008A12E3">
        <w:t xml:space="preserve"> asked to report back to the Government by 30 November 2021.</w:t>
      </w:r>
    </w:p>
    <w:p w14:paraId="4F3BA8A1" w14:textId="77777777" w:rsidR="00754A10" w:rsidRPr="005044AB" w:rsidRDefault="00754A10" w:rsidP="00754A10">
      <w:pPr>
        <w:pStyle w:val="Heading1"/>
        <w:spacing w:before="0"/>
      </w:pPr>
      <w:bookmarkStart w:id="5" w:name="_Toc73533744"/>
      <w:r w:rsidRPr="005044AB">
        <w:lastRenderedPageBreak/>
        <w:t>Consultation</w:t>
      </w:r>
      <w:r w:rsidR="0057600D">
        <w:t xml:space="preserve"> process</w:t>
      </w:r>
      <w:bookmarkEnd w:id="5"/>
    </w:p>
    <w:p w14:paraId="3EC11822" w14:textId="77777777" w:rsidR="00754A10" w:rsidRPr="00296283" w:rsidRDefault="00754A10" w:rsidP="00754A10">
      <w:pPr>
        <w:pStyle w:val="Introductionparagraph"/>
      </w:pPr>
      <w:r w:rsidRPr="003E687D">
        <w:t xml:space="preserve">The </w:t>
      </w:r>
      <w:r w:rsidR="00CB3222">
        <w:t>Board</w:t>
      </w:r>
      <w:r w:rsidRPr="004415EA">
        <w:t xml:space="preserve"> lo</w:t>
      </w:r>
      <w:r>
        <w:t xml:space="preserve">oks forward to working with the community </w:t>
      </w:r>
      <w:r w:rsidRPr="004415EA">
        <w:t xml:space="preserve">in developing the Board’s advice to Government. </w:t>
      </w:r>
    </w:p>
    <w:p w14:paraId="10C79C8F" w14:textId="7A20ACEE" w:rsidR="00754A10" w:rsidRDefault="00754A10" w:rsidP="00EB2D92">
      <w:r>
        <w:t xml:space="preserve">Interested parties may contribute </w:t>
      </w:r>
      <w:r w:rsidR="00284882">
        <w:t xml:space="preserve">to </w:t>
      </w:r>
      <w:r>
        <w:t>the review by participating in one of the consultat</w:t>
      </w:r>
      <w:r w:rsidR="00DA57BA">
        <w:t xml:space="preserve">ion activities conducted by the </w:t>
      </w:r>
      <w:r w:rsidR="0057600D">
        <w:t>Board</w:t>
      </w:r>
      <w:r w:rsidR="007E20BF">
        <w:t xml:space="preserve"> </w:t>
      </w:r>
      <w:r>
        <w:t xml:space="preserve">or </w:t>
      </w:r>
      <w:r w:rsidR="00DA57BA">
        <w:t xml:space="preserve">through </w:t>
      </w:r>
      <w:r>
        <w:t>online submissions</w:t>
      </w:r>
      <w:r w:rsidR="00F60987">
        <w:t xml:space="preserve">. </w:t>
      </w:r>
      <w:r w:rsidR="00DA57BA">
        <w:t>Set out below is</w:t>
      </w:r>
      <w:r>
        <w:t xml:space="preserve"> an indicative timeframe for consultation. Further information will be made available at: </w:t>
      </w:r>
      <w:hyperlink r:id="rId16" w:history="1">
        <w:r w:rsidRPr="006A5F6C">
          <w:rPr>
            <w:rStyle w:val="Hyperlink"/>
          </w:rPr>
          <w:t>www.taxboard.gov.au</w:t>
        </w:r>
      </w:hyperlink>
      <w:r>
        <w:t>.</w:t>
      </w:r>
    </w:p>
    <w:tbl>
      <w:tblPr>
        <w:tblStyle w:val="TableGrid"/>
        <w:tblW w:w="0" w:type="auto"/>
        <w:shd w:val="clear" w:color="auto" w:fill="FFFFFF" w:themeFill="background1"/>
        <w:tblLook w:val="04A0" w:firstRow="1" w:lastRow="0" w:firstColumn="1" w:lastColumn="0" w:noHBand="0" w:noVBand="1"/>
      </w:tblPr>
      <w:tblGrid>
        <w:gridCol w:w="2615"/>
        <w:gridCol w:w="7023"/>
      </w:tblGrid>
      <w:tr w:rsidR="00EB2D92" w:rsidRPr="001852CD" w14:paraId="74BF123E" w14:textId="77777777" w:rsidTr="00EB2D92">
        <w:tc>
          <w:tcPr>
            <w:tcW w:w="9638" w:type="dxa"/>
            <w:gridSpan w:val="2"/>
            <w:shd w:val="clear" w:color="auto" w:fill="auto"/>
          </w:tcPr>
          <w:p w14:paraId="54CDC302" w14:textId="77777777" w:rsidR="00EB2D92" w:rsidRPr="00540DFB" w:rsidRDefault="005C04DB" w:rsidP="00EB2D92">
            <w:pPr>
              <w:pStyle w:val="TableHeadingContinued"/>
              <w:spacing w:before="0"/>
              <w:jc w:val="left"/>
              <w:rPr>
                <w:sz w:val="24"/>
                <w:szCs w:val="24"/>
              </w:rPr>
            </w:pPr>
            <w:r>
              <w:rPr>
                <w:color w:val="C00000"/>
                <w:sz w:val="32"/>
                <w:szCs w:val="24"/>
              </w:rPr>
              <w:t>Timetable</w:t>
            </w:r>
          </w:p>
        </w:tc>
      </w:tr>
      <w:tr w:rsidR="00EB2D92" w:rsidRPr="001852CD" w14:paraId="2CD0AF23" w14:textId="77777777" w:rsidTr="00D80865">
        <w:tc>
          <w:tcPr>
            <w:tcW w:w="2615" w:type="dxa"/>
            <w:shd w:val="clear" w:color="auto" w:fill="D9D9D9" w:themeFill="background1" w:themeFillShade="D9"/>
          </w:tcPr>
          <w:p w14:paraId="612BD1A7" w14:textId="77777777" w:rsidR="00EB2D92" w:rsidRDefault="009F526F" w:rsidP="00EB2D92">
            <w:pPr>
              <w:pStyle w:val="TableHeadingContinued"/>
              <w:spacing w:before="0"/>
              <w:rPr>
                <w:sz w:val="24"/>
                <w:szCs w:val="24"/>
              </w:rPr>
            </w:pPr>
            <w:r>
              <w:rPr>
                <w:sz w:val="24"/>
                <w:szCs w:val="24"/>
              </w:rPr>
              <w:t>June</w:t>
            </w:r>
            <w:r w:rsidR="00EB2D92" w:rsidRPr="00540DFB">
              <w:rPr>
                <w:sz w:val="24"/>
                <w:szCs w:val="24"/>
              </w:rPr>
              <w:t xml:space="preserve"> 202</w:t>
            </w:r>
            <w:r>
              <w:rPr>
                <w:sz w:val="24"/>
                <w:szCs w:val="24"/>
              </w:rPr>
              <w:t>1</w:t>
            </w:r>
          </w:p>
        </w:tc>
        <w:tc>
          <w:tcPr>
            <w:tcW w:w="7023" w:type="dxa"/>
            <w:shd w:val="clear" w:color="auto" w:fill="D9D9D9" w:themeFill="background1" w:themeFillShade="D9"/>
          </w:tcPr>
          <w:p w14:paraId="6916DAB1" w14:textId="77777777" w:rsidR="00EB2D92" w:rsidRPr="00540DFB" w:rsidRDefault="00EB2D92" w:rsidP="00EB2D92">
            <w:pPr>
              <w:pStyle w:val="TableHeadingContinued"/>
              <w:spacing w:before="0"/>
              <w:rPr>
                <w:sz w:val="24"/>
                <w:szCs w:val="24"/>
              </w:rPr>
            </w:pPr>
            <w:r w:rsidRPr="00540DFB">
              <w:rPr>
                <w:sz w:val="24"/>
                <w:szCs w:val="24"/>
              </w:rPr>
              <w:t>Consultation guide – released</w:t>
            </w:r>
          </w:p>
        </w:tc>
      </w:tr>
      <w:tr w:rsidR="00EB2D92" w:rsidRPr="00C33EDC" w14:paraId="487574C6" w14:textId="77777777" w:rsidTr="00D80865">
        <w:tc>
          <w:tcPr>
            <w:tcW w:w="2615" w:type="dxa"/>
            <w:shd w:val="clear" w:color="auto" w:fill="FFFFFF" w:themeFill="background1"/>
          </w:tcPr>
          <w:p w14:paraId="5CDBAEB3" w14:textId="77777777" w:rsidR="00EB2D92" w:rsidRPr="00C33EDC" w:rsidRDefault="00EB2D92" w:rsidP="00EB2D92">
            <w:pPr>
              <w:pStyle w:val="SingleParagraph"/>
            </w:pPr>
          </w:p>
        </w:tc>
        <w:tc>
          <w:tcPr>
            <w:tcW w:w="7023" w:type="dxa"/>
            <w:shd w:val="clear" w:color="auto" w:fill="FFFFFF" w:themeFill="background1"/>
          </w:tcPr>
          <w:p w14:paraId="72C9F2D3" w14:textId="3E4C61C8" w:rsidR="00EB2D92" w:rsidRPr="00C33EDC" w:rsidRDefault="00EB2D92" w:rsidP="004D37AA">
            <w:pPr>
              <w:spacing w:before="60" w:afterLines="30" w:after="72"/>
              <w:jc w:val="left"/>
              <w:rPr>
                <w:b/>
                <w:bCs/>
                <w:color w:val="44546A" w:themeColor="text2"/>
              </w:rPr>
            </w:pPr>
            <w:r w:rsidRPr="00C33EDC">
              <w:rPr>
                <w:sz w:val="22"/>
              </w:rPr>
              <w:t xml:space="preserve">This consultation guide </w:t>
            </w:r>
            <w:r w:rsidR="002D47FC">
              <w:rPr>
                <w:sz w:val="22"/>
              </w:rPr>
              <w:t xml:space="preserve">will be </w:t>
            </w:r>
            <w:r w:rsidRPr="00C33EDC">
              <w:rPr>
                <w:sz w:val="22"/>
              </w:rPr>
              <w:t xml:space="preserve">released in </w:t>
            </w:r>
            <w:r w:rsidR="009F526F">
              <w:rPr>
                <w:sz w:val="22"/>
              </w:rPr>
              <w:t>June 2021</w:t>
            </w:r>
            <w:r w:rsidRPr="00C33EDC">
              <w:rPr>
                <w:sz w:val="22"/>
              </w:rPr>
              <w:t>.</w:t>
            </w:r>
          </w:p>
        </w:tc>
      </w:tr>
      <w:tr w:rsidR="00EB2D92" w:rsidRPr="001852CD" w14:paraId="1E47736E" w14:textId="77777777" w:rsidTr="00D80865">
        <w:tc>
          <w:tcPr>
            <w:tcW w:w="2615" w:type="dxa"/>
            <w:shd w:val="clear" w:color="auto" w:fill="D9D9D9" w:themeFill="background1" w:themeFillShade="D9"/>
          </w:tcPr>
          <w:p w14:paraId="5D0DADF7" w14:textId="3C3D3EA6" w:rsidR="00EB2D92" w:rsidRPr="00540DFB" w:rsidRDefault="009F526F" w:rsidP="00EB2D92">
            <w:pPr>
              <w:pStyle w:val="TableHeadingContinued"/>
              <w:spacing w:before="0"/>
              <w:rPr>
                <w:sz w:val="24"/>
                <w:szCs w:val="24"/>
              </w:rPr>
            </w:pPr>
            <w:r>
              <w:rPr>
                <w:sz w:val="24"/>
                <w:szCs w:val="24"/>
              </w:rPr>
              <w:t>Ju</w:t>
            </w:r>
            <w:r w:rsidR="00D67473">
              <w:rPr>
                <w:sz w:val="24"/>
                <w:szCs w:val="24"/>
              </w:rPr>
              <w:t>ly</w:t>
            </w:r>
            <w:r>
              <w:rPr>
                <w:sz w:val="24"/>
                <w:szCs w:val="24"/>
              </w:rPr>
              <w:t xml:space="preserve"> – September 2021</w:t>
            </w:r>
          </w:p>
        </w:tc>
        <w:tc>
          <w:tcPr>
            <w:tcW w:w="7023" w:type="dxa"/>
            <w:shd w:val="clear" w:color="auto" w:fill="D9D9D9" w:themeFill="background1" w:themeFillShade="D9"/>
          </w:tcPr>
          <w:p w14:paraId="70D7B4FE" w14:textId="1DDA5685" w:rsidR="00EB2D92" w:rsidRPr="00540DFB" w:rsidRDefault="00EB2D92" w:rsidP="00EB2D92">
            <w:pPr>
              <w:pStyle w:val="TableHeadingContinued"/>
              <w:spacing w:before="0"/>
              <w:rPr>
                <w:bCs/>
                <w:color w:val="44546A" w:themeColor="text2"/>
                <w:sz w:val="24"/>
                <w:szCs w:val="24"/>
              </w:rPr>
            </w:pPr>
            <w:r w:rsidRPr="00540DFB">
              <w:rPr>
                <w:sz w:val="24"/>
                <w:szCs w:val="24"/>
              </w:rPr>
              <w:t>Consultation roundtables</w:t>
            </w:r>
            <w:r w:rsidR="0035051E">
              <w:rPr>
                <w:sz w:val="24"/>
                <w:szCs w:val="24"/>
              </w:rPr>
              <w:t xml:space="preserve"> and submissions</w:t>
            </w:r>
          </w:p>
        </w:tc>
      </w:tr>
      <w:tr w:rsidR="00EB2D92" w:rsidRPr="00C33EDC" w14:paraId="108CAB98" w14:textId="77777777" w:rsidTr="00D80865">
        <w:tc>
          <w:tcPr>
            <w:tcW w:w="2615" w:type="dxa"/>
            <w:shd w:val="clear" w:color="auto" w:fill="FFFFFF" w:themeFill="background1"/>
          </w:tcPr>
          <w:p w14:paraId="3623FFE1" w14:textId="77777777" w:rsidR="00EB2D92" w:rsidRPr="00C33EDC" w:rsidRDefault="00EB2D92" w:rsidP="00EB2D92">
            <w:pPr>
              <w:pStyle w:val="SingleParagraph"/>
            </w:pPr>
          </w:p>
        </w:tc>
        <w:tc>
          <w:tcPr>
            <w:tcW w:w="7023" w:type="dxa"/>
            <w:shd w:val="clear" w:color="auto" w:fill="FFFFFF" w:themeFill="background1"/>
          </w:tcPr>
          <w:p w14:paraId="0E112DB7" w14:textId="149933EF" w:rsidR="0035051E" w:rsidRDefault="00EB2D92" w:rsidP="00DD6362">
            <w:pPr>
              <w:spacing w:before="60" w:after="60"/>
              <w:jc w:val="left"/>
              <w:rPr>
                <w:sz w:val="22"/>
                <w:szCs w:val="22"/>
              </w:rPr>
            </w:pPr>
            <w:r w:rsidRPr="00C33EDC">
              <w:rPr>
                <w:sz w:val="22"/>
                <w:szCs w:val="22"/>
              </w:rPr>
              <w:t xml:space="preserve">The </w:t>
            </w:r>
            <w:r w:rsidR="009F526F">
              <w:rPr>
                <w:sz w:val="22"/>
                <w:szCs w:val="22"/>
              </w:rPr>
              <w:t>Board</w:t>
            </w:r>
            <w:r>
              <w:rPr>
                <w:sz w:val="22"/>
                <w:szCs w:val="22"/>
              </w:rPr>
              <w:t xml:space="preserve"> will</w:t>
            </w:r>
            <w:r w:rsidRPr="00C33EDC">
              <w:rPr>
                <w:sz w:val="22"/>
                <w:szCs w:val="22"/>
              </w:rPr>
              <w:t xml:space="preserve"> </w:t>
            </w:r>
            <w:r>
              <w:rPr>
                <w:sz w:val="22"/>
                <w:szCs w:val="22"/>
              </w:rPr>
              <w:t>hold a series of</w:t>
            </w:r>
            <w:r w:rsidRPr="00C33EDC">
              <w:rPr>
                <w:sz w:val="22"/>
                <w:szCs w:val="22"/>
              </w:rPr>
              <w:t xml:space="preserve"> roundtable meetings to </w:t>
            </w:r>
            <w:r w:rsidR="009F526F">
              <w:rPr>
                <w:sz w:val="22"/>
                <w:szCs w:val="22"/>
              </w:rPr>
              <w:t>consult with stakeholders to understand their experience during the registration and claiming process and consider</w:t>
            </w:r>
            <w:r w:rsidR="005A50BD">
              <w:rPr>
                <w:sz w:val="22"/>
                <w:szCs w:val="22"/>
              </w:rPr>
              <w:t xml:space="preserve"> opportunities to streamline existing administrative functions or process</w:t>
            </w:r>
            <w:r w:rsidRPr="00C33EDC">
              <w:rPr>
                <w:sz w:val="22"/>
                <w:szCs w:val="22"/>
              </w:rPr>
              <w:t>.</w:t>
            </w:r>
            <w:r w:rsidR="00DD6362">
              <w:rPr>
                <w:sz w:val="22"/>
                <w:szCs w:val="22"/>
              </w:rPr>
              <w:t xml:space="preserve"> </w:t>
            </w:r>
            <w:r w:rsidR="0035051E">
              <w:rPr>
                <w:sz w:val="22"/>
                <w:szCs w:val="22"/>
              </w:rPr>
              <w:t xml:space="preserve">Consultation roundtables will be held in the following locations: </w:t>
            </w:r>
          </w:p>
          <w:p w14:paraId="45100F3E" w14:textId="63886C89" w:rsidR="00DD6362" w:rsidRDefault="00EB2D92" w:rsidP="00EB2D92">
            <w:pPr>
              <w:pStyle w:val="ListParagraph"/>
              <w:numPr>
                <w:ilvl w:val="0"/>
                <w:numId w:val="18"/>
              </w:numPr>
              <w:spacing w:before="60" w:after="60"/>
              <w:ind w:left="714" w:hanging="357"/>
              <w:rPr>
                <w:sz w:val="22"/>
              </w:rPr>
            </w:pPr>
            <w:r>
              <w:rPr>
                <w:sz w:val="22"/>
              </w:rPr>
              <w:t xml:space="preserve"> </w:t>
            </w:r>
            <w:r w:rsidR="00DD6362">
              <w:rPr>
                <w:sz w:val="22"/>
              </w:rPr>
              <w:t>Adelaide</w:t>
            </w:r>
          </w:p>
          <w:p w14:paraId="0D294DF1" w14:textId="1FC06D2F" w:rsidR="00DD6362" w:rsidRDefault="00DD6362" w:rsidP="00EB2D92">
            <w:pPr>
              <w:pStyle w:val="ListParagraph"/>
              <w:numPr>
                <w:ilvl w:val="0"/>
                <w:numId w:val="18"/>
              </w:numPr>
              <w:spacing w:before="60" w:after="60"/>
              <w:ind w:left="714" w:hanging="357"/>
              <w:rPr>
                <w:sz w:val="22"/>
              </w:rPr>
            </w:pPr>
            <w:r>
              <w:rPr>
                <w:sz w:val="22"/>
              </w:rPr>
              <w:t xml:space="preserve">Sydney </w:t>
            </w:r>
          </w:p>
          <w:p w14:paraId="62F349E3" w14:textId="727CF1C3" w:rsidR="00DD6362" w:rsidRDefault="00DD6362" w:rsidP="00EB2D92">
            <w:pPr>
              <w:pStyle w:val="ListParagraph"/>
              <w:numPr>
                <w:ilvl w:val="0"/>
                <w:numId w:val="18"/>
              </w:numPr>
              <w:spacing w:before="60" w:after="60"/>
              <w:ind w:left="714" w:hanging="357"/>
              <w:rPr>
                <w:sz w:val="22"/>
              </w:rPr>
            </w:pPr>
            <w:r>
              <w:rPr>
                <w:sz w:val="22"/>
              </w:rPr>
              <w:t>Brisbane</w:t>
            </w:r>
          </w:p>
          <w:p w14:paraId="6D767868" w14:textId="00D610E2" w:rsidR="00DD6362" w:rsidRDefault="00DD6362" w:rsidP="00EB2D92">
            <w:pPr>
              <w:pStyle w:val="ListParagraph"/>
              <w:numPr>
                <w:ilvl w:val="0"/>
                <w:numId w:val="18"/>
              </w:numPr>
              <w:spacing w:before="60" w:after="60"/>
              <w:ind w:left="714" w:hanging="357"/>
              <w:rPr>
                <w:sz w:val="22"/>
              </w:rPr>
            </w:pPr>
            <w:r>
              <w:rPr>
                <w:sz w:val="22"/>
              </w:rPr>
              <w:t>Melbourne</w:t>
            </w:r>
          </w:p>
          <w:p w14:paraId="7A2C0131" w14:textId="5A67EF1C" w:rsidR="00DD6362" w:rsidRDefault="00DD6362" w:rsidP="00EB2D92">
            <w:pPr>
              <w:pStyle w:val="ListParagraph"/>
              <w:numPr>
                <w:ilvl w:val="0"/>
                <w:numId w:val="18"/>
              </w:numPr>
              <w:spacing w:before="60" w:after="60"/>
              <w:ind w:left="714" w:hanging="357"/>
              <w:rPr>
                <w:sz w:val="22"/>
              </w:rPr>
            </w:pPr>
            <w:r>
              <w:rPr>
                <w:sz w:val="22"/>
              </w:rPr>
              <w:t>Perth</w:t>
            </w:r>
          </w:p>
          <w:p w14:paraId="2E1F035B" w14:textId="04D15131" w:rsidR="00DD6362" w:rsidRDefault="00DD6362" w:rsidP="00FC17E1">
            <w:pPr>
              <w:spacing w:before="60" w:after="60"/>
              <w:ind w:left="357"/>
            </w:pPr>
          </w:p>
          <w:p w14:paraId="39F1A23A" w14:textId="05E09B5E" w:rsidR="0035051E" w:rsidRDefault="0035051E" w:rsidP="00D50F8C">
            <w:pPr>
              <w:spacing w:before="60" w:afterLines="30" w:after="72"/>
              <w:rPr>
                <w:sz w:val="22"/>
              </w:rPr>
            </w:pPr>
            <w:r>
              <w:rPr>
                <w:sz w:val="22"/>
              </w:rPr>
              <w:t xml:space="preserve">More detailed information on session times and how to register is included in ‘How to participate’ on page </w:t>
            </w:r>
            <w:r w:rsidR="00005978">
              <w:rPr>
                <w:sz w:val="22"/>
              </w:rPr>
              <w:t xml:space="preserve">eight </w:t>
            </w:r>
            <w:r>
              <w:rPr>
                <w:sz w:val="22"/>
              </w:rPr>
              <w:t xml:space="preserve">of this consultation guide. </w:t>
            </w:r>
          </w:p>
          <w:p w14:paraId="0F1E4A83" w14:textId="77777777" w:rsidR="00D50F8C" w:rsidRDefault="00D50F8C" w:rsidP="00D50F8C">
            <w:pPr>
              <w:spacing w:before="60" w:afterLines="30" w:after="72"/>
              <w:rPr>
                <w:sz w:val="22"/>
              </w:rPr>
            </w:pPr>
            <w:r w:rsidRPr="00D50F8C">
              <w:rPr>
                <w:sz w:val="22"/>
              </w:rPr>
              <w:t xml:space="preserve">Any written submissions to this guide will be accepted until </w:t>
            </w:r>
            <w:r w:rsidR="0035099A">
              <w:rPr>
                <w:sz w:val="22"/>
              </w:rPr>
              <w:t>15</w:t>
            </w:r>
            <w:r w:rsidRPr="001E67B9">
              <w:rPr>
                <w:sz w:val="22"/>
              </w:rPr>
              <w:t xml:space="preserve"> </w:t>
            </w:r>
            <w:r w:rsidR="009F526F">
              <w:rPr>
                <w:sz w:val="22"/>
              </w:rPr>
              <w:t>September</w:t>
            </w:r>
            <w:r w:rsidRPr="001E67B9">
              <w:rPr>
                <w:sz w:val="22"/>
              </w:rPr>
              <w:t xml:space="preserve"> 202</w:t>
            </w:r>
            <w:r w:rsidR="009F526F">
              <w:rPr>
                <w:sz w:val="22"/>
              </w:rPr>
              <w:t>1</w:t>
            </w:r>
            <w:r w:rsidRPr="00D50F8C">
              <w:rPr>
                <w:sz w:val="22"/>
              </w:rPr>
              <w:t xml:space="preserve">. </w:t>
            </w:r>
            <w:r w:rsidR="004E02E3" w:rsidRPr="004E02E3">
              <w:rPr>
                <w:sz w:val="22"/>
              </w:rPr>
              <w:t>All submissions will be published on the Board’s website except where the submission is made on a confidential basis.</w:t>
            </w:r>
          </w:p>
          <w:p w14:paraId="6BED7ACB" w14:textId="3EAD0825" w:rsidR="00D66E41" w:rsidRPr="00D50F8C" w:rsidRDefault="00D66E41" w:rsidP="00D50F8C">
            <w:pPr>
              <w:spacing w:before="60" w:afterLines="30" w:after="72"/>
              <w:rPr>
                <w:b/>
                <w:bCs/>
                <w:color w:val="44546A" w:themeColor="text2"/>
              </w:rPr>
            </w:pPr>
          </w:p>
        </w:tc>
      </w:tr>
      <w:tr w:rsidR="00EB2D92" w:rsidRPr="001852CD" w14:paraId="451FDB9A" w14:textId="77777777" w:rsidTr="00D80865">
        <w:tc>
          <w:tcPr>
            <w:tcW w:w="2615" w:type="dxa"/>
            <w:shd w:val="clear" w:color="auto" w:fill="D9D9D9" w:themeFill="background1" w:themeFillShade="D9"/>
          </w:tcPr>
          <w:p w14:paraId="7F9FA4C8" w14:textId="77777777" w:rsidR="00EB2D92" w:rsidRPr="00540DFB" w:rsidRDefault="00EB2D92" w:rsidP="00EB2D92">
            <w:pPr>
              <w:pStyle w:val="TableHeadingContinued"/>
              <w:spacing w:before="0"/>
              <w:rPr>
                <w:bCs/>
                <w:color w:val="44546A" w:themeColor="text2"/>
                <w:sz w:val="24"/>
                <w:szCs w:val="24"/>
              </w:rPr>
            </w:pPr>
            <w:r w:rsidRPr="00540DFB">
              <w:rPr>
                <w:sz w:val="24"/>
                <w:szCs w:val="24"/>
              </w:rPr>
              <w:t>November 202</w:t>
            </w:r>
            <w:r w:rsidR="009F526F">
              <w:rPr>
                <w:sz w:val="24"/>
                <w:szCs w:val="24"/>
              </w:rPr>
              <w:t>1</w:t>
            </w:r>
          </w:p>
        </w:tc>
        <w:tc>
          <w:tcPr>
            <w:tcW w:w="7023" w:type="dxa"/>
            <w:shd w:val="clear" w:color="auto" w:fill="D9D9D9" w:themeFill="background1" w:themeFillShade="D9"/>
          </w:tcPr>
          <w:p w14:paraId="2A818033" w14:textId="77777777" w:rsidR="00EB2D92" w:rsidRPr="00540DFB" w:rsidRDefault="00EB2D92" w:rsidP="00EB2D92">
            <w:pPr>
              <w:pStyle w:val="TableHeadingContinued"/>
              <w:spacing w:before="0"/>
              <w:rPr>
                <w:bCs/>
                <w:color w:val="44546A" w:themeColor="text2"/>
                <w:sz w:val="24"/>
                <w:szCs w:val="24"/>
              </w:rPr>
            </w:pPr>
            <w:r w:rsidRPr="00540DFB">
              <w:rPr>
                <w:sz w:val="24"/>
                <w:szCs w:val="24"/>
              </w:rPr>
              <w:t>Final report</w:t>
            </w:r>
          </w:p>
        </w:tc>
      </w:tr>
      <w:tr w:rsidR="00EB2D92" w:rsidRPr="00C33EDC" w14:paraId="43AF456D" w14:textId="77777777" w:rsidTr="00D80865">
        <w:tc>
          <w:tcPr>
            <w:tcW w:w="2615" w:type="dxa"/>
            <w:shd w:val="clear" w:color="auto" w:fill="FFFFFF" w:themeFill="background1"/>
          </w:tcPr>
          <w:p w14:paraId="723869D3" w14:textId="77777777" w:rsidR="00EB2D92" w:rsidRPr="00C33EDC" w:rsidRDefault="00EB2D92" w:rsidP="00EB2D92"/>
        </w:tc>
        <w:tc>
          <w:tcPr>
            <w:tcW w:w="7023" w:type="dxa"/>
            <w:shd w:val="clear" w:color="auto" w:fill="FFFFFF" w:themeFill="background1"/>
          </w:tcPr>
          <w:p w14:paraId="7940BD68" w14:textId="1350138B" w:rsidR="00EB2D92" w:rsidRPr="00C33EDC" w:rsidRDefault="00EB2D92" w:rsidP="005C04DB">
            <w:pPr>
              <w:spacing w:before="60" w:afterLines="30" w:after="72"/>
              <w:rPr>
                <w:bCs/>
                <w:sz w:val="22"/>
                <w:szCs w:val="22"/>
              </w:rPr>
            </w:pPr>
            <w:r w:rsidRPr="00C33EDC">
              <w:rPr>
                <w:bCs/>
                <w:sz w:val="22"/>
                <w:szCs w:val="22"/>
              </w:rPr>
              <w:t xml:space="preserve">The Board is </w:t>
            </w:r>
            <w:r>
              <w:rPr>
                <w:bCs/>
                <w:sz w:val="22"/>
                <w:szCs w:val="22"/>
              </w:rPr>
              <w:t>required to report to the Government by 30 November 202</w:t>
            </w:r>
            <w:r w:rsidR="009F526F">
              <w:rPr>
                <w:bCs/>
                <w:sz w:val="22"/>
                <w:szCs w:val="22"/>
              </w:rPr>
              <w:t>1</w:t>
            </w:r>
            <w:r>
              <w:rPr>
                <w:bCs/>
                <w:sz w:val="22"/>
                <w:szCs w:val="22"/>
              </w:rPr>
              <w:t>.</w:t>
            </w:r>
          </w:p>
        </w:tc>
      </w:tr>
    </w:tbl>
    <w:p w14:paraId="3607502C" w14:textId="77777777" w:rsidR="008A12E3" w:rsidRDefault="00B37C6C" w:rsidP="00754A10">
      <w:pPr>
        <w:pStyle w:val="Heading1"/>
      </w:pPr>
      <w:r>
        <w:br w:type="page"/>
      </w:r>
    </w:p>
    <w:p w14:paraId="5FCD957D" w14:textId="66756681" w:rsidR="003746D1" w:rsidRDefault="009A25B3" w:rsidP="00D66E41">
      <w:pPr>
        <w:pStyle w:val="Heading1"/>
      </w:pPr>
      <w:bookmarkStart w:id="6" w:name="_Toc73533745"/>
      <w:r>
        <w:lastRenderedPageBreak/>
        <w:t>The Review Team</w:t>
      </w:r>
      <w:bookmarkEnd w:id="6"/>
    </w:p>
    <w:p w14:paraId="29FD7A55" w14:textId="29BA0138" w:rsidR="003746D1" w:rsidRPr="00296283" w:rsidRDefault="003746D1" w:rsidP="003746D1">
      <w:pPr>
        <w:pStyle w:val="Introductionparagraph"/>
      </w:pPr>
      <w:r w:rsidRPr="004714F8">
        <w:t xml:space="preserve">The Board has appointed Board members </w:t>
      </w:r>
      <w:r>
        <w:t>Neville Mitchell</w:t>
      </w:r>
      <w:r w:rsidRPr="004714F8">
        <w:t xml:space="preserve"> and </w:t>
      </w:r>
      <w:r>
        <w:t xml:space="preserve">Chris Vanderkley </w:t>
      </w:r>
      <w:r w:rsidRPr="004714F8">
        <w:t xml:space="preserve">to lead </w:t>
      </w:r>
      <w:r>
        <w:t>the</w:t>
      </w:r>
      <w:r w:rsidRPr="004714F8">
        <w:t xml:space="preserve"> review</w:t>
      </w:r>
      <w:r>
        <w:t>. They will be assisted by a working group comprising industry experts, members of the tax profession, and representatives of AusIndustry, the Treasury, and the ATO. There will be extensive consultation with a wide range of stakeholders in the business community throughout the review process.</w:t>
      </w:r>
    </w:p>
    <w:p w14:paraId="177B3C55" w14:textId="77777777" w:rsidR="003746D1" w:rsidRPr="00296283" w:rsidRDefault="003746D1" w:rsidP="008A12E3">
      <w:pPr>
        <w:pStyle w:val="Introductionparagraph"/>
      </w:pPr>
    </w:p>
    <w:tbl>
      <w:tblPr>
        <w:tblStyle w:val="TableGrid"/>
        <w:tblW w:w="9712" w:type="dxa"/>
        <w:tblLook w:val="04A0" w:firstRow="1" w:lastRow="0" w:firstColumn="1" w:lastColumn="0" w:noHBand="0" w:noVBand="1"/>
      </w:tblPr>
      <w:tblGrid>
        <w:gridCol w:w="4856"/>
        <w:gridCol w:w="4856"/>
      </w:tblGrid>
      <w:tr w:rsidR="008A12E3" w14:paraId="5567BF0B" w14:textId="77777777" w:rsidTr="00CA1308">
        <w:trPr>
          <w:trHeight w:val="492"/>
        </w:trPr>
        <w:tc>
          <w:tcPr>
            <w:tcW w:w="4856" w:type="dxa"/>
            <w:hideMark/>
          </w:tcPr>
          <w:p w14:paraId="1F92C85F" w14:textId="77777777" w:rsidR="008A12E3" w:rsidRDefault="008A12E3" w:rsidP="00CA1308">
            <w:pPr>
              <w:rPr>
                <w:b/>
                <w:color w:val="C00000"/>
                <w:sz w:val="28"/>
                <w:szCs w:val="28"/>
              </w:rPr>
            </w:pPr>
            <w:r>
              <w:rPr>
                <w:b/>
                <w:color w:val="C00000"/>
                <w:sz w:val="28"/>
                <w:szCs w:val="28"/>
              </w:rPr>
              <w:t>Neville Mitchell</w:t>
            </w:r>
          </w:p>
        </w:tc>
        <w:tc>
          <w:tcPr>
            <w:tcW w:w="4856" w:type="dxa"/>
            <w:hideMark/>
          </w:tcPr>
          <w:p w14:paraId="5D1DA59F" w14:textId="77777777" w:rsidR="008A12E3" w:rsidRDefault="008A12E3" w:rsidP="00CA1308">
            <w:pPr>
              <w:rPr>
                <w:b/>
                <w:color w:val="C00000"/>
                <w:sz w:val="28"/>
                <w:szCs w:val="28"/>
              </w:rPr>
            </w:pPr>
            <w:r>
              <w:rPr>
                <w:b/>
                <w:color w:val="C00000"/>
                <w:sz w:val="28"/>
                <w:szCs w:val="28"/>
              </w:rPr>
              <w:t>Chris Vanderkley</w:t>
            </w:r>
          </w:p>
        </w:tc>
      </w:tr>
      <w:tr w:rsidR="008A12E3" w14:paraId="7A1D4C67" w14:textId="77777777" w:rsidTr="00CA1308">
        <w:trPr>
          <w:trHeight w:val="1078"/>
        </w:trPr>
        <w:tc>
          <w:tcPr>
            <w:tcW w:w="4856" w:type="dxa"/>
            <w:hideMark/>
          </w:tcPr>
          <w:p w14:paraId="0818F39F" w14:textId="12D77F4B" w:rsidR="008A12E3" w:rsidRPr="00DB457C" w:rsidRDefault="008A12E3" w:rsidP="00CA1308">
            <w:r>
              <w:rPr>
                <w:sz w:val="24"/>
                <w:szCs w:val="24"/>
              </w:rPr>
              <w:t>Neville has been a Board member since 2015. He is the former C</w:t>
            </w:r>
            <w:r w:rsidR="00A43750">
              <w:rPr>
                <w:sz w:val="24"/>
                <w:szCs w:val="24"/>
              </w:rPr>
              <w:t xml:space="preserve">hief </w:t>
            </w:r>
            <w:r>
              <w:rPr>
                <w:sz w:val="24"/>
                <w:szCs w:val="24"/>
              </w:rPr>
              <w:t>F</w:t>
            </w:r>
            <w:r w:rsidR="00A43750">
              <w:rPr>
                <w:sz w:val="24"/>
                <w:szCs w:val="24"/>
              </w:rPr>
              <w:t xml:space="preserve">inancial </w:t>
            </w:r>
            <w:r>
              <w:rPr>
                <w:sz w:val="24"/>
                <w:szCs w:val="24"/>
              </w:rPr>
              <w:t>O</w:t>
            </w:r>
            <w:r w:rsidR="00A43750">
              <w:rPr>
                <w:sz w:val="24"/>
                <w:szCs w:val="24"/>
              </w:rPr>
              <w:t>fficer</w:t>
            </w:r>
            <w:r>
              <w:rPr>
                <w:sz w:val="24"/>
                <w:szCs w:val="24"/>
              </w:rPr>
              <w:t xml:space="preserve"> of Cochlear and currently holds directorships of four ASX-listed medical and healthcare companies and also sits on the South East Sydney Local Health Board. </w:t>
            </w:r>
          </w:p>
        </w:tc>
        <w:tc>
          <w:tcPr>
            <w:tcW w:w="4856" w:type="dxa"/>
            <w:hideMark/>
          </w:tcPr>
          <w:p w14:paraId="4046E072" w14:textId="67B861B8" w:rsidR="008A12E3" w:rsidRDefault="008A12E3" w:rsidP="00CA1308">
            <w:pPr>
              <w:jc w:val="left"/>
              <w:rPr>
                <w:sz w:val="24"/>
                <w:szCs w:val="24"/>
              </w:rPr>
            </w:pPr>
            <w:r>
              <w:rPr>
                <w:sz w:val="24"/>
                <w:szCs w:val="24"/>
              </w:rPr>
              <w:t xml:space="preserve">Chris has been a Board member since March 2020 and is currently Special Counsel at PwC </w:t>
            </w:r>
            <w:r w:rsidR="00BC2178">
              <w:rPr>
                <w:sz w:val="24"/>
                <w:szCs w:val="24"/>
              </w:rPr>
              <w:t xml:space="preserve">Australia </w:t>
            </w:r>
            <w:r>
              <w:rPr>
                <w:sz w:val="24"/>
                <w:szCs w:val="24"/>
              </w:rPr>
              <w:t>leading the</w:t>
            </w:r>
            <w:r w:rsidR="0035099A">
              <w:rPr>
                <w:sz w:val="24"/>
                <w:szCs w:val="24"/>
              </w:rPr>
              <w:t>ir</w:t>
            </w:r>
            <w:r>
              <w:rPr>
                <w:sz w:val="24"/>
                <w:szCs w:val="24"/>
              </w:rPr>
              <w:t xml:space="preserve"> tax transparency and tax governance practice. </w:t>
            </w:r>
          </w:p>
        </w:tc>
      </w:tr>
    </w:tbl>
    <w:p w14:paraId="51090733" w14:textId="77777777" w:rsidR="008A12E3" w:rsidRDefault="008A12E3" w:rsidP="008A12E3"/>
    <w:p w14:paraId="62660C10" w14:textId="77777777" w:rsidR="008A12E3" w:rsidRDefault="008A12E3">
      <w:pPr>
        <w:spacing w:before="0" w:after="160" w:line="259" w:lineRule="auto"/>
        <w:rPr>
          <w:rFonts w:cs="Arial"/>
          <w:color w:val="C00000"/>
          <w:kern w:val="32"/>
          <w:sz w:val="48"/>
          <w:szCs w:val="36"/>
        </w:rPr>
      </w:pPr>
      <w:r>
        <w:br w:type="page"/>
      </w:r>
    </w:p>
    <w:p w14:paraId="7FE9A829" w14:textId="77777777" w:rsidR="00D62752" w:rsidRDefault="007A23D5" w:rsidP="00754A10">
      <w:pPr>
        <w:pStyle w:val="Heading1"/>
      </w:pPr>
      <w:bookmarkStart w:id="7" w:name="_Toc73533746"/>
      <w:r>
        <w:lastRenderedPageBreak/>
        <w:t>P</w:t>
      </w:r>
      <w:r w:rsidR="002B58E9">
        <w:t xml:space="preserve">revious and </w:t>
      </w:r>
      <w:r w:rsidR="00754A10">
        <w:t>current</w:t>
      </w:r>
      <w:r w:rsidR="002B58E9">
        <w:t xml:space="preserve"> reviews of</w:t>
      </w:r>
      <w:r w:rsidR="00754A10">
        <w:t xml:space="preserve"> </w:t>
      </w:r>
      <w:r w:rsidR="00E00316">
        <w:t>R&amp;DTI program</w:t>
      </w:r>
      <w:bookmarkEnd w:id="7"/>
    </w:p>
    <w:p w14:paraId="41E531BE" w14:textId="77777777" w:rsidR="00827552" w:rsidRDefault="00F1294C" w:rsidP="00B532D5">
      <w:pPr>
        <w:pStyle w:val="Introductionparagraph"/>
        <w:spacing w:after="120"/>
      </w:pPr>
      <w:r>
        <w:t>As part of the review, t</w:t>
      </w:r>
      <w:r w:rsidR="007A23D5">
        <w:t>he Board will consider previous and current reviews conducted</w:t>
      </w:r>
      <w:r>
        <w:t xml:space="preserve"> by the Government to the extent they relate to the administration of the R&amp;DTI program.</w:t>
      </w:r>
    </w:p>
    <w:p w14:paraId="10B221D0" w14:textId="3D1D6A22" w:rsidR="00B72FA5" w:rsidRPr="00B72FA5" w:rsidRDefault="00B72FA5" w:rsidP="00B72FA5">
      <w:r w:rsidRPr="00B72FA5">
        <w:t xml:space="preserve">The </w:t>
      </w:r>
      <w:r w:rsidR="00F1294C">
        <w:t>R&amp;DTI p</w:t>
      </w:r>
      <w:r w:rsidRPr="00B72FA5">
        <w:t xml:space="preserve">rogram was reviewed in 2016 as part of the Government’s National Innovation and Science Agenda. The focus of this review was to identify reforms for encouraging R&amp;D spending, however, a recommendation was also made for the Government to investigate options for improving the administration of the </w:t>
      </w:r>
      <w:r w:rsidR="003746D1">
        <w:t>p</w:t>
      </w:r>
      <w:r w:rsidRPr="00B72FA5">
        <w:t xml:space="preserve">rogram including reviewing the two-agency delivery model and streamlining compliance review and findings processes. </w:t>
      </w:r>
    </w:p>
    <w:p w14:paraId="1CC7EF99" w14:textId="360FBAE9" w:rsidR="00B72FA5" w:rsidRPr="00B72FA5" w:rsidRDefault="00B72FA5" w:rsidP="00B72FA5">
      <w:r w:rsidRPr="00B72FA5">
        <w:t>In June 2016, the ATO and AusIndustry updated their joint strategy establishing a new</w:t>
      </w:r>
      <w:r w:rsidR="00372D40">
        <w:t xml:space="preserve"> suite of joint administration and management groups</w:t>
      </w:r>
      <w:r w:rsidRPr="00B72FA5">
        <w:t xml:space="preserve"> to ensure that there is appropriate coordination and prioritisation of activities across both agencies. The strategy </w:t>
      </w:r>
      <w:r w:rsidR="000112E0">
        <w:t xml:space="preserve">covers aspects such as joint integrity and communication </w:t>
      </w:r>
      <w:r w:rsidRPr="00B72FA5">
        <w:t>activities</w:t>
      </w:r>
      <w:r w:rsidR="000112E0">
        <w:t xml:space="preserve">. </w:t>
      </w:r>
      <w:r w:rsidR="00D443EB">
        <w:t>AusIndustry</w:t>
      </w:r>
      <w:r w:rsidR="004E02E3">
        <w:t xml:space="preserve"> launched a customer portal in May 2021 </w:t>
      </w:r>
      <w:r w:rsidR="00ED3C24" w:rsidRPr="00ED3C24">
        <w:t>to make it easier for companies to manage their applications for the R&amp;D</w:t>
      </w:r>
      <w:r w:rsidR="00ED3C24">
        <w:t>TI</w:t>
      </w:r>
      <w:r w:rsidR="00ED3C24" w:rsidRPr="00ED3C24">
        <w:t>.</w:t>
      </w:r>
      <w:r w:rsidR="00457AAF">
        <w:t xml:space="preserve"> </w:t>
      </w:r>
      <w:r w:rsidR="00457AAF" w:rsidRPr="00457AAF">
        <w:t xml:space="preserve">Applications can be submitted via the portal from 5 July 2021, but </w:t>
      </w:r>
      <w:r w:rsidR="00457AAF">
        <w:t xml:space="preserve">the system is available for customers to </w:t>
      </w:r>
      <w:r w:rsidR="00457AAF" w:rsidRPr="00457AAF">
        <w:t xml:space="preserve">log in now to become familiar with the new portal and start drafting </w:t>
      </w:r>
      <w:r w:rsidR="00457AAF">
        <w:t>an</w:t>
      </w:r>
      <w:r w:rsidR="00457AAF" w:rsidRPr="00457AAF">
        <w:t xml:space="preserve"> application.</w:t>
      </w:r>
    </w:p>
    <w:p w14:paraId="3D3F7B8D" w14:textId="7B9B9400" w:rsidR="00B72FA5" w:rsidRPr="00B72FA5" w:rsidRDefault="00B72FA5" w:rsidP="00B72FA5">
      <w:r w:rsidRPr="00B72FA5">
        <w:t xml:space="preserve">In August 2019, the Australian Small Business and Family Enterprise Ombudsman </w:t>
      </w:r>
      <w:r w:rsidR="00D443EB">
        <w:t xml:space="preserve">commenced a review of the R&amp;DTI that covered both the ATO and AusIndustry </w:t>
      </w:r>
      <w:r w:rsidRPr="00B72FA5">
        <w:t xml:space="preserve">into the </w:t>
      </w:r>
      <w:r w:rsidR="008D4379" w:rsidRPr="008D4379">
        <w:rPr>
          <w:rFonts w:asciiTheme="minorHAnsi" w:hAnsiTheme="minorHAnsi"/>
          <w:color w:val="000000"/>
          <w:shd w:val="clear" w:color="auto" w:fill="FFFFFF"/>
        </w:rPr>
        <w:t>experiences of small and family businesses that have claimed the R&amp;DTI. As part of the review, recommendations were made to improve guidance and compliance by both administrators.</w:t>
      </w:r>
      <w:r w:rsidRPr="00B72FA5">
        <w:t xml:space="preserve"> The report was released on 12 December 2019. </w:t>
      </w:r>
      <w:r w:rsidR="00D443EB">
        <w:t xml:space="preserve"> </w:t>
      </w:r>
      <w:r w:rsidRPr="00B72FA5">
        <w:t xml:space="preserve">In response to the Ombudsman’s report, the ATO and </w:t>
      </w:r>
      <w:r w:rsidR="00A87068">
        <w:t>DISER</w:t>
      </w:r>
      <w:r w:rsidR="00D443EB">
        <w:t xml:space="preserve"> </w:t>
      </w:r>
      <w:r w:rsidR="00D443EB" w:rsidRPr="00D443EB">
        <w:t>noted that a number of recommendations had been implemented and others would be considered</w:t>
      </w:r>
      <w:r w:rsidR="006A53E9">
        <w:t>.</w:t>
      </w:r>
    </w:p>
    <w:p w14:paraId="4773A830" w14:textId="31D9F4FB" w:rsidR="00B72FA5" w:rsidRPr="00B72FA5" w:rsidRDefault="00B72FA5" w:rsidP="00B72FA5">
      <w:r w:rsidRPr="00B72FA5">
        <w:t xml:space="preserve">The </w:t>
      </w:r>
      <w:r w:rsidR="001D2CA3">
        <w:t>Australian National Audit Office (</w:t>
      </w:r>
      <w:r w:rsidRPr="00B72FA5">
        <w:t>ANAO</w:t>
      </w:r>
      <w:r w:rsidR="001D2CA3">
        <w:t>)</w:t>
      </w:r>
      <w:r w:rsidRPr="00B72FA5">
        <w:t xml:space="preserve"> is currently </w:t>
      </w:r>
      <w:r w:rsidR="007E5433">
        <w:t xml:space="preserve">a </w:t>
      </w:r>
      <w:r w:rsidRPr="00B72FA5">
        <w:t>conducting performance audit on the administration of the R&amp;DTI. The ANAO proposes to examine:</w:t>
      </w:r>
    </w:p>
    <w:p w14:paraId="65B0EA83" w14:textId="1198170E" w:rsidR="00AE5FF4" w:rsidRPr="00AE5FF4" w:rsidRDefault="00AE5FF4" w:rsidP="00AE5FF4">
      <w:pPr>
        <w:pStyle w:val="Bullet"/>
      </w:pPr>
      <w:r w:rsidRPr="00AE5FF4">
        <w:t xml:space="preserve">Did </w:t>
      </w:r>
      <w:r w:rsidR="00090065">
        <w:t xml:space="preserve">DISER </w:t>
      </w:r>
      <w:r w:rsidRPr="00AE5FF4">
        <w:t>and the ATO have effective registration, eligibility review and compliance arrangements?</w:t>
      </w:r>
    </w:p>
    <w:p w14:paraId="6E3C88A0" w14:textId="12B92DB5" w:rsidR="00AE5FF4" w:rsidRPr="00AE5FF4" w:rsidRDefault="00AE5FF4" w:rsidP="00AE5FF4">
      <w:pPr>
        <w:pStyle w:val="Bullet"/>
      </w:pPr>
      <w:r w:rsidRPr="00AE5FF4">
        <w:t xml:space="preserve">Did </w:t>
      </w:r>
      <w:r w:rsidR="00090065">
        <w:t xml:space="preserve">DISER </w:t>
      </w:r>
      <w:r w:rsidRPr="00AE5FF4">
        <w:t>and the ATO have effective performance measurement and monitoring arrangements?</w:t>
      </w:r>
    </w:p>
    <w:p w14:paraId="23798D8A" w14:textId="70BD5095" w:rsidR="00C2513C" w:rsidRDefault="00B72FA5" w:rsidP="00B72FA5">
      <w:r w:rsidRPr="00B72FA5">
        <w:t>The ANAO’s report is due to</w:t>
      </w:r>
      <w:r w:rsidR="00DD4549">
        <w:t xml:space="preserve"> be </w:t>
      </w:r>
      <w:r w:rsidRPr="00B72FA5">
        <w:t>table</w:t>
      </w:r>
      <w:r w:rsidR="00DD4549">
        <w:t>d</w:t>
      </w:r>
      <w:r w:rsidRPr="00B72FA5">
        <w:t xml:space="preserve"> in October 2021.</w:t>
      </w:r>
    </w:p>
    <w:p w14:paraId="09379D29" w14:textId="77777777" w:rsidR="00320BB4" w:rsidRDefault="00320BB4" w:rsidP="0095625B">
      <w:pPr>
        <w:pStyle w:val="Heading1"/>
      </w:pPr>
    </w:p>
    <w:p w14:paraId="3594DFF3" w14:textId="77777777" w:rsidR="00B37C6C" w:rsidRDefault="00B37C6C" w:rsidP="005670FB">
      <w:r>
        <w:br w:type="page"/>
      </w:r>
    </w:p>
    <w:p w14:paraId="2B602DA4" w14:textId="65CF73A9" w:rsidR="00754A10" w:rsidRDefault="00754A10" w:rsidP="00754A10">
      <w:pPr>
        <w:pStyle w:val="Heading1"/>
      </w:pPr>
      <w:bookmarkStart w:id="8" w:name="_Toc73533747"/>
      <w:r>
        <w:lastRenderedPageBreak/>
        <w:t>Consultation questions</w:t>
      </w:r>
      <w:bookmarkEnd w:id="8"/>
    </w:p>
    <w:p w14:paraId="23C3C78B" w14:textId="77777777" w:rsidR="00754A10" w:rsidRDefault="00754A10" w:rsidP="00754A10">
      <w:pPr>
        <w:pStyle w:val="Introductionparagraph"/>
      </w:pPr>
      <w:r w:rsidRPr="005044AB">
        <w:t>The Board encourages you to reflect on the</w:t>
      </w:r>
      <w:r w:rsidR="00D312C0">
        <w:t xml:space="preserve"> </w:t>
      </w:r>
      <w:r w:rsidRPr="005044AB">
        <w:t xml:space="preserve">consultation questions </w:t>
      </w:r>
      <w:r w:rsidR="00073AEF">
        <w:t xml:space="preserve">below </w:t>
      </w:r>
      <w:r w:rsidRPr="005044AB">
        <w:t xml:space="preserve">to assist </w:t>
      </w:r>
      <w:r w:rsidR="00D312C0">
        <w:t xml:space="preserve">in </w:t>
      </w:r>
      <w:r w:rsidRPr="005044AB">
        <w:t xml:space="preserve">formulating your input </w:t>
      </w:r>
      <w:r w:rsidR="00981A88">
        <w:t>to</w:t>
      </w:r>
      <w:r w:rsidRPr="005044AB">
        <w:t xml:space="preserve"> the review.</w:t>
      </w:r>
      <w:r>
        <w:t xml:space="preserve"> </w:t>
      </w:r>
      <w:r w:rsidR="002C6583">
        <w:t xml:space="preserve">You </w:t>
      </w:r>
      <w:r w:rsidR="00FF2817">
        <w:t xml:space="preserve">should not feel obliged </w:t>
      </w:r>
      <w:r w:rsidR="002C6583">
        <w:t>to address all of these questions and w</w:t>
      </w:r>
      <w:r w:rsidRPr="005044AB">
        <w:t xml:space="preserve">e encourage you to raise </w:t>
      </w:r>
      <w:r>
        <w:t xml:space="preserve">any other issues relevant to </w:t>
      </w:r>
      <w:r w:rsidR="00413D7A">
        <w:t xml:space="preserve">the </w:t>
      </w:r>
      <w:r w:rsidR="00486AC9">
        <w:t>administration of the R&amp;DTI program</w:t>
      </w:r>
      <w:r w:rsidRPr="005044AB">
        <w:t>.</w:t>
      </w:r>
    </w:p>
    <w:p w14:paraId="66E05A26" w14:textId="77777777" w:rsidR="000C5C5C" w:rsidRPr="000C5C5C" w:rsidRDefault="000C5C5C" w:rsidP="000C5C5C">
      <w:pPr>
        <w:rPr>
          <w:i/>
        </w:rPr>
      </w:pPr>
      <w:r w:rsidRPr="000C5C5C">
        <w:rPr>
          <w:i/>
        </w:rPr>
        <w:t>Current administration model</w:t>
      </w:r>
    </w:p>
    <w:p w14:paraId="47EF4A02" w14:textId="77777777" w:rsidR="000C5C5C" w:rsidRPr="000C5C5C" w:rsidRDefault="008A08FA" w:rsidP="000C5C5C">
      <w:pPr>
        <w:numPr>
          <w:ilvl w:val="0"/>
          <w:numId w:val="31"/>
        </w:numPr>
      </w:pPr>
      <w:r w:rsidRPr="000C5C5C">
        <w:t xml:space="preserve">Do you consider that the roles and responsibilities of the two administrators </w:t>
      </w:r>
      <w:r w:rsidR="000C5C5C" w:rsidRPr="000C5C5C">
        <w:t xml:space="preserve">(ATO and IISA/DISER) </w:t>
      </w:r>
      <w:r w:rsidRPr="000C5C5C">
        <w:t>are distinct and clearly understood? If not, how might th</w:t>
      </w:r>
      <w:r w:rsidR="000C5C5C" w:rsidRPr="000C5C5C">
        <w:t xml:space="preserve">ey </w:t>
      </w:r>
      <w:r w:rsidRPr="000C5C5C">
        <w:t>be enhanced?</w:t>
      </w:r>
    </w:p>
    <w:p w14:paraId="51310947" w14:textId="3BC2614B" w:rsidR="000C5C5C" w:rsidRPr="000C5C5C" w:rsidRDefault="000C5C5C" w:rsidP="000C5C5C">
      <w:pPr>
        <w:rPr>
          <w:i/>
        </w:rPr>
      </w:pPr>
      <w:r w:rsidRPr="000C5C5C">
        <w:rPr>
          <w:i/>
        </w:rPr>
        <w:t>Dealings with the current administration model</w:t>
      </w:r>
    </w:p>
    <w:p w14:paraId="702758E5" w14:textId="77777777" w:rsidR="00B50FB6" w:rsidRPr="000C5C5C" w:rsidRDefault="00B50FB6" w:rsidP="00B50FB6">
      <w:pPr>
        <w:numPr>
          <w:ilvl w:val="0"/>
          <w:numId w:val="31"/>
        </w:numPr>
      </w:pPr>
      <w:r w:rsidRPr="000C5C5C">
        <w:t xml:space="preserve">From your experiences, are there any aspects of the current registration, eligibility review and compliance arrangements which impede or hinder your dealings with the current administration system? What works well?  </w:t>
      </w:r>
    </w:p>
    <w:p w14:paraId="613DD54A" w14:textId="12B24E8B" w:rsidR="000C5C5C" w:rsidRPr="000C5C5C" w:rsidRDefault="000C5C5C" w:rsidP="000C5C5C">
      <w:pPr>
        <w:numPr>
          <w:ilvl w:val="0"/>
          <w:numId w:val="31"/>
        </w:numPr>
      </w:pPr>
      <w:r w:rsidRPr="000C5C5C">
        <w:t>Have you experienced any difference in the way the program has been administered in response to previous reviews? We would like to hear what has been improved and</w:t>
      </w:r>
      <w:r w:rsidR="00C02DF0">
        <w:t xml:space="preserve">/or </w:t>
      </w:r>
      <w:r w:rsidRPr="000C5C5C">
        <w:t>any additional challenges that have been experienced.</w:t>
      </w:r>
    </w:p>
    <w:p w14:paraId="6B5EF6D8" w14:textId="6D8400E5" w:rsidR="000C5C5C" w:rsidRPr="000C5C5C" w:rsidRDefault="000C5C5C" w:rsidP="000C5C5C">
      <w:pPr>
        <w:numPr>
          <w:ilvl w:val="0"/>
          <w:numId w:val="31"/>
        </w:numPr>
      </w:pPr>
      <w:r w:rsidRPr="000C5C5C">
        <w:t xml:space="preserve">What is the cost to businesses in claiming the </w:t>
      </w:r>
      <w:r w:rsidR="002A61A2">
        <w:t>R&amp;DTI</w:t>
      </w:r>
      <w:r w:rsidRPr="000C5C5C">
        <w:t>? Where have businesses encountered complexity in the process?</w:t>
      </w:r>
    </w:p>
    <w:p w14:paraId="24C0DDEA" w14:textId="77777777" w:rsidR="000C5C5C" w:rsidRPr="000C5C5C" w:rsidRDefault="000C5C5C" w:rsidP="000C5C5C">
      <w:pPr>
        <w:numPr>
          <w:ilvl w:val="0"/>
          <w:numId w:val="31"/>
        </w:numPr>
      </w:pPr>
      <w:r w:rsidRPr="000C5C5C">
        <w:t>Would you provide any real-life examples of businesses that have recently navigated the R&amp;DTI application process? Were there issues, challenges or frustrations encountered in the process?</w:t>
      </w:r>
    </w:p>
    <w:p w14:paraId="349DFA6B" w14:textId="7D269682" w:rsidR="000C5C5C" w:rsidRPr="000C5C5C" w:rsidRDefault="000C5C5C" w:rsidP="000C5C5C">
      <w:pPr>
        <w:numPr>
          <w:ilvl w:val="0"/>
          <w:numId w:val="31"/>
        </w:numPr>
      </w:pPr>
      <w:r w:rsidRPr="000C5C5C">
        <w:t xml:space="preserve">Does the current administrative process impact the decision to apply for </w:t>
      </w:r>
      <w:r w:rsidR="003E0318">
        <w:t xml:space="preserve">the </w:t>
      </w:r>
      <w:r w:rsidRPr="000C5C5C">
        <w:t>R&amp;DTI? Ho</w:t>
      </w:r>
      <w:r w:rsidR="0084478C">
        <w:t>w has it affected the decision to apply</w:t>
      </w:r>
      <w:r w:rsidRPr="000C5C5C">
        <w:t>?</w:t>
      </w:r>
    </w:p>
    <w:p w14:paraId="33693756" w14:textId="77777777" w:rsidR="000C5C5C" w:rsidRPr="000C5C5C" w:rsidRDefault="000C5C5C" w:rsidP="000C5C5C">
      <w:pPr>
        <w:numPr>
          <w:ilvl w:val="0"/>
          <w:numId w:val="31"/>
        </w:numPr>
      </w:pPr>
      <w:r w:rsidRPr="000C5C5C">
        <w:t>How easy or otherwise have applicants found the Advanced Findings process and the Overseas Findings process with DISER?</w:t>
      </w:r>
    </w:p>
    <w:p w14:paraId="667CB30F" w14:textId="77777777" w:rsidR="000C5C5C" w:rsidRPr="000C5C5C" w:rsidRDefault="000C5C5C" w:rsidP="000C5C5C">
      <w:pPr>
        <w:rPr>
          <w:i/>
        </w:rPr>
      </w:pPr>
      <w:r w:rsidRPr="000C5C5C">
        <w:rPr>
          <w:i/>
        </w:rPr>
        <w:t>Improvements and efficiencies</w:t>
      </w:r>
    </w:p>
    <w:p w14:paraId="58EE37F7" w14:textId="64E9FEEF" w:rsidR="000C5C5C" w:rsidRPr="000C5C5C" w:rsidRDefault="000C5C5C" w:rsidP="000C5C5C">
      <w:pPr>
        <w:numPr>
          <w:ilvl w:val="0"/>
          <w:numId w:val="31"/>
        </w:numPr>
      </w:pPr>
      <w:r w:rsidRPr="000C5C5C">
        <w:t xml:space="preserve">What changes </w:t>
      </w:r>
      <w:r w:rsidR="00A87068">
        <w:t>c</w:t>
      </w:r>
      <w:r w:rsidRPr="000C5C5C">
        <w:t>ould be made to simplify the administrative and compliance obligations for taxpayers, whilst maintaining the integrity of the program?</w:t>
      </w:r>
    </w:p>
    <w:p w14:paraId="1EC33E6D" w14:textId="241515AF" w:rsidR="003B2354" w:rsidRDefault="008A08FA" w:rsidP="000C5C5C">
      <w:pPr>
        <w:numPr>
          <w:ilvl w:val="0"/>
          <w:numId w:val="31"/>
        </w:numPr>
      </w:pPr>
      <w:r w:rsidRPr="000C5C5C">
        <w:t>What opportunities can you identify to reduce duplication between the two administrators?</w:t>
      </w:r>
    </w:p>
    <w:p w14:paraId="57ED91A5" w14:textId="29DA95D9" w:rsidR="00C37B0E" w:rsidRPr="000C5C5C" w:rsidRDefault="00C37B0E" w:rsidP="000C5C5C">
      <w:pPr>
        <w:numPr>
          <w:ilvl w:val="0"/>
          <w:numId w:val="31"/>
        </w:numPr>
      </w:pPr>
      <w:bookmarkStart w:id="9" w:name="_Hlk74910988"/>
      <w:r>
        <w:t xml:space="preserve">Reflecting on recent updates to guidance provided by the administrators, we would like to hear about </w:t>
      </w:r>
      <w:r w:rsidR="00642BC6">
        <w:t>its</w:t>
      </w:r>
      <w:r>
        <w:t xml:space="preserve"> effectiveness/usefulness. What improvements could be made (if any)?  </w:t>
      </w:r>
    </w:p>
    <w:bookmarkEnd w:id="9"/>
    <w:p w14:paraId="433EAD1F" w14:textId="77777777" w:rsidR="000C5C5C" w:rsidRPr="000C5C5C" w:rsidRDefault="000C5C5C" w:rsidP="000C5C5C">
      <w:r w:rsidRPr="000C5C5C">
        <w:rPr>
          <w:i/>
        </w:rPr>
        <w:t>International models and experience</w:t>
      </w:r>
    </w:p>
    <w:p w14:paraId="568449B7" w14:textId="77777777" w:rsidR="000C5C5C" w:rsidRPr="000C5C5C" w:rsidRDefault="000C5C5C" w:rsidP="000C5C5C">
      <w:pPr>
        <w:numPr>
          <w:ilvl w:val="0"/>
          <w:numId w:val="31"/>
        </w:numPr>
      </w:pPr>
      <w:r w:rsidRPr="000C5C5C">
        <w:t>Our review includes an examination of the international R&amp;D administration models. From your international experiences with similar programs abroad, is there any jurisdiction in particular that you consider to be appropriate for us to focus on for further analysis?</w:t>
      </w:r>
    </w:p>
    <w:p w14:paraId="2C0CC7F3" w14:textId="77777777" w:rsidR="00184276" w:rsidRPr="000C5C5C" w:rsidRDefault="00D54000" w:rsidP="000C5C5C"/>
    <w:p w14:paraId="2C07FFE9" w14:textId="77777777" w:rsidR="001E1198" w:rsidRPr="002651E8" w:rsidRDefault="001E1198" w:rsidP="002651E8">
      <w:r>
        <w:br w:type="page"/>
      </w:r>
    </w:p>
    <w:p w14:paraId="49F15F51" w14:textId="77777777" w:rsidR="00754A10" w:rsidRDefault="00754A10" w:rsidP="00754A10">
      <w:pPr>
        <w:pStyle w:val="Heading1"/>
      </w:pPr>
      <w:bookmarkStart w:id="10" w:name="_Toc73533748"/>
      <w:r>
        <w:lastRenderedPageBreak/>
        <w:t>How to participate</w:t>
      </w:r>
      <w:bookmarkEnd w:id="10"/>
    </w:p>
    <w:p w14:paraId="4BE27FD1" w14:textId="77777777" w:rsidR="00754A10" w:rsidRPr="005044AB" w:rsidRDefault="00754A10" w:rsidP="00754A10">
      <w:pPr>
        <w:pStyle w:val="Introductionparagraph"/>
      </w:pPr>
      <w:r w:rsidRPr="005044AB">
        <w:t>T</w:t>
      </w:r>
      <w:r>
        <w:t>he Board invites comment on the consultation questions</w:t>
      </w:r>
      <w:r w:rsidRPr="005044AB">
        <w:t xml:space="preserve"> set out in this consultation guide and looks forward to engaging further with </w:t>
      </w:r>
      <w:r>
        <w:t xml:space="preserve">interested parties </w:t>
      </w:r>
      <w:r w:rsidRPr="005044AB">
        <w:t>throughout the course of this review.</w:t>
      </w:r>
    </w:p>
    <w:p w14:paraId="4B4E4327" w14:textId="77777777" w:rsidR="00754A10" w:rsidRPr="003A6050" w:rsidRDefault="00754A10" w:rsidP="00754A10">
      <w:pPr>
        <w:rPr>
          <w:color w:val="C00000"/>
          <w:sz w:val="36"/>
          <w:szCs w:val="36"/>
        </w:rPr>
      </w:pPr>
      <w:r w:rsidRPr="003A6050">
        <w:rPr>
          <w:color w:val="C00000"/>
          <w:sz w:val="36"/>
          <w:szCs w:val="36"/>
        </w:rPr>
        <w:t>Consultations</w:t>
      </w:r>
    </w:p>
    <w:p w14:paraId="1472FAEC" w14:textId="46921ED6" w:rsidR="008353B9" w:rsidRDefault="00754A10" w:rsidP="00754A10">
      <w:r>
        <w:t>The</w:t>
      </w:r>
      <w:r w:rsidRPr="00F05CA4">
        <w:t xml:space="preserve"> </w:t>
      </w:r>
      <w:r>
        <w:t xml:space="preserve">Board </w:t>
      </w:r>
      <w:r w:rsidR="00462FC3">
        <w:t xml:space="preserve">proposes to </w:t>
      </w:r>
      <w:r w:rsidR="008353B9">
        <w:t>hold</w:t>
      </w:r>
      <w:r w:rsidR="00462FC3">
        <w:t xml:space="preserve"> the following </w:t>
      </w:r>
      <w:r w:rsidR="008353B9">
        <w:t xml:space="preserve">series </w:t>
      </w:r>
      <w:r>
        <w:t>of</w:t>
      </w:r>
      <w:r w:rsidR="008353B9">
        <w:t xml:space="preserve"> ‘in-person’</w:t>
      </w:r>
      <w:r>
        <w:t xml:space="preserve"> </w:t>
      </w:r>
      <w:r w:rsidR="0095625B">
        <w:t xml:space="preserve">and virtual </w:t>
      </w:r>
      <w:r>
        <w:t>consultations</w:t>
      </w:r>
      <w:r w:rsidR="008353B9">
        <w:t>:</w:t>
      </w:r>
    </w:p>
    <w:p w14:paraId="460AFC12" w14:textId="77777777" w:rsidR="00206D81" w:rsidRDefault="00206D81" w:rsidP="00206D81">
      <w:pPr>
        <w:pStyle w:val="ListParagraph"/>
        <w:numPr>
          <w:ilvl w:val="0"/>
          <w:numId w:val="20"/>
        </w:numPr>
        <w:spacing w:before="60" w:after="60"/>
      </w:pPr>
      <w:r>
        <w:t>Adelaide – Friday 9 July 2021</w:t>
      </w:r>
    </w:p>
    <w:p w14:paraId="2E750B58" w14:textId="59B692E6" w:rsidR="00206D81" w:rsidRDefault="00206D81" w:rsidP="00206D81">
      <w:pPr>
        <w:pStyle w:val="ListParagraph"/>
        <w:numPr>
          <w:ilvl w:val="0"/>
          <w:numId w:val="20"/>
        </w:numPr>
        <w:spacing w:before="60" w:after="60"/>
      </w:pPr>
      <w:r>
        <w:t xml:space="preserve">Sydney – </w:t>
      </w:r>
      <w:r w:rsidR="00B47F21">
        <w:t>Tuesday 20 July 2021</w:t>
      </w:r>
    </w:p>
    <w:p w14:paraId="5B40E969" w14:textId="4C2E74DE" w:rsidR="00206D81" w:rsidRDefault="00206D81" w:rsidP="00206D81">
      <w:pPr>
        <w:pStyle w:val="ListParagraph"/>
        <w:numPr>
          <w:ilvl w:val="0"/>
          <w:numId w:val="20"/>
        </w:numPr>
        <w:spacing w:before="60" w:after="60"/>
      </w:pPr>
      <w:r>
        <w:t xml:space="preserve">Brisbane – </w:t>
      </w:r>
      <w:r w:rsidR="00B47F21">
        <w:t>Wednesday 4 August 2021</w:t>
      </w:r>
    </w:p>
    <w:p w14:paraId="6447550F" w14:textId="7C157183" w:rsidR="00206D81" w:rsidRDefault="00206D81" w:rsidP="00206D81">
      <w:pPr>
        <w:pStyle w:val="ListParagraph"/>
        <w:numPr>
          <w:ilvl w:val="0"/>
          <w:numId w:val="20"/>
        </w:numPr>
        <w:spacing w:before="60" w:after="60"/>
      </w:pPr>
      <w:r>
        <w:t xml:space="preserve">Melbourne – </w:t>
      </w:r>
      <w:r w:rsidR="00B47F21">
        <w:t xml:space="preserve">Wednesday 11 </w:t>
      </w:r>
      <w:r>
        <w:t>August 2021</w:t>
      </w:r>
    </w:p>
    <w:p w14:paraId="7E09DAAE" w14:textId="7E9382FF" w:rsidR="00206D81" w:rsidRDefault="00206D81" w:rsidP="00D66E41">
      <w:pPr>
        <w:pStyle w:val="ListParagraph"/>
        <w:numPr>
          <w:ilvl w:val="0"/>
          <w:numId w:val="20"/>
        </w:numPr>
        <w:spacing w:before="60" w:after="60"/>
      </w:pPr>
      <w:r>
        <w:t xml:space="preserve">Perth – </w:t>
      </w:r>
      <w:r w:rsidR="00B47F21">
        <w:t>Wednesday 1 September 2021</w:t>
      </w:r>
    </w:p>
    <w:p w14:paraId="3CBBA172" w14:textId="52B98769" w:rsidR="008353B9" w:rsidRDefault="008353B9" w:rsidP="008353B9">
      <w:r>
        <w:t xml:space="preserve">If you would like to participate in discussions, please express your interest at </w:t>
      </w:r>
      <w:hyperlink r:id="rId17" w:history="1">
        <w:r w:rsidR="008C2F12" w:rsidRPr="00A142E3">
          <w:rPr>
            <w:rStyle w:val="Hyperlink"/>
          </w:rPr>
          <w:t>RandD@taxboard.gov.au</w:t>
        </w:r>
      </w:hyperlink>
      <w:r>
        <w:t xml:space="preserve">, and let us know where you are located. </w:t>
      </w:r>
      <w:r w:rsidR="00CD5E3E">
        <w:t>Private</w:t>
      </w:r>
      <w:r w:rsidR="00E77619">
        <w:t xml:space="preserve"> </w:t>
      </w:r>
      <w:r w:rsidR="00CD5E3E">
        <w:t>discussions</w:t>
      </w:r>
      <w:r w:rsidR="00206D81">
        <w:t xml:space="preserve"> </w:t>
      </w:r>
      <w:r w:rsidR="00CD5E3E">
        <w:t xml:space="preserve">with </w:t>
      </w:r>
      <w:r w:rsidR="00DD22E2">
        <w:t>B</w:t>
      </w:r>
      <w:r w:rsidR="00CD5E3E">
        <w:t>oard members leading the review</w:t>
      </w:r>
      <w:r w:rsidR="000F040E">
        <w:t xml:space="preserve">, </w:t>
      </w:r>
      <w:r w:rsidR="00CD5E3E">
        <w:t>treated in strictest confidence</w:t>
      </w:r>
      <w:r w:rsidR="000F040E">
        <w:t xml:space="preserve">, </w:t>
      </w:r>
      <w:r w:rsidR="00206D81">
        <w:t xml:space="preserve">may </w:t>
      </w:r>
      <w:r w:rsidR="000955DF">
        <w:t xml:space="preserve">also </w:t>
      </w:r>
      <w:r w:rsidR="00206D81">
        <w:t xml:space="preserve">be </w:t>
      </w:r>
      <w:r w:rsidR="009D4EE7">
        <w:t>arranged</w:t>
      </w:r>
      <w:r w:rsidR="00F60987">
        <w:t xml:space="preserve"> </w:t>
      </w:r>
      <w:r w:rsidR="000955DF">
        <w:t>in certain</w:t>
      </w:r>
      <w:r w:rsidR="00F60987">
        <w:t xml:space="preserve"> </w:t>
      </w:r>
      <w:r w:rsidR="00CD5E3E">
        <w:t>circumstances upon request.</w:t>
      </w:r>
    </w:p>
    <w:p w14:paraId="052D6C68" w14:textId="0B9588D9" w:rsidR="00754A10" w:rsidRPr="003A6050" w:rsidRDefault="00754A10" w:rsidP="00754A10">
      <w:pPr>
        <w:rPr>
          <w:color w:val="C00000"/>
          <w:sz w:val="36"/>
          <w:szCs w:val="36"/>
        </w:rPr>
      </w:pPr>
      <w:r w:rsidRPr="003A6050">
        <w:rPr>
          <w:color w:val="C00000"/>
          <w:sz w:val="36"/>
          <w:szCs w:val="36"/>
        </w:rPr>
        <w:t>Submissions</w:t>
      </w:r>
      <w:r w:rsidR="00E77619">
        <w:rPr>
          <w:color w:val="C00000"/>
          <w:sz w:val="36"/>
          <w:szCs w:val="36"/>
        </w:rPr>
        <w:t xml:space="preserve"> </w:t>
      </w:r>
    </w:p>
    <w:p w14:paraId="3AA48B07" w14:textId="58D9EF74" w:rsidR="00D50F8C" w:rsidRDefault="00E53F33" w:rsidP="00754A10">
      <w:r>
        <w:t>In addition to participating in consultations, t</w:t>
      </w:r>
      <w:r w:rsidR="00754A10" w:rsidRPr="00F05CA4">
        <w:t xml:space="preserve">he Board </w:t>
      </w:r>
      <w:r w:rsidR="005E4884">
        <w:t>welcomes any</w:t>
      </w:r>
      <w:r w:rsidR="00754A10" w:rsidRPr="00F05CA4">
        <w:t xml:space="preserve"> </w:t>
      </w:r>
      <w:r w:rsidR="00754A10">
        <w:t xml:space="preserve">written </w:t>
      </w:r>
      <w:r w:rsidR="005E4884">
        <w:t xml:space="preserve">submissions to this review. </w:t>
      </w:r>
      <w:r w:rsidR="00754A10" w:rsidRPr="00F05CA4">
        <w:t xml:space="preserve">Submissions can be made </w:t>
      </w:r>
      <w:r w:rsidR="00754A10">
        <w:t>to</w:t>
      </w:r>
      <w:hyperlink r:id="rId18" w:history="1">
        <w:r w:rsidR="00FE6237" w:rsidRPr="00A142E3">
          <w:rPr>
            <w:rStyle w:val="Hyperlink"/>
          </w:rPr>
          <w:t xml:space="preserve"> RandD@taxboard.gov.au</w:t>
        </w:r>
      </w:hyperlink>
      <w:r w:rsidR="00754A10" w:rsidRPr="00F05CA4">
        <w:t xml:space="preserve"> or addressed to the Treasury’s </w:t>
      </w:r>
      <w:r w:rsidR="00507286">
        <w:t xml:space="preserve">Canberra </w:t>
      </w:r>
      <w:r w:rsidR="00754A10" w:rsidRPr="00F05CA4">
        <w:t>office below.</w:t>
      </w:r>
      <w:r w:rsidR="002459A3">
        <w:t xml:space="preserve"> </w:t>
      </w:r>
    </w:p>
    <w:p w14:paraId="55765CB0" w14:textId="31B19CDA" w:rsidR="001B7E07" w:rsidRDefault="002459A3" w:rsidP="001B7E07">
      <w:r>
        <w:t>Th</w:t>
      </w:r>
      <w:r w:rsidR="005F5591">
        <w:t>e Board will accept submissions in response to this Consultation Guide</w:t>
      </w:r>
      <w:r w:rsidR="00D50F8C">
        <w:t xml:space="preserve"> until </w:t>
      </w:r>
      <w:r w:rsidR="0035099A">
        <w:rPr>
          <w:b/>
        </w:rPr>
        <w:t>15</w:t>
      </w:r>
      <w:r w:rsidR="00D50F8C" w:rsidRPr="001E67B9">
        <w:rPr>
          <w:b/>
        </w:rPr>
        <w:t xml:space="preserve"> </w:t>
      </w:r>
      <w:r w:rsidR="008C2F12">
        <w:rPr>
          <w:b/>
        </w:rPr>
        <w:t>September</w:t>
      </w:r>
      <w:r w:rsidR="00D50F8C" w:rsidRPr="001E67B9">
        <w:rPr>
          <w:b/>
        </w:rPr>
        <w:t xml:space="preserve"> 202</w:t>
      </w:r>
      <w:r w:rsidR="008C2F12">
        <w:rPr>
          <w:b/>
        </w:rPr>
        <w:t>1</w:t>
      </w:r>
      <w:r w:rsidR="00D50F8C" w:rsidRPr="001E67B9">
        <w:t>.</w:t>
      </w:r>
      <w:r w:rsidR="00D50F8C">
        <w:t xml:space="preserve"> </w:t>
      </w:r>
      <w:r w:rsidR="001B7E07">
        <w:t xml:space="preserve">All submissions will be published on the Board’s website except where the submission is made on a confidential basis. </w:t>
      </w:r>
    </w:p>
    <w:p w14:paraId="38CEC147" w14:textId="77777777" w:rsidR="00754A10" w:rsidRPr="003A6050" w:rsidRDefault="00754A10" w:rsidP="00754A10">
      <w:pPr>
        <w:rPr>
          <w:color w:val="C00000"/>
          <w:sz w:val="36"/>
          <w:szCs w:val="36"/>
        </w:rPr>
      </w:pPr>
      <w:r w:rsidRPr="003A6050">
        <w:rPr>
          <w:color w:val="C00000"/>
          <w:sz w:val="36"/>
          <w:szCs w:val="36"/>
        </w:rPr>
        <w:t>Contact information</w:t>
      </w:r>
    </w:p>
    <w:p w14:paraId="6ED98580" w14:textId="77777777" w:rsidR="00754A10" w:rsidRPr="00F05CA4" w:rsidRDefault="00754A10" w:rsidP="00754A10">
      <w:r w:rsidRPr="00F05CA4">
        <w:t>The Board is supported by a sec</w:t>
      </w:r>
      <w:r>
        <w:t>retariat based in the Treasury.</w:t>
      </w:r>
    </w:p>
    <w:p w14:paraId="56726BB2" w14:textId="77777777" w:rsidR="00C22EE0" w:rsidRDefault="00C22EE0" w:rsidP="00754A10"/>
    <w:p w14:paraId="29E36EFF" w14:textId="7175FCDC" w:rsidR="00754A10" w:rsidRPr="00F05CA4" w:rsidRDefault="00754A10" w:rsidP="00754A10">
      <w:r w:rsidRPr="00F05CA4">
        <w:t>Board of Taxation Secretariat</w:t>
      </w:r>
    </w:p>
    <w:p w14:paraId="1525EAE8" w14:textId="6193782B" w:rsidR="00754A10" w:rsidRPr="00F05CA4" w:rsidRDefault="00754A10" w:rsidP="00754A10">
      <w:r w:rsidRPr="00F05CA4">
        <w:t xml:space="preserve">The Treasury </w:t>
      </w:r>
    </w:p>
    <w:p w14:paraId="209F3AC0" w14:textId="77777777" w:rsidR="00A01A41" w:rsidRDefault="00A01A41" w:rsidP="00754A10">
      <w:r>
        <w:t>Langton Crescent</w:t>
      </w:r>
    </w:p>
    <w:p w14:paraId="6AB17795" w14:textId="411F6109" w:rsidR="00754A10" w:rsidRPr="00F05CA4" w:rsidRDefault="00A01A41" w:rsidP="00754A10">
      <w:r>
        <w:t>Parkes ACT 2600</w:t>
      </w:r>
    </w:p>
    <w:p w14:paraId="45D5615D" w14:textId="77777777" w:rsidR="00754A10" w:rsidRDefault="00D54000" w:rsidP="00754A10">
      <w:hyperlink r:id="rId19" w:history="1">
        <w:r w:rsidR="008C2F12" w:rsidRPr="00A142E3">
          <w:rPr>
            <w:rStyle w:val="Hyperlink"/>
          </w:rPr>
          <w:t>RandD@taxboard.gov.au</w:t>
        </w:r>
      </w:hyperlink>
    </w:p>
    <w:p w14:paraId="26051683" w14:textId="7380B933" w:rsidR="00754A10" w:rsidRPr="00043A4B" w:rsidRDefault="00754A10" w:rsidP="00754A10">
      <w:r w:rsidRPr="00F05CA4">
        <w:t xml:space="preserve">Phone: (02) 6263 </w:t>
      </w:r>
      <w:r w:rsidR="008353B9">
        <w:t>4366</w:t>
      </w:r>
    </w:p>
    <w:sectPr w:rsidR="00754A10" w:rsidRPr="00043A4B" w:rsidSect="00616F0A">
      <w:headerReference w:type="even" r:id="rId20"/>
      <w:pgSz w:w="11906" w:h="16838" w:code="9"/>
      <w:pgMar w:top="2268" w:right="1134" w:bottom="1418" w:left="1134" w:header="709" w:footer="14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58E0F5" w14:textId="77777777" w:rsidR="00770F1F" w:rsidRDefault="00770F1F">
      <w:pPr>
        <w:spacing w:before="0" w:after="0"/>
      </w:pPr>
      <w:r>
        <w:separator/>
      </w:r>
    </w:p>
  </w:endnote>
  <w:endnote w:type="continuationSeparator" w:id="0">
    <w:p w14:paraId="517F4011" w14:textId="77777777" w:rsidR="00770F1F" w:rsidRDefault="00770F1F">
      <w:pPr>
        <w:spacing w:before="0" w:after="0"/>
      </w:pPr>
      <w:r>
        <w:continuationSeparator/>
      </w:r>
    </w:p>
  </w:endnote>
  <w:endnote w:type="continuationNotice" w:id="1">
    <w:p w14:paraId="69F821D8" w14:textId="77777777" w:rsidR="00770F1F" w:rsidRDefault="00770F1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Bold">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882C1" w14:textId="77777777" w:rsidR="009F526F" w:rsidRDefault="009F526F" w:rsidP="003C24B4">
    <w:pPr>
      <w:pStyle w:val="FooterEven"/>
    </w:pPr>
    <w:r>
      <w:rPr>
        <w:noProof w:val="0"/>
      </w:rPr>
      <w:fldChar w:fldCharType="begin"/>
    </w:r>
    <w:r>
      <w:instrText xml:space="preserve"> PAGE   \* MERGEFORMAT </w:instrText>
    </w:r>
    <w:r>
      <w:rPr>
        <w:noProof w:val="0"/>
      </w:rPr>
      <w:fldChar w:fldCharType="separate"/>
    </w:r>
    <w:r>
      <w:t>2</w:t>
    </w:r>
    <w:r>
      <w:fldChar w:fldCharType="end"/>
    </w:r>
    <w:r>
      <w:t xml:space="preserve"> </w:t>
    </w:r>
    <w:r w:rsidRPr="00043A4B">
      <w:rPr>
        <w:color w:val="7F7F7F" w:themeColor="text1" w:themeTint="80"/>
      </w:rPr>
      <w:t>Consultation Guide |</w:t>
    </w:r>
    <w:r w:rsidRPr="00043A4B">
      <w:t xml:space="preserve"> Review of Small Business Tax Concessions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CE3D6" w14:textId="77777777" w:rsidR="009F526F" w:rsidRDefault="009F526F" w:rsidP="002D340B">
    <w:pPr>
      <w:pStyle w:val="Footer"/>
    </w:pPr>
    <w:r w:rsidRPr="007929CA">
      <w:rPr>
        <w:noProof/>
        <w:color w:val="7F7F7F" w:themeColor="text1" w:themeTint="80"/>
      </w:rPr>
      <mc:AlternateContent>
        <mc:Choice Requires="wps">
          <w:drawing>
            <wp:anchor distT="0" distB="0" distL="114300" distR="114300" simplePos="0" relativeHeight="251658241" behindDoc="0" locked="0" layoutInCell="1" allowOverlap="1" wp14:anchorId="5C347500" wp14:editId="637956DE">
              <wp:simplePos x="0" y="0"/>
              <wp:positionH relativeFrom="column">
                <wp:posOffset>467995</wp:posOffset>
              </wp:positionH>
              <wp:positionV relativeFrom="paragraph">
                <wp:posOffset>252095</wp:posOffset>
              </wp:positionV>
              <wp:extent cx="4428000" cy="412200"/>
              <wp:effectExtent l="0" t="0" r="0" b="698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8000" cy="412200"/>
                      </a:xfrm>
                      <a:prstGeom prst="rect">
                        <a:avLst/>
                      </a:prstGeom>
                      <a:solidFill>
                        <a:srgbClr val="FFFFFF"/>
                      </a:solidFill>
                      <a:ln w="9525">
                        <a:noFill/>
                        <a:miter lim="800000"/>
                        <a:headEnd/>
                        <a:tailEnd/>
                      </a:ln>
                    </wps:spPr>
                    <wps:txbx>
                      <w:txbxContent>
                        <w:p w14:paraId="405AAB6C" w14:textId="77777777" w:rsidR="009F526F" w:rsidRDefault="009F526F" w:rsidP="002D340B">
                          <w:pPr>
                            <w:pStyle w:val="FooterEven"/>
                          </w:pPr>
                          <w:r>
                            <w:rPr>
                              <w:color w:val="7F7F7F" w:themeColor="text1" w:themeTint="80"/>
                            </w:rPr>
                            <w:t>C</w:t>
                          </w:r>
                          <w:r w:rsidRPr="00043A4B">
                            <w:rPr>
                              <w:color w:val="7F7F7F" w:themeColor="text1" w:themeTint="80"/>
                            </w:rPr>
                            <w:t>onsultation Guide |</w:t>
                          </w:r>
                          <w:r w:rsidRPr="00043A4B">
                            <w:t xml:space="preserve"> Review of </w:t>
                          </w:r>
                          <w:r>
                            <w:t>R&amp;DTI dual-agency administration model</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C347500" id="_x0000_t202" coordsize="21600,21600" o:spt="202" path="m,l,21600r21600,l21600,xe">
              <v:stroke joinstyle="miter"/>
              <v:path gradientshapeok="t" o:connecttype="rect"/>
            </v:shapetype>
            <v:shape id="Text Box 2" o:spid="_x0000_s1026" type="#_x0000_t202" style="position:absolute;left:0;text-align:left;margin-left:36.85pt;margin-top:19.85pt;width:348.65pt;height:32.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" stroked="f">
              <v:textbox>
                <w:txbxContent>
                  <w:p w14:paraId="405AAB6C" w14:textId="77777777" w:rsidR="009F526F" w:rsidRDefault="009F526F" w:rsidP="002D340B">
                    <w:pPr>
                      <w:pStyle w:val="FooterEven"/>
                    </w:pPr>
                    <w:r>
                      <w:rPr>
                        <w:color w:val="7F7F7F" w:themeColor="text1" w:themeTint="80"/>
                      </w:rPr>
                      <w:t>C</w:t>
                    </w:r>
                    <w:r w:rsidRPr="00043A4B">
                      <w:rPr>
                        <w:color w:val="7F7F7F" w:themeColor="text1" w:themeTint="80"/>
                      </w:rPr>
                      <w:t>onsultation Guide |</w:t>
                    </w:r>
                    <w:r w:rsidRPr="00043A4B">
                      <w:t xml:space="preserve"> Review of </w:t>
                    </w:r>
                    <w:r>
                      <w:t>R&amp;DTI dual-agency administration model</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410662A2" wp14:editId="2D02AE7B">
              <wp:simplePos x="0" y="0"/>
              <wp:positionH relativeFrom="column">
                <wp:posOffset>0</wp:posOffset>
              </wp:positionH>
              <wp:positionV relativeFrom="paragraph">
                <wp:posOffset>252095</wp:posOffset>
              </wp:positionV>
              <wp:extent cx="431280" cy="431280"/>
              <wp:effectExtent l="0" t="0" r="6985" b="698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280" cy="431280"/>
                      </a:xfrm>
                      <a:prstGeom prst="rect">
                        <a:avLst/>
                      </a:prstGeom>
                      <a:solidFill>
                        <a:srgbClr val="002060"/>
                      </a:solidFill>
                      <a:ln w="9525">
                        <a:noFill/>
                        <a:miter lim="800000"/>
                        <a:headEnd/>
                        <a:tailEnd/>
                      </a:ln>
                    </wps:spPr>
                    <wps:txbx>
                      <w:txbxContent>
                        <w:p w14:paraId="4EB205F9" w14:textId="2A2DB62F" w:rsidR="009F526F" w:rsidRPr="004B2B98" w:rsidRDefault="009F526F" w:rsidP="002D340B">
                          <w:pPr>
                            <w:jc w:val="center"/>
                            <w:rPr>
                              <w:color w:val="FFFFFF" w:themeColor="background1"/>
                              <w:szCs w:val="22"/>
                            </w:rPr>
                          </w:pPr>
                          <w:r w:rsidRPr="004B2B98">
                            <w:rPr>
                              <w:color w:val="FFFFFF" w:themeColor="background1"/>
                              <w:szCs w:val="22"/>
                            </w:rPr>
                            <w:fldChar w:fldCharType="begin"/>
                          </w:r>
                          <w:r w:rsidRPr="004B2B98">
                            <w:rPr>
                              <w:color w:val="FFFFFF" w:themeColor="background1"/>
                              <w:szCs w:val="22"/>
                            </w:rPr>
                            <w:instrText xml:space="preserve"> PAGE   \* MERGEFORMAT </w:instrText>
                          </w:r>
                          <w:r w:rsidRPr="004B2B98">
                            <w:rPr>
                              <w:color w:val="FFFFFF" w:themeColor="background1"/>
                              <w:szCs w:val="22"/>
                            </w:rPr>
                            <w:fldChar w:fldCharType="separate"/>
                          </w:r>
                          <w:r w:rsidR="00FB158A">
                            <w:rPr>
                              <w:noProof/>
                              <w:color w:val="FFFFFF" w:themeColor="background1"/>
                              <w:szCs w:val="22"/>
                            </w:rPr>
                            <w:t>2</w:t>
                          </w:r>
                          <w:r w:rsidRPr="004B2B98">
                            <w:rPr>
                              <w:noProof/>
                              <w:color w:val="FFFFFF" w:themeColor="background1"/>
                              <w:szCs w:val="22"/>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10662A2" id="_x0000_s1027" type="#_x0000_t202" style="position:absolute;left:0;text-align:left;margin-left:0;margin-top:19.85pt;width:33.95pt;height:33.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" fillcolor="#002060" stroked="f">
              <v:textbox>
                <w:txbxContent>
                  <w:p w14:paraId="4EB205F9" w14:textId="2A2DB62F" w:rsidR="009F526F" w:rsidRPr="004B2B98" w:rsidRDefault="009F526F" w:rsidP="002D340B">
                    <w:pPr>
                      <w:jc w:val="center"/>
                      <w:rPr>
                        <w:color w:val="FFFFFF" w:themeColor="background1"/>
                        <w:szCs w:val="22"/>
                      </w:rPr>
                    </w:pPr>
                    <w:r w:rsidRPr="004B2B98">
                      <w:rPr>
                        <w:color w:val="FFFFFF" w:themeColor="background1"/>
                        <w:szCs w:val="22"/>
                      </w:rPr>
                      <w:fldChar w:fldCharType="begin"/>
                    </w:r>
                    <w:r w:rsidRPr="004B2B98">
                      <w:rPr>
                        <w:color w:val="FFFFFF" w:themeColor="background1"/>
                        <w:szCs w:val="22"/>
                      </w:rPr>
                      <w:instrText xml:space="preserve"> PAGE   \* MERGEFORMAT </w:instrText>
                    </w:r>
                    <w:r w:rsidRPr="004B2B98">
                      <w:rPr>
                        <w:color w:val="FFFFFF" w:themeColor="background1"/>
                        <w:szCs w:val="22"/>
                      </w:rPr>
                      <w:fldChar w:fldCharType="separate"/>
                    </w:r>
                    <w:r w:rsidR="00FB158A">
                      <w:rPr>
                        <w:noProof/>
                        <w:color w:val="FFFFFF" w:themeColor="background1"/>
                        <w:szCs w:val="22"/>
                      </w:rPr>
                      <w:t>2</w:t>
                    </w:r>
                    <w:r w:rsidRPr="004B2B98">
                      <w:rPr>
                        <w:noProof/>
                        <w:color w:val="FFFFFF" w:themeColor="background1"/>
                        <w:szCs w:val="22"/>
                      </w:rPr>
                      <w:fldChar w:fldCharType="end"/>
                    </w:r>
                  </w:p>
                </w:txbxContent>
              </v:textbox>
            </v:shape>
          </w:pict>
        </mc:Fallback>
      </mc:AlternateContent>
    </w:r>
    <w:r>
      <w:rPr>
        <w:noProof/>
      </w:rPr>
      <w:drawing>
        <wp:inline distT="0" distB="0" distL="0" distR="0" wp14:anchorId="5AEC5F0D" wp14:editId="390762AB">
          <wp:extent cx="6120130" cy="132715"/>
          <wp:effectExtent l="0" t="0" r="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s thi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0130" cy="132715"/>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75AF30" w14:textId="77777777" w:rsidR="009F526F" w:rsidRDefault="009F526F" w:rsidP="00157DFC">
    <w:pPr>
      <w:pStyle w:val="Footer"/>
    </w:pPr>
    <w:r w:rsidRPr="007929CA">
      <w:rPr>
        <w:noProof/>
        <w:color w:val="7F7F7F" w:themeColor="text1" w:themeTint="80"/>
      </w:rPr>
      <mc:AlternateContent>
        <mc:Choice Requires="wps">
          <w:drawing>
            <wp:anchor distT="0" distB="0" distL="114300" distR="114300" simplePos="0" relativeHeight="251658245" behindDoc="0" locked="0" layoutInCell="1" allowOverlap="1" wp14:anchorId="6B611801" wp14:editId="06E2CF0F">
              <wp:simplePos x="0" y="0"/>
              <wp:positionH relativeFrom="column">
                <wp:posOffset>467995</wp:posOffset>
              </wp:positionH>
              <wp:positionV relativeFrom="paragraph">
                <wp:posOffset>252095</wp:posOffset>
              </wp:positionV>
              <wp:extent cx="4428000" cy="412200"/>
              <wp:effectExtent l="0" t="0" r="0" b="698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8000" cy="412200"/>
                      </a:xfrm>
                      <a:prstGeom prst="rect">
                        <a:avLst/>
                      </a:prstGeom>
                      <a:solidFill>
                        <a:srgbClr val="FFFFFF"/>
                      </a:solidFill>
                      <a:ln w="9525">
                        <a:noFill/>
                        <a:miter lim="800000"/>
                        <a:headEnd/>
                        <a:tailEnd/>
                      </a:ln>
                    </wps:spPr>
                    <wps:txbx>
                      <w:txbxContent>
                        <w:p w14:paraId="6199DD8E" w14:textId="77777777" w:rsidR="009F526F" w:rsidRDefault="009F526F" w:rsidP="00157DFC">
                          <w:pPr>
                            <w:pStyle w:val="FooterEven"/>
                          </w:pPr>
                          <w:r>
                            <w:rPr>
                              <w:color w:val="7F7F7F" w:themeColor="text1" w:themeTint="80"/>
                            </w:rPr>
                            <w:t>C</w:t>
                          </w:r>
                          <w:r w:rsidRPr="00043A4B">
                            <w:rPr>
                              <w:color w:val="7F7F7F" w:themeColor="text1" w:themeTint="80"/>
                            </w:rPr>
                            <w:t>onsultation Guide |</w:t>
                          </w:r>
                          <w:r w:rsidRPr="00043A4B">
                            <w:t xml:space="preserve"> </w:t>
                          </w:r>
                          <w:r w:rsidR="009A0ABD" w:rsidRPr="00043A4B">
                            <w:t xml:space="preserve">Review of </w:t>
                          </w:r>
                          <w:r w:rsidR="009A0ABD">
                            <w:t>R&amp;DTI dual-agency administration model</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B611801" id="_x0000_t202" coordsize="21600,21600" o:spt="202" path="m,l,21600r21600,l21600,xe">
              <v:stroke joinstyle="miter"/>
              <v:path gradientshapeok="t" o:connecttype="rect"/>
            </v:shapetype>
            <v:shape id="_x0000_s1028" type="#_x0000_t202" style="position:absolute;left:0;text-align:left;margin-left:36.85pt;margin-top:19.85pt;width:348.65pt;height:32.4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" stroked="f">
              <v:textbox>
                <w:txbxContent>
                  <w:p w14:paraId="6199DD8E" w14:textId="77777777" w:rsidR="009F526F" w:rsidRDefault="009F526F" w:rsidP="00157DFC">
                    <w:pPr>
                      <w:pStyle w:val="FooterEven"/>
                    </w:pPr>
                    <w:r>
                      <w:rPr>
                        <w:color w:val="7F7F7F" w:themeColor="text1" w:themeTint="80"/>
                      </w:rPr>
                      <w:t>C</w:t>
                    </w:r>
                    <w:r w:rsidRPr="00043A4B">
                      <w:rPr>
                        <w:color w:val="7F7F7F" w:themeColor="text1" w:themeTint="80"/>
                      </w:rPr>
                      <w:t>onsultation Guide |</w:t>
                    </w:r>
                    <w:r w:rsidRPr="00043A4B">
                      <w:t xml:space="preserve"> </w:t>
                    </w:r>
                    <w:r w:rsidR="009A0ABD" w:rsidRPr="00043A4B">
                      <w:t xml:space="preserve">Review of </w:t>
                    </w:r>
                    <w:r w:rsidR="009A0ABD">
                      <w:t>R&amp;DTI dual-agency administration model</w:t>
                    </w:r>
                  </w:p>
                </w:txbxContent>
              </v:textbox>
            </v:shape>
          </w:pict>
        </mc:Fallback>
      </mc:AlternateContent>
    </w:r>
    <w:r>
      <w:rPr>
        <w:noProof/>
      </w:rPr>
      <mc:AlternateContent>
        <mc:Choice Requires="wps">
          <w:drawing>
            <wp:anchor distT="0" distB="0" distL="114300" distR="114300" simplePos="0" relativeHeight="251658244" behindDoc="0" locked="0" layoutInCell="1" allowOverlap="1" wp14:anchorId="462E2D1E" wp14:editId="7485BA5A">
              <wp:simplePos x="0" y="0"/>
              <wp:positionH relativeFrom="column">
                <wp:posOffset>0</wp:posOffset>
              </wp:positionH>
              <wp:positionV relativeFrom="paragraph">
                <wp:posOffset>252095</wp:posOffset>
              </wp:positionV>
              <wp:extent cx="431280" cy="431280"/>
              <wp:effectExtent l="0" t="0" r="6985" b="698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280" cy="431280"/>
                      </a:xfrm>
                      <a:prstGeom prst="rect">
                        <a:avLst/>
                      </a:prstGeom>
                      <a:solidFill>
                        <a:srgbClr val="002060"/>
                      </a:solidFill>
                      <a:ln w="9525">
                        <a:noFill/>
                        <a:miter lim="800000"/>
                        <a:headEnd/>
                        <a:tailEnd/>
                      </a:ln>
                    </wps:spPr>
                    <wps:txbx>
                      <w:txbxContent>
                        <w:p w14:paraId="26B0CEA1" w14:textId="7031AC0A" w:rsidR="009F526F" w:rsidRPr="004B2B98" w:rsidRDefault="009F526F" w:rsidP="00157DFC">
                          <w:pPr>
                            <w:jc w:val="center"/>
                            <w:rPr>
                              <w:color w:val="FFFFFF" w:themeColor="background1"/>
                              <w:szCs w:val="22"/>
                            </w:rPr>
                          </w:pPr>
                          <w:r w:rsidRPr="004B2B98">
                            <w:rPr>
                              <w:color w:val="FFFFFF" w:themeColor="background1"/>
                              <w:szCs w:val="22"/>
                            </w:rPr>
                            <w:fldChar w:fldCharType="begin"/>
                          </w:r>
                          <w:r w:rsidRPr="004B2B98">
                            <w:rPr>
                              <w:color w:val="FFFFFF" w:themeColor="background1"/>
                              <w:szCs w:val="22"/>
                            </w:rPr>
                            <w:instrText xml:space="preserve"> PAGE   \* MERGEFORMAT </w:instrText>
                          </w:r>
                          <w:r w:rsidRPr="004B2B98">
                            <w:rPr>
                              <w:color w:val="FFFFFF" w:themeColor="background1"/>
                              <w:szCs w:val="22"/>
                            </w:rPr>
                            <w:fldChar w:fldCharType="separate"/>
                          </w:r>
                          <w:r w:rsidR="00FB158A">
                            <w:rPr>
                              <w:noProof/>
                              <w:color w:val="FFFFFF" w:themeColor="background1"/>
                              <w:szCs w:val="22"/>
                            </w:rPr>
                            <w:t>7</w:t>
                          </w:r>
                          <w:r w:rsidRPr="004B2B98">
                            <w:rPr>
                              <w:noProof/>
                              <w:color w:val="FFFFFF" w:themeColor="background1"/>
                              <w:szCs w:val="22"/>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62E2D1E" id="_x0000_s1029" type="#_x0000_t202" style="position:absolute;left:0;text-align:left;margin-left:0;margin-top:19.85pt;width:33.95pt;height:33.9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" fillcolor="#002060" stroked="f">
              <v:textbox>
                <w:txbxContent>
                  <w:p w14:paraId="26B0CEA1" w14:textId="7031AC0A" w:rsidR="009F526F" w:rsidRPr="004B2B98" w:rsidRDefault="009F526F" w:rsidP="00157DFC">
                    <w:pPr>
                      <w:jc w:val="center"/>
                      <w:rPr>
                        <w:color w:val="FFFFFF" w:themeColor="background1"/>
                        <w:szCs w:val="22"/>
                      </w:rPr>
                    </w:pPr>
                    <w:r w:rsidRPr="004B2B98">
                      <w:rPr>
                        <w:color w:val="FFFFFF" w:themeColor="background1"/>
                        <w:szCs w:val="22"/>
                      </w:rPr>
                      <w:fldChar w:fldCharType="begin"/>
                    </w:r>
                    <w:r w:rsidRPr="004B2B98">
                      <w:rPr>
                        <w:color w:val="FFFFFF" w:themeColor="background1"/>
                        <w:szCs w:val="22"/>
                      </w:rPr>
                      <w:instrText xml:space="preserve"> PAGE   \* MERGEFORMAT </w:instrText>
                    </w:r>
                    <w:r w:rsidRPr="004B2B98">
                      <w:rPr>
                        <w:color w:val="FFFFFF" w:themeColor="background1"/>
                        <w:szCs w:val="22"/>
                      </w:rPr>
                      <w:fldChar w:fldCharType="separate"/>
                    </w:r>
                    <w:r w:rsidR="00FB158A">
                      <w:rPr>
                        <w:noProof/>
                        <w:color w:val="FFFFFF" w:themeColor="background1"/>
                        <w:szCs w:val="22"/>
                      </w:rPr>
                      <w:t>7</w:t>
                    </w:r>
                    <w:r w:rsidRPr="004B2B98">
                      <w:rPr>
                        <w:noProof/>
                        <w:color w:val="FFFFFF" w:themeColor="background1"/>
                        <w:szCs w:val="22"/>
                      </w:rPr>
                      <w:fldChar w:fldCharType="end"/>
                    </w:r>
                  </w:p>
                </w:txbxContent>
              </v:textbox>
            </v:shape>
          </w:pict>
        </mc:Fallback>
      </mc:AlternateContent>
    </w:r>
    <w:r>
      <w:rPr>
        <w:noProof/>
      </w:rPr>
      <w:drawing>
        <wp:inline distT="0" distB="0" distL="0" distR="0" wp14:anchorId="494B0276" wp14:editId="5DAA34C5">
          <wp:extent cx="6120130" cy="132715"/>
          <wp:effectExtent l="0" t="0" r="0"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s thi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0130" cy="132715"/>
                  </a:xfrm>
                  <a:prstGeom prst="rect">
                    <a:avLst/>
                  </a:prstGeom>
                </pic:spPr>
              </pic:pic>
            </a:graphicData>
          </a:graphic>
        </wp:inline>
      </w:drawing>
    </w:r>
  </w:p>
  <w:p w14:paraId="79CEBBDF" w14:textId="77777777" w:rsidR="009F526F" w:rsidRPr="00827552" w:rsidRDefault="009F526F" w:rsidP="0082755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54EC2" w14:textId="77777777" w:rsidR="009F526F" w:rsidRPr="00827552" w:rsidRDefault="009F526F" w:rsidP="008275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BA627A" w14:textId="77777777" w:rsidR="00770F1F" w:rsidRDefault="00770F1F">
      <w:pPr>
        <w:spacing w:before="0" w:after="0"/>
      </w:pPr>
      <w:r>
        <w:separator/>
      </w:r>
    </w:p>
  </w:footnote>
  <w:footnote w:type="continuationSeparator" w:id="0">
    <w:p w14:paraId="65482ECB" w14:textId="77777777" w:rsidR="00770F1F" w:rsidRDefault="00770F1F">
      <w:pPr>
        <w:spacing w:before="0" w:after="0"/>
      </w:pPr>
      <w:r>
        <w:continuationSeparator/>
      </w:r>
    </w:p>
  </w:footnote>
  <w:footnote w:type="continuationNotice" w:id="1">
    <w:p w14:paraId="0BE8CB0F" w14:textId="77777777" w:rsidR="00770F1F" w:rsidRDefault="00770F1F">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0EB48" w14:textId="77777777" w:rsidR="009F526F" w:rsidRPr="001F3912" w:rsidRDefault="009F526F" w:rsidP="00B37C6C">
    <w:r>
      <w:rPr>
        <w:noProof/>
      </w:rPr>
      <w:drawing>
        <wp:anchor distT="0" distB="0" distL="114300" distR="114300" simplePos="0" relativeHeight="251658242" behindDoc="1" locked="0" layoutInCell="1" allowOverlap="1" wp14:anchorId="16416BCA" wp14:editId="66D0D89B">
          <wp:simplePos x="723900" y="523875"/>
          <wp:positionH relativeFrom="page">
            <wp:align>center</wp:align>
          </wp:positionH>
          <wp:positionV relativeFrom="page">
            <wp:align>top</wp:align>
          </wp:positionV>
          <wp:extent cx="7560360" cy="1812240"/>
          <wp:effectExtent l="0" t="0" r="254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s_no cres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360" cy="1812240"/>
                  </a:xfrm>
                  <a:prstGeom prst="rect">
                    <a:avLst/>
                  </a:prstGeom>
                </pic:spPr>
              </pic:pic>
            </a:graphicData>
          </a:graphic>
          <wp14:sizeRelH relativeFrom="margin">
            <wp14:pctWidth>0</wp14:pctWidth>
          </wp14:sizeRelH>
          <wp14:sizeRelV relativeFrom="margin">
            <wp14:pctHeight>0</wp14:pctHeight>
          </wp14:sizeRelV>
        </wp:anchor>
      </w:drawing>
    </w:r>
    <w:r w:rsidRPr="001F3912">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DD5F7" w14:textId="77777777" w:rsidR="009F526F" w:rsidRPr="00827552" w:rsidRDefault="009F526F" w:rsidP="00827552">
    <w:pPr>
      <w:pStyle w:val="Header"/>
    </w:pPr>
    <w:r>
      <w:rPr>
        <w:noProof/>
      </w:rPr>
      <w:drawing>
        <wp:anchor distT="0" distB="0" distL="114300" distR="114300" simplePos="0" relativeHeight="251658246" behindDoc="1" locked="0" layoutInCell="1" allowOverlap="1" wp14:anchorId="7512A34C" wp14:editId="670F9783">
          <wp:simplePos x="0" y="0"/>
          <wp:positionH relativeFrom="margin">
            <wp:align>center</wp:align>
          </wp:positionH>
          <wp:positionV relativeFrom="page">
            <wp:align>top</wp:align>
          </wp:positionV>
          <wp:extent cx="6804025" cy="1533525"/>
          <wp:effectExtent l="0" t="0" r="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s_no cres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04025" cy="153352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CF8AD" w14:textId="77777777" w:rsidR="009F526F" w:rsidRPr="00827552" w:rsidRDefault="009F526F" w:rsidP="0082755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B00BE" w14:textId="77777777" w:rsidR="009F526F" w:rsidRPr="001F3912" w:rsidRDefault="009F526F" w:rsidP="00157DFC">
    <w:pPr>
      <w:tabs>
        <w:tab w:val="center" w:pos="4819"/>
      </w:tabs>
    </w:pPr>
    <w:r>
      <w:rPr>
        <w:noProof/>
      </w:rPr>
      <w:drawing>
        <wp:anchor distT="0" distB="0" distL="114300" distR="114300" simplePos="0" relativeHeight="251658243" behindDoc="1" locked="0" layoutInCell="1" allowOverlap="1" wp14:anchorId="65B7437A" wp14:editId="42A49E53">
          <wp:simplePos x="0" y="0"/>
          <wp:positionH relativeFrom="page">
            <wp:posOffset>428625</wp:posOffset>
          </wp:positionH>
          <wp:positionV relativeFrom="page">
            <wp:align>top</wp:align>
          </wp:positionV>
          <wp:extent cx="6804025" cy="1533525"/>
          <wp:effectExtent l="0" t="0" r="0"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s_no cres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04025" cy="1533525"/>
                  </a:xfrm>
                  <a:prstGeom prst="rect">
                    <a:avLst/>
                  </a:prstGeom>
                </pic:spPr>
              </pic:pic>
            </a:graphicData>
          </a:graphic>
          <wp14:sizeRelH relativeFrom="margin">
            <wp14:pctWidth>0</wp14:pctWidth>
          </wp14:sizeRelH>
          <wp14:sizeRelV relativeFrom="margin">
            <wp14:pctHeight>0</wp14:pctHeight>
          </wp14:sizeRelV>
        </wp:anchor>
      </w:drawing>
    </w:r>
    <w:r w:rsidRPr="001F3912">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D3FC7"/>
    <w:multiLevelType w:val="multilevel"/>
    <w:tmpl w:val="79E48CD8"/>
    <w:styleLink w:val="BoxBulletedList"/>
    <w:lvl w:ilvl="0">
      <w:start w:val="1"/>
      <w:numFmt w:val="bullet"/>
      <w:lvlRestart w:val="0"/>
      <w:pStyle w:val="BoxBullet"/>
      <w:lvlText w:val="•"/>
      <w:lvlJc w:val="left"/>
      <w:pPr>
        <w:tabs>
          <w:tab w:val="num" w:pos="283"/>
        </w:tabs>
        <w:ind w:left="283" w:hanging="283"/>
      </w:pPr>
      <w:rPr>
        <w:rFonts w:ascii="Times New Roman" w:hAnsi="Times New Roman" w:cs="Times New Roman" w:hint="default"/>
        <w:b w:val="0"/>
        <w:i w:val="0"/>
        <w:sz w:val="20"/>
      </w:rPr>
    </w:lvl>
    <w:lvl w:ilvl="1">
      <w:start w:val="1"/>
      <w:numFmt w:val="bullet"/>
      <w:pStyle w:val="BoxDash"/>
      <w:lvlText w:val="–"/>
      <w:lvlJc w:val="left"/>
      <w:pPr>
        <w:tabs>
          <w:tab w:val="num" w:pos="567"/>
        </w:tabs>
        <w:ind w:left="567" w:hanging="284"/>
      </w:pPr>
      <w:rPr>
        <w:rFonts w:hint="default"/>
        <w:b w:val="0"/>
        <w:i w:val="0"/>
      </w:rPr>
    </w:lvl>
    <w:lvl w:ilvl="2">
      <w:start w:val="1"/>
      <w:numFmt w:val="bullet"/>
      <w:pStyle w:val="BoxDoubleDo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 w15:restartNumberingAfterBreak="0">
    <w:nsid w:val="08100FD2"/>
    <w:multiLevelType w:val="hybridMultilevel"/>
    <w:tmpl w:val="1748A0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442612"/>
    <w:multiLevelType w:val="hybridMultilevel"/>
    <w:tmpl w:val="86669808"/>
    <w:lvl w:ilvl="0" w:tplc="55285206">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DDF4DDE"/>
    <w:multiLevelType w:val="hybridMultilevel"/>
    <w:tmpl w:val="E5C429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5449BD"/>
    <w:multiLevelType w:val="multilevel"/>
    <w:tmpl w:val="4FCA6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653560"/>
    <w:multiLevelType w:val="multilevel"/>
    <w:tmpl w:val="72F8140E"/>
    <w:styleLink w:val="OutlineList"/>
    <w:lvl w:ilvl="0">
      <w:start w:val="1"/>
      <w:numFmt w:val="decimal"/>
      <w:pStyle w:val="OutlineNumbered1"/>
      <w:lvlText w:val="%1."/>
      <w:lvlJc w:val="left"/>
      <w:pPr>
        <w:tabs>
          <w:tab w:val="num" w:pos="851"/>
        </w:tabs>
        <w:ind w:left="851" w:hanging="851"/>
      </w:pPr>
      <w:rPr>
        <w:rFonts w:hint="default"/>
      </w:rPr>
    </w:lvl>
    <w:lvl w:ilvl="1">
      <w:start w:val="1"/>
      <w:numFmt w:val="decimal"/>
      <w:pStyle w:val="OutlineNumbered2"/>
      <w:lvlText w:val="%1.%2"/>
      <w:lvlJc w:val="left"/>
      <w:pPr>
        <w:tabs>
          <w:tab w:val="num" w:pos="1134"/>
        </w:tabs>
        <w:ind w:left="1134" w:hanging="1134"/>
      </w:pPr>
      <w:rPr>
        <w:rFonts w:hint="default"/>
      </w:rPr>
    </w:lvl>
    <w:lvl w:ilvl="2">
      <w:start w:val="1"/>
      <w:numFmt w:val="decimal"/>
      <w:pStyle w:val="OutlineNumbered3"/>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5A92595"/>
    <w:multiLevelType w:val="hybridMultilevel"/>
    <w:tmpl w:val="DE46B7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6CC4E5D"/>
    <w:multiLevelType w:val="multilevel"/>
    <w:tmpl w:val="D10E9CF6"/>
    <w:numStyleLink w:val="OneLevelList"/>
  </w:abstractNum>
  <w:abstractNum w:abstractNumId="8" w15:restartNumberingAfterBreak="0">
    <w:nsid w:val="17DF7717"/>
    <w:multiLevelType w:val="multilevel"/>
    <w:tmpl w:val="B91AC3AC"/>
    <w:lvl w:ilvl="0">
      <w:start w:val="1"/>
      <w:numFmt w:val="decimal"/>
      <w:pStyle w:val="Heading1Numbered"/>
      <w:lvlText w:val="%1."/>
      <w:lvlJc w:val="left"/>
      <w:pPr>
        <w:ind w:left="360" w:hanging="360"/>
      </w:pPr>
      <w:rPr>
        <w:rFonts w:hint="default"/>
      </w:rPr>
    </w:lvl>
    <w:lvl w:ilvl="1">
      <w:start w:val="1"/>
      <w:numFmt w:val="decimal"/>
      <w:pStyle w:val="Heading2Numbered"/>
      <w:lvlText w:val="%1.%2"/>
      <w:lvlJc w:val="left"/>
      <w:pPr>
        <w:ind w:left="720" w:hanging="360"/>
      </w:pPr>
      <w:rPr>
        <w:rFonts w:hint="default"/>
      </w:rPr>
    </w:lvl>
    <w:lvl w:ilvl="2">
      <w:start w:val="1"/>
      <w:numFmt w:val="decimal"/>
      <w:pStyle w:val="Heading3Numbered"/>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8440D8F"/>
    <w:multiLevelType w:val="hybridMultilevel"/>
    <w:tmpl w:val="ACE8AB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A62508B"/>
    <w:multiLevelType w:val="hybridMultilevel"/>
    <w:tmpl w:val="AD38E9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1EB00F8A"/>
    <w:multiLevelType w:val="hybridMultilevel"/>
    <w:tmpl w:val="22265E6C"/>
    <w:lvl w:ilvl="0" w:tplc="0C090001">
      <w:start w:val="1"/>
      <w:numFmt w:val="bullet"/>
      <w:lvlText w:val=""/>
      <w:lvlJc w:val="left"/>
      <w:pPr>
        <w:ind w:left="900" w:hanging="360"/>
      </w:pPr>
      <w:rPr>
        <w:rFonts w:ascii="Symbol" w:hAnsi="Symbol" w:hint="default"/>
      </w:rPr>
    </w:lvl>
    <w:lvl w:ilvl="1" w:tplc="0C090003">
      <w:start w:val="1"/>
      <w:numFmt w:val="bullet"/>
      <w:lvlText w:val="o"/>
      <w:lvlJc w:val="left"/>
      <w:pPr>
        <w:ind w:left="1620" w:hanging="360"/>
      </w:pPr>
      <w:rPr>
        <w:rFonts w:ascii="Courier New" w:hAnsi="Courier New" w:cs="Courier New" w:hint="default"/>
      </w:rPr>
    </w:lvl>
    <w:lvl w:ilvl="2" w:tplc="0C090005">
      <w:start w:val="1"/>
      <w:numFmt w:val="bullet"/>
      <w:lvlText w:val=""/>
      <w:lvlJc w:val="left"/>
      <w:pPr>
        <w:ind w:left="2340" w:hanging="360"/>
      </w:pPr>
      <w:rPr>
        <w:rFonts w:ascii="Wingdings" w:hAnsi="Wingdings" w:hint="default"/>
      </w:rPr>
    </w:lvl>
    <w:lvl w:ilvl="3" w:tplc="0C090001">
      <w:start w:val="1"/>
      <w:numFmt w:val="bullet"/>
      <w:lvlText w:val=""/>
      <w:lvlJc w:val="left"/>
      <w:pPr>
        <w:ind w:left="3060" w:hanging="360"/>
      </w:pPr>
      <w:rPr>
        <w:rFonts w:ascii="Symbol" w:hAnsi="Symbol" w:hint="default"/>
      </w:rPr>
    </w:lvl>
    <w:lvl w:ilvl="4" w:tplc="0C090003">
      <w:start w:val="1"/>
      <w:numFmt w:val="bullet"/>
      <w:lvlText w:val="o"/>
      <w:lvlJc w:val="left"/>
      <w:pPr>
        <w:ind w:left="3780" w:hanging="360"/>
      </w:pPr>
      <w:rPr>
        <w:rFonts w:ascii="Courier New" w:hAnsi="Courier New" w:cs="Courier New" w:hint="default"/>
      </w:rPr>
    </w:lvl>
    <w:lvl w:ilvl="5" w:tplc="0C090005">
      <w:start w:val="1"/>
      <w:numFmt w:val="bullet"/>
      <w:lvlText w:val=""/>
      <w:lvlJc w:val="left"/>
      <w:pPr>
        <w:ind w:left="4500" w:hanging="360"/>
      </w:pPr>
      <w:rPr>
        <w:rFonts w:ascii="Wingdings" w:hAnsi="Wingdings" w:hint="default"/>
      </w:rPr>
    </w:lvl>
    <w:lvl w:ilvl="6" w:tplc="0C090001">
      <w:start w:val="1"/>
      <w:numFmt w:val="bullet"/>
      <w:lvlText w:val=""/>
      <w:lvlJc w:val="left"/>
      <w:pPr>
        <w:ind w:left="5220" w:hanging="360"/>
      </w:pPr>
      <w:rPr>
        <w:rFonts w:ascii="Symbol" w:hAnsi="Symbol" w:hint="default"/>
      </w:rPr>
    </w:lvl>
    <w:lvl w:ilvl="7" w:tplc="0C090003">
      <w:start w:val="1"/>
      <w:numFmt w:val="bullet"/>
      <w:lvlText w:val="o"/>
      <w:lvlJc w:val="left"/>
      <w:pPr>
        <w:ind w:left="5940" w:hanging="360"/>
      </w:pPr>
      <w:rPr>
        <w:rFonts w:ascii="Courier New" w:hAnsi="Courier New" w:cs="Courier New" w:hint="default"/>
      </w:rPr>
    </w:lvl>
    <w:lvl w:ilvl="8" w:tplc="0C090005">
      <w:start w:val="1"/>
      <w:numFmt w:val="bullet"/>
      <w:lvlText w:val=""/>
      <w:lvlJc w:val="left"/>
      <w:pPr>
        <w:ind w:left="6660" w:hanging="360"/>
      </w:pPr>
      <w:rPr>
        <w:rFonts w:ascii="Wingdings" w:hAnsi="Wingdings" w:hint="default"/>
      </w:rPr>
    </w:lvl>
  </w:abstractNum>
  <w:abstractNum w:abstractNumId="12" w15:restartNumberingAfterBreak="0">
    <w:nsid w:val="27826BF0"/>
    <w:multiLevelType w:val="multilevel"/>
    <w:tmpl w:val="6D0AA75C"/>
    <w:lvl w:ilvl="0">
      <w:start w:val="1"/>
      <w:numFmt w:val="lowerRoman"/>
      <w:pStyle w:val="Romannumeral"/>
      <w:lvlText w:val="%1."/>
      <w:lvlJc w:val="left"/>
      <w:pPr>
        <w:tabs>
          <w:tab w:val="num" w:pos="720"/>
        </w:tabs>
        <w:ind w:left="720" w:hanging="720"/>
      </w:pPr>
      <w:rPr>
        <w:rFonts w:hint="default"/>
      </w:rPr>
    </w:lvl>
    <w:lvl w:ilvl="1">
      <w:start w:val="1"/>
      <w:numFmt w:val="lowerLetter"/>
      <w:pStyle w:val="AlphaParagraph"/>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ABC31B7"/>
    <w:multiLevelType w:val="hybridMultilevel"/>
    <w:tmpl w:val="E58CAA3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08C2710"/>
    <w:multiLevelType w:val="multilevel"/>
    <w:tmpl w:val="0D723674"/>
    <w:styleLink w:val="BulletedList"/>
    <w:lvl w:ilvl="0">
      <w:start w:val="1"/>
      <w:numFmt w:val="bullet"/>
      <w:lvlRestart w:val="0"/>
      <w:pStyle w:val="Bullet"/>
      <w:lvlText w:val="•"/>
      <w:lvlJc w:val="left"/>
      <w:pPr>
        <w:tabs>
          <w:tab w:val="num" w:pos="1987"/>
        </w:tabs>
        <w:ind w:left="1987" w:hanging="283"/>
      </w:pPr>
      <w:rPr>
        <w:rFonts w:ascii="Times New Roman" w:hAnsi="Times New Roman" w:cs="Times New Roman" w:hint="default"/>
        <w:b w:val="0"/>
        <w:i w:val="0"/>
      </w:rPr>
    </w:lvl>
    <w:lvl w:ilvl="1">
      <w:start w:val="1"/>
      <w:numFmt w:val="bullet"/>
      <w:pStyle w:val="Dash"/>
      <w:lvlText w:val="–"/>
      <w:lvlJc w:val="left"/>
      <w:pPr>
        <w:tabs>
          <w:tab w:val="num" w:pos="2271"/>
        </w:tabs>
        <w:ind w:left="2271" w:hanging="284"/>
      </w:pPr>
      <w:rPr>
        <w:rFonts w:ascii="Times New Roman" w:hAnsi="Times New Roman" w:cs="Times New Roman" w:hint="default"/>
        <w:b w:val="0"/>
        <w:i w:val="0"/>
      </w:rPr>
    </w:lvl>
    <w:lvl w:ilvl="2">
      <w:start w:val="1"/>
      <w:numFmt w:val="bullet"/>
      <w:pStyle w:val="DoubleDot"/>
      <w:lvlText w:val=":"/>
      <w:lvlJc w:val="left"/>
      <w:pPr>
        <w:tabs>
          <w:tab w:val="num" w:pos="2554"/>
        </w:tabs>
        <w:ind w:left="2554" w:hanging="283"/>
      </w:pPr>
      <w:rPr>
        <w:rFonts w:ascii="Times New Roman" w:hAnsi="Times New Roman" w:cs="Times New Roman" w:hint="default"/>
        <w:b w:val="0"/>
        <w:i w:val="0"/>
      </w:rPr>
    </w:lvl>
    <w:lvl w:ilvl="3">
      <w:start w:val="1"/>
      <w:numFmt w:val="decimal"/>
      <w:lvlText w:val="(%4)"/>
      <w:lvlJc w:val="left"/>
      <w:pPr>
        <w:tabs>
          <w:tab w:val="num" w:pos="3144"/>
        </w:tabs>
        <w:ind w:left="3144" w:hanging="360"/>
      </w:pPr>
      <w:rPr>
        <w:rFonts w:hint="default"/>
        <w:b w:val="0"/>
        <w:i w:val="0"/>
      </w:rPr>
    </w:lvl>
    <w:lvl w:ilvl="4">
      <w:start w:val="1"/>
      <w:numFmt w:val="lowerLetter"/>
      <w:lvlText w:val="(%5)"/>
      <w:lvlJc w:val="left"/>
      <w:pPr>
        <w:tabs>
          <w:tab w:val="num" w:pos="3504"/>
        </w:tabs>
        <w:ind w:left="3504" w:hanging="360"/>
      </w:pPr>
      <w:rPr>
        <w:rFonts w:hint="default"/>
        <w:b w:val="0"/>
        <w:i w:val="0"/>
      </w:rPr>
    </w:lvl>
    <w:lvl w:ilvl="5">
      <w:start w:val="1"/>
      <w:numFmt w:val="lowerRoman"/>
      <w:lvlText w:val="(%6)"/>
      <w:lvlJc w:val="left"/>
      <w:pPr>
        <w:tabs>
          <w:tab w:val="num" w:pos="3864"/>
        </w:tabs>
        <w:ind w:left="3864" w:hanging="360"/>
      </w:pPr>
      <w:rPr>
        <w:rFonts w:hint="default"/>
        <w:b w:val="0"/>
        <w:i w:val="0"/>
      </w:rPr>
    </w:lvl>
    <w:lvl w:ilvl="6">
      <w:start w:val="1"/>
      <w:numFmt w:val="decimal"/>
      <w:lvlText w:val="%7."/>
      <w:lvlJc w:val="left"/>
      <w:pPr>
        <w:tabs>
          <w:tab w:val="num" w:pos="4224"/>
        </w:tabs>
        <w:ind w:left="4224" w:hanging="360"/>
      </w:pPr>
      <w:rPr>
        <w:rFonts w:hint="default"/>
        <w:b w:val="0"/>
        <w:i w:val="0"/>
      </w:rPr>
    </w:lvl>
    <w:lvl w:ilvl="7">
      <w:start w:val="1"/>
      <w:numFmt w:val="lowerLetter"/>
      <w:lvlText w:val="%8."/>
      <w:lvlJc w:val="left"/>
      <w:pPr>
        <w:tabs>
          <w:tab w:val="num" w:pos="4584"/>
        </w:tabs>
        <w:ind w:left="4584" w:hanging="360"/>
      </w:pPr>
      <w:rPr>
        <w:rFonts w:hint="default"/>
        <w:b w:val="0"/>
        <w:i w:val="0"/>
      </w:rPr>
    </w:lvl>
    <w:lvl w:ilvl="8">
      <w:start w:val="1"/>
      <w:numFmt w:val="lowerRoman"/>
      <w:lvlText w:val="%9."/>
      <w:lvlJc w:val="left"/>
      <w:pPr>
        <w:tabs>
          <w:tab w:val="num" w:pos="4944"/>
        </w:tabs>
        <w:ind w:left="4944" w:hanging="360"/>
      </w:pPr>
      <w:rPr>
        <w:rFonts w:hint="default"/>
        <w:b w:val="0"/>
        <w:i w:val="0"/>
      </w:rPr>
    </w:lvl>
  </w:abstractNum>
  <w:abstractNum w:abstractNumId="15" w15:restartNumberingAfterBreak="0">
    <w:nsid w:val="3238442C"/>
    <w:multiLevelType w:val="multilevel"/>
    <w:tmpl w:val="20C6D62C"/>
    <w:styleLink w:val="ChartandTableFootnoteAlphaList"/>
    <w:lvl w:ilvl="0">
      <w:start w:val="1"/>
      <w:numFmt w:val="lowerLetter"/>
      <w:pStyle w:val="ChartandTableFootnoteAlpha"/>
      <w:lvlText w:val="(%1)"/>
      <w:lvlJc w:val="left"/>
      <w:pPr>
        <w:tabs>
          <w:tab w:val="num" w:pos="284"/>
        </w:tabs>
        <w:ind w:left="284" w:hanging="284"/>
      </w:pPr>
      <w:rPr>
        <w:rFonts w:ascii="Arial" w:hAnsi="Arial" w:hint="default"/>
        <w:b w:val="0"/>
        <w:i w:val="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30C16AD"/>
    <w:multiLevelType w:val="multilevel"/>
    <w:tmpl w:val="D10E9CF6"/>
    <w:styleLink w:val="OneLevelList"/>
    <w:lvl w:ilvl="0">
      <w:start w:val="1"/>
      <w:numFmt w:val="decimal"/>
      <w:pStyle w:val="OneLevelNumberedParagraph"/>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B9D1629"/>
    <w:multiLevelType w:val="hybridMultilevel"/>
    <w:tmpl w:val="A4FE4A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FC1614A"/>
    <w:multiLevelType w:val="hybridMultilevel"/>
    <w:tmpl w:val="4E9640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10D2021"/>
    <w:multiLevelType w:val="multilevel"/>
    <w:tmpl w:val="72F8140E"/>
    <w:numStyleLink w:val="OutlineList"/>
  </w:abstractNum>
  <w:abstractNum w:abstractNumId="20" w15:restartNumberingAfterBreak="0">
    <w:nsid w:val="552124BF"/>
    <w:multiLevelType w:val="multilevel"/>
    <w:tmpl w:val="3FECD122"/>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8730BC6"/>
    <w:multiLevelType w:val="multilevel"/>
    <w:tmpl w:val="968E4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E674D41"/>
    <w:multiLevelType w:val="hybridMultilevel"/>
    <w:tmpl w:val="DAB04550"/>
    <w:lvl w:ilvl="0" w:tplc="D41E2C6E">
      <w:start w:val="1"/>
      <w:numFmt w:val="decimal"/>
      <w:lvlText w:val="%1"/>
      <w:lvlJc w:val="center"/>
      <w:pPr>
        <w:ind w:left="720" w:hanging="360"/>
      </w:pPr>
      <w:rPr>
        <w:rFonts w:hint="default"/>
        <w:color w:val="002060"/>
        <w:position w:val="-6"/>
        <w:sz w:val="64"/>
        <w:szCs w:val="6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FEC2962"/>
    <w:multiLevelType w:val="hybridMultilevel"/>
    <w:tmpl w:val="7EFC1760"/>
    <w:lvl w:ilvl="0" w:tplc="9552F286">
      <w:start w:val="1"/>
      <w:numFmt w:val="decimal"/>
      <w:lvlText w:val="%1"/>
      <w:lvlJc w:val="center"/>
      <w:pPr>
        <w:ind w:left="360" w:hanging="360"/>
      </w:pPr>
      <w:rPr>
        <w:rFonts w:hint="default"/>
        <w:color w:val="002060"/>
        <w:position w:val="-6"/>
        <w:sz w:val="64"/>
        <w:szCs w:val="64"/>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622E5277"/>
    <w:multiLevelType w:val="hybridMultilevel"/>
    <w:tmpl w:val="D4A669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9006CE4"/>
    <w:multiLevelType w:val="multilevel"/>
    <w:tmpl w:val="4AE46AAE"/>
    <w:name w:val="StandardNumberedList"/>
    <w:lvl w:ilvl="0">
      <w:start w:val="1"/>
      <w:numFmt w:val="decimal"/>
      <w:lvlText w:val="%1."/>
      <w:lvlJc w:val="left"/>
      <w:pPr>
        <w:tabs>
          <w:tab w:val="num" w:pos="520"/>
        </w:tabs>
        <w:ind w:left="520" w:hanging="520"/>
      </w:pPr>
    </w:lvl>
    <w:lvl w:ilvl="1">
      <w:start w:val="1"/>
      <w:numFmt w:val="decimal"/>
      <w:lvlText w:val="%1.%2."/>
      <w:lvlJc w:val="left"/>
      <w:pPr>
        <w:tabs>
          <w:tab w:val="num" w:pos="1040"/>
        </w:tabs>
        <w:ind w:left="1040" w:hanging="520"/>
      </w:pPr>
    </w:lvl>
    <w:lvl w:ilvl="2">
      <w:start w:val="1"/>
      <w:numFmt w:val="decimal"/>
      <w:lvlText w:val="%1.%2.%3."/>
      <w:lvlJc w:val="left"/>
      <w:pPr>
        <w:tabs>
          <w:tab w:val="num" w:pos="1560"/>
        </w:tabs>
        <w:ind w:left="1560" w:hanging="5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C780B98"/>
    <w:multiLevelType w:val="multilevel"/>
    <w:tmpl w:val="69BA62C6"/>
    <w:name w:val="StandardBulletedList"/>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0C87DCA"/>
    <w:multiLevelType w:val="hybridMultilevel"/>
    <w:tmpl w:val="FB1ACC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8E70AD4"/>
    <w:multiLevelType w:val="hybridMultilevel"/>
    <w:tmpl w:val="E96205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D545F85"/>
    <w:multiLevelType w:val="hybridMultilevel"/>
    <w:tmpl w:val="6D3E4EC4"/>
    <w:lvl w:ilvl="0" w:tplc="5830A922">
      <w:start w:val="1"/>
      <w:numFmt w:val="decimal"/>
      <w:lvlText w:val="%1.5"/>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4"/>
  </w:num>
  <w:num w:numId="2">
    <w:abstractNumId w:val="0"/>
  </w:num>
  <w:num w:numId="3">
    <w:abstractNumId w:val="16"/>
  </w:num>
  <w:num w:numId="4">
    <w:abstractNumId w:val="5"/>
  </w:num>
  <w:num w:numId="5">
    <w:abstractNumId w:val="7"/>
  </w:num>
  <w:num w:numId="6">
    <w:abstractNumId w:val="19"/>
    <w:lvlOverride w:ilvl="1">
      <w:lvl w:ilvl="1">
        <w:start w:val="1"/>
        <w:numFmt w:val="decimal"/>
        <w:pStyle w:val="OutlineNumbered2"/>
        <w:lvlText w:val="%1.%2"/>
        <w:lvlJc w:val="left"/>
        <w:pPr>
          <w:tabs>
            <w:tab w:val="num" w:pos="1134"/>
          </w:tabs>
          <w:ind w:left="1134" w:hanging="1134"/>
        </w:pPr>
        <w:rPr>
          <w:rFonts w:hint="default"/>
        </w:rPr>
      </w:lvl>
    </w:lvlOverride>
  </w:num>
  <w:num w:numId="7">
    <w:abstractNumId w:val="15"/>
    <w:lvlOverride w:ilvl="0">
      <w:lvl w:ilvl="0">
        <w:start w:val="1"/>
        <w:numFmt w:val="lowerLetter"/>
        <w:pStyle w:val="ChartandTableFootnoteAlpha"/>
        <w:lvlText w:val="(%1)"/>
        <w:lvlJc w:val="left"/>
        <w:pPr>
          <w:ind w:left="360" w:hanging="360"/>
        </w:pPr>
        <w:rPr>
          <w:rFonts w:ascii="Calibri" w:hAnsi="Calibri" w:hint="default"/>
          <w:b w:val="0"/>
          <w:i w:val="0"/>
          <w:caps w:val="0"/>
          <w:strike w:val="0"/>
          <w:dstrike w:val="0"/>
          <w:vanish w:val="0"/>
          <w:sz w:val="18"/>
          <w:vertAlign w:val="baseline"/>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8">
    <w:abstractNumId w:val="8"/>
  </w:num>
  <w:num w:numId="9">
    <w:abstractNumId w:val="12"/>
  </w:num>
  <w:num w:numId="10">
    <w:abstractNumId w:val="15"/>
  </w:num>
  <w:num w:numId="11">
    <w:abstractNumId w:val="23"/>
  </w:num>
  <w:num w:numId="12">
    <w:abstractNumId w:val="25"/>
  </w:num>
  <w:num w:numId="13">
    <w:abstractNumId w:val="28"/>
  </w:num>
  <w:num w:numId="14">
    <w:abstractNumId w:val="18"/>
  </w:num>
  <w:num w:numId="15">
    <w:abstractNumId w:val="17"/>
  </w:num>
  <w:num w:numId="16">
    <w:abstractNumId w:val="27"/>
  </w:num>
  <w:num w:numId="17">
    <w:abstractNumId w:val="1"/>
  </w:num>
  <w:num w:numId="18">
    <w:abstractNumId w:val="9"/>
  </w:num>
  <w:num w:numId="19">
    <w:abstractNumId w:val="6"/>
  </w:num>
  <w:num w:numId="20">
    <w:abstractNumId w:val="3"/>
  </w:num>
  <w:num w:numId="21">
    <w:abstractNumId w:val="24"/>
  </w:num>
  <w:num w:numId="22">
    <w:abstractNumId w:val="22"/>
  </w:num>
  <w:num w:numId="23">
    <w:abstractNumId w:val="29"/>
  </w:num>
  <w:num w:numId="24">
    <w:abstractNumId w:val="13"/>
  </w:num>
  <w:num w:numId="25">
    <w:abstractNumId w:val="19"/>
  </w:num>
  <w:num w:numId="26">
    <w:abstractNumId w:val="20"/>
  </w:num>
  <w:num w:numId="27">
    <w:abstractNumId w:val="11"/>
  </w:num>
  <w:num w:numId="28">
    <w:abstractNumId w:val="10"/>
  </w:num>
  <w:num w:numId="29">
    <w:abstractNumId w:val="4"/>
  </w:num>
  <w:num w:numId="30">
    <w:abstractNumId w:val="21"/>
  </w:num>
  <w:num w:numId="31">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mirrorMargins/>
  <w:proofState w:spelling="clean" w:grammar="clean"/>
  <w:doNotTrackFormatting/>
  <w:defaultTabStop w:val="720"/>
  <w:evenAndOddHeaders/>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OIClassificationInHeader" w:val="False"/>
    <w:docVar w:name="SecurityClassificationInHeader" w:val="False"/>
    <w:docVar w:name="SecurityDLMInHeader" w:val="False"/>
  </w:docVars>
  <w:rsids>
    <w:rsidRoot w:val="003D11E7"/>
    <w:rsid w:val="00005978"/>
    <w:rsid w:val="000108AA"/>
    <w:rsid w:val="000112E0"/>
    <w:rsid w:val="00011725"/>
    <w:rsid w:val="00012C62"/>
    <w:rsid w:val="00014940"/>
    <w:rsid w:val="00014AC7"/>
    <w:rsid w:val="00020170"/>
    <w:rsid w:val="000242A4"/>
    <w:rsid w:val="00024DFB"/>
    <w:rsid w:val="0002544D"/>
    <w:rsid w:val="00025D46"/>
    <w:rsid w:val="00027A3C"/>
    <w:rsid w:val="00030AA1"/>
    <w:rsid w:val="0003190B"/>
    <w:rsid w:val="000352C4"/>
    <w:rsid w:val="000371FA"/>
    <w:rsid w:val="00037361"/>
    <w:rsid w:val="00041F22"/>
    <w:rsid w:val="0004274D"/>
    <w:rsid w:val="00042FD8"/>
    <w:rsid w:val="00043348"/>
    <w:rsid w:val="00043A4B"/>
    <w:rsid w:val="0004483F"/>
    <w:rsid w:val="00046C42"/>
    <w:rsid w:val="0005138B"/>
    <w:rsid w:val="0005166C"/>
    <w:rsid w:val="000522B7"/>
    <w:rsid w:val="00056307"/>
    <w:rsid w:val="00056880"/>
    <w:rsid w:val="00056B68"/>
    <w:rsid w:val="00060720"/>
    <w:rsid w:val="000675D1"/>
    <w:rsid w:val="000725A3"/>
    <w:rsid w:val="00073521"/>
    <w:rsid w:val="00073AEF"/>
    <w:rsid w:val="000775DE"/>
    <w:rsid w:val="0008037B"/>
    <w:rsid w:val="00081250"/>
    <w:rsid w:val="00081CC1"/>
    <w:rsid w:val="00082082"/>
    <w:rsid w:val="00083542"/>
    <w:rsid w:val="00084765"/>
    <w:rsid w:val="0008646F"/>
    <w:rsid w:val="00087635"/>
    <w:rsid w:val="00087A8B"/>
    <w:rsid w:val="00087FAF"/>
    <w:rsid w:val="00090065"/>
    <w:rsid w:val="00090A79"/>
    <w:rsid w:val="00092238"/>
    <w:rsid w:val="000935B0"/>
    <w:rsid w:val="000955DF"/>
    <w:rsid w:val="00095F49"/>
    <w:rsid w:val="000963E4"/>
    <w:rsid w:val="0009655C"/>
    <w:rsid w:val="000A1530"/>
    <w:rsid w:val="000A2356"/>
    <w:rsid w:val="000A2BF4"/>
    <w:rsid w:val="000A3A83"/>
    <w:rsid w:val="000A58DA"/>
    <w:rsid w:val="000B1A58"/>
    <w:rsid w:val="000B5F2E"/>
    <w:rsid w:val="000B736C"/>
    <w:rsid w:val="000C0DE4"/>
    <w:rsid w:val="000C3381"/>
    <w:rsid w:val="000C4C09"/>
    <w:rsid w:val="000C571D"/>
    <w:rsid w:val="000C5C5C"/>
    <w:rsid w:val="000C5F40"/>
    <w:rsid w:val="000C6512"/>
    <w:rsid w:val="000C69F0"/>
    <w:rsid w:val="000D03AD"/>
    <w:rsid w:val="000D564A"/>
    <w:rsid w:val="000D5C39"/>
    <w:rsid w:val="000E071E"/>
    <w:rsid w:val="000E0B74"/>
    <w:rsid w:val="000E7901"/>
    <w:rsid w:val="000F040E"/>
    <w:rsid w:val="000F0D27"/>
    <w:rsid w:val="000F1B34"/>
    <w:rsid w:val="000F46D1"/>
    <w:rsid w:val="001025D6"/>
    <w:rsid w:val="0010278E"/>
    <w:rsid w:val="0010478B"/>
    <w:rsid w:val="00106FAB"/>
    <w:rsid w:val="00111BF6"/>
    <w:rsid w:val="00114A6B"/>
    <w:rsid w:val="00116219"/>
    <w:rsid w:val="001207A8"/>
    <w:rsid w:val="00120C87"/>
    <w:rsid w:val="00121D2D"/>
    <w:rsid w:val="00125D50"/>
    <w:rsid w:val="00127C34"/>
    <w:rsid w:val="00127EC4"/>
    <w:rsid w:val="00131539"/>
    <w:rsid w:val="00131BF0"/>
    <w:rsid w:val="00131DC3"/>
    <w:rsid w:val="00131ED6"/>
    <w:rsid w:val="00135E4C"/>
    <w:rsid w:val="001373F5"/>
    <w:rsid w:val="00140398"/>
    <w:rsid w:val="00140822"/>
    <w:rsid w:val="00143F01"/>
    <w:rsid w:val="00146F60"/>
    <w:rsid w:val="001513B3"/>
    <w:rsid w:val="00154D0F"/>
    <w:rsid w:val="00156571"/>
    <w:rsid w:val="00156956"/>
    <w:rsid w:val="00157DFC"/>
    <w:rsid w:val="00157F77"/>
    <w:rsid w:val="001606CF"/>
    <w:rsid w:val="0016128D"/>
    <w:rsid w:val="001644C1"/>
    <w:rsid w:val="00165524"/>
    <w:rsid w:val="0016777E"/>
    <w:rsid w:val="00167D37"/>
    <w:rsid w:val="0017089D"/>
    <w:rsid w:val="00171690"/>
    <w:rsid w:val="00172573"/>
    <w:rsid w:val="00176154"/>
    <w:rsid w:val="00181140"/>
    <w:rsid w:val="00182908"/>
    <w:rsid w:val="00183783"/>
    <w:rsid w:val="00184C82"/>
    <w:rsid w:val="001852CD"/>
    <w:rsid w:val="001903C3"/>
    <w:rsid w:val="0019101A"/>
    <w:rsid w:val="00193143"/>
    <w:rsid w:val="00194E43"/>
    <w:rsid w:val="00196141"/>
    <w:rsid w:val="001972D2"/>
    <w:rsid w:val="001A0CB7"/>
    <w:rsid w:val="001A26E6"/>
    <w:rsid w:val="001A3D44"/>
    <w:rsid w:val="001A4B95"/>
    <w:rsid w:val="001A4C85"/>
    <w:rsid w:val="001A5402"/>
    <w:rsid w:val="001A5CCC"/>
    <w:rsid w:val="001A6D9F"/>
    <w:rsid w:val="001A6FA7"/>
    <w:rsid w:val="001B0F44"/>
    <w:rsid w:val="001B3623"/>
    <w:rsid w:val="001B4197"/>
    <w:rsid w:val="001B4974"/>
    <w:rsid w:val="001B7E07"/>
    <w:rsid w:val="001C0D9C"/>
    <w:rsid w:val="001C1A56"/>
    <w:rsid w:val="001C2A3B"/>
    <w:rsid w:val="001C2CCE"/>
    <w:rsid w:val="001C358D"/>
    <w:rsid w:val="001C490F"/>
    <w:rsid w:val="001C6987"/>
    <w:rsid w:val="001D2CA3"/>
    <w:rsid w:val="001D3A58"/>
    <w:rsid w:val="001D46C4"/>
    <w:rsid w:val="001D4CF9"/>
    <w:rsid w:val="001D71AE"/>
    <w:rsid w:val="001E1198"/>
    <w:rsid w:val="001E2522"/>
    <w:rsid w:val="001E27C2"/>
    <w:rsid w:val="001E6777"/>
    <w:rsid w:val="001E67B9"/>
    <w:rsid w:val="001E6CB8"/>
    <w:rsid w:val="001F167A"/>
    <w:rsid w:val="001F1B27"/>
    <w:rsid w:val="001F2A0F"/>
    <w:rsid w:val="001F589A"/>
    <w:rsid w:val="002033DE"/>
    <w:rsid w:val="002046C0"/>
    <w:rsid w:val="00206756"/>
    <w:rsid w:val="00206C72"/>
    <w:rsid w:val="00206D81"/>
    <w:rsid w:val="00207F44"/>
    <w:rsid w:val="00210F60"/>
    <w:rsid w:val="00212A58"/>
    <w:rsid w:val="00214CB8"/>
    <w:rsid w:val="0021757C"/>
    <w:rsid w:val="00221EC0"/>
    <w:rsid w:val="0022357B"/>
    <w:rsid w:val="0022498E"/>
    <w:rsid w:val="0022546C"/>
    <w:rsid w:val="00231049"/>
    <w:rsid w:val="002314D2"/>
    <w:rsid w:val="0023305C"/>
    <w:rsid w:val="00235D51"/>
    <w:rsid w:val="0024006C"/>
    <w:rsid w:val="0024122D"/>
    <w:rsid w:val="00241881"/>
    <w:rsid w:val="0024294C"/>
    <w:rsid w:val="002459A3"/>
    <w:rsid w:val="00251099"/>
    <w:rsid w:val="00251D9E"/>
    <w:rsid w:val="00254B85"/>
    <w:rsid w:val="00254D20"/>
    <w:rsid w:val="0025652F"/>
    <w:rsid w:val="00261DB4"/>
    <w:rsid w:val="00263B6C"/>
    <w:rsid w:val="002651E8"/>
    <w:rsid w:val="00265506"/>
    <w:rsid w:val="00270EDF"/>
    <w:rsid w:val="002717C0"/>
    <w:rsid w:val="00272939"/>
    <w:rsid w:val="00272A9F"/>
    <w:rsid w:val="002757FA"/>
    <w:rsid w:val="0027590B"/>
    <w:rsid w:val="002774F5"/>
    <w:rsid w:val="00281B4D"/>
    <w:rsid w:val="00283A7F"/>
    <w:rsid w:val="00284882"/>
    <w:rsid w:val="00285969"/>
    <w:rsid w:val="00286212"/>
    <w:rsid w:val="00287286"/>
    <w:rsid w:val="00290C1A"/>
    <w:rsid w:val="002911E4"/>
    <w:rsid w:val="00291E50"/>
    <w:rsid w:val="00293440"/>
    <w:rsid w:val="0029556D"/>
    <w:rsid w:val="00296283"/>
    <w:rsid w:val="002A0367"/>
    <w:rsid w:val="002A53E2"/>
    <w:rsid w:val="002A61A2"/>
    <w:rsid w:val="002A74EF"/>
    <w:rsid w:val="002A7D94"/>
    <w:rsid w:val="002B3829"/>
    <w:rsid w:val="002B3CBC"/>
    <w:rsid w:val="002B58E9"/>
    <w:rsid w:val="002B726D"/>
    <w:rsid w:val="002C22EF"/>
    <w:rsid w:val="002C4322"/>
    <w:rsid w:val="002C6583"/>
    <w:rsid w:val="002C72B7"/>
    <w:rsid w:val="002D340B"/>
    <w:rsid w:val="002D37B2"/>
    <w:rsid w:val="002D47FC"/>
    <w:rsid w:val="002D4B41"/>
    <w:rsid w:val="002D5C9D"/>
    <w:rsid w:val="002D6C73"/>
    <w:rsid w:val="002E454C"/>
    <w:rsid w:val="002E5A99"/>
    <w:rsid w:val="002E5CAE"/>
    <w:rsid w:val="002E64C0"/>
    <w:rsid w:val="002E7475"/>
    <w:rsid w:val="002E7684"/>
    <w:rsid w:val="002E7D71"/>
    <w:rsid w:val="002F08B1"/>
    <w:rsid w:val="002F617F"/>
    <w:rsid w:val="00300109"/>
    <w:rsid w:val="00305FBC"/>
    <w:rsid w:val="00306894"/>
    <w:rsid w:val="00306CF6"/>
    <w:rsid w:val="003072C3"/>
    <w:rsid w:val="003122F4"/>
    <w:rsid w:val="003143FE"/>
    <w:rsid w:val="0031588B"/>
    <w:rsid w:val="003206F6"/>
    <w:rsid w:val="003208DA"/>
    <w:rsid w:val="00320BB4"/>
    <w:rsid w:val="00322243"/>
    <w:rsid w:val="00323AE8"/>
    <w:rsid w:val="00325204"/>
    <w:rsid w:val="00325B6F"/>
    <w:rsid w:val="00326680"/>
    <w:rsid w:val="003268D5"/>
    <w:rsid w:val="0033165F"/>
    <w:rsid w:val="003357CB"/>
    <w:rsid w:val="00341113"/>
    <w:rsid w:val="003448F6"/>
    <w:rsid w:val="0035051E"/>
    <w:rsid w:val="00350759"/>
    <w:rsid w:val="00350788"/>
    <w:rsid w:val="0035099A"/>
    <w:rsid w:val="00350FD1"/>
    <w:rsid w:val="0035153A"/>
    <w:rsid w:val="003516B6"/>
    <w:rsid w:val="00354D27"/>
    <w:rsid w:val="0035738A"/>
    <w:rsid w:val="00357413"/>
    <w:rsid w:val="00360AC4"/>
    <w:rsid w:val="00362EAB"/>
    <w:rsid w:val="00365E2D"/>
    <w:rsid w:val="00372D40"/>
    <w:rsid w:val="003740A1"/>
    <w:rsid w:val="003746D1"/>
    <w:rsid w:val="00374AC8"/>
    <w:rsid w:val="003803C1"/>
    <w:rsid w:val="003857B7"/>
    <w:rsid w:val="003858A6"/>
    <w:rsid w:val="00386715"/>
    <w:rsid w:val="00386F01"/>
    <w:rsid w:val="003916B0"/>
    <w:rsid w:val="00392844"/>
    <w:rsid w:val="00392DCC"/>
    <w:rsid w:val="0039423E"/>
    <w:rsid w:val="003948A5"/>
    <w:rsid w:val="00394FE5"/>
    <w:rsid w:val="003A0947"/>
    <w:rsid w:val="003A0970"/>
    <w:rsid w:val="003A1224"/>
    <w:rsid w:val="003A309C"/>
    <w:rsid w:val="003A58D7"/>
    <w:rsid w:val="003A5B36"/>
    <w:rsid w:val="003A6050"/>
    <w:rsid w:val="003A653C"/>
    <w:rsid w:val="003B5278"/>
    <w:rsid w:val="003B577B"/>
    <w:rsid w:val="003C2116"/>
    <w:rsid w:val="003C24B4"/>
    <w:rsid w:val="003C4E06"/>
    <w:rsid w:val="003C6DA0"/>
    <w:rsid w:val="003D11E7"/>
    <w:rsid w:val="003D14C0"/>
    <w:rsid w:val="003D2654"/>
    <w:rsid w:val="003E0318"/>
    <w:rsid w:val="003E20D6"/>
    <w:rsid w:val="003E28DE"/>
    <w:rsid w:val="003E2DBC"/>
    <w:rsid w:val="003E4D87"/>
    <w:rsid w:val="003E66E6"/>
    <w:rsid w:val="003E687D"/>
    <w:rsid w:val="003F1C55"/>
    <w:rsid w:val="003F479F"/>
    <w:rsid w:val="003F680F"/>
    <w:rsid w:val="00401082"/>
    <w:rsid w:val="0040593B"/>
    <w:rsid w:val="00407CDB"/>
    <w:rsid w:val="004107A5"/>
    <w:rsid w:val="00410EC5"/>
    <w:rsid w:val="00413D7A"/>
    <w:rsid w:val="00413F31"/>
    <w:rsid w:val="00414250"/>
    <w:rsid w:val="00416701"/>
    <w:rsid w:val="00416762"/>
    <w:rsid w:val="00416E55"/>
    <w:rsid w:val="00417C26"/>
    <w:rsid w:val="004246FE"/>
    <w:rsid w:val="0042518A"/>
    <w:rsid w:val="004251BE"/>
    <w:rsid w:val="00433ABA"/>
    <w:rsid w:val="00433AE0"/>
    <w:rsid w:val="00436066"/>
    <w:rsid w:val="004415EA"/>
    <w:rsid w:val="004437DB"/>
    <w:rsid w:val="00445265"/>
    <w:rsid w:val="00455015"/>
    <w:rsid w:val="004559CE"/>
    <w:rsid w:val="00457AAF"/>
    <w:rsid w:val="00460E1A"/>
    <w:rsid w:val="00462819"/>
    <w:rsid w:val="00462FC3"/>
    <w:rsid w:val="004631C7"/>
    <w:rsid w:val="00463DF8"/>
    <w:rsid w:val="00465110"/>
    <w:rsid w:val="00465823"/>
    <w:rsid w:val="00465DDB"/>
    <w:rsid w:val="0047075F"/>
    <w:rsid w:val="0047078F"/>
    <w:rsid w:val="004714F8"/>
    <w:rsid w:val="00475085"/>
    <w:rsid w:val="004757DD"/>
    <w:rsid w:val="00476C63"/>
    <w:rsid w:val="00476CF6"/>
    <w:rsid w:val="00477693"/>
    <w:rsid w:val="00477AA8"/>
    <w:rsid w:val="00483299"/>
    <w:rsid w:val="00483628"/>
    <w:rsid w:val="0048525C"/>
    <w:rsid w:val="00486AC9"/>
    <w:rsid w:val="00492FCB"/>
    <w:rsid w:val="0049302A"/>
    <w:rsid w:val="00495850"/>
    <w:rsid w:val="00495BBF"/>
    <w:rsid w:val="00496C47"/>
    <w:rsid w:val="00496C51"/>
    <w:rsid w:val="0049727C"/>
    <w:rsid w:val="004A03D6"/>
    <w:rsid w:val="004A0F11"/>
    <w:rsid w:val="004A3EAA"/>
    <w:rsid w:val="004A3EE0"/>
    <w:rsid w:val="004A46A3"/>
    <w:rsid w:val="004A5263"/>
    <w:rsid w:val="004A76B9"/>
    <w:rsid w:val="004A7D97"/>
    <w:rsid w:val="004B287A"/>
    <w:rsid w:val="004B46E9"/>
    <w:rsid w:val="004B5133"/>
    <w:rsid w:val="004B6BEA"/>
    <w:rsid w:val="004C0B5C"/>
    <w:rsid w:val="004C2C83"/>
    <w:rsid w:val="004C3240"/>
    <w:rsid w:val="004C4087"/>
    <w:rsid w:val="004C41B6"/>
    <w:rsid w:val="004C44FE"/>
    <w:rsid w:val="004D03A8"/>
    <w:rsid w:val="004D0713"/>
    <w:rsid w:val="004D2492"/>
    <w:rsid w:val="004D37AA"/>
    <w:rsid w:val="004D6E37"/>
    <w:rsid w:val="004E00EA"/>
    <w:rsid w:val="004E02E3"/>
    <w:rsid w:val="004E2081"/>
    <w:rsid w:val="004E28EA"/>
    <w:rsid w:val="004E32A2"/>
    <w:rsid w:val="004E35AB"/>
    <w:rsid w:val="004E3706"/>
    <w:rsid w:val="004E44B6"/>
    <w:rsid w:val="004F1E97"/>
    <w:rsid w:val="004F4A3F"/>
    <w:rsid w:val="004F4B92"/>
    <w:rsid w:val="004F6A18"/>
    <w:rsid w:val="00501972"/>
    <w:rsid w:val="00504090"/>
    <w:rsid w:val="005044AB"/>
    <w:rsid w:val="00504865"/>
    <w:rsid w:val="00507286"/>
    <w:rsid w:val="005134B0"/>
    <w:rsid w:val="00516212"/>
    <w:rsid w:val="00516785"/>
    <w:rsid w:val="00517DAB"/>
    <w:rsid w:val="00521D77"/>
    <w:rsid w:val="00523CB9"/>
    <w:rsid w:val="0052419D"/>
    <w:rsid w:val="005301F8"/>
    <w:rsid w:val="0053114A"/>
    <w:rsid w:val="005312FC"/>
    <w:rsid w:val="005325A5"/>
    <w:rsid w:val="0053569E"/>
    <w:rsid w:val="00535BF9"/>
    <w:rsid w:val="0053603D"/>
    <w:rsid w:val="0053661B"/>
    <w:rsid w:val="00536EA9"/>
    <w:rsid w:val="0053742A"/>
    <w:rsid w:val="00537806"/>
    <w:rsid w:val="00537C5E"/>
    <w:rsid w:val="00537C85"/>
    <w:rsid w:val="00540DFB"/>
    <w:rsid w:val="00541D29"/>
    <w:rsid w:val="00543D34"/>
    <w:rsid w:val="005447D5"/>
    <w:rsid w:val="00545AAC"/>
    <w:rsid w:val="005470AE"/>
    <w:rsid w:val="005531FD"/>
    <w:rsid w:val="00553217"/>
    <w:rsid w:val="0055379C"/>
    <w:rsid w:val="00557652"/>
    <w:rsid w:val="00560FB7"/>
    <w:rsid w:val="005629C7"/>
    <w:rsid w:val="00562F17"/>
    <w:rsid w:val="0056582C"/>
    <w:rsid w:val="00565F4E"/>
    <w:rsid w:val="005670FB"/>
    <w:rsid w:val="0057600D"/>
    <w:rsid w:val="00576A98"/>
    <w:rsid w:val="00577538"/>
    <w:rsid w:val="0058100A"/>
    <w:rsid w:val="0058347E"/>
    <w:rsid w:val="005835D9"/>
    <w:rsid w:val="00583629"/>
    <w:rsid w:val="005841CC"/>
    <w:rsid w:val="00584A23"/>
    <w:rsid w:val="0058551D"/>
    <w:rsid w:val="0058551F"/>
    <w:rsid w:val="005868DE"/>
    <w:rsid w:val="005949EA"/>
    <w:rsid w:val="00594E31"/>
    <w:rsid w:val="005966B7"/>
    <w:rsid w:val="005972DA"/>
    <w:rsid w:val="005A2C97"/>
    <w:rsid w:val="005A4540"/>
    <w:rsid w:val="005A50BD"/>
    <w:rsid w:val="005A6DC7"/>
    <w:rsid w:val="005B2331"/>
    <w:rsid w:val="005B5E2A"/>
    <w:rsid w:val="005B6FE2"/>
    <w:rsid w:val="005B7E8A"/>
    <w:rsid w:val="005C02A4"/>
    <w:rsid w:val="005C04DB"/>
    <w:rsid w:val="005C0689"/>
    <w:rsid w:val="005C20D2"/>
    <w:rsid w:val="005C2ED3"/>
    <w:rsid w:val="005C32FE"/>
    <w:rsid w:val="005C5E4A"/>
    <w:rsid w:val="005C7055"/>
    <w:rsid w:val="005D024A"/>
    <w:rsid w:val="005D4FD4"/>
    <w:rsid w:val="005D6AF9"/>
    <w:rsid w:val="005D6D64"/>
    <w:rsid w:val="005E1EA3"/>
    <w:rsid w:val="005E4884"/>
    <w:rsid w:val="005E6226"/>
    <w:rsid w:val="005F095C"/>
    <w:rsid w:val="005F439A"/>
    <w:rsid w:val="005F5591"/>
    <w:rsid w:val="005F5F76"/>
    <w:rsid w:val="005F6BEA"/>
    <w:rsid w:val="00600698"/>
    <w:rsid w:val="00601650"/>
    <w:rsid w:val="00603B21"/>
    <w:rsid w:val="00605AFD"/>
    <w:rsid w:val="00605CB7"/>
    <w:rsid w:val="00606994"/>
    <w:rsid w:val="0060788E"/>
    <w:rsid w:val="006123D4"/>
    <w:rsid w:val="0061445B"/>
    <w:rsid w:val="00616F0A"/>
    <w:rsid w:val="006203B8"/>
    <w:rsid w:val="006212B3"/>
    <w:rsid w:val="00624C4B"/>
    <w:rsid w:val="006279D5"/>
    <w:rsid w:val="00630CE7"/>
    <w:rsid w:val="0063194B"/>
    <w:rsid w:val="00641106"/>
    <w:rsid w:val="00642BC6"/>
    <w:rsid w:val="006449A1"/>
    <w:rsid w:val="00644AC1"/>
    <w:rsid w:val="00645E7B"/>
    <w:rsid w:val="00654CF3"/>
    <w:rsid w:val="00654F2F"/>
    <w:rsid w:val="00656305"/>
    <w:rsid w:val="00656A22"/>
    <w:rsid w:val="006610FA"/>
    <w:rsid w:val="00661E3F"/>
    <w:rsid w:val="006625BF"/>
    <w:rsid w:val="00662AF5"/>
    <w:rsid w:val="0066344C"/>
    <w:rsid w:val="00670E21"/>
    <w:rsid w:val="00672424"/>
    <w:rsid w:val="00682FC3"/>
    <w:rsid w:val="00685CF7"/>
    <w:rsid w:val="00686165"/>
    <w:rsid w:val="00690138"/>
    <w:rsid w:val="00690780"/>
    <w:rsid w:val="00691CB5"/>
    <w:rsid w:val="006921B4"/>
    <w:rsid w:val="00692D21"/>
    <w:rsid w:val="00693BD2"/>
    <w:rsid w:val="00695080"/>
    <w:rsid w:val="00695F47"/>
    <w:rsid w:val="006A10AD"/>
    <w:rsid w:val="006A37F5"/>
    <w:rsid w:val="006A53E9"/>
    <w:rsid w:val="006B6CAA"/>
    <w:rsid w:val="006C0046"/>
    <w:rsid w:val="006C1892"/>
    <w:rsid w:val="006C3E7E"/>
    <w:rsid w:val="006C5B73"/>
    <w:rsid w:val="006C645D"/>
    <w:rsid w:val="006D5909"/>
    <w:rsid w:val="006D5AF7"/>
    <w:rsid w:val="006D74BB"/>
    <w:rsid w:val="006E0715"/>
    <w:rsid w:val="006E18C4"/>
    <w:rsid w:val="006E2323"/>
    <w:rsid w:val="006E2AFA"/>
    <w:rsid w:val="006E3731"/>
    <w:rsid w:val="006E3CC3"/>
    <w:rsid w:val="006E6ABB"/>
    <w:rsid w:val="006E77F2"/>
    <w:rsid w:val="006F1407"/>
    <w:rsid w:val="006F14B4"/>
    <w:rsid w:val="006F39D9"/>
    <w:rsid w:val="00701041"/>
    <w:rsid w:val="0070592D"/>
    <w:rsid w:val="00706E8E"/>
    <w:rsid w:val="00707B28"/>
    <w:rsid w:val="00711EFC"/>
    <w:rsid w:val="00712233"/>
    <w:rsid w:val="007150FE"/>
    <w:rsid w:val="00716F9F"/>
    <w:rsid w:val="00722411"/>
    <w:rsid w:val="00722430"/>
    <w:rsid w:val="00722B53"/>
    <w:rsid w:val="00722C51"/>
    <w:rsid w:val="00723B13"/>
    <w:rsid w:val="00726BCD"/>
    <w:rsid w:val="00726D8B"/>
    <w:rsid w:val="00731532"/>
    <w:rsid w:val="00733A7C"/>
    <w:rsid w:val="00734B4C"/>
    <w:rsid w:val="007351B1"/>
    <w:rsid w:val="00735E5B"/>
    <w:rsid w:val="00737656"/>
    <w:rsid w:val="0073768D"/>
    <w:rsid w:val="007425B0"/>
    <w:rsid w:val="007509DD"/>
    <w:rsid w:val="00752074"/>
    <w:rsid w:val="00754A10"/>
    <w:rsid w:val="00756784"/>
    <w:rsid w:val="00763474"/>
    <w:rsid w:val="00770F1F"/>
    <w:rsid w:val="007715B6"/>
    <w:rsid w:val="00771BA2"/>
    <w:rsid w:val="0078029D"/>
    <w:rsid w:val="00780471"/>
    <w:rsid w:val="00784C0A"/>
    <w:rsid w:val="007860E0"/>
    <w:rsid w:val="007929CA"/>
    <w:rsid w:val="00792F4A"/>
    <w:rsid w:val="00794B40"/>
    <w:rsid w:val="00797077"/>
    <w:rsid w:val="007975BB"/>
    <w:rsid w:val="007A06BF"/>
    <w:rsid w:val="007A0B5E"/>
    <w:rsid w:val="007A1079"/>
    <w:rsid w:val="007A19DC"/>
    <w:rsid w:val="007A23D5"/>
    <w:rsid w:val="007A6713"/>
    <w:rsid w:val="007B0083"/>
    <w:rsid w:val="007B1F22"/>
    <w:rsid w:val="007B4884"/>
    <w:rsid w:val="007B76AB"/>
    <w:rsid w:val="007C045A"/>
    <w:rsid w:val="007C1C37"/>
    <w:rsid w:val="007D1CDC"/>
    <w:rsid w:val="007D592B"/>
    <w:rsid w:val="007D5AA6"/>
    <w:rsid w:val="007D7A91"/>
    <w:rsid w:val="007D7EEB"/>
    <w:rsid w:val="007E20BF"/>
    <w:rsid w:val="007E2C45"/>
    <w:rsid w:val="007E2EE6"/>
    <w:rsid w:val="007E5433"/>
    <w:rsid w:val="007E6456"/>
    <w:rsid w:val="007F2A6D"/>
    <w:rsid w:val="007F2AE5"/>
    <w:rsid w:val="007F3322"/>
    <w:rsid w:val="007F6208"/>
    <w:rsid w:val="007F6A64"/>
    <w:rsid w:val="007F7784"/>
    <w:rsid w:val="00800E7C"/>
    <w:rsid w:val="0080160B"/>
    <w:rsid w:val="00805046"/>
    <w:rsid w:val="00811943"/>
    <w:rsid w:val="00811A6A"/>
    <w:rsid w:val="00813F45"/>
    <w:rsid w:val="00814AFF"/>
    <w:rsid w:val="00824D66"/>
    <w:rsid w:val="008261DC"/>
    <w:rsid w:val="0082678E"/>
    <w:rsid w:val="00827552"/>
    <w:rsid w:val="008311B8"/>
    <w:rsid w:val="00831BC4"/>
    <w:rsid w:val="00833D09"/>
    <w:rsid w:val="00833D30"/>
    <w:rsid w:val="00833EDD"/>
    <w:rsid w:val="00834243"/>
    <w:rsid w:val="008353B9"/>
    <w:rsid w:val="00841FFA"/>
    <w:rsid w:val="0084478C"/>
    <w:rsid w:val="00845329"/>
    <w:rsid w:val="0084633A"/>
    <w:rsid w:val="00853D59"/>
    <w:rsid w:val="00854159"/>
    <w:rsid w:val="00856634"/>
    <w:rsid w:val="008577C5"/>
    <w:rsid w:val="00857969"/>
    <w:rsid w:val="008622E1"/>
    <w:rsid w:val="00865FDB"/>
    <w:rsid w:val="00867A55"/>
    <w:rsid w:val="00870B8D"/>
    <w:rsid w:val="00873DFB"/>
    <w:rsid w:val="00880877"/>
    <w:rsid w:val="00882CC4"/>
    <w:rsid w:val="00883471"/>
    <w:rsid w:val="00885F4C"/>
    <w:rsid w:val="008875CD"/>
    <w:rsid w:val="00891743"/>
    <w:rsid w:val="00897A4F"/>
    <w:rsid w:val="00897C27"/>
    <w:rsid w:val="008A08FA"/>
    <w:rsid w:val="008A0B4D"/>
    <w:rsid w:val="008A1227"/>
    <w:rsid w:val="008A12E3"/>
    <w:rsid w:val="008A2600"/>
    <w:rsid w:val="008A31C5"/>
    <w:rsid w:val="008A3434"/>
    <w:rsid w:val="008A3C8B"/>
    <w:rsid w:val="008A618B"/>
    <w:rsid w:val="008B0089"/>
    <w:rsid w:val="008B01FC"/>
    <w:rsid w:val="008B030D"/>
    <w:rsid w:val="008B06EC"/>
    <w:rsid w:val="008B0AF1"/>
    <w:rsid w:val="008B315F"/>
    <w:rsid w:val="008B3A39"/>
    <w:rsid w:val="008B4BE8"/>
    <w:rsid w:val="008B5ECF"/>
    <w:rsid w:val="008B7302"/>
    <w:rsid w:val="008B75E1"/>
    <w:rsid w:val="008C0D82"/>
    <w:rsid w:val="008C2F12"/>
    <w:rsid w:val="008C522F"/>
    <w:rsid w:val="008C7EAA"/>
    <w:rsid w:val="008C7F34"/>
    <w:rsid w:val="008C7F71"/>
    <w:rsid w:val="008D07F4"/>
    <w:rsid w:val="008D1DD3"/>
    <w:rsid w:val="008D339F"/>
    <w:rsid w:val="008D4379"/>
    <w:rsid w:val="008D5062"/>
    <w:rsid w:val="008D6994"/>
    <w:rsid w:val="008D7AB0"/>
    <w:rsid w:val="008E19A3"/>
    <w:rsid w:val="008E6292"/>
    <w:rsid w:val="008F3163"/>
    <w:rsid w:val="008F7516"/>
    <w:rsid w:val="00902211"/>
    <w:rsid w:val="00903CC9"/>
    <w:rsid w:val="00906C82"/>
    <w:rsid w:val="00906D53"/>
    <w:rsid w:val="009114C3"/>
    <w:rsid w:val="00911C00"/>
    <w:rsid w:val="00911E9D"/>
    <w:rsid w:val="009136A2"/>
    <w:rsid w:val="009140AA"/>
    <w:rsid w:val="009141CE"/>
    <w:rsid w:val="0091507B"/>
    <w:rsid w:val="009228B9"/>
    <w:rsid w:val="00925AA5"/>
    <w:rsid w:val="0093064F"/>
    <w:rsid w:val="00933921"/>
    <w:rsid w:val="0093540D"/>
    <w:rsid w:val="0093551F"/>
    <w:rsid w:val="0094019D"/>
    <w:rsid w:val="009406F1"/>
    <w:rsid w:val="00941A72"/>
    <w:rsid w:val="00942C11"/>
    <w:rsid w:val="0094351F"/>
    <w:rsid w:val="0094384F"/>
    <w:rsid w:val="009466B5"/>
    <w:rsid w:val="009547F8"/>
    <w:rsid w:val="009550B1"/>
    <w:rsid w:val="0095625B"/>
    <w:rsid w:val="00956E16"/>
    <w:rsid w:val="009570BE"/>
    <w:rsid w:val="00961075"/>
    <w:rsid w:val="00961CD3"/>
    <w:rsid w:val="00962EC5"/>
    <w:rsid w:val="009729D4"/>
    <w:rsid w:val="00972B41"/>
    <w:rsid w:val="00973831"/>
    <w:rsid w:val="009817B0"/>
    <w:rsid w:val="00981A88"/>
    <w:rsid w:val="009821CE"/>
    <w:rsid w:val="00984ADA"/>
    <w:rsid w:val="00985D40"/>
    <w:rsid w:val="00991153"/>
    <w:rsid w:val="009911AC"/>
    <w:rsid w:val="00993CB2"/>
    <w:rsid w:val="00996EAB"/>
    <w:rsid w:val="00997FC9"/>
    <w:rsid w:val="009A066C"/>
    <w:rsid w:val="009A0ABD"/>
    <w:rsid w:val="009A0CC1"/>
    <w:rsid w:val="009A1CF1"/>
    <w:rsid w:val="009A25B3"/>
    <w:rsid w:val="009A277C"/>
    <w:rsid w:val="009A371A"/>
    <w:rsid w:val="009A4A35"/>
    <w:rsid w:val="009A5202"/>
    <w:rsid w:val="009A5BE0"/>
    <w:rsid w:val="009A5F0D"/>
    <w:rsid w:val="009A658F"/>
    <w:rsid w:val="009A7129"/>
    <w:rsid w:val="009A7E7F"/>
    <w:rsid w:val="009B2FDE"/>
    <w:rsid w:val="009B595F"/>
    <w:rsid w:val="009C0E2D"/>
    <w:rsid w:val="009C1B49"/>
    <w:rsid w:val="009C308E"/>
    <w:rsid w:val="009C3269"/>
    <w:rsid w:val="009C6248"/>
    <w:rsid w:val="009C712D"/>
    <w:rsid w:val="009D2B3C"/>
    <w:rsid w:val="009D3DA1"/>
    <w:rsid w:val="009D4EE7"/>
    <w:rsid w:val="009D4FA0"/>
    <w:rsid w:val="009D68A7"/>
    <w:rsid w:val="009D7B32"/>
    <w:rsid w:val="009E06F0"/>
    <w:rsid w:val="009E070F"/>
    <w:rsid w:val="009E1226"/>
    <w:rsid w:val="009E171B"/>
    <w:rsid w:val="009E3271"/>
    <w:rsid w:val="009E4E76"/>
    <w:rsid w:val="009E5938"/>
    <w:rsid w:val="009F26DB"/>
    <w:rsid w:val="009F35F2"/>
    <w:rsid w:val="009F4C2A"/>
    <w:rsid w:val="009F526F"/>
    <w:rsid w:val="009F65FF"/>
    <w:rsid w:val="00A00EB9"/>
    <w:rsid w:val="00A015E8"/>
    <w:rsid w:val="00A018E9"/>
    <w:rsid w:val="00A01A41"/>
    <w:rsid w:val="00A02C8B"/>
    <w:rsid w:val="00A07D47"/>
    <w:rsid w:val="00A11153"/>
    <w:rsid w:val="00A11F8F"/>
    <w:rsid w:val="00A12F62"/>
    <w:rsid w:val="00A135F6"/>
    <w:rsid w:val="00A140B5"/>
    <w:rsid w:val="00A14FE9"/>
    <w:rsid w:val="00A1609B"/>
    <w:rsid w:val="00A1611D"/>
    <w:rsid w:val="00A24FB1"/>
    <w:rsid w:val="00A27B32"/>
    <w:rsid w:val="00A27E0E"/>
    <w:rsid w:val="00A27E9A"/>
    <w:rsid w:val="00A31577"/>
    <w:rsid w:val="00A32C96"/>
    <w:rsid w:val="00A34927"/>
    <w:rsid w:val="00A36AD1"/>
    <w:rsid w:val="00A3749B"/>
    <w:rsid w:val="00A37D87"/>
    <w:rsid w:val="00A401C6"/>
    <w:rsid w:val="00A403FE"/>
    <w:rsid w:val="00A43750"/>
    <w:rsid w:val="00A504E3"/>
    <w:rsid w:val="00A50D88"/>
    <w:rsid w:val="00A55E08"/>
    <w:rsid w:val="00A56923"/>
    <w:rsid w:val="00A56E17"/>
    <w:rsid w:val="00A5767B"/>
    <w:rsid w:val="00A62E42"/>
    <w:rsid w:val="00A636B2"/>
    <w:rsid w:val="00A64A71"/>
    <w:rsid w:val="00A65719"/>
    <w:rsid w:val="00A658B1"/>
    <w:rsid w:val="00A66263"/>
    <w:rsid w:val="00A700CA"/>
    <w:rsid w:val="00A70BCE"/>
    <w:rsid w:val="00A7151D"/>
    <w:rsid w:val="00A72960"/>
    <w:rsid w:val="00A72D8F"/>
    <w:rsid w:val="00A7467F"/>
    <w:rsid w:val="00A8108E"/>
    <w:rsid w:val="00A81672"/>
    <w:rsid w:val="00A82125"/>
    <w:rsid w:val="00A82424"/>
    <w:rsid w:val="00A84E1F"/>
    <w:rsid w:val="00A87068"/>
    <w:rsid w:val="00A878FE"/>
    <w:rsid w:val="00A92791"/>
    <w:rsid w:val="00A93401"/>
    <w:rsid w:val="00A94564"/>
    <w:rsid w:val="00AA26DD"/>
    <w:rsid w:val="00AA2C5A"/>
    <w:rsid w:val="00AA42E3"/>
    <w:rsid w:val="00AA56D0"/>
    <w:rsid w:val="00AB3A72"/>
    <w:rsid w:val="00AB77B3"/>
    <w:rsid w:val="00AC243A"/>
    <w:rsid w:val="00AC3196"/>
    <w:rsid w:val="00AC503D"/>
    <w:rsid w:val="00AC5B78"/>
    <w:rsid w:val="00AD09A9"/>
    <w:rsid w:val="00AD16FF"/>
    <w:rsid w:val="00AD2191"/>
    <w:rsid w:val="00AE2C93"/>
    <w:rsid w:val="00AE2F90"/>
    <w:rsid w:val="00AE5FF4"/>
    <w:rsid w:val="00AE6139"/>
    <w:rsid w:val="00AE68A4"/>
    <w:rsid w:val="00AE7B68"/>
    <w:rsid w:val="00AF4636"/>
    <w:rsid w:val="00AF500C"/>
    <w:rsid w:val="00B005C8"/>
    <w:rsid w:val="00B03DD6"/>
    <w:rsid w:val="00B2470A"/>
    <w:rsid w:val="00B30D2A"/>
    <w:rsid w:val="00B3583B"/>
    <w:rsid w:val="00B37A8F"/>
    <w:rsid w:val="00B37C6C"/>
    <w:rsid w:val="00B404A0"/>
    <w:rsid w:val="00B47F21"/>
    <w:rsid w:val="00B50FB6"/>
    <w:rsid w:val="00B532D5"/>
    <w:rsid w:val="00B54EFC"/>
    <w:rsid w:val="00B561AC"/>
    <w:rsid w:val="00B61F82"/>
    <w:rsid w:val="00B632AB"/>
    <w:rsid w:val="00B65347"/>
    <w:rsid w:val="00B65654"/>
    <w:rsid w:val="00B65D9C"/>
    <w:rsid w:val="00B66594"/>
    <w:rsid w:val="00B66741"/>
    <w:rsid w:val="00B72047"/>
    <w:rsid w:val="00B72F60"/>
    <w:rsid w:val="00B72FA5"/>
    <w:rsid w:val="00B75044"/>
    <w:rsid w:val="00B776B0"/>
    <w:rsid w:val="00B77AE4"/>
    <w:rsid w:val="00B77F2A"/>
    <w:rsid w:val="00B810A6"/>
    <w:rsid w:val="00B873F4"/>
    <w:rsid w:val="00B87927"/>
    <w:rsid w:val="00B91F7D"/>
    <w:rsid w:val="00B92823"/>
    <w:rsid w:val="00B928F5"/>
    <w:rsid w:val="00B95FD7"/>
    <w:rsid w:val="00B973D3"/>
    <w:rsid w:val="00BA0E1C"/>
    <w:rsid w:val="00BA177A"/>
    <w:rsid w:val="00BA200A"/>
    <w:rsid w:val="00BA22E1"/>
    <w:rsid w:val="00BA28BB"/>
    <w:rsid w:val="00BA34E2"/>
    <w:rsid w:val="00BA3E67"/>
    <w:rsid w:val="00BA718F"/>
    <w:rsid w:val="00BB1317"/>
    <w:rsid w:val="00BB34EE"/>
    <w:rsid w:val="00BB4541"/>
    <w:rsid w:val="00BB683F"/>
    <w:rsid w:val="00BC00D0"/>
    <w:rsid w:val="00BC07DE"/>
    <w:rsid w:val="00BC1ECC"/>
    <w:rsid w:val="00BC2178"/>
    <w:rsid w:val="00BC3052"/>
    <w:rsid w:val="00BC448B"/>
    <w:rsid w:val="00BC4D69"/>
    <w:rsid w:val="00BC5FDE"/>
    <w:rsid w:val="00BD0F2C"/>
    <w:rsid w:val="00BD19CC"/>
    <w:rsid w:val="00BD26AA"/>
    <w:rsid w:val="00BD3620"/>
    <w:rsid w:val="00BD436A"/>
    <w:rsid w:val="00BD454F"/>
    <w:rsid w:val="00BE0A52"/>
    <w:rsid w:val="00BE33B9"/>
    <w:rsid w:val="00BE3B72"/>
    <w:rsid w:val="00BE45E3"/>
    <w:rsid w:val="00BF0B9D"/>
    <w:rsid w:val="00BF5387"/>
    <w:rsid w:val="00C00440"/>
    <w:rsid w:val="00C01DCC"/>
    <w:rsid w:val="00C02DF0"/>
    <w:rsid w:val="00C076B6"/>
    <w:rsid w:val="00C1137A"/>
    <w:rsid w:val="00C114D0"/>
    <w:rsid w:val="00C16870"/>
    <w:rsid w:val="00C17A14"/>
    <w:rsid w:val="00C202B3"/>
    <w:rsid w:val="00C209E0"/>
    <w:rsid w:val="00C21EE0"/>
    <w:rsid w:val="00C22EE0"/>
    <w:rsid w:val="00C23172"/>
    <w:rsid w:val="00C23F0D"/>
    <w:rsid w:val="00C2513C"/>
    <w:rsid w:val="00C2574E"/>
    <w:rsid w:val="00C279A8"/>
    <w:rsid w:val="00C30297"/>
    <w:rsid w:val="00C30C59"/>
    <w:rsid w:val="00C3398C"/>
    <w:rsid w:val="00C33E0E"/>
    <w:rsid w:val="00C37B0E"/>
    <w:rsid w:val="00C37FD1"/>
    <w:rsid w:val="00C4047B"/>
    <w:rsid w:val="00C40C67"/>
    <w:rsid w:val="00C41784"/>
    <w:rsid w:val="00C42165"/>
    <w:rsid w:val="00C42C02"/>
    <w:rsid w:val="00C45A28"/>
    <w:rsid w:val="00C46DF9"/>
    <w:rsid w:val="00C5446A"/>
    <w:rsid w:val="00C5548F"/>
    <w:rsid w:val="00C5625F"/>
    <w:rsid w:val="00C61C28"/>
    <w:rsid w:val="00C64A34"/>
    <w:rsid w:val="00C650C2"/>
    <w:rsid w:val="00C66502"/>
    <w:rsid w:val="00C70DE7"/>
    <w:rsid w:val="00C72318"/>
    <w:rsid w:val="00C72391"/>
    <w:rsid w:val="00C724E6"/>
    <w:rsid w:val="00C73547"/>
    <w:rsid w:val="00C73982"/>
    <w:rsid w:val="00C747A5"/>
    <w:rsid w:val="00C750A3"/>
    <w:rsid w:val="00C75943"/>
    <w:rsid w:val="00C85314"/>
    <w:rsid w:val="00C93E01"/>
    <w:rsid w:val="00C9407E"/>
    <w:rsid w:val="00C964A6"/>
    <w:rsid w:val="00CA0116"/>
    <w:rsid w:val="00CA1B59"/>
    <w:rsid w:val="00CA4BC0"/>
    <w:rsid w:val="00CA5AC9"/>
    <w:rsid w:val="00CA5CA8"/>
    <w:rsid w:val="00CA6607"/>
    <w:rsid w:val="00CB0157"/>
    <w:rsid w:val="00CB215F"/>
    <w:rsid w:val="00CB3124"/>
    <w:rsid w:val="00CB3222"/>
    <w:rsid w:val="00CB3745"/>
    <w:rsid w:val="00CB4ACE"/>
    <w:rsid w:val="00CB5205"/>
    <w:rsid w:val="00CB78B3"/>
    <w:rsid w:val="00CC212D"/>
    <w:rsid w:val="00CC559D"/>
    <w:rsid w:val="00CC7AAF"/>
    <w:rsid w:val="00CD1450"/>
    <w:rsid w:val="00CD5E3E"/>
    <w:rsid w:val="00CD654B"/>
    <w:rsid w:val="00CE223E"/>
    <w:rsid w:val="00CE30A9"/>
    <w:rsid w:val="00CE3E62"/>
    <w:rsid w:val="00CE4288"/>
    <w:rsid w:val="00CE51FA"/>
    <w:rsid w:val="00CE52A9"/>
    <w:rsid w:val="00CE5CF2"/>
    <w:rsid w:val="00CF1F48"/>
    <w:rsid w:val="00CF22DB"/>
    <w:rsid w:val="00CF3F0D"/>
    <w:rsid w:val="00CF72EB"/>
    <w:rsid w:val="00D0160F"/>
    <w:rsid w:val="00D02297"/>
    <w:rsid w:val="00D022F1"/>
    <w:rsid w:val="00D06DC4"/>
    <w:rsid w:val="00D10C49"/>
    <w:rsid w:val="00D145F5"/>
    <w:rsid w:val="00D1466F"/>
    <w:rsid w:val="00D15C78"/>
    <w:rsid w:val="00D16A7C"/>
    <w:rsid w:val="00D16EA8"/>
    <w:rsid w:val="00D21D50"/>
    <w:rsid w:val="00D22783"/>
    <w:rsid w:val="00D26AF8"/>
    <w:rsid w:val="00D278C4"/>
    <w:rsid w:val="00D27E8E"/>
    <w:rsid w:val="00D306DC"/>
    <w:rsid w:val="00D312C0"/>
    <w:rsid w:val="00D313D3"/>
    <w:rsid w:val="00D355F0"/>
    <w:rsid w:val="00D40F07"/>
    <w:rsid w:val="00D41A98"/>
    <w:rsid w:val="00D43AC8"/>
    <w:rsid w:val="00D443EB"/>
    <w:rsid w:val="00D44852"/>
    <w:rsid w:val="00D477B7"/>
    <w:rsid w:val="00D47AFD"/>
    <w:rsid w:val="00D50F8C"/>
    <w:rsid w:val="00D533E0"/>
    <w:rsid w:val="00D54000"/>
    <w:rsid w:val="00D5404B"/>
    <w:rsid w:val="00D56113"/>
    <w:rsid w:val="00D56192"/>
    <w:rsid w:val="00D62752"/>
    <w:rsid w:val="00D66E41"/>
    <w:rsid w:val="00D67473"/>
    <w:rsid w:val="00D71245"/>
    <w:rsid w:val="00D74B63"/>
    <w:rsid w:val="00D7695C"/>
    <w:rsid w:val="00D773D0"/>
    <w:rsid w:val="00D80865"/>
    <w:rsid w:val="00D81B4C"/>
    <w:rsid w:val="00D82002"/>
    <w:rsid w:val="00D833D9"/>
    <w:rsid w:val="00D83BD9"/>
    <w:rsid w:val="00D93C6B"/>
    <w:rsid w:val="00D94DCF"/>
    <w:rsid w:val="00D94EAE"/>
    <w:rsid w:val="00D955F9"/>
    <w:rsid w:val="00D9564B"/>
    <w:rsid w:val="00DA07D5"/>
    <w:rsid w:val="00DA1588"/>
    <w:rsid w:val="00DA47A0"/>
    <w:rsid w:val="00DA57BA"/>
    <w:rsid w:val="00DA586F"/>
    <w:rsid w:val="00DB07A4"/>
    <w:rsid w:val="00DB08DA"/>
    <w:rsid w:val="00DB457C"/>
    <w:rsid w:val="00DB7F09"/>
    <w:rsid w:val="00DC00E8"/>
    <w:rsid w:val="00DC0739"/>
    <w:rsid w:val="00DC1C56"/>
    <w:rsid w:val="00DC4370"/>
    <w:rsid w:val="00DC4756"/>
    <w:rsid w:val="00DC6379"/>
    <w:rsid w:val="00DC77BA"/>
    <w:rsid w:val="00DC7B28"/>
    <w:rsid w:val="00DD0A51"/>
    <w:rsid w:val="00DD22E2"/>
    <w:rsid w:val="00DD2EE1"/>
    <w:rsid w:val="00DD319F"/>
    <w:rsid w:val="00DD4549"/>
    <w:rsid w:val="00DD4C95"/>
    <w:rsid w:val="00DD6362"/>
    <w:rsid w:val="00DE3065"/>
    <w:rsid w:val="00DE3C77"/>
    <w:rsid w:val="00DF0420"/>
    <w:rsid w:val="00DF6152"/>
    <w:rsid w:val="00DF6F61"/>
    <w:rsid w:val="00DF74D8"/>
    <w:rsid w:val="00DF7591"/>
    <w:rsid w:val="00E00316"/>
    <w:rsid w:val="00E0384D"/>
    <w:rsid w:val="00E03D56"/>
    <w:rsid w:val="00E040A3"/>
    <w:rsid w:val="00E06362"/>
    <w:rsid w:val="00E101C6"/>
    <w:rsid w:val="00E122EE"/>
    <w:rsid w:val="00E13049"/>
    <w:rsid w:val="00E14D35"/>
    <w:rsid w:val="00E15660"/>
    <w:rsid w:val="00E20A67"/>
    <w:rsid w:val="00E20DB4"/>
    <w:rsid w:val="00E22188"/>
    <w:rsid w:val="00E22D51"/>
    <w:rsid w:val="00E27F7C"/>
    <w:rsid w:val="00E306FB"/>
    <w:rsid w:val="00E31E7E"/>
    <w:rsid w:val="00E32927"/>
    <w:rsid w:val="00E33142"/>
    <w:rsid w:val="00E353D2"/>
    <w:rsid w:val="00E41948"/>
    <w:rsid w:val="00E44D45"/>
    <w:rsid w:val="00E45856"/>
    <w:rsid w:val="00E50E7C"/>
    <w:rsid w:val="00E51370"/>
    <w:rsid w:val="00E51545"/>
    <w:rsid w:val="00E51D9E"/>
    <w:rsid w:val="00E52995"/>
    <w:rsid w:val="00E537D1"/>
    <w:rsid w:val="00E53F33"/>
    <w:rsid w:val="00E567E6"/>
    <w:rsid w:val="00E56971"/>
    <w:rsid w:val="00E61484"/>
    <w:rsid w:val="00E61BFC"/>
    <w:rsid w:val="00E61C9D"/>
    <w:rsid w:val="00E63369"/>
    <w:rsid w:val="00E656E0"/>
    <w:rsid w:val="00E657B7"/>
    <w:rsid w:val="00E668ED"/>
    <w:rsid w:val="00E67540"/>
    <w:rsid w:val="00E711D7"/>
    <w:rsid w:val="00E712D3"/>
    <w:rsid w:val="00E71C0A"/>
    <w:rsid w:val="00E76073"/>
    <w:rsid w:val="00E76154"/>
    <w:rsid w:val="00E77619"/>
    <w:rsid w:val="00E815E1"/>
    <w:rsid w:val="00E8296A"/>
    <w:rsid w:val="00E83DDC"/>
    <w:rsid w:val="00E85525"/>
    <w:rsid w:val="00E869D2"/>
    <w:rsid w:val="00E902B0"/>
    <w:rsid w:val="00E902E8"/>
    <w:rsid w:val="00E92F0E"/>
    <w:rsid w:val="00E9412A"/>
    <w:rsid w:val="00E96E3C"/>
    <w:rsid w:val="00EA161A"/>
    <w:rsid w:val="00EA23AC"/>
    <w:rsid w:val="00EA49B3"/>
    <w:rsid w:val="00EA7C3D"/>
    <w:rsid w:val="00EB05CA"/>
    <w:rsid w:val="00EB0DC2"/>
    <w:rsid w:val="00EB29BB"/>
    <w:rsid w:val="00EB2D92"/>
    <w:rsid w:val="00EB5B49"/>
    <w:rsid w:val="00EB6878"/>
    <w:rsid w:val="00EC1E0E"/>
    <w:rsid w:val="00EC236D"/>
    <w:rsid w:val="00EC299C"/>
    <w:rsid w:val="00EC6B16"/>
    <w:rsid w:val="00ED18BE"/>
    <w:rsid w:val="00ED1CFC"/>
    <w:rsid w:val="00ED21A0"/>
    <w:rsid w:val="00ED30D0"/>
    <w:rsid w:val="00ED3A90"/>
    <w:rsid w:val="00ED3C24"/>
    <w:rsid w:val="00ED4BB6"/>
    <w:rsid w:val="00ED53E0"/>
    <w:rsid w:val="00ED5C02"/>
    <w:rsid w:val="00EE1447"/>
    <w:rsid w:val="00EE19D6"/>
    <w:rsid w:val="00EE2B51"/>
    <w:rsid w:val="00EE4111"/>
    <w:rsid w:val="00EE44F5"/>
    <w:rsid w:val="00EE6757"/>
    <w:rsid w:val="00EF0728"/>
    <w:rsid w:val="00EF145E"/>
    <w:rsid w:val="00EF2BBB"/>
    <w:rsid w:val="00EF3655"/>
    <w:rsid w:val="00EF7BB3"/>
    <w:rsid w:val="00F0082D"/>
    <w:rsid w:val="00F015AB"/>
    <w:rsid w:val="00F056F7"/>
    <w:rsid w:val="00F05CA4"/>
    <w:rsid w:val="00F07C90"/>
    <w:rsid w:val="00F10271"/>
    <w:rsid w:val="00F10B8D"/>
    <w:rsid w:val="00F1294C"/>
    <w:rsid w:val="00F14773"/>
    <w:rsid w:val="00F15E18"/>
    <w:rsid w:val="00F166AB"/>
    <w:rsid w:val="00F167FC"/>
    <w:rsid w:val="00F16880"/>
    <w:rsid w:val="00F17071"/>
    <w:rsid w:val="00F21E32"/>
    <w:rsid w:val="00F26192"/>
    <w:rsid w:val="00F26A2E"/>
    <w:rsid w:val="00F26EBD"/>
    <w:rsid w:val="00F26F9F"/>
    <w:rsid w:val="00F27635"/>
    <w:rsid w:val="00F27B52"/>
    <w:rsid w:val="00F30625"/>
    <w:rsid w:val="00F327F9"/>
    <w:rsid w:val="00F359B8"/>
    <w:rsid w:val="00F362FA"/>
    <w:rsid w:val="00F36591"/>
    <w:rsid w:val="00F41531"/>
    <w:rsid w:val="00F437D0"/>
    <w:rsid w:val="00F4521C"/>
    <w:rsid w:val="00F45EC0"/>
    <w:rsid w:val="00F46C18"/>
    <w:rsid w:val="00F5048F"/>
    <w:rsid w:val="00F524A5"/>
    <w:rsid w:val="00F542D1"/>
    <w:rsid w:val="00F56585"/>
    <w:rsid w:val="00F5682B"/>
    <w:rsid w:val="00F56972"/>
    <w:rsid w:val="00F56B08"/>
    <w:rsid w:val="00F57BED"/>
    <w:rsid w:val="00F60987"/>
    <w:rsid w:val="00F61077"/>
    <w:rsid w:val="00F6134F"/>
    <w:rsid w:val="00F62C9E"/>
    <w:rsid w:val="00F676AE"/>
    <w:rsid w:val="00F67B19"/>
    <w:rsid w:val="00F70AE1"/>
    <w:rsid w:val="00F70BCA"/>
    <w:rsid w:val="00F711DF"/>
    <w:rsid w:val="00F723EB"/>
    <w:rsid w:val="00F7295D"/>
    <w:rsid w:val="00F73951"/>
    <w:rsid w:val="00F73C84"/>
    <w:rsid w:val="00F7455A"/>
    <w:rsid w:val="00F74E14"/>
    <w:rsid w:val="00F7613A"/>
    <w:rsid w:val="00F76813"/>
    <w:rsid w:val="00F82746"/>
    <w:rsid w:val="00F83105"/>
    <w:rsid w:val="00F836F9"/>
    <w:rsid w:val="00F845D7"/>
    <w:rsid w:val="00F861B5"/>
    <w:rsid w:val="00F878AA"/>
    <w:rsid w:val="00F92279"/>
    <w:rsid w:val="00F95D64"/>
    <w:rsid w:val="00F96145"/>
    <w:rsid w:val="00F975F6"/>
    <w:rsid w:val="00FA5E2D"/>
    <w:rsid w:val="00FA76E2"/>
    <w:rsid w:val="00FB158A"/>
    <w:rsid w:val="00FB1990"/>
    <w:rsid w:val="00FB4D21"/>
    <w:rsid w:val="00FB670D"/>
    <w:rsid w:val="00FB7622"/>
    <w:rsid w:val="00FB762B"/>
    <w:rsid w:val="00FB79E5"/>
    <w:rsid w:val="00FC17E1"/>
    <w:rsid w:val="00FC3978"/>
    <w:rsid w:val="00FC43FD"/>
    <w:rsid w:val="00FC45F0"/>
    <w:rsid w:val="00FC6601"/>
    <w:rsid w:val="00FC6ADA"/>
    <w:rsid w:val="00FC7004"/>
    <w:rsid w:val="00FD0B3F"/>
    <w:rsid w:val="00FD2AA9"/>
    <w:rsid w:val="00FD3E75"/>
    <w:rsid w:val="00FD54DE"/>
    <w:rsid w:val="00FD55D2"/>
    <w:rsid w:val="00FD7AA2"/>
    <w:rsid w:val="00FE1C4D"/>
    <w:rsid w:val="00FE44B9"/>
    <w:rsid w:val="00FE4F31"/>
    <w:rsid w:val="00FE5D9E"/>
    <w:rsid w:val="00FE6237"/>
    <w:rsid w:val="00FF16FF"/>
    <w:rsid w:val="00FF2817"/>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775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39D9"/>
    <w:pPr>
      <w:spacing w:before="120" w:after="120" w:line="240" w:lineRule="auto"/>
    </w:pPr>
    <w:rPr>
      <w:rFonts w:ascii="Calibri" w:eastAsia="Times New Roman" w:hAnsi="Calibri" w:cs="Times New Roman"/>
      <w:szCs w:val="20"/>
      <w:lang w:eastAsia="en-AU"/>
    </w:rPr>
  </w:style>
  <w:style w:type="paragraph" w:styleId="Heading1">
    <w:name w:val="heading 1"/>
    <w:basedOn w:val="HeadingBase"/>
    <w:next w:val="Normal"/>
    <w:link w:val="Heading1Char"/>
    <w:qFormat/>
    <w:rsid w:val="00140822"/>
    <w:pPr>
      <w:spacing w:before="240"/>
      <w:outlineLvl w:val="0"/>
    </w:pPr>
    <w:rPr>
      <w:bCs w:val="0"/>
      <w:color w:val="C00000"/>
    </w:rPr>
  </w:style>
  <w:style w:type="paragraph" w:styleId="Heading2">
    <w:name w:val="heading 2"/>
    <w:basedOn w:val="HeadingBase"/>
    <w:next w:val="Normal"/>
    <w:link w:val="Heading2Char"/>
    <w:qFormat/>
    <w:rsid w:val="00043A4B"/>
    <w:pPr>
      <w:spacing w:before="360"/>
      <w:outlineLvl w:val="1"/>
    </w:pPr>
    <w:rPr>
      <w:bCs w:val="0"/>
      <w:iCs/>
      <w:color w:val="C00000"/>
      <w:sz w:val="36"/>
      <w:szCs w:val="28"/>
    </w:rPr>
  </w:style>
  <w:style w:type="paragraph" w:styleId="Heading3">
    <w:name w:val="heading 3"/>
    <w:basedOn w:val="HeadingBase"/>
    <w:next w:val="Normal"/>
    <w:link w:val="Heading3Char"/>
    <w:qFormat/>
    <w:rsid w:val="00043A4B"/>
    <w:pPr>
      <w:spacing w:before="240"/>
      <w:outlineLvl w:val="2"/>
    </w:pPr>
    <w:rPr>
      <w:bCs w:val="0"/>
      <w:color w:val="002060"/>
      <w:sz w:val="28"/>
      <w:szCs w:val="26"/>
    </w:rPr>
  </w:style>
  <w:style w:type="paragraph" w:styleId="Heading4">
    <w:name w:val="heading 4"/>
    <w:basedOn w:val="HeadingBase"/>
    <w:next w:val="Normal"/>
    <w:link w:val="Heading4Char"/>
    <w:qFormat/>
    <w:rsid w:val="00043A4B"/>
    <w:pPr>
      <w:outlineLvl w:val="3"/>
    </w:pPr>
    <w:rPr>
      <w:bCs w:val="0"/>
      <w:color w:val="002060"/>
      <w:sz w:val="26"/>
      <w:szCs w:val="26"/>
    </w:rPr>
  </w:style>
  <w:style w:type="paragraph" w:styleId="Heading5">
    <w:name w:val="heading 5"/>
    <w:basedOn w:val="HeadingBase"/>
    <w:next w:val="Normal"/>
    <w:link w:val="Heading5Char"/>
    <w:qFormat/>
    <w:rsid w:val="001972D2"/>
    <w:pPr>
      <w:outlineLvl w:val="4"/>
    </w:pPr>
    <w:rPr>
      <w:b/>
      <w:bCs w:val="0"/>
      <w:iCs/>
      <w:sz w:val="22"/>
    </w:rPr>
  </w:style>
  <w:style w:type="paragraph" w:styleId="Heading6">
    <w:name w:val="heading 6"/>
    <w:basedOn w:val="HeadingBase"/>
    <w:next w:val="Normal"/>
    <w:link w:val="Heading6Char"/>
    <w:qFormat/>
    <w:rsid w:val="001972D2"/>
    <w:pPr>
      <w:outlineLvl w:val="5"/>
    </w:pPr>
    <w:rPr>
      <w:bCs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40822"/>
    <w:rPr>
      <w:rFonts w:ascii="Calibri" w:eastAsia="Times New Roman" w:hAnsi="Calibri" w:cs="Arial"/>
      <w:color w:val="C00000"/>
      <w:kern w:val="32"/>
      <w:sz w:val="48"/>
      <w:szCs w:val="36"/>
      <w:lang w:eastAsia="en-AU"/>
    </w:rPr>
  </w:style>
  <w:style w:type="character" w:customStyle="1" w:styleId="Heading2Char">
    <w:name w:val="Heading 2 Char"/>
    <w:basedOn w:val="DefaultParagraphFont"/>
    <w:link w:val="Heading2"/>
    <w:rsid w:val="00043A4B"/>
    <w:rPr>
      <w:rFonts w:ascii="Calibri" w:eastAsia="Times New Roman" w:hAnsi="Calibri" w:cs="Arial"/>
      <w:iCs/>
      <w:color w:val="C00000"/>
      <w:kern w:val="32"/>
      <w:sz w:val="36"/>
      <w:szCs w:val="28"/>
      <w:lang w:eastAsia="en-AU"/>
    </w:rPr>
  </w:style>
  <w:style w:type="character" w:customStyle="1" w:styleId="Heading3Char">
    <w:name w:val="Heading 3 Char"/>
    <w:basedOn w:val="DefaultParagraphFont"/>
    <w:link w:val="Heading3"/>
    <w:rsid w:val="00043A4B"/>
    <w:rPr>
      <w:rFonts w:ascii="Calibri" w:eastAsia="Times New Roman" w:hAnsi="Calibri" w:cs="Arial"/>
      <w:color w:val="002060"/>
      <w:kern w:val="32"/>
      <w:sz w:val="28"/>
      <w:szCs w:val="26"/>
      <w:lang w:eastAsia="en-AU"/>
    </w:rPr>
  </w:style>
  <w:style w:type="character" w:customStyle="1" w:styleId="Heading4Char">
    <w:name w:val="Heading 4 Char"/>
    <w:basedOn w:val="DefaultParagraphFont"/>
    <w:link w:val="Heading4"/>
    <w:rsid w:val="00043A4B"/>
    <w:rPr>
      <w:rFonts w:ascii="Calibri" w:eastAsia="Times New Roman" w:hAnsi="Calibri" w:cs="Arial"/>
      <w:color w:val="002060"/>
      <w:kern w:val="32"/>
      <w:sz w:val="26"/>
      <w:szCs w:val="26"/>
      <w:lang w:eastAsia="en-AU"/>
    </w:rPr>
  </w:style>
  <w:style w:type="character" w:customStyle="1" w:styleId="Heading5Char">
    <w:name w:val="Heading 5 Char"/>
    <w:basedOn w:val="DefaultParagraphFont"/>
    <w:link w:val="Heading5"/>
    <w:rsid w:val="001972D2"/>
    <w:rPr>
      <w:rFonts w:ascii="Calibri" w:eastAsia="Times New Roman" w:hAnsi="Calibri" w:cs="Arial"/>
      <w:b/>
      <w:iCs/>
      <w:color w:val="004A7F"/>
      <w:kern w:val="32"/>
      <w:szCs w:val="36"/>
      <w:lang w:eastAsia="en-AU"/>
    </w:rPr>
  </w:style>
  <w:style w:type="character" w:customStyle="1" w:styleId="Heading6Char">
    <w:name w:val="Heading 6 Char"/>
    <w:basedOn w:val="DefaultParagraphFont"/>
    <w:link w:val="Heading6"/>
    <w:rsid w:val="001972D2"/>
    <w:rPr>
      <w:rFonts w:ascii="Calibri" w:eastAsia="Times New Roman" w:hAnsi="Calibri" w:cs="Arial"/>
      <w:color w:val="004A7F"/>
      <w:kern w:val="32"/>
      <w:lang w:eastAsia="en-AU"/>
    </w:rPr>
  </w:style>
  <w:style w:type="paragraph" w:customStyle="1" w:styleId="ChartGraphic">
    <w:name w:val="Chart Graphic"/>
    <w:basedOn w:val="Normal"/>
    <w:next w:val="Normal"/>
    <w:rsid w:val="000E0B74"/>
    <w:pPr>
      <w:keepNext/>
      <w:spacing w:before="0" w:after="0"/>
      <w:jc w:val="center"/>
    </w:pPr>
    <w:rPr>
      <w:color w:val="004A7F"/>
      <w:sz w:val="20"/>
    </w:rPr>
  </w:style>
  <w:style w:type="paragraph" w:customStyle="1" w:styleId="AlphaParagraph">
    <w:name w:val="Alpha Paragraph"/>
    <w:basedOn w:val="Normal"/>
    <w:qFormat/>
    <w:rsid w:val="000E0B74"/>
    <w:pPr>
      <w:numPr>
        <w:ilvl w:val="1"/>
        <w:numId w:val="9"/>
      </w:numPr>
      <w:spacing w:before="0"/>
    </w:pPr>
  </w:style>
  <w:style w:type="paragraph" w:customStyle="1" w:styleId="BoxBullet">
    <w:name w:val="Box Bullet"/>
    <w:basedOn w:val="Normal"/>
    <w:rsid w:val="000E0B74"/>
    <w:pPr>
      <w:numPr>
        <w:numId w:val="2"/>
      </w:numPr>
      <w:spacing w:before="0"/>
      <w:ind w:left="284" w:hanging="284"/>
    </w:pPr>
  </w:style>
  <w:style w:type="paragraph" w:customStyle="1" w:styleId="BoxDash">
    <w:name w:val="Box Dash"/>
    <w:basedOn w:val="Normal"/>
    <w:rsid w:val="000E0B74"/>
    <w:pPr>
      <w:numPr>
        <w:ilvl w:val="1"/>
        <w:numId w:val="2"/>
      </w:numPr>
      <w:spacing w:before="0"/>
      <w:ind w:left="568"/>
    </w:pPr>
  </w:style>
  <w:style w:type="paragraph" w:customStyle="1" w:styleId="BoxDoubleDot">
    <w:name w:val="Box Double Dot"/>
    <w:basedOn w:val="Normal"/>
    <w:rsid w:val="000E0B74"/>
    <w:pPr>
      <w:numPr>
        <w:ilvl w:val="2"/>
        <w:numId w:val="2"/>
      </w:numPr>
      <w:spacing w:before="0"/>
      <w:ind w:left="851" w:hanging="284"/>
    </w:pPr>
  </w:style>
  <w:style w:type="paragraph" w:customStyle="1" w:styleId="BoxHeading">
    <w:name w:val="Box Heading"/>
    <w:basedOn w:val="Normal"/>
    <w:next w:val="Normal"/>
    <w:rsid w:val="00CE223E"/>
    <w:pPr>
      <w:keepNext/>
      <w:spacing w:before="240"/>
    </w:pPr>
    <w:rPr>
      <w:b/>
      <w:color w:val="004A7F"/>
      <w:sz w:val="26"/>
      <w:szCs w:val="26"/>
    </w:rPr>
  </w:style>
  <w:style w:type="paragraph" w:customStyle="1" w:styleId="BoxText">
    <w:name w:val="Box Text"/>
    <w:basedOn w:val="Normal"/>
    <w:rsid w:val="000E0B74"/>
  </w:style>
  <w:style w:type="paragraph" w:customStyle="1" w:styleId="Bullet">
    <w:name w:val="Bullet"/>
    <w:aliases w:val="Body,b,b + line,b1,level 1,Bullet + line"/>
    <w:basedOn w:val="Normal"/>
    <w:link w:val="BulletChar"/>
    <w:qFormat/>
    <w:rsid w:val="000E0B74"/>
    <w:pPr>
      <w:numPr>
        <w:numId w:val="1"/>
      </w:numPr>
      <w:spacing w:before="0"/>
      <w:ind w:left="284" w:hanging="284"/>
    </w:pPr>
  </w:style>
  <w:style w:type="paragraph" w:customStyle="1" w:styleId="ChartandTableFootnoteAlpha">
    <w:name w:val="Chart and Table Footnote Alpha"/>
    <w:rsid w:val="0023305C"/>
    <w:pPr>
      <w:numPr>
        <w:numId w:val="7"/>
      </w:numPr>
      <w:tabs>
        <w:tab w:val="num" w:pos="284"/>
      </w:tabs>
      <w:spacing w:after="0" w:line="240" w:lineRule="auto"/>
      <w:ind w:left="284" w:hanging="284"/>
      <w:jc w:val="both"/>
    </w:pPr>
    <w:rPr>
      <w:rFonts w:ascii="Calibri" w:eastAsia="Times New Roman" w:hAnsi="Calibri" w:cs="Times New Roman"/>
      <w:color w:val="000000"/>
      <w:sz w:val="18"/>
      <w:szCs w:val="16"/>
      <w:lang w:eastAsia="en-AU"/>
    </w:rPr>
  </w:style>
  <w:style w:type="paragraph" w:customStyle="1" w:styleId="ChartMainHeading">
    <w:name w:val="Chart Main Heading"/>
    <w:basedOn w:val="TableMainHeading"/>
    <w:next w:val="ChartGraphic"/>
    <w:rsid w:val="000E0B74"/>
    <w:pPr>
      <w:jc w:val="center"/>
    </w:pPr>
  </w:style>
  <w:style w:type="paragraph" w:customStyle="1" w:styleId="ChartorTableNote">
    <w:name w:val="Chart or Table Note"/>
    <w:next w:val="Normal"/>
    <w:rsid w:val="000E0B74"/>
    <w:pPr>
      <w:spacing w:after="0" w:line="240" w:lineRule="auto"/>
      <w:jc w:val="both"/>
    </w:pPr>
    <w:rPr>
      <w:rFonts w:ascii="Calibri" w:eastAsia="Times New Roman" w:hAnsi="Calibri" w:cs="Times New Roman"/>
      <w:color w:val="000000"/>
      <w:sz w:val="18"/>
      <w:szCs w:val="20"/>
      <w:lang w:eastAsia="en-AU"/>
    </w:rPr>
  </w:style>
  <w:style w:type="paragraph" w:customStyle="1" w:styleId="ChartSecondHeading">
    <w:name w:val="Chart Second Heading"/>
    <w:basedOn w:val="TableSecondHeading"/>
    <w:next w:val="ChartGraphic"/>
    <w:rsid w:val="000E0B74"/>
    <w:pPr>
      <w:jc w:val="center"/>
    </w:pPr>
  </w:style>
  <w:style w:type="paragraph" w:customStyle="1" w:styleId="ReportDate">
    <w:name w:val="Report Date"/>
    <w:basedOn w:val="Normal"/>
    <w:link w:val="ReportDateChar"/>
    <w:rsid w:val="003857B7"/>
    <w:pPr>
      <w:keepNext/>
      <w:spacing w:before="0" w:after="360"/>
      <w:ind w:right="139"/>
      <w:jc w:val="right"/>
    </w:pPr>
    <w:rPr>
      <w:color w:val="FFFFFF" w:themeColor="background1"/>
      <w:sz w:val="44"/>
    </w:rPr>
  </w:style>
  <w:style w:type="paragraph" w:customStyle="1" w:styleId="Dash">
    <w:name w:val="Dash"/>
    <w:basedOn w:val="Normal"/>
    <w:link w:val="DashChar"/>
    <w:qFormat/>
    <w:rsid w:val="000E0B74"/>
    <w:pPr>
      <w:numPr>
        <w:ilvl w:val="1"/>
        <w:numId w:val="1"/>
      </w:numPr>
      <w:spacing w:before="0"/>
      <w:ind w:left="568"/>
    </w:pPr>
  </w:style>
  <w:style w:type="paragraph" w:customStyle="1" w:styleId="DoubleDot">
    <w:name w:val="Double Dot"/>
    <w:basedOn w:val="Normal"/>
    <w:qFormat/>
    <w:rsid w:val="000E0B74"/>
    <w:pPr>
      <w:numPr>
        <w:ilvl w:val="2"/>
        <w:numId w:val="1"/>
      </w:numPr>
      <w:spacing w:before="0"/>
      <w:ind w:left="851" w:hanging="284"/>
    </w:pPr>
  </w:style>
  <w:style w:type="paragraph" w:customStyle="1" w:styleId="TableMainHeading">
    <w:name w:val="Table Main Heading"/>
    <w:basedOn w:val="Heading3"/>
    <w:next w:val="Normal"/>
    <w:rsid w:val="000E0B74"/>
    <w:pPr>
      <w:spacing w:before="120" w:after="0"/>
    </w:pPr>
    <w:rPr>
      <w:b/>
    </w:rPr>
  </w:style>
  <w:style w:type="paragraph" w:customStyle="1" w:styleId="FooterEven">
    <w:name w:val="Footer Even"/>
    <w:basedOn w:val="Footer"/>
    <w:rsid w:val="00043A4B"/>
    <w:pPr>
      <w:keepNext/>
      <w:tabs>
        <w:tab w:val="clear" w:pos="4513"/>
        <w:tab w:val="clear" w:pos="9026"/>
      </w:tabs>
      <w:jc w:val="left"/>
    </w:pPr>
    <w:rPr>
      <w:noProof/>
      <w:color w:val="002060"/>
      <w:sz w:val="22"/>
    </w:rPr>
  </w:style>
  <w:style w:type="paragraph" w:customStyle="1" w:styleId="FooterOdd">
    <w:name w:val="Footer Odd"/>
    <w:basedOn w:val="Footer"/>
    <w:rsid w:val="00043A4B"/>
    <w:pPr>
      <w:keepNext/>
      <w:tabs>
        <w:tab w:val="clear" w:pos="4513"/>
        <w:tab w:val="clear" w:pos="9026"/>
      </w:tabs>
      <w:jc w:val="right"/>
    </w:pPr>
    <w:rPr>
      <w:color w:val="002060"/>
      <w:sz w:val="22"/>
    </w:rPr>
  </w:style>
  <w:style w:type="character" w:styleId="Hyperlink">
    <w:name w:val="Hyperlink"/>
    <w:basedOn w:val="DefaultParagraphFont"/>
    <w:uiPriority w:val="99"/>
    <w:rsid w:val="001F1B27"/>
    <w:rPr>
      <w:color w:val="004A7F"/>
      <w:u w:val="none"/>
    </w:rPr>
  </w:style>
  <w:style w:type="paragraph" w:customStyle="1" w:styleId="OutlineNumbered1">
    <w:name w:val="Outline Numbered 1"/>
    <w:basedOn w:val="Normal"/>
    <w:link w:val="OutlineNumbered1Char"/>
    <w:rsid w:val="000E0B74"/>
    <w:pPr>
      <w:numPr>
        <w:numId w:val="6"/>
      </w:numPr>
      <w:spacing w:before="0"/>
    </w:pPr>
  </w:style>
  <w:style w:type="paragraph" w:customStyle="1" w:styleId="OneLevelNumberedParagraph">
    <w:name w:val="One Level Numbered Paragraph"/>
    <w:basedOn w:val="Normal"/>
    <w:rsid w:val="000E0B74"/>
    <w:pPr>
      <w:numPr>
        <w:numId w:val="5"/>
      </w:numPr>
      <w:spacing w:before="0"/>
    </w:pPr>
  </w:style>
  <w:style w:type="paragraph" w:customStyle="1" w:styleId="OutlineNumbered2">
    <w:name w:val="Outline Numbered 2"/>
    <w:basedOn w:val="Normal"/>
    <w:rsid w:val="000E0B74"/>
    <w:pPr>
      <w:numPr>
        <w:ilvl w:val="1"/>
        <w:numId w:val="6"/>
      </w:numPr>
      <w:spacing w:before="0"/>
    </w:pPr>
  </w:style>
  <w:style w:type="paragraph" w:customStyle="1" w:styleId="OutlineNumbered3">
    <w:name w:val="Outline Numbered 3"/>
    <w:basedOn w:val="Normal"/>
    <w:rsid w:val="000E0B74"/>
    <w:pPr>
      <w:numPr>
        <w:ilvl w:val="2"/>
        <w:numId w:val="6"/>
      </w:numPr>
      <w:spacing w:before="0"/>
    </w:pPr>
  </w:style>
  <w:style w:type="paragraph" w:customStyle="1" w:styleId="Romannumeral">
    <w:name w:val="Roman numeral"/>
    <w:basedOn w:val="Normal"/>
    <w:rsid w:val="004F4B92"/>
    <w:pPr>
      <w:numPr>
        <w:numId w:val="9"/>
      </w:numPr>
      <w:tabs>
        <w:tab w:val="clear" w:pos="720"/>
        <w:tab w:val="num" w:pos="851"/>
      </w:tabs>
      <w:spacing w:before="0"/>
      <w:ind w:left="851" w:hanging="851"/>
    </w:pPr>
  </w:style>
  <w:style w:type="paragraph" w:customStyle="1" w:styleId="SingleParagraph">
    <w:name w:val="Single Paragraph"/>
    <w:basedOn w:val="Normal"/>
    <w:link w:val="SingleParagraphChar"/>
    <w:rsid w:val="000E0B74"/>
    <w:pPr>
      <w:spacing w:before="0" w:after="0"/>
    </w:pPr>
  </w:style>
  <w:style w:type="paragraph" w:customStyle="1" w:styleId="TableSecondHeading">
    <w:name w:val="Table Second Heading"/>
    <w:basedOn w:val="Normal"/>
    <w:next w:val="Normal"/>
    <w:rsid w:val="000E0B74"/>
    <w:pPr>
      <w:keepNext/>
      <w:spacing w:before="0" w:after="20"/>
    </w:pPr>
    <w:rPr>
      <w:b/>
      <w:color w:val="004A7F"/>
    </w:rPr>
  </w:style>
  <w:style w:type="paragraph" w:customStyle="1" w:styleId="TableColumnHeadingCentred">
    <w:name w:val="Table Column Heading Centred"/>
    <w:basedOn w:val="TableTextLeft"/>
    <w:rsid w:val="00DF7591"/>
    <w:pPr>
      <w:jc w:val="center"/>
    </w:pPr>
    <w:rPr>
      <w:b/>
      <w:color w:val="C00000"/>
      <w:sz w:val="28"/>
    </w:rPr>
  </w:style>
  <w:style w:type="paragraph" w:customStyle="1" w:styleId="TableColumnHeadingLeft">
    <w:name w:val="Table Column Heading Left"/>
    <w:basedOn w:val="TableTextLeft"/>
    <w:rsid w:val="00DF7591"/>
    <w:rPr>
      <w:b/>
      <w:color w:val="002060"/>
      <w:sz w:val="24"/>
    </w:rPr>
  </w:style>
  <w:style w:type="paragraph" w:customStyle="1" w:styleId="TableColumnHeadingRight">
    <w:name w:val="Table Column Heading Right"/>
    <w:basedOn w:val="TableTextLeft"/>
    <w:rsid w:val="000E0B74"/>
    <w:pPr>
      <w:jc w:val="right"/>
    </w:pPr>
    <w:rPr>
      <w:b/>
      <w:color w:val="004A7F"/>
      <w:sz w:val="20"/>
    </w:rPr>
  </w:style>
  <w:style w:type="table" w:styleId="TableGrid">
    <w:name w:val="Table Grid"/>
    <w:basedOn w:val="TableNormal"/>
    <w:rsid w:val="000E0B74"/>
    <w:pPr>
      <w:spacing w:after="240" w:line="260" w:lineRule="exact"/>
      <w:jc w:val="both"/>
    </w:pPr>
    <w:rPr>
      <w:rFonts w:ascii="Times New Roman" w:eastAsia="Times New Roman" w:hAnsi="Times New Roman" w:cs="Times New Roman"/>
      <w:sz w:val="20"/>
      <w:szCs w:val="20"/>
      <w:lang w:eastAsia="en-AU"/>
    </w:rPr>
    <w:tblPr/>
    <w:tcPr>
      <w:shd w:val="clear" w:color="auto" w:fill="E6E6E6"/>
    </w:tcPr>
  </w:style>
  <w:style w:type="paragraph" w:customStyle="1" w:styleId="TableTextCentered">
    <w:name w:val="Table Text Centered"/>
    <w:basedOn w:val="TableTextRight"/>
    <w:rsid w:val="001972D2"/>
    <w:pPr>
      <w:jc w:val="center"/>
    </w:pPr>
  </w:style>
  <w:style w:type="paragraph" w:customStyle="1" w:styleId="TableTextLeft">
    <w:name w:val="Table Text Left"/>
    <w:basedOn w:val="TableTextRight"/>
    <w:rsid w:val="00092238"/>
    <w:pPr>
      <w:jc w:val="left"/>
    </w:pPr>
    <w:rPr>
      <w:sz w:val="22"/>
    </w:rPr>
  </w:style>
  <w:style w:type="paragraph" w:customStyle="1" w:styleId="TableTextRight">
    <w:name w:val="Table Text Right"/>
    <w:basedOn w:val="Normal"/>
    <w:rsid w:val="000E0B74"/>
    <w:pPr>
      <w:spacing w:before="40" w:after="40"/>
      <w:jc w:val="right"/>
    </w:pPr>
    <w:rPr>
      <w:color w:val="000000"/>
      <w:sz w:val="18"/>
    </w:rPr>
  </w:style>
  <w:style w:type="paragraph" w:styleId="TOC1">
    <w:name w:val="toc 1"/>
    <w:basedOn w:val="Normal"/>
    <w:next w:val="Normal"/>
    <w:uiPriority w:val="39"/>
    <w:qFormat/>
    <w:rsid w:val="00B37C6C"/>
    <w:pPr>
      <w:keepNext/>
      <w:tabs>
        <w:tab w:val="right" w:leader="dot" w:pos="9072"/>
      </w:tabs>
      <w:spacing w:before="180" w:after="0"/>
      <w:ind w:right="-2"/>
    </w:pPr>
    <w:rPr>
      <w:b/>
      <w:noProof/>
      <w:color w:val="002060"/>
      <w:szCs w:val="22"/>
    </w:rPr>
  </w:style>
  <w:style w:type="paragraph" w:styleId="TOC2">
    <w:name w:val="toc 2"/>
    <w:basedOn w:val="Normal"/>
    <w:next w:val="Normal"/>
    <w:uiPriority w:val="39"/>
    <w:qFormat/>
    <w:rsid w:val="0025652F"/>
    <w:pPr>
      <w:keepNext/>
      <w:tabs>
        <w:tab w:val="right" w:leader="dot" w:pos="9072"/>
      </w:tabs>
      <w:spacing w:before="40" w:after="20"/>
      <w:ind w:right="-2"/>
    </w:pPr>
    <w:rPr>
      <w:noProof/>
      <w:color w:val="004A7F"/>
    </w:rPr>
  </w:style>
  <w:style w:type="paragraph" w:styleId="TOC3">
    <w:name w:val="toc 3"/>
    <w:basedOn w:val="Normal"/>
    <w:next w:val="Normal"/>
    <w:uiPriority w:val="39"/>
    <w:qFormat/>
    <w:rsid w:val="0025652F"/>
    <w:pPr>
      <w:tabs>
        <w:tab w:val="right" w:leader="dot" w:pos="9072"/>
      </w:tabs>
      <w:spacing w:before="20" w:after="0"/>
      <w:ind w:left="284" w:right="-2"/>
    </w:pPr>
    <w:rPr>
      <w:rFonts w:cs="Calibri"/>
      <w:noProof/>
    </w:rPr>
  </w:style>
  <w:style w:type="numbering" w:customStyle="1" w:styleId="OutlineList">
    <w:name w:val="OutlineList"/>
    <w:uiPriority w:val="99"/>
    <w:rsid w:val="000E0B74"/>
    <w:pPr>
      <w:numPr>
        <w:numId w:val="4"/>
      </w:numPr>
    </w:pPr>
  </w:style>
  <w:style w:type="numbering" w:customStyle="1" w:styleId="BulletedList">
    <w:name w:val="Bulleted List"/>
    <w:uiPriority w:val="99"/>
    <w:rsid w:val="000E0B74"/>
    <w:pPr>
      <w:numPr>
        <w:numId w:val="1"/>
      </w:numPr>
    </w:pPr>
  </w:style>
  <w:style w:type="numbering" w:customStyle="1" w:styleId="BoxBulletedList">
    <w:name w:val="Box Bulleted List"/>
    <w:uiPriority w:val="99"/>
    <w:rsid w:val="000E0B74"/>
    <w:pPr>
      <w:numPr>
        <w:numId w:val="2"/>
      </w:numPr>
    </w:pPr>
  </w:style>
  <w:style w:type="numbering" w:customStyle="1" w:styleId="OneLevelList">
    <w:name w:val="OneLevelList"/>
    <w:uiPriority w:val="99"/>
    <w:rsid w:val="000E0B74"/>
    <w:pPr>
      <w:numPr>
        <w:numId w:val="3"/>
      </w:numPr>
    </w:pPr>
  </w:style>
  <w:style w:type="numbering" w:customStyle="1" w:styleId="ChartandTableFootnoteAlphaList">
    <w:name w:val="ChartandTableFootnoteAlphaList"/>
    <w:uiPriority w:val="99"/>
    <w:rsid w:val="000E0B74"/>
    <w:pPr>
      <w:numPr>
        <w:numId w:val="10"/>
      </w:numPr>
    </w:pPr>
  </w:style>
  <w:style w:type="paragraph" w:customStyle="1" w:styleId="Crest">
    <w:name w:val="Crest"/>
    <w:basedOn w:val="Header"/>
    <w:rsid w:val="000E0B74"/>
    <w:pPr>
      <w:spacing w:after="480"/>
      <w:jc w:val="center"/>
    </w:pPr>
    <w:rPr>
      <w:color w:val="000000" w:themeColor="text1"/>
    </w:rPr>
  </w:style>
  <w:style w:type="paragraph" w:customStyle="1" w:styleId="Heading1Numbered">
    <w:name w:val="Heading 1 Numbered"/>
    <w:basedOn w:val="Heading1"/>
    <w:next w:val="Normal"/>
    <w:rsid w:val="000E0B74"/>
    <w:pPr>
      <w:numPr>
        <w:numId w:val="8"/>
      </w:numPr>
    </w:pPr>
  </w:style>
  <w:style w:type="character" w:customStyle="1" w:styleId="SingleParagraphChar">
    <w:name w:val="Single Paragraph Char"/>
    <w:basedOn w:val="DefaultParagraphFont"/>
    <w:link w:val="SingleParagraph"/>
    <w:rsid w:val="000E0B74"/>
    <w:rPr>
      <w:rFonts w:ascii="Calibri" w:eastAsia="Times New Roman" w:hAnsi="Calibri" w:cs="Times New Roman"/>
      <w:szCs w:val="20"/>
      <w:lang w:eastAsia="en-AU"/>
    </w:rPr>
  </w:style>
  <w:style w:type="paragraph" w:customStyle="1" w:styleId="Heading2Numbered">
    <w:name w:val="Heading 2 Numbered"/>
    <w:basedOn w:val="Heading2"/>
    <w:next w:val="Normal"/>
    <w:rsid w:val="000E0B74"/>
    <w:pPr>
      <w:numPr>
        <w:ilvl w:val="1"/>
        <w:numId w:val="8"/>
      </w:numPr>
      <w:ind w:left="284" w:hanging="284"/>
    </w:pPr>
  </w:style>
  <w:style w:type="paragraph" w:customStyle="1" w:styleId="Heading3Numbered">
    <w:name w:val="Heading 3 Numbered"/>
    <w:basedOn w:val="Heading3"/>
    <w:qFormat/>
    <w:rsid w:val="000E0B74"/>
    <w:pPr>
      <w:numPr>
        <w:ilvl w:val="2"/>
        <w:numId w:val="8"/>
      </w:numPr>
      <w:ind w:left="284" w:hanging="284"/>
    </w:pPr>
  </w:style>
  <w:style w:type="paragraph" w:styleId="Title">
    <w:name w:val="Title"/>
    <w:basedOn w:val="Normal"/>
    <w:next w:val="Normal"/>
    <w:link w:val="TitleChar"/>
    <w:uiPriority w:val="10"/>
    <w:qFormat/>
    <w:rsid w:val="003857B7"/>
    <w:pPr>
      <w:spacing w:before="0"/>
      <w:contextualSpacing/>
      <w:jc w:val="right"/>
    </w:pPr>
    <w:rPr>
      <w:rFonts w:eastAsiaTheme="majorEastAsia" w:cstheme="majorBidi"/>
      <w:caps/>
      <w:color w:val="002060"/>
      <w:spacing w:val="5"/>
      <w:kern w:val="28"/>
      <w:sz w:val="64"/>
      <w:szCs w:val="52"/>
    </w:rPr>
  </w:style>
  <w:style w:type="character" w:customStyle="1" w:styleId="TitleChar">
    <w:name w:val="Title Char"/>
    <w:basedOn w:val="DefaultParagraphFont"/>
    <w:link w:val="Title"/>
    <w:uiPriority w:val="10"/>
    <w:rsid w:val="003857B7"/>
    <w:rPr>
      <w:rFonts w:ascii="Calibri" w:eastAsiaTheme="majorEastAsia" w:hAnsi="Calibri" w:cstheme="majorBidi"/>
      <w:caps/>
      <w:color w:val="002060"/>
      <w:spacing w:val="5"/>
      <w:kern w:val="28"/>
      <w:sz w:val="64"/>
      <w:szCs w:val="52"/>
      <w:lang w:eastAsia="en-AU"/>
    </w:rPr>
  </w:style>
  <w:style w:type="paragraph" w:styleId="Subtitle">
    <w:name w:val="Subtitle"/>
    <w:basedOn w:val="Normal"/>
    <w:next w:val="Normal"/>
    <w:link w:val="SubtitleChar"/>
    <w:uiPriority w:val="11"/>
    <w:qFormat/>
    <w:rsid w:val="003857B7"/>
    <w:pPr>
      <w:numPr>
        <w:ilvl w:val="1"/>
      </w:numPr>
      <w:jc w:val="right"/>
    </w:pPr>
    <w:rPr>
      <w:rFonts w:eastAsiaTheme="majorEastAsia" w:cstheme="majorBidi"/>
      <w:iCs/>
      <w:color w:val="595959" w:themeColor="text1" w:themeTint="A6"/>
      <w:sz w:val="44"/>
      <w:szCs w:val="44"/>
    </w:rPr>
  </w:style>
  <w:style w:type="character" w:customStyle="1" w:styleId="SubtitleChar">
    <w:name w:val="Subtitle Char"/>
    <w:basedOn w:val="DefaultParagraphFont"/>
    <w:link w:val="Subtitle"/>
    <w:uiPriority w:val="11"/>
    <w:rsid w:val="003857B7"/>
    <w:rPr>
      <w:rFonts w:ascii="Calibri" w:eastAsiaTheme="majorEastAsia" w:hAnsi="Calibri" w:cstheme="majorBidi"/>
      <w:iCs/>
      <w:color w:val="595959" w:themeColor="text1" w:themeTint="A6"/>
      <w:sz w:val="44"/>
      <w:szCs w:val="44"/>
      <w:lang w:eastAsia="en-AU"/>
    </w:rPr>
  </w:style>
  <w:style w:type="character" w:styleId="SubtleEmphasis">
    <w:name w:val="Subtle Emphasis"/>
    <w:basedOn w:val="DefaultParagraphFont"/>
    <w:uiPriority w:val="19"/>
    <w:qFormat/>
    <w:rsid w:val="000E0B74"/>
    <w:rPr>
      <w:i/>
      <w:iCs/>
      <w:color w:val="808080" w:themeColor="text1" w:themeTint="7F"/>
    </w:rPr>
  </w:style>
  <w:style w:type="paragraph" w:styleId="Footer">
    <w:name w:val="footer"/>
    <w:basedOn w:val="Normal"/>
    <w:link w:val="FooterChar"/>
    <w:unhideWhenUsed/>
    <w:rsid w:val="001606CF"/>
    <w:pPr>
      <w:tabs>
        <w:tab w:val="center" w:pos="4513"/>
        <w:tab w:val="right" w:pos="9026"/>
      </w:tabs>
      <w:spacing w:before="0" w:after="0"/>
      <w:jc w:val="center"/>
    </w:pPr>
    <w:rPr>
      <w:color w:val="004A7F"/>
      <w:sz w:val="20"/>
    </w:rPr>
  </w:style>
  <w:style w:type="character" w:customStyle="1" w:styleId="FooterChar">
    <w:name w:val="Footer Char"/>
    <w:basedOn w:val="DefaultParagraphFont"/>
    <w:link w:val="Footer"/>
    <w:rsid w:val="001606CF"/>
    <w:rPr>
      <w:rFonts w:ascii="Calibri" w:eastAsia="Times New Roman" w:hAnsi="Calibri" w:cs="Times New Roman"/>
      <w:color w:val="004A7F"/>
      <w:sz w:val="20"/>
      <w:szCs w:val="20"/>
      <w:lang w:eastAsia="en-AU"/>
    </w:rPr>
  </w:style>
  <w:style w:type="paragraph" w:styleId="Header">
    <w:name w:val="header"/>
    <w:basedOn w:val="Normal"/>
    <w:link w:val="HeaderChar"/>
    <w:uiPriority w:val="99"/>
    <w:unhideWhenUsed/>
    <w:rsid w:val="001606CF"/>
    <w:pPr>
      <w:keepNext/>
      <w:spacing w:before="0" w:after="0"/>
      <w:jc w:val="right"/>
    </w:pPr>
    <w:rPr>
      <w:color w:val="004A7F"/>
      <w:sz w:val="20"/>
    </w:rPr>
  </w:style>
  <w:style w:type="character" w:customStyle="1" w:styleId="HeaderChar">
    <w:name w:val="Header Char"/>
    <w:basedOn w:val="DefaultParagraphFont"/>
    <w:link w:val="Header"/>
    <w:uiPriority w:val="99"/>
    <w:rsid w:val="001606CF"/>
    <w:rPr>
      <w:rFonts w:ascii="Calibri" w:eastAsia="Times New Roman" w:hAnsi="Calibri" w:cs="Times New Roman"/>
      <w:color w:val="004A7F"/>
      <w:sz w:val="20"/>
      <w:szCs w:val="20"/>
      <w:lang w:eastAsia="en-AU"/>
    </w:rPr>
  </w:style>
  <w:style w:type="character" w:styleId="PlaceholderText">
    <w:name w:val="Placeholder Text"/>
    <w:basedOn w:val="DefaultParagraphFont"/>
    <w:uiPriority w:val="99"/>
    <w:semiHidden/>
    <w:rsid w:val="00056880"/>
    <w:rPr>
      <w:color w:val="808080"/>
    </w:rPr>
  </w:style>
  <w:style w:type="paragraph" w:customStyle="1" w:styleId="AppendixHeading">
    <w:name w:val="Appendix Heading"/>
    <w:basedOn w:val="Normal"/>
    <w:next w:val="Normal"/>
    <w:rsid w:val="00285969"/>
    <w:pPr>
      <w:keepNext/>
      <w:spacing w:before="720" w:after="360"/>
    </w:pPr>
    <w:rPr>
      <w:rFonts w:ascii="Arial Bold" w:hAnsi="Arial Bold"/>
      <w:b/>
      <w:smallCaps/>
      <w:color w:val="004A7F"/>
      <w:sz w:val="36"/>
      <w:szCs w:val="36"/>
    </w:rPr>
  </w:style>
  <w:style w:type="paragraph" w:customStyle="1" w:styleId="HeadingBase">
    <w:name w:val="Heading Base"/>
    <w:qFormat/>
    <w:rsid w:val="00475085"/>
    <w:pPr>
      <w:keepNext/>
      <w:spacing w:after="120" w:line="240" w:lineRule="auto"/>
    </w:pPr>
    <w:rPr>
      <w:rFonts w:ascii="Calibri" w:eastAsia="Times New Roman" w:hAnsi="Calibri" w:cs="Arial"/>
      <w:bCs/>
      <w:color w:val="004A7F"/>
      <w:kern w:val="32"/>
      <w:sz w:val="48"/>
      <w:szCs w:val="36"/>
      <w:lang w:eastAsia="en-AU"/>
    </w:rPr>
  </w:style>
  <w:style w:type="character" w:customStyle="1" w:styleId="ReportDateChar">
    <w:name w:val="Report Date Char"/>
    <w:basedOn w:val="DefaultParagraphFont"/>
    <w:link w:val="ReportDate"/>
    <w:rsid w:val="003857B7"/>
    <w:rPr>
      <w:rFonts w:ascii="Calibri" w:eastAsia="Times New Roman" w:hAnsi="Calibri" w:cs="Times New Roman"/>
      <w:color w:val="FFFFFF" w:themeColor="background1"/>
      <w:sz w:val="44"/>
      <w:szCs w:val="20"/>
      <w:lang w:eastAsia="en-AU"/>
    </w:rPr>
  </w:style>
  <w:style w:type="paragraph" w:customStyle="1" w:styleId="Disclaimer">
    <w:name w:val="Disclaimer"/>
    <w:basedOn w:val="ReportDate"/>
    <w:rsid w:val="002F617F"/>
    <w:pPr>
      <w:spacing w:after="1800"/>
      <w:ind w:right="142"/>
    </w:pPr>
    <w:rPr>
      <w:rFonts w:ascii="Century Gothic" w:hAnsi="Century Gothic"/>
      <w:b/>
      <w:bCs/>
      <w:color w:val="44546A" w:themeColor="text2"/>
      <w:sz w:val="22"/>
    </w:rPr>
  </w:style>
  <w:style w:type="paragraph" w:customStyle="1" w:styleId="NotesHeading">
    <w:name w:val="Notes Heading"/>
    <w:basedOn w:val="Normal"/>
    <w:rsid w:val="002F617F"/>
    <w:pPr>
      <w:keepNext/>
      <w:spacing w:before="240" w:after="360"/>
      <w:jc w:val="center"/>
    </w:pPr>
    <w:rPr>
      <w:rFonts w:ascii="Century Gothic" w:hAnsi="Century Gothic"/>
      <w:smallCaps/>
      <w:color w:val="44546A" w:themeColor="text2"/>
      <w:sz w:val="36"/>
      <w:szCs w:val="36"/>
    </w:rPr>
  </w:style>
  <w:style w:type="paragraph" w:customStyle="1" w:styleId="Divider">
    <w:name w:val="Divider"/>
    <w:basedOn w:val="ReportDate"/>
    <w:qFormat/>
    <w:rsid w:val="002F617F"/>
    <w:pPr>
      <w:spacing w:after="1800"/>
      <w:ind w:right="0"/>
    </w:pPr>
    <w:rPr>
      <w:rFonts w:ascii="Rockwell" w:hAnsi="Rockwell"/>
      <w:sz w:val="24"/>
    </w:rPr>
  </w:style>
  <w:style w:type="character" w:customStyle="1" w:styleId="FramedFooter">
    <w:name w:val="Framed Footer"/>
    <w:rsid w:val="00E22D51"/>
    <w:rPr>
      <w:rFonts w:ascii="Arial" w:hAnsi="Arial"/>
      <w:color w:val="004A7F"/>
      <w:sz w:val="18"/>
    </w:rPr>
  </w:style>
  <w:style w:type="character" w:customStyle="1" w:styleId="FramedHeader">
    <w:name w:val="Framed Header"/>
    <w:basedOn w:val="DefaultParagraphFont"/>
    <w:rsid w:val="0027590B"/>
    <w:rPr>
      <w:rFonts w:ascii="Arial" w:hAnsi="Arial"/>
      <w:dstrike w:val="0"/>
      <w:color w:val="auto"/>
      <w:sz w:val="18"/>
      <w:vertAlign w:val="baseline"/>
    </w:rPr>
  </w:style>
  <w:style w:type="paragraph" w:customStyle="1" w:styleId="TableTextIndented">
    <w:name w:val="Table Text Indented"/>
    <w:basedOn w:val="TableTextLeft"/>
    <w:qFormat/>
    <w:rsid w:val="008E6292"/>
    <w:pPr>
      <w:ind w:left="284"/>
    </w:pPr>
  </w:style>
  <w:style w:type="paragraph" w:customStyle="1" w:styleId="TableHeadingContinued">
    <w:name w:val="Table Heading Continued"/>
    <w:basedOn w:val="TableMainHeading"/>
    <w:next w:val="TableGraphic"/>
    <w:qFormat/>
    <w:rsid w:val="009A277C"/>
  </w:style>
  <w:style w:type="paragraph" w:customStyle="1" w:styleId="TableGraphic">
    <w:name w:val="Table Graphic"/>
    <w:basedOn w:val="HeadingBase"/>
    <w:next w:val="Normal"/>
    <w:qFormat/>
    <w:rsid w:val="008E6292"/>
    <w:pPr>
      <w:spacing w:after="0"/>
    </w:pPr>
  </w:style>
  <w:style w:type="paragraph" w:customStyle="1" w:styleId="HeaderEven">
    <w:name w:val="Header Even"/>
    <w:basedOn w:val="Header"/>
    <w:qFormat/>
    <w:rsid w:val="00A12F62"/>
    <w:pPr>
      <w:jc w:val="left"/>
    </w:pPr>
  </w:style>
  <w:style w:type="paragraph" w:customStyle="1" w:styleId="HeaderOdd">
    <w:name w:val="Header Odd"/>
    <w:basedOn w:val="Header"/>
    <w:qFormat/>
    <w:rsid w:val="00A12F62"/>
  </w:style>
  <w:style w:type="paragraph" w:styleId="FootnoteText">
    <w:name w:val="footnote text"/>
    <w:basedOn w:val="Normal"/>
    <w:link w:val="FootnoteTextChar"/>
    <w:uiPriority w:val="99"/>
    <w:rsid w:val="008C7F71"/>
    <w:pPr>
      <w:spacing w:before="0" w:after="0"/>
    </w:pPr>
    <w:rPr>
      <w:sz w:val="20"/>
    </w:rPr>
  </w:style>
  <w:style w:type="character" w:customStyle="1" w:styleId="FootnoteTextChar">
    <w:name w:val="Footnote Text Char"/>
    <w:basedOn w:val="DefaultParagraphFont"/>
    <w:link w:val="FootnoteText"/>
    <w:uiPriority w:val="99"/>
    <w:rsid w:val="008C7F71"/>
    <w:rPr>
      <w:rFonts w:ascii="Calibri" w:eastAsia="Times New Roman" w:hAnsi="Calibri" w:cs="Times New Roman"/>
      <w:sz w:val="20"/>
      <w:szCs w:val="20"/>
      <w:lang w:eastAsia="en-AU"/>
    </w:rPr>
  </w:style>
  <w:style w:type="character" w:styleId="FootnoteReference">
    <w:name w:val="footnote reference"/>
    <w:basedOn w:val="DefaultParagraphFont"/>
    <w:uiPriority w:val="99"/>
    <w:rsid w:val="004C41B6"/>
    <w:rPr>
      <w:rFonts w:ascii="Calibri" w:hAnsi="Calibri"/>
      <w:sz w:val="20"/>
      <w:vertAlign w:val="superscript"/>
    </w:rPr>
  </w:style>
  <w:style w:type="paragraph" w:styleId="BalloonText">
    <w:name w:val="Balloon Text"/>
    <w:basedOn w:val="Normal"/>
    <w:link w:val="BalloonTextChar"/>
    <w:uiPriority w:val="99"/>
    <w:semiHidden/>
    <w:unhideWhenUsed/>
    <w:rsid w:val="00C7231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318"/>
    <w:rPr>
      <w:rFonts w:ascii="Tahoma" w:eastAsia="Times New Roman" w:hAnsi="Tahoma" w:cs="Tahoma"/>
      <w:sz w:val="16"/>
      <w:szCs w:val="16"/>
      <w:lang w:eastAsia="en-AU"/>
    </w:rPr>
  </w:style>
  <w:style w:type="paragraph" w:customStyle="1" w:styleId="Introductionparagraph">
    <w:name w:val="Introduction paragraph"/>
    <w:basedOn w:val="Normal"/>
    <w:qFormat/>
    <w:rsid w:val="00092238"/>
    <w:pPr>
      <w:spacing w:after="240"/>
    </w:pPr>
    <w:rPr>
      <w:color w:val="002060"/>
      <w:sz w:val="28"/>
      <w:szCs w:val="32"/>
    </w:rPr>
  </w:style>
  <w:style w:type="paragraph" w:styleId="ListParagraph">
    <w:name w:val="List Paragraph"/>
    <w:basedOn w:val="Normal"/>
    <w:uiPriority w:val="34"/>
    <w:qFormat/>
    <w:rsid w:val="00A7467F"/>
    <w:pPr>
      <w:spacing w:before="0" w:after="0"/>
      <w:ind w:left="720"/>
    </w:pPr>
    <w:rPr>
      <w:szCs w:val="22"/>
      <w:lang w:eastAsia="en-US"/>
    </w:rPr>
  </w:style>
  <w:style w:type="paragraph" w:customStyle="1" w:styleId="SingleParagraph0">
    <w:name w:val="SingleParagraph"/>
    <w:basedOn w:val="Normal"/>
    <w:next w:val="Normal"/>
    <w:rsid w:val="00A7467F"/>
    <w:pPr>
      <w:keepNext/>
      <w:spacing w:before="0" w:after="0"/>
      <w:jc w:val="both"/>
    </w:pPr>
    <w:rPr>
      <w:rFonts w:ascii="Book Antiqua" w:hAnsi="Book Antiqua"/>
      <w:color w:val="000000"/>
      <w:sz w:val="20"/>
    </w:rPr>
  </w:style>
  <w:style w:type="paragraph" w:customStyle="1" w:styleId="TESHeading5">
    <w:name w:val="TES Heading 5"/>
    <w:basedOn w:val="Normal"/>
    <w:next w:val="Normal"/>
    <w:rsid w:val="00A7467F"/>
    <w:pPr>
      <w:keepNext/>
      <w:tabs>
        <w:tab w:val="left" w:pos="567"/>
      </w:tabs>
      <w:spacing w:before="240"/>
      <w:ind w:left="567" w:hanging="567"/>
    </w:pPr>
    <w:rPr>
      <w:rFonts w:ascii="Arial" w:hAnsi="Arial"/>
      <w:b/>
      <w:sz w:val="20"/>
    </w:rPr>
  </w:style>
  <w:style w:type="character" w:customStyle="1" w:styleId="BulletChar">
    <w:name w:val="Bullet Char"/>
    <w:aliases w:val="b + line Char Char,b Char,b Char Char,Body Char,Bullet + line Char,b + line Char,b1 Char,level 1 Char"/>
    <w:link w:val="Bullet"/>
    <w:rsid w:val="00A7467F"/>
    <w:rPr>
      <w:rFonts w:ascii="Calibri" w:eastAsia="Times New Roman" w:hAnsi="Calibri" w:cs="Times New Roman"/>
      <w:szCs w:val="20"/>
      <w:lang w:eastAsia="en-AU"/>
    </w:rPr>
  </w:style>
  <w:style w:type="character" w:styleId="CommentReference">
    <w:name w:val="annotation reference"/>
    <w:basedOn w:val="DefaultParagraphFont"/>
    <w:uiPriority w:val="99"/>
    <w:semiHidden/>
    <w:unhideWhenUsed/>
    <w:rsid w:val="00A7467F"/>
    <w:rPr>
      <w:sz w:val="16"/>
      <w:szCs w:val="16"/>
    </w:rPr>
  </w:style>
  <w:style w:type="paragraph" w:styleId="CommentText">
    <w:name w:val="annotation text"/>
    <w:basedOn w:val="Normal"/>
    <w:link w:val="CommentTextChar"/>
    <w:uiPriority w:val="99"/>
    <w:unhideWhenUsed/>
    <w:rsid w:val="00A7467F"/>
    <w:pPr>
      <w:spacing w:before="0" w:after="200"/>
    </w:pPr>
    <w:rPr>
      <w:rFonts w:asciiTheme="minorHAnsi" w:eastAsiaTheme="minorHAnsi" w:hAnsiTheme="minorHAnsi" w:cstheme="minorBidi"/>
      <w:sz w:val="20"/>
      <w:lang w:eastAsia="en-US"/>
    </w:rPr>
  </w:style>
  <w:style w:type="character" w:customStyle="1" w:styleId="CommentTextChar">
    <w:name w:val="Comment Text Char"/>
    <w:basedOn w:val="DefaultParagraphFont"/>
    <w:link w:val="CommentText"/>
    <w:uiPriority w:val="99"/>
    <w:rsid w:val="00A7467F"/>
    <w:rPr>
      <w:sz w:val="20"/>
      <w:szCs w:val="20"/>
    </w:rPr>
  </w:style>
  <w:style w:type="paragraph" w:customStyle="1" w:styleId="SecurityClassificationHeader">
    <w:name w:val="Security Classification Header"/>
    <w:link w:val="SecurityClassificationHeaderChar"/>
    <w:rsid w:val="00A24FB1"/>
    <w:pPr>
      <w:spacing w:before="240" w:after="60"/>
      <w:jc w:val="center"/>
    </w:pPr>
    <w:rPr>
      <w:rFonts w:ascii="Calibri" w:eastAsia="Times New Roman" w:hAnsi="Calibri" w:cs="Times New Roman"/>
      <w:b/>
      <w:caps/>
      <w:color w:val="004A7F"/>
      <w:sz w:val="24"/>
      <w:szCs w:val="20"/>
      <w:lang w:eastAsia="en-AU"/>
    </w:rPr>
  </w:style>
  <w:style w:type="character" w:customStyle="1" w:styleId="SecurityClassificationHeaderChar">
    <w:name w:val="Security Classification Header Char"/>
    <w:basedOn w:val="HeaderChar"/>
    <w:link w:val="SecurityClassificationHeader"/>
    <w:rsid w:val="00A24FB1"/>
    <w:rPr>
      <w:rFonts w:ascii="Calibri" w:eastAsia="Times New Roman" w:hAnsi="Calibri" w:cs="Times New Roman"/>
      <w:b/>
      <w:caps/>
      <w:color w:val="004A7F"/>
      <w:sz w:val="24"/>
      <w:szCs w:val="20"/>
      <w:lang w:eastAsia="en-AU"/>
    </w:rPr>
  </w:style>
  <w:style w:type="paragraph" w:customStyle="1" w:styleId="SecurityClassificationFooter">
    <w:name w:val="Security Classification Footer"/>
    <w:link w:val="SecurityClassificationFooterChar"/>
    <w:rsid w:val="00A24FB1"/>
    <w:pPr>
      <w:spacing w:before="60" w:after="240"/>
      <w:jc w:val="center"/>
    </w:pPr>
    <w:rPr>
      <w:rFonts w:ascii="Calibri" w:eastAsia="Times New Roman" w:hAnsi="Calibri" w:cs="Times New Roman"/>
      <w:b/>
      <w:caps/>
      <w:color w:val="004A7F"/>
      <w:sz w:val="24"/>
      <w:szCs w:val="20"/>
      <w:lang w:eastAsia="en-AU"/>
    </w:rPr>
  </w:style>
  <w:style w:type="character" w:customStyle="1" w:styleId="SecurityClassificationFooterChar">
    <w:name w:val="Security Classification Footer Char"/>
    <w:basedOn w:val="HeaderChar"/>
    <w:link w:val="SecurityClassificationFooter"/>
    <w:rsid w:val="00A24FB1"/>
    <w:rPr>
      <w:rFonts w:ascii="Calibri" w:eastAsia="Times New Roman" w:hAnsi="Calibri" w:cs="Times New Roman"/>
      <w:b/>
      <w:caps/>
      <w:color w:val="004A7F"/>
      <w:sz w:val="24"/>
      <w:szCs w:val="20"/>
      <w:lang w:eastAsia="en-AU"/>
    </w:rPr>
  </w:style>
  <w:style w:type="paragraph" w:customStyle="1" w:styleId="DLMSecurityHeader">
    <w:name w:val="DLM Security Header"/>
    <w:link w:val="DLMSecurityHeaderChar"/>
    <w:rsid w:val="00A24FB1"/>
    <w:pPr>
      <w:spacing w:before="60" w:after="240"/>
      <w:jc w:val="center"/>
    </w:pPr>
    <w:rPr>
      <w:rFonts w:ascii="Calibri" w:eastAsia="Times New Roman" w:hAnsi="Calibri" w:cs="Times New Roman"/>
      <w:b/>
      <w:caps/>
      <w:color w:val="004A7F"/>
      <w:sz w:val="24"/>
      <w:szCs w:val="20"/>
      <w:lang w:eastAsia="en-AU"/>
    </w:rPr>
  </w:style>
  <w:style w:type="character" w:customStyle="1" w:styleId="DLMSecurityHeaderChar">
    <w:name w:val="DLM Security Header Char"/>
    <w:basedOn w:val="HeaderChar"/>
    <w:link w:val="DLMSecurityHeader"/>
    <w:rsid w:val="00A24FB1"/>
    <w:rPr>
      <w:rFonts w:ascii="Calibri" w:eastAsia="Times New Roman" w:hAnsi="Calibri" w:cs="Times New Roman"/>
      <w:b/>
      <w:caps/>
      <w:color w:val="004A7F"/>
      <w:sz w:val="24"/>
      <w:szCs w:val="20"/>
      <w:lang w:eastAsia="en-AU"/>
    </w:rPr>
  </w:style>
  <w:style w:type="paragraph" w:customStyle="1" w:styleId="DLMSecurityFooter">
    <w:name w:val="DLM Security Footer"/>
    <w:link w:val="DLMSecurityFooterChar"/>
    <w:rsid w:val="00A24FB1"/>
    <w:pPr>
      <w:spacing w:before="240" w:after="60"/>
      <w:jc w:val="center"/>
    </w:pPr>
    <w:rPr>
      <w:rFonts w:ascii="Calibri" w:eastAsia="Times New Roman" w:hAnsi="Calibri" w:cs="Times New Roman"/>
      <w:b/>
      <w:caps/>
      <w:color w:val="004A7F"/>
      <w:sz w:val="24"/>
      <w:szCs w:val="20"/>
      <w:lang w:eastAsia="en-AU"/>
    </w:rPr>
  </w:style>
  <w:style w:type="character" w:customStyle="1" w:styleId="DLMSecurityFooterChar">
    <w:name w:val="DLM Security Footer Char"/>
    <w:basedOn w:val="HeaderChar"/>
    <w:link w:val="DLMSecurityFooter"/>
    <w:rsid w:val="00A24FB1"/>
    <w:rPr>
      <w:rFonts w:ascii="Calibri" w:eastAsia="Times New Roman" w:hAnsi="Calibri" w:cs="Times New Roman"/>
      <w:b/>
      <w:caps/>
      <w:color w:val="004A7F"/>
      <w:sz w:val="24"/>
      <w:szCs w:val="20"/>
      <w:lang w:eastAsia="en-AU"/>
    </w:rPr>
  </w:style>
  <w:style w:type="paragraph" w:styleId="CommentSubject">
    <w:name w:val="annotation subject"/>
    <w:basedOn w:val="CommentText"/>
    <w:next w:val="CommentText"/>
    <w:link w:val="CommentSubjectChar"/>
    <w:uiPriority w:val="99"/>
    <w:semiHidden/>
    <w:unhideWhenUsed/>
    <w:rsid w:val="00F878AA"/>
    <w:pPr>
      <w:spacing w:before="120" w:after="120"/>
    </w:pPr>
    <w:rPr>
      <w:rFonts w:ascii="Calibri" w:eastAsia="Times New Roman" w:hAnsi="Calibri" w:cs="Times New Roman"/>
      <w:b/>
      <w:bCs/>
      <w:lang w:eastAsia="en-AU"/>
    </w:rPr>
  </w:style>
  <w:style w:type="character" w:customStyle="1" w:styleId="CommentSubjectChar">
    <w:name w:val="Comment Subject Char"/>
    <w:basedOn w:val="CommentTextChar"/>
    <w:link w:val="CommentSubject"/>
    <w:uiPriority w:val="99"/>
    <w:semiHidden/>
    <w:rsid w:val="00F878AA"/>
    <w:rPr>
      <w:rFonts w:ascii="Calibri" w:eastAsia="Times New Roman" w:hAnsi="Calibri" w:cs="Times New Roman"/>
      <w:b/>
      <w:bCs/>
      <w:sz w:val="20"/>
      <w:szCs w:val="20"/>
      <w:lang w:eastAsia="en-AU"/>
    </w:rPr>
  </w:style>
  <w:style w:type="character" w:customStyle="1" w:styleId="DashChar">
    <w:name w:val="Dash Char"/>
    <w:basedOn w:val="DefaultParagraphFont"/>
    <w:link w:val="Dash"/>
    <w:rsid w:val="007975BB"/>
    <w:rPr>
      <w:rFonts w:ascii="Calibri" w:eastAsia="Times New Roman" w:hAnsi="Calibri" w:cs="Times New Roman"/>
      <w:szCs w:val="20"/>
      <w:lang w:eastAsia="en-AU"/>
    </w:rPr>
  </w:style>
  <w:style w:type="character" w:customStyle="1" w:styleId="OutlineNumbered1Char">
    <w:name w:val="Outline Numbered 1 Char"/>
    <w:basedOn w:val="DefaultParagraphFont"/>
    <w:link w:val="OutlineNumbered1"/>
    <w:rsid w:val="007975BB"/>
    <w:rPr>
      <w:rFonts w:ascii="Calibri" w:eastAsia="Times New Roman" w:hAnsi="Calibri" w:cs="Times New Roman"/>
      <w:szCs w:val="20"/>
      <w:lang w:eastAsia="en-AU"/>
    </w:rPr>
  </w:style>
  <w:style w:type="character" w:styleId="FollowedHyperlink">
    <w:name w:val="FollowedHyperlink"/>
    <w:basedOn w:val="DefaultParagraphFont"/>
    <w:uiPriority w:val="99"/>
    <w:semiHidden/>
    <w:unhideWhenUsed/>
    <w:rsid w:val="00140822"/>
    <w:rPr>
      <w:color w:val="954F72" w:themeColor="followedHyperlink"/>
      <w:u w:val="single"/>
    </w:rPr>
  </w:style>
  <w:style w:type="character" w:customStyle="1" w:styleId="UnresolvedMention1">
    <w:name w:val="Unresolved Mention1"/>
    <w:basedOn w:val="DefaultParagraphFont"/>
    <w:uiPriority w:val="99"/>
    <w:semiHidden/>
    <w:unhideWhenUsed/>
    <w:rsid w:val="008C2F12"/>
    <w:rPr>
      <w:color w:val="605E5C"/>
      <w:shd w:val="clear" w:color="auto" w:fill="E1DFDD"/>
    </w:rPr>
  </w:style>
  <w:style w:type="paragraph" w:styleId="Revision">
    <w:name w:val="Revision"/>
    <w:hidden/>
    <w:uiPriority w:val="99"/>
    <w:semiHidden/>
    <w:rsid w:val="00973831"/>
    <w:pPr>
      <w:spacing w:after="0" w:line="240" w:lineRule="auto"/>
    </w:pPr>
    <w:rPr>
      <w:rFonts w:ascii="Calibri" w:eastAsia="Times New Roman" w:hAnsi="Calibri" w:cs="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485388">
      <w:bodyDiv w:val="1"/>
      <w:marLeft w:val="0"/>
      <w:marRight w:val="0"/>
      <w:marTop w:val="0"/>
      <w:marBottom w:val="0"/>
      <w:divBdr>
        <w:top w:val="none" w:sz="0" w:space="0" w:color="auto"/>
        <w:left w:val="none" w:sz="0" w:space="0" w:color="auto"/>
        <w:bottom w:val="none" w:sz="0" w:space="0" w:color="auto"/>
        <w:right w:val="none" w:sz="0" w:space="0" w:color="auto"/>
      </w:divBdr>
    </w:div>
    <w:div w:id="279145611">
      <w:bodyDiv w:val="1"/>
      <w:marLeft w:val="0"/>
      <w:marRight w:val="0"/>
      <w:marTop w:val="0"/>
      <w:marBottom w:val="0"/>
      <w:divBdr>
        <w:top w:val="none" w:sz="0" w:space="0" w:color="auto"/>
        <w:left w:val="none" w:sz="0" w:space="0" w:color="auto"/>
        <w:bottom w:val="none" w:sz="0" w:space="0" w:color="auto"/>
        <w:right w:val="none" w:sz="0" w:space="0" w:color="auto"/>
      </w:divBdr>
    </w:div>
    <w:div w:id="338390796">
      <w:bodyDiv w:val="1"/>
      <w:marLeft w:val="0"/>
      <w:marRight w:val="0"/>
      <w:marTop w:val="0"/>
      <w:marBottom w:val="0"/>
      <w:divBdr>
        <w:top w:val="none" w:sz="0" w:space="0" w:color="auto"/>
        <w:left w:val="none" w:sz="0" w:space="0" w:color="auto"/>
        <w:bottom w:val="none" w:sz="0" w:space="0" w:color="auto"/>
        <w:right w:val="none" w:sz="0" w:space="0" w:color="auto"/>
      </w:divBdr>
    </w:div>
    <w:div w:id="400251306">
      <w:bodyDiv w:val="1"/>
      <w:marLeft w:val="0"/>
      <w:marRight w:val="0"/>
      <w:marTop w:val="0"/>
      <w:marBottom w:val="0"/>
      <w:divBdr>
        <w:top w:val="none" w:sz="0" w:space="0" w:color="auto"/>
        <w:left w:val="none" w:sz="0" w:space="0" w:color="auto"/>
        <w:bottom w:val="none" w:sz="0" w:space="0" w:color="auto"/>
        <w:right w:val="none" w:sz="0" w:space="0" w:color="auto"/>
      </w:divBdr>
    </w:div>
    <w:div w:id="413472718">
      <w:bodyDiv w:val="1"/>
      <w:marLeft w:val="0"/>
      <w:marRight w:val="0"/>
      <w:marTop w:val="0"/>
      <w:marBottom w:val="0"/>
      <w:divBdr>
        <w:top w:val="none" w:sz="0" w:space="0" w:color="auto"/>
        <w:left w:val="none" w:sz="0" w:space="0" w:color="auto"/>
        <w:bottom w:val="none" w:sz="0" w:space="0" w:color="auto"/>
        <w:right w:val="none" w:sz="0" w:space="0" w:color="auto"/>
      </w:divBdr>
    </w:div>
    <w:div w:id="430587190">
      <w:bodyDiv w:val="1"/>
      <w:marLeft w:val="0"/>
      <w:marRight w:val="0"/>
      <w:marTop w:val="0"/>
      <w:marBottom w:val="0"/>
      <w:divBdr>
        <w:top w:val="none" w:sz="0" w:space="0" w:color="auto"/>
        <w:left w:val="none" w:sz="0" w:space="0" w:color="auto"/>
        <w:bottom w:val="none" w:sz="0" w:space="0" w:color="auto"/>
        <w:right w:val="none" w:sz="0" w:space="0" w:color="auto"/>
      </w:divBdr>
    </w:div>
    <w:div w:id="451022649">
      <w:bodyDiv w:val="1"/>
      <w:marLeft w:val="0"/>
      <w:marRight w:val="0"/>
      <w:marTop w:val="0"/>
      <w:marBottom w:val="0"/>
      <w:divBdr>
        <w:top w:val="none" w:sz="0" w:space="0" w:color="auto"/>
        <w:left w:val="none" w:sz="0" w:space="0" w:color="auto"/>
        <w:bottom w:val="none" w:sz="0" w:space="0" w:color="auto"/>
        <w:right w:val="none" w:sz="0" w:space="0" w:color="auto"/>
      </w:divBdr>
    </w:div>
    <w:div w:id="453334356">
      <w:bodyDiv w:val="1"/>
      <w:marLeft w:val="0"/>
      <w:marRight w:val="0"/>
      <w:marTop w:val="0"/>
      <w:marBottom w:val="0"/>
      <w:divBdr>
        <w:top w:val="none" w:sz="0" w:space="0" w:color="auto"/>
        <w:left w:val="none" w:sz="0" w:space="0" w:color="auto"/>
        <w:bottom w:val="none" w:sz="0" w:space="0" w:color="auto"/>
        <w:right w:val="none" w:sz="0" w:space="0" w:color="auto"/>
      </w:divBdr>
    </w:div>
    <w:div w:id="467476162">
      <w:bodyDiv w:val="1"/>
      <w:marLeft w:val="0"/>
      <w:marRight w:val="0"/>
      <w:marTop w:val="0"/>
      <w:marBottom w:val="0"/>
      <w:divBdr>
        <w:top w:val="none" w:sz="0" w:space="0" w:color="auto"/>
        <w:left w:val="none" w:sz="0" w:space="0" w:color="auto"/>
        <w:bottom w:val="none" w:sz="0" w:space="0" w:color="auto"/>
        <w:right w:val="none" w:sz="0" w:space="0" w:color="auto"/>
      </w:divBdr>
    </w:div>
    <w:div w:id="494305023">
      <w:bodyDiv w:val="1"/>
      <w:marLeft w:val="0"/>
      <w:marRight w:val="0"/>
      <w:marTop w:val="0"/>
      <w:marBottom w:val="0"/>
      <w:divBdr>
        <w:top w:val="none" w:sz="0" w:space="0" w:color="auto"/>
        <w:left w:val="none" w:sz="0" w:space="0" w:color="auto"/>
        <w:bottom w:val="none" w:sz="0" w:space="0" w:color="auto"/>
        <w:right w:val="none" w:sz="0" w:space="0" w:color="auto"/>
      </w:divBdr>
    </w:div>
    <w:div w:id="514618255">
      <w:bodyDiv w:val="1"/>
      <w:marLeft w:val="0"/>
      <w:marRight w:val="0"/>
      <w:marTop w:val="0"/>
      <w:marBottom w:val="0"/>
      <w:divBdr>
        <w:top w:val="none" w:sz="0" w:space="0" w:color="auto"/>
        <w:left w:val="none" w:sz="0" w:space="0" w:color="auto"/>
        <w:bottom w:val="none" w:sz="0" w:space="0" w:color="auto"/>
        <w:right w:val="none" w:sz="0" w:space="0" w:color="auto"/>
      </w:divBdr>
    </w:div>
    <w:div w:id="583346807">
      <w:bodyDiv w:val="1"/>
      <w:marLeft w:val="0"/>
      <w:marRight w:val="0"/>
      <w:marTop w:val="0"/>
      <w:marBottom w:val="0"/>
      <w:divBdr>
        <w:top w:val="none" w:sz="0" w:space="0" w:color="auto"/>
        <w:left w:val="none" w:sz="0" w:space="0" w:color="auto"/>
        <w:bottom w:val="none" w:sz="0" w:space="0" w:color="auto"/>
        <w:right w:val="none" w:sz="0" w:space="0" w:color="auto"/>
      </w:divBdr>
    </w:div>
    <w:div w:id="588273355">
      <w:bodyDiv w:val="1"/>
      <w:marLeft w:val="0"/>
      <w:marRight w:val="0"/>
      <w:marTop w:val="0"/>
      <w:marBottom w:val="0"/>
      <w:divBdr>
        <w:top w:val="none" w:sz="0" w:space="0" w:color="auto"/>
        <w:left w:val="none" w:sz="0" w:space="0" w:color="auto"/>
        <w:bottom w:val="none" w:sz="0" w:space="0" w:color="auto"/>
        <w:right w:val="none" w:sz="0" w:space="0" w:color="auto"/>
      </w:divBdr>
    </w:div>
    <w:div w:id="602760344">
      <w:bodyDiv w:val="1"/>
      <w:marLeft w:val="0"/>
      <w:marRight w:val="0"/>
      <w:marTop w:val="0"/>
      <w:marBottom w:val="0"/>
      <w:divBdr>
        <w:top w:val="none" w:sz="0" w:space="0" w:color="auto"/>
        <w:left w:val="none" w:sz="0" w:space="0" w:color="auto"/>
        <w:bottom w:val="none" w:sz="0" w:space="0" w:color="auto"/>
        <w:right w:val="none" w:sz="0" w:space="0" w:color="auto"/>
      </w:divBdr>
    </w:div>
    <w:div w:id="620723956">
      <w:bodyDiv w:val="1"/>
      <w:marLeft w:val="0"/>
      <w:marRight w:val="0"/>
      <w:marTop w:val="0"/>
      <w:marBottom w:val="0"/>
      <w:divBdr>
        <w:top w:val="none" w:sz="0" w:space="0" w:color="auto"/>
        <w:left w:val="none" w:sz="0" w:space="0" w:color="auto"/>
        <w:bottom w:val="none" w:sz="0" w:space="0" w:color="auto"/>
        <w:right w:val="none" w:sz="0" w:space="0" w:color="auto"/>
      </w:divBdr>
    </w:div>
    <w:div w:id="659776274">
      <w:bodyDiv w:val="1"/>
      <w:marLeft w:val="0"/>
      <w:marRight w:val="0"/>
      <w:marTop w:val="0"/>
      <w:marBottom w:val="0"/>
      <w:divBdr>
        <w:top w:val="none" w:sz="0" w:space="0" w:color="auto"/>
        <w:left w:val="none" w:sz="0" w:space="0" w:color="auto"/>
        <w:bottom w:val="none" w:sz="0" w:space="0" w:color="auto"/>
        <w:right w:val="none" w:sz="0" w:space="0" w:color="auto"/>
      </w:divBdr>
    </w:div>
    <w:div w:id="665747447">
      <w:bodyDiv w:val="1"/>
      <w:marLeft w:val="0"/>
      <w:marRight w:val="0"/>
      <w:marTop w:val="0"/>
      <w:marBottom w:val="0"/>
      <w:divBdr>
        <w:top w:val="none" w:sz="0" w:space="0" w:color="auto"/>
        <w:left w:val="none" w:sz="0" w:space="0" w:color="auto"/>
        <w:bottom w:val="none" w:sz="0" w:space="0" w:color="auto"/>
        <w:right w:val="none" w:sz="0" w:space="0" w:color="auto"/>
      </w:divBdr>
    </w:div>
    <w:div w:id="691492268">
      <w:bodyDiv w:val="1"/>
      <w:marLeft w:val="0"/>
      <w:marRight w:val="0"/>
      <w:marTop w:val="0"/>
      <w:marBottom w:val="0"/>
      <w:divBdr>
        <w:top w:val="none" w:sz="0" w:space="0" w:color="auto"/>
        <w:left w:val="none" w:sz="0" w:space="0" w:color="auto"/>
        <w:bottom w:val="none" w:sz="0" w:space="0" w:color="auto"/>
        <w:right w:val="none" w:sz="0" w:space="0" w:color="auto"/>
      </w:divBdr>
    </w:div>
    <w:div w:id="727260887">
      <w:bodyDiv w:val="1"/>
      <w:marLeft w:val="0"/>
      <w:marRight w:val="0"/>
      <w:marTop w:val="0"/>
      <w:marBottom w:val="0"/>
      <w:divBdr>
        <w:top w:val="none" w:sz="0" w:space="0" w:color="auto"/>
        <w:left w:val="none" w:sz="0" w:space="0" w:color="auto"/>
        <w:bottom w:val="none" w:sz="0" w:space="0" w:color="auto"/>
        <w:right w:val="none" w:sz="0" w:space="0" w:color="auto"/>
      </w:divBdr>
    </w:div>
    <w:div w:id="776871881">
      <w:bodyDiv w:val="1"/>
      <w:marLeft w:val="0"/>
      <w:marRight w:val="0"/>
      <w:marTop w:val="0"/>
      <w:marBottom w:val="0"/>
      <w:divBdr>
        <w:top w:val="none" w:sz="0" w:space="0" w:color="auto"/>
        <w:left w:val="none" w:sz="0" w:space="0" w:color="auto"/>
        <w:bottom w:val="none" w:sz="0" w:space="0" w:color="auto"/>
        <w:right w:val="none" w:sz="0" w:space="0" w:color="auto"/>
      </w:divBdr>
    </w:div>
    <w:div w:id="779183629">
      <w:bodyDiv w:val="1"/>
      <w:marLeft w:val="0"/>
      <w:marRight w:val="0"/>
      <w:marTop w:val="0"/>
      <w:marBottom w:val="0"/>
      <w:divBdr>
        <w:top w:val="none" w:sz="0" w:space="0" w:color="auto"/>
        <w:left w:val="none" w:sz="0" w:space="0" w:color="auto"/>
        <w:bottom w:val="none" w:sz="0" w:space="0" w:color="auto"/>
        <w:right w:val="none" w:sz="0" w:space="0" w:color="auto"/>
      </w:divBdr>
    </w:div>
    <w:div w:id="898327663">
      <w:bodyDiv w:val="1"/>
      <w:marLeft w:val="0"/>
      <w:marRight w:val="0"/>
      <w:marTop w:val="0"/>
      <w:marBottom w:val="0"/>
      <w:divBdr>
        <w:top w:val="none" w:sz="0" w:space="0" w:color="auto"/>
        <w:left w:val="none" w:sz="0" w:space="0" w:color="auto"/>
        <w:bottom w:val="none" w:sz="0" w:space="0" w:color="auto"/>
        <w:right w:val="none" w:sz="0" w:space="0" w:color="auto"/>
      </w:divBdr>
    </w:div>
    <w:div w:id="936451555">
      <w:bodyDiv w:val="1"/>
      <w:marLeft w:val="0"/>
      <w:marRight w:val="0"/>
      <w:marTop w:val="0"/>
      <w:marBottom w:val="0"/>
      <w:divBdr>
        <w:top w:val="none" w:sz="0" w:space="0" w:color="auto"/>
        <w:left w:val="none" w:sz="0" w:space="0" w:color="auto"/>
        <w:bottom w:val="none" w:sz="0" w:space="0" w:color="auto"/>
        <w:right w:val="none" w:sz="0" w:space="0" w:color="auto"/>
      </w:divBdr>
      <w:divsChild>
        <w:div w:id="1641153994">
          <w:marLeft w:val="446"/>
          <w:marRight w:val="0"/>
          <w:marTop w:val="0"/>
          <w:marBottom w:val="0"/>
          <w:divBdr>
            <w:top w:val="none" w:sz="0" w:space="0" w:color="auto"/>
            <w:left w:val="none" w:sz="0" w:space="0" w:color="auto"/>
            <w:bottom w:val="none" w:sz="0" w:space="0" w:color="auto"/>
            <w:right w:val="none" w:sz="0" w:space="0" w:color="auto"/>
          </w:divBdr>
        </w:div>
        <w:div w:id="192694941">
          <w:marLeft w:val="446"/>
          <w:marRight w:val="0"/>
          <w:marTop w:val="0"/>
          <w:marBottom w:val="0"/>
          <w:divBdr>
            <w:top w:val="none" w:sz="0" w:space="0" w:color="auto"/>
            <w:left w:val="none" w:sz="0" w:space="0" w:color="auto"/>
            <w:bottom w:val="none" w:sz="0" w:space="0" w:color="auto"/>
            <w:right w:val="none" w:sz="0" w:space="0" w:color="auto"/>
          </w:divBdr>
        </w:div>
        <w:div w:id="587081181">
          <w:marLeft w:val="360"/>
          <w:marRight w:val="0"/>
          <w:marTop w:val="0"/>
          <w:marBottom w:val="0"/>
          <w:divBdr>
            <w:top w:val="none" w:sz="0" w:space="0" w:color="auto"/>
            <w:left w:val="none" w:sz="0" w:space="0" w:color="auto"/>
            <w:bottom w:val="none" w:sz="0" w:space="0" w:color="auto"/>
            <w:right w:val="none" w:sz="0" w:space="0" w:color="auto"/>
          </w:divBdr>
        </w:div>
        <w:div w:id="1128399306">
          <w:marLeft w:val="360"/>
          <w:marRight w:val="0"/>
          <w:marTop w:val="0"/>
          <w:marBottom w:val="0"/>
          <w:divBdr>
            <w:top w:val="none" w:sz="0" w:space="0" w:color="auto"/>
            <w:left w:val="none" w:sz="0" w:space="0" w:color="auto"/>
            <w:bottom w:val="none" w:sz="0" w:space="0" w:color="auto"/>
            <w:right w:val="none" w:sz="0" w:space="0" w:color="auto"/>
          </w:divBdr>
        </w:div>
        <w:div w:id="1508591155">
          <w:marLeft w:val="360"/>
          <w:marRight w:val="0"/>
          <w:marTop w:val="0"/>
          <w:marBottom w:val="0"/>
          <w:divBdr>
            <w:top w:val="none" w:sz="0" w:space="0" w:color="auto"/>
            <w:left w:val="none" w:sz="0" w:space="0" w:color="auto"/>
            <w:bottom w:val="none" w:sz="0" w:space="0" w:color="auto"/>
            <w:right w:val="none" w:sz="0" w:space="0" w:color="auto"/>
          </w:divBdr>
        </w:div>
        <w:div w:id="263340438">
          <w:marLeft w:val="1166"/>
          <w:marRight w:val="0"/>
          <w:marTop w:val="0"/>
          <w:marBottom w:val="0"/>
          <w:divBdr>
            <w:top w:val="none" w:sz="0" w:space="0" w:color="auto"/>
            <w:left w:val="none" w:sz="0" w:space="0" w:color="auto"/>
            <w:bottom w:val="none" w:sz="0" w:space="0" w:color="auto"/>
            <w:right w:val="none" w:sz="0" w:space="0" w:color="auto"/>
          </w:divBdr>
        </w:div>
        <w:div w:id="1803959707">
          <w:marLeft w:val="1166"/>
          <w:marRight w:val="0"/>
          <w:marTop w:val="0"/>
          <w:marBottom w:val="0"/>
          <w:divBdr>
            <w:top w:val="none" w:sz="0" w:space="0" w:color="auto"/>
            <w:left w:val="none" w:sz="0" w:space="0" w:color="auto"/>
            <w:bottom w:val="none" w:sz="0" w:space="0" w:color="auto"/>
            <w:right w:val="none" w:sz="0" w:space="0" w:color="auto"/>
          </w:divBdr>
        </w:div>
        <w:div w:id="119417726">
          <w:marLeft w:val="446"/>
          <w:marRight w:val="0"/>
          <w:marTop w:val="0"/>
          <w:marBottom w:val="0"/>
          <w:divBdr>
            <w:top w:val="none" w:sz="0" w:space="0" w:color="auto"/>
            <w:left w:val="none" w:sz="0" w:space="0" w:color="auto"/>
            <w:bottom w:val="none" w:sz="0" w:space="0" w:color="auto"/>
            <w:right w:val="none" w:sz="0" w:space="0" w:color="auto"/>
          </w:divBdr>
        </w:div>
        <w:div w:id="1090084742">
          <w:marLeft w:val="446"/>
          <w:marRight w:val="0"/>
          <w:marTop w:val="0"/>
          <w:marBottom w:val="0"/>
          <w:divBdr>
            <w:top w:val="none" w:sz="0" w:space="0" w:color="auto"/>
            <w:left w:val="none" w:sz="0" w:space="0" w:color="auto"/>
            <w:bottom w:val="none" w:sz="0" w:space="0" w:color="auto"/>
            <w:right w:val="none" w:sz="0" w:space="0" w:color="auto"/>
          </w:divBdr>
        </w:div>
      </w:divsChild>
    </w:div>
    <w:div w:id="945187262">
      <w:bodyDiv w:val="1"/>
      <w:marLeft w:val="0"/>
      <w:marRight w:val="0"/>
      <w:marTop w:val="0"/>
      <w:marBottom w:val="0"/>
      <w:divBdr>
        <w:top w:val="none" w:sz="0" w:space="0" w:color="auto"/>
        <w:left w:val="none" w:sz="0" w:space="0" w:color="auto"/>
        <w:bottom w:val="none" w:sz="0" w:space="0" w:color="auto"/>
        <w:right w:val="none" w:sz="0" w:space="0" w:color="auto"/>
      </w:divBdr>
    </w:div>
    <w:div w:id="978341286">
      <w:bodyDiv w:val="1"/>
      <w:marLeft w:val="0"/>
      <w:marRight w:val="0"/>
      <w:marTop w:val="0"/>
      <w:marBottom w:val="0"/>
      <w:divBdr>
        <w:top w:val="none" w:sz="0" w:space="0" w:color="auto"/>
        <w:left w:val="none" w:sz="0" w:space="0" w:color="auto"/>
        <w:bottom w:val="none" w:sz="0" w:space="0" w:color="auto"/>
        <w:right w:val="none" w:sz="0" w:space="0" w:color="auto"/>
      </w:divBdr>
    </w:div>
    <w:div w:id="1075736463">
      <w:bodyDiv w:val="1"/>
      <w:marLeft w:val="0"/>
      <w:marRight w:val="0"/>
      <w:marTop w:val="0"/>
      <w:marBottom w:val="0"/>
      <w:divBdr>
        <w:top w:val="none" w:sz="0" w:space="0" w:color="auto"/>
        <w:left w:val="none" w:sz="0" w:space="0" w:color="auto"/>
        <w:bottom w:val="none" w:sz="0" w:space="0" w:color="auto"/>
        <w:right w:val="none" w:sz="0" w:space="0" w:color="auto"/>
      </w:divBdr>
      <w:divsChild>
        <w:div w:id="1348405775">
          <w:marLeft w:val="446"/>
          <w:marRight w:val="0"/>
          <w:marTop w:val="0"/>
          <w:marBottom w:val="0"/>
          <w:divBdr>
            <w:top w:val="none" w:sz="0" w:space="0" w:color="auto"/>
            <w:left w:val="none" w:sz="0" w:space="0" w:color="auto"/>
            <w:bottom w:val="none" w:sz="0" w:space="0" w:color="auto"/>
            <w:right w:val="none" w:sz="0" w:space="0" w:color="auto"/>
          </w:divBdr>
        </w:div>
        <w:div w:id="1708294074">
          <w:marLeft w:val="446"/>
          <w:marRight w:val="0"/>
          <w:marTop w:val="0"/>
          <w:marBottom w:val="0"/>
          <w:divBdr>
            <w:top w:val="none" w:sz="0" w:space="0" w:color="auto"/>
            <w:left w:val="none" w:sz="0" w:space="0" w:color="auto"/>
            <w:bottom w:val="none" w:sz="0" w:space="0" w:color="auto"/>
            <w:right w:val="none" w:sz="0" w:space="0" w:color="auto"/>
          </w:divBdr>
        </w:div>
        <w:div w:id="969168706">
          <w:marLeft w:val="360"/>
          <w:marRight w:val="0"/>
          <w:marTop w:val="0"/>
          <w:marBottom w:val="0"/>
          <w:divBdr>
            <w:top w:val="none" w:sz="0" w:space="0" w:color="auto"/>
            <w:left w:val="none" w:sz="0" w:space="0" w:color="auto"/>
            <w:bottom w:val="none" w:sz="0" w:space="0" w:color="auto"/>
            <w:right w:val="none" w:sz="0" w:space="0" w:color="auto"/>
          </w:divBdr>
        </w:div>
        <w:div w:id="2103793173">
          <w:marLeft w:val="360"/>
          <w:marRight w:val="0"/>
          <w:marTop w:val="0"/>
          <w:marBottom w:val="0"/>
          <w:divBdr>
            <w:top w:val="none" w:sz="0" w:space="0" w:color="auto"/>
            <w:left w:val="none" w:sz="0" w:space="0" w:color="auto"/>
            <w:bottom w:val="none" w:sz="0" w:space="0" w:color="auto"/>
            <w:right w:val="none" w:sz="0" w:space="0" w:color="auto"/>
          </w:divBdr>
        </w:div>
        <w:div w:id="60568591">
          <w:marLeft w:val="360"/>
          <w:marRight w:val="0"/>
          <w:marTop w:val="0"/>
          <w:marBottom w:val="0"/>
          <w:divBdr>
            <w:top w:val="none" w:sz="0" w:space="0" w:color="auto"/>
            <w:left w:val="none" w:sz="0" w:space="0" w:color="auto"/>
            <w:bottom w:val="none" w:sz="0" w:space="0" w:color="auto"/>
            <w:right w:val="none" w:sz="0" w:space="0" w:color="auto"/>
          </w:divBdr>
        </w:div>
        <w:div w:id="1691030821">
          <w:marLeft w:val="1166"/>
          <w:marRight w:val="0"/>
          <w:marTop w:val="0"/>
          <w:marBottom w:val="0"/>
          <w:divBdr>
            <w:top w:val="none" w:sz="0" w:space="0" w:color="auto"/>
            <w:left w:val="none" w:sz="0" w:space="0" w:color="auto"/>
            <w:bottom w:val="none" w:sz="0" w:space="0" w:color="auto"/>
            <w:right w:val="none" w:sz="0" w:space="0" w:color="auto"/>
          </w:divBdr>
        </w:div>
        <w:div w:id="1106729164">
          <w:marLeft w:val="1166"/>
          <w:marRight w:val="0"/>
          <w:marTop w:val="0"/>
          <w:marBottom w:val="0"/>
          <w:divBdr>
            <w:top w:val="none" w:sz="0" w:space="0" w:color="auto"/>
            <w:left w:val="none" w:sz="0" w:space="0" w:color="auto"/>
            <w:bottom w:val="none" w:sz="0" w:space="0" w:color="auto"/>
            <w:right w:val="none" w:sz="0" w:space="0" w:color="auto"/>
          </w:divBdr>
        </w:div>
        <w:div w:id="1807042938">
          <w:marLeft w:val="446"/>
          <w:marRight w:val="0"/>
          <w:marTop w:val="0"/>
          <w:marBottom w:val="0"/>
          <w:divBdr>
            <w:top w:val="none" w:sz="0" w:space="0" w:color="auto"/>
            <w:left w:val="none" w:sz="0" w:space="0" w:color="auto"/>
            <w:bottom w:val="none" w:sz="0" w:space="0" w:color="auto"/>
            <w:right w:val="none" w:sz="0" w:space="0" w:color="auto"/>
          </w:divBdr>
        </w:div>
        <w:div w:id="797139786">
          <w:marLeft w:val="446"/>
          <w:marRight w:val="0"/>
          <w:marTop w:val="0"/>
          <w:marBottom w:val="0"/>
          <w:divBdr>
            <w:top w:val="none" w:sz="0" w:space="0" w:color="auto"/>
            <w:left w:val="none" w:sz="0" w:space="0" w:color="auto"/>
            <w:bottom w:val="none" w:sz="0" w:space="0" w:color="auto"/>
            <w:right w:val="none" w:sz="0" w:space="0" w:color="auto"/>
          </w:divBdr>
        </w:div>
      </w:divsChild>
    </w:div>
    <w:div w:id="1084375349">
      <w:bodyDiv w:val="1"/>
      <w:marLeft w:val="0"/>
      <w:marRight w:val="0"/>
      <w:marTop w:val="0"/>
      <w:marBottom w:val="0"/>
      <w:divBdr>
        <w:top w:val="none" w:sz="0" w:space="0" w:color="auto"/>
        <w:left w:val="none" w:sz="0" w:space="0" w:color="auto"/>
        <w:bottom w:val="none" w:sz="0" w:space="0" w:color="auto"/>
        <w:right w:val="none" w:sz="0" w:space="0" w:color="auto"/>
      </w:divBdr>
    </w:div>
    <w:div w:id="1106538248">
      <w:bodyDiv w:val="1"/>
      <w:marLeft w:val="0"/>
      <w:marRight w:val="0"/>
      <w:marTop w:val="0"/>
      <w:marBottom w:val="0"/>
      <w:divBdr>
        <w:top w:val="none" w:sz="0" w:space="0" w:color="auto"/>
        <w:left w:val="none" w:sz="0" w:space="0" w:color="auto"/>
        <w:bottom w:val="none" w:sz="0" w:space="0" w:color="auto"/>
        <w:right w:val="none" w:sz="0" w:space="0" w:color="auto"/>
      </w:divBdr>
    </w:div>
    <w:div w:id="1130131932">
      <w:bodyDiv w:val="1"/>
      <w:marLeft w:val="0"/>
      <w:marRight w:val="0"/>
      <w:marTop w:val="0"/>
      <w:marBottom w:val="0"/>
      <w:divBdr>
        <w:top w:val="none" w:sz="0" w:space="0" w:color="auto"/>
        <w:left w:val="none" w:sz="0" w:space="0" w:color="auto"/>
        <w:bottom w:val="none" w:sz="0" w:space="0" w:color="auto"/>
        <w:right w:val="none" w:sz="0" w:space="0" w:color="auto"/>
      </w:divBdr>
    </w:div>
    <w:div w:id="1144660644">
      <w:bodyDiv w:val="1"/>
      <w:marLeft w:val="0"/>
      <w:marRight w:val="0"/>
      <w:marTop w:val="0"/>
      <w:marBottom w:val="0"/>
      <w:divBdr>
        <w:top w:val="none" w:sz="0" w:space="0" w:color="auto"/>
        <w:left w:val="none" w:sz="0" w:space="0" w:color="auto"/>
        <w:bottom w:val="none" w:sz="0" w:space="0" w:color="auto"/>
        <w:right w:val="none" w:sz="0" w:space="0" w:color="auto"/>
      </w:divBdr>
    </w:div>
    <w:div w:id="1180387597">
      <w:bodyDiv w:val="1"/>
      <w:marLeft w:val="0"/>
      <w:marRight w:val="0"/>
      <w:marTop w:val="0"/>
      <w:marBottom w:val="0"/>
      <w:divBdr>
        <w:top w:val="none" w:sz="0" w:space="0" w:color="auto"/>
        <w:left w:val="none" w:sz="0" w:space="0" w:color="auto"/>
        <w:bottom w:val="none" w:sz="0" w:space="0" w:color="auto"/>
        <w:right w:val="none" w:sz="0" w:space="0" w:color="auto"/>
      </w:divBdr>
    </w:div>
    <w:div w:id="1230072105">
      <w:bodyDiv w:val="1"/>
      <w:marLeft w:val="0"/>
      <w:marRight w:val="0"/>
      <w:marTop w:val="0"/>
      <w:marBottom w:val="0"/>
      <w:divBdr>
        <w:top w:val="none" w:sz="0" w:space="0" w:color="auto"/>
        <w:left w:val="none" w:sz="0" w:space="0" w:color="auto"/>
        <w:bottom w:val="none" w:sz="0" w:space="0" w:color="auto"/>
        <w:right w:val="none" w:sz="0" w:space="0" w:color="auto"/>
      </w:divBdr>
    </w:div>
    <w:div w:id="1338581093">
      <w:bodyDiv w:val="1"/>
      <w:marLeft w:val="0"/>
      <w:marRight w:val="0"/>
      <w:marTop w:val="0"/>
      <w:marBottom w:val="0"/>
      <w:divBdr>
        <w:top w:val="none" w:sz="0" w:space="0" w:color="auto"/>
        <w:left w:val="none" w:sz="0" w:space="0" w:color="auto"/>
        <w:bottom w:val="none" w:sz="0" w:space="0" w:color="auto"/>
        <w:right w:val="none" w:sz="0" w:space="0" w:color="auto"/>
      </w:divBdr>
    </w:div>
    <w:div w:id="1394087336">
      <w:bodyDiv w:val="1"/>
      <w:marLeft w:val="0"/>
      <w:marRight w:val="0"/>
      <w:marTop w:val="0"/>
      <w:marBottom w:val="0"/>
      <w:divBdr>
        <w:top w:val="none" w:sz="0" w:space="0" w:color="auto"/>
        <w:left w:val="none" w:sz="0" w:space="0" w:color="auto"/>
        <w:bottom w:val="none" w:sz="0" w:space="0" w:color="auto"/>
        <w:right w:val="none" w:sz="0" w:space="0" w:color="auto"/>
      </w:divBdr>
    </w:div>
    <w:div w:id="1432773029">
      <w:bodyDiv w:val="1"/>
      <w:marLeft w:val="0"/>
      <w:marRight w:val="0"/>
      <w:marTop w:val="0"/>
      <w:marBottom w:val="0"/>
      <w:divBdr>
        <w:top w:val="none" w:sz="0" w:space="0" w:color="auto"/>
        <w:left w:val="none" w:sz="0" w:space="0" w:color="auto"/>
        <w:bottom w:val="none" w:sz="0" w:space="0" w:color="auto"/>
        <w:right w:val="none" w:sz="0" w:space="0" w:color="auto"/>
      </w:divBdr>
      <w:divsChild>
        <w:div w:id="1070999753">
          <w:marLeft w:val="0"/>
          <w:marRight w:val="0"/>
          <w:marTop w:val="0"/>
          <w:marBottom w:val="240"/>
          <w:divBdr>
            <w:top w:val="none" w:sz="0" w:space="0" w:color="auto"/>
            <w:left w:val="none" w:sz="0" w:space="0" w:color="auto"/>
            <w:bottom w:val="none" w:sz="0" w:space="0" w:color="auto"/>
            <w:right w:val="none" w:sz="0" w:space="0" w:color="auto"/>
          </w:divBdr>
        </w:div>
        <w:div w:id="683046412">
          <w:marLeft w:val="0"/>
          <w:marRight w:val="0"/>
          <w:marTop w:val="0"/>
          <w:marBottom w:val="240"/>
          <w:divBdr>
            <w:top w:val="none" w:sz="0" w:space="0" w:color="auto"/>
            <w:left w:val="none" w:sz="0" w:space="0" w:color="auto"/>
            <w:bottom w:val="none" w:sz="0" w:space="0" w:color="auto"/>
            <w:right w:val="none" w:sz="0" w:space="0" w:color="auto"/>
          </w:divBdr>
        </w:div>
        <w:div w:id="1370447010">
          <w:marLeft w:val="0"/>
          <w:marRight w:val="0"/>
          <w:marTop w:val="0"/>
          <w:marBottom w:val="240"/>
          <w:divBdr>
            <w:top w:val="none" w:sz="0" w:space="0" w:color="auto"/>
            <w:left w:val="none" w:sz="0" w:space="0" w:color="auto"/>
            <w:bottom w:val="none" w:sz="0" w:space="0" w:color="auto"/>
            <w:right w:val="none" w:sz="0" w:space="0" w:color="auto"/>
          </w:divBdr>
        </w:div>
      </w:divsChild>
    </w:div>
    <w:div w:id="1437826120">
      <w:bodyDiv w:val="1"/>
      <w:marLeft w:val="0"/>
      <w:marRight w:val="0"/>
      <w:marTop w:val="0"/>
      <w:marBottom w:val="0"/>
      <w:divBdr>
        <w:top w:val="none" w:sz="0" w:space="0" w:color="auto"/>
        <w:left w:val="none" w:sz="0" w:space="0" w:color="auto"/>
        <w:bottom w:val="none" w:sz="0" w:space="0" w:color="auto"/>
        <w:right w:val="none" w:sz="0" w:space="0" w:color="auto"/>
      </w:divBdr>
    </w:div>
    <w:div w:id="1476754975">
      <w:bodyDiv w:val="1"/>
      <w:marLeft w:val="0"/>
      <w:marRight w:val="0"/>
      <w:marTop w:val="0"/>
      <w:marBottom w:val="0"/>
      <w:divBdr>
        <w:top w:val="none" w:sz="0" w:space="0" w:color="auto"/>
        <w:left w:val="none" w:sz="0" w:space="0" w:color="auto"/>
        <w:bottom w:val="none" w:sz="0" w:space="0" w:color="auto"/>
        <w:right w:val="none" w:sz="0" w:space="0" w:color="auto"/>
      </w:divBdr>
    </w:div>
    <w:div w:id="1528257174">
      <w:bodyDiv w:val="1"/>
      <w:marLeft w:val="0"/>
      <w:marRight w:val="0"/>
      <w:marTop w:val="0"/>
      <w:marBottom w:val="0"/>
      <w:divBdr>
        <w:top w:val="none" w:sz="0" w:space="0" w:color="auto"/>
        <w:left w:val="none" w:sz="0" w:space="0" w:color="auto"/>
        <w:bottom w:val="none" w:sz="0" w:space="0" w:color="auto"/>
        <w:right w:val="none" w:sz="0" w:space="0" w:color="auto"/>
      </w:divBdr>
    </w:div>
    <w:div w:id="1571040363">
      <w:bodyDiv w:val="1"/>
      <w:marLeft w:val="0"/>
      <w:marRight w:val="0"/>
      <w:marTop w:val="0"/>
      <w:marBottom w:val="0"/>
      <w:divBdr>
        <w:top w:val="none" w:sz="0" w:space="0" w:color="auto"/>
        <w:left w:val="none" w:sz="0" w:space="0" w:color="auto"/>
        <w:bottom w:val="none" w:sz="0" w:space="0" w:color="auto"/>
        <w:right w:val="none" w:sz="0" w:space="0" w:color="auto"/>
      </w:divBdr>
    </w:div>
    <w:div w:id="1651251284">
      <w:bodyDiv w:val="1"/>
      <w:marLeft w:val="0"/>
      <w:marRight w:val="0"/>
      <w:marTop w:val="0"/>
      <w:marBottom w:val="0"/>
      <w:divBdr>
        <w:top w:val="none" w:sz="0" w:space="0" w:color="auto"/>
        <w:left w:val="none" w:sz="0" w:space="0" w:color="auto"/>
        <w:bottom w:val="none" w:sz="0" w:space="0" w:color="auto"/>
        <w:right w:val="none" w:sz="0" w:space="0" w:color="auto"/>
      </w:divBdr>
    </w:div>
    <w:div w:id="1784617244">
      <w:bodyDiv w:val="1"/>
      <w:marLeft w:val="0"/>
      <w:marRight w:val="0"/>
      <w:marTop w:val="0"/>
      <w:marBottom w:val="0"/>
      <w:divBdr>
        <w:top w:val="none" w:sz="0" w:space="0" w:color="auto"/>
        <w:left w:val="none" w:sz="0" w:space="0" w:color="auto"/>
        <w:bottom w:val="none" w:sz="0" w:space="0" w:color="auto"/>
        <w:right w:val="none" w:sz="0" w:space="0" w:color="auto"/>
      </w:divBdr>
      <w:divsChild>
        <w:div w:id="532545612">
          <w:marLeft w:val="446"/>
          <w:marRight w:val="0"/>
          <w:marTop w:val="0"/>
          <w:marBottom w:val="0"/>
          <w:divBdr>
            <w:top w:val="none" w:sz="0" w:space="0" w:color="auto"/>
            <w:left w:val="none" w:sz="0" w:space="0" w:color="auto"/>
            <w:bottom w:val="none" w:sz="0" w:space="0" w:color="auto"/>
            <w:right w:val="none" w:sz="0" w:space="0" w:color="auto"/>
          </w:divBdr>
        </w:div>
        <w:div w:id="287053664">
          <w:marLeft w:val="446"/>
          <w:marRight w:val="0"/>
          <w:marTop w:val="0"/>
          <w:marBottom w:val="0"/>
          <w:divBdr>
            <w:top w:val="none" w:sz="0" w:space="0" w:color="auto"/>
            <w:left w:val="none" w:sz="0" w:space="0" w:color="auto"/>
            <w:bottom w:val="none" w:sz="0" w:space="0" w:color="auto"/>
            <w:right w:val="none" w:sz="0" w:space="0" w:color="auto"/>
          </w:divBdr>
        </w:div>
        <w:div w:id="752432608">
          <w:marLeft w:val="360"/>
          <w:marRight w:val="0"/>
          <w:marTop w:val="0"/>
          <w:marBottom w:val="0"/>
          <w:divBdr>
            <w:top w:val="none" w:sz="0" w:space="0" w:color="auto"/>
            <w:left w:val="none" w:sz="0" w:space="0" w:color="auto"/>
            <w:bottom w:val="none" w:sz="0" w:space="0" w:color="auto"/>
            <w:right w:val="none" w:sz="0" w:space="0" w:color="auto"/>
          </w:divBdr>
        </w:div>
        <w:div w:id="261954925">
          <w:marLeft w:val="360"/>
          <w:marRight w:val="0"/>
          <w:marTop w:val="0"/>
          <w:marBottom w:val="0"/>
          <w:divBdr>
            <w:top w:val="none" w:sz="0" w:space="0" w:color="auto"/>
            <w:left w:val="none" w:sz="0" w:space="0" w:color="auto"/>
            <w:bottom w:val="none" w:sz="0" w:space="0" w:color="auto"/>
            <w:right w:val="none" w:sz="0" w:space="0" w:color="auto"/>
          </w:divBdr>
        </w:div>
        <w:div w:id="1984190961">
          <w:marLeft w:val="360"/>
          <w:marRight w:val="0"/>
          <w:marTop w:val="0"/>
          <w:marBottom w:val="0"/>
          <w:divBdr>
            <w:top w:val="none" w:sz="0" w:space="0" w:color="auto"/>
            <w:left w:val="none" w:sz="0" w:space="0" w:color="auto"/>
            <w:bottom w:val="none" w:sz="0" w:space="0" w:color="auto"/>
            <w:right w:val="none" w:sz="0" w:space="0" w:color="auto"/>
          </w:divBdr>
        </w:div>
        <w:div w:id="1416778435">
          <w:marLeft w:val="1166"/>
          <w:marRight w:val="0"/>
          <w:marTop w:val="0"/>
          <w:marBottom w:val="0"/>
          <w:divBdr>
            <w:top w:val="none" w:sz="0" w:space="0" w:color="auto"/>
            <w:left w:val="none" w:sz="0" w:space="0" w:color="auto"/>
            <w:bottom w:val="none" w:sz="0" w:space="0" w:color="auto"/>
            <w:right w:val="none" w:sz="0" w:space="0" w:color="auto"/>
          </w:divBdr>
        </w:div>
        <w:div w:id="2128772095">
          <w:marLeft w:val="1166"/>
          <w:marRight w:val="0"/>
          <w:marTop w:val="0"/>
          <w:marBottom w:val="0"/>
          <w:divBdr>
            <w:top w:val="none" w:sz="0" w:space="0" w:color="auto"/>
            <w:left w:val="none" w:sz="0" w:space="0" w:color="auto"/>
            <w:bottom w:val="none" w:sz="0" w:space="0" w:color="auto"/>
            <w:right w:val="none" w:sz="0" w:space="0" w:color="auto"/>
          </w:divBdr>
        </w:div>
        <w:div w:id="1765803684">
          <w:marLeft w:val="446"/>
          <w:marRight w:val="0"/>
          <w:marTop w:val="0"/>
          <w:marBottom w:val="0"/>
          <w:divBdr>
            <w:top w:val="none" w:sz="0" w:space="0" w:color="auto"/>
            <w:left w:val="none" w:sz="0" w:space="0" w:color="auto"/>
            <w:bottom w:val="none" w:sz="0" w:space="0" w:color="auto"/>
            <w:right w:val="none" w:sz="0" w:space="0" w:color="auto"/>
          </w:divBdr>
        </w:div>
        <w:div w:id="978997036">
          <w:marLeft w:val="446"/>
          <w:marRight w:val="0"/>
          <w:marTop w:val="0"/>
          <w:marBottom w:val="0"/>
          <w:divBdr>
            <w:top w:val="none" w:sz="0" w:space="0" w:color="auto"/>
            <w:left w:val="none" w:sz="0" w:space="0" w:color="auto"/>
            <w:bottom w:val="none" w:sz="0" w:space="0" w:color="auto"/>
            <w:right w:val="none" w:sz="0" w:space="0" w:color="auto"/>
          </w:divBdr>
        </w:div>
      </w:divsChild>
    </w:div>
    <w:div w:id="1822916495">
      <w:bodyDiv w:val="1"/>
      <w:marLeft w:val="0"/>
      <w:marRight w:val="0"/>
      <w:marTop w:val="0"/>
      <w:marBottom w:val="0"/>
      <w:divBdr>
        <w:top w:val="none" w:sz="0" w:space="0" w:color="auto"/>
        <w:left w:val="none" w:sz="0" w:space="0" w:color="auto"/>
        <w:bottom w:val="none" w:sz="0" w:space="0" w:color="auto"/>
        <w:right w:val="none" w:sz="0" w:space="0" w:color="auto"/>
      </w:divBdr>
    </w:div>
    <w:div w:id="1918589522">
      <w:bodyDiv w:val="1"/>
      <w:marLeft w:val="0"/>
      <w:marRight w:val="0"/>
      <w:marTop w:val="0"/>
      <w:marBottom w:val="0"/>
      <w:divBdr>
        <w:top w:val="none" w:sz="0" w:space="0" w:color="auto"/>
        <w:left w:val="none" w:sz="0" w:space="0" w:color="auto"/>
        <w:bottom w:val="none" w:sz="0" w:space="0" w:color="auto"/>
        <w:right w:val="none" w:sz="0" w:space="0" w:color="auto"/>
      </w:divBdr>
    </w:div>
    <w:div w:id="1969621299">
      <w:bodyDiv w:val="1"/>
      <w:marLeft w:val="0"/>
      <w:marRight w:val="0"/>
      <w:marTop w:val="0"/>
      <w:marBottom w:val="0"/>
      <w:divBdr>
        <w:top w:val="none" w:sz="0" w:space="0" w:color="auto"/>
        <w:left w:val="none" w:sz="0" w:space="0" w:color="auto"/>
        <w:bottom w:val="none" w:sz="0" w:space="0" w:color="auto"/>
        <w:right w:val="none" w:sz="0" w:space="0" w:color="auto"/>
      </w:divBdr>
    </w:div>
    <w:div w:id="2002079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yperlink" Target="mailto:%20RandD@taxboard.gov.a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RandD@taxboard.gov.au" TargetMode="External"/><Relationship Id="rId2" Type="http://schemas.openxmlformats.org/officeDocument/2006/relationships/numbering" Target="numbering.xml"/><Relationship Id="rId16" Type="http://schemas.openxmlformats.org/officeDocument/2006/relationships/hyperlink" Target="http://www.taxboard.gov.au"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hyperlink" Target="mailto:RandD@taxboard.gov.a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Boa07</b:Tag>
    <b:SourceType>Report</b:SourceType>
    <b:Guid>{8C0A7B92-1616-4964-81E5-69FDE6C642E5}</b:Guid>
    <b:Title>Scoping study of small business tax compliance costs | Report to Treasurer</b:Title>
    <b:Year>December 2007</b:Year>
    <b:Publisher>Commonwealth of Australia</b:Publisher>
    <b:Author>
      <b:Author>
        <b:Corporate>Board of Taxation</b:Corporate>
      </b:Author>
    </b:Author>
    <b:RefOrder>1</b:RefOrder>
  </b:Source>
  <b:Source>
    <b:Tag>Boa14</b:Tag>
    <b:SourceType>Report</b:SourceType>
    <b:Guid>{AFAE0FE7-41D9-4383-85F8-FD1CC36C2454}</b:Guid>
    <b:Author>
      <b:Author>
        <b:Corporate>Board of Taxation</b:Corporate>
      </b:Author>
    </b:Author>
    <b:Title>Post implementation review of Division 7A of Part III of the Income Tax Assessment Act 1936 | Report to the Assistant Treasurer </b:Title>
    <b:Year>November 2014</b:Year>
    <b:Publisher>Commonwealth of Australia</b:Publisher>
    <b:RefOrder>2</b:RefOrder>
  </b:Source>
</b:Sources>
</file>

<file path=customXml/itemProps1.xml><?xml version="1.0" encoding="utf-8"?>
<ds:datastoreItem xmlns:ds="http://schemas.openxmlformats.org/officeDocument/2006/customXml" ds:itemID="{147E2824-62D4-4401-9B59-6A9CBDB8E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1807</Words>
  <Characters>10302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Consultation Guide: Review of the dual-agency administration model</vt:lpstr>
    </vt:vector>
  </TitlesOfParts>
  <Company/>
  <LinksUpToDate>false</LinksUpToDate>
  <CharactersWithSpaces>12085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Guide: Review of the dual-agency administration model</dc:title>
  <dc:creator/>
  <cp:lastModifiedBy/>
  <cp:revision>1</cp:revision>
  <dcterms:created xsi:type="dcterms:W3CDTF">2021-06-24T03:57:00Z</dcterms:created>
  <dcterms:modified xsi:type="dcterms:W3CDTF">2021-06-24T03:58:00Z</dcterms:modified>
</cp:coreProperties>
</file>