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
        <w:gridCol w:w="613"/>
        <w:gridCol w:w="12"/>
        <w:gridCol w:w="4524"/>
        <w:gridCol w:w="4536"/>
        <w:gridCol w:w="165"/>
        <w:gridCol w:w="544"/>
        <w:gridCol w:w="46"/>
      </w:tblGrid>
      <w:tr w:rsidR="00DE77A2" w14:paraId="40350228" w14:textId="77777777" w:rsidTr="004B738A">
        <w:trPr>
          <w:gridBefore w:val="1"/>
          <w:wBefore w:w="96" w:type="dxa"/>
          <w:jc w:val="center"/>
        </w:trPr>
        <w:tc>
          <w:tcPr>
            <w:tcW w:w="10440" w:type="dxa"/>
            <w:gridSpan w:val="7"/>
            <w:tcMar>
              <w:left w:w="0" w:type="dxa"/>
              <w:right w:w="0" w:type="dxa"/>
            </w:tcMar>
          </w:tcPr>
          <w:p w14:paraId="6531BD38" w14:textId="77777777" w:rsidR="00DE77A2" w:rsidRDefault="00DE77A2" w:rsidP="002256FA">
            <w:bookmarkStart w:id="0" w:name="_GoBack"/>
            <w:bookmarkEnd w:id="0"/>
            <w:r>
              <w:rPr>
                <w:noProof/>
                <w:lang w:eastAsia="en-AU"/>
              </w:rPr>
              <w:drawing>
                <wp:inline distT="0" distB="0" distL="0" distR="0" wp14:anchorId="47280592" wp14:editId="656A9937">
                  <wp:extent cx="6624000" cy="1517204"/>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a:extLst>
                              <a:ext uri="{28A0092B-C50C-407E-A947-70E740481C1C}">
                                <a14:useLocalDpi xmlns:a14="http://schemas.microsoft.com/office/drawing/2010/main" val="0"/>
                              </a:ext>
                            </a:extLst>
                          </a:blip>
                          <a:stretch>
                            <a:fillRect/>
                          </a:stretch>
                        </pic:blipFill>
                        <pic:spPr>
                          <a:xfrm>
                            <a:off x="0" y="0"/>
                            <a:ext cx="6624000" cy="1517204"/>
                          </a:xfrm>
                          <a:prstGeom prst="rect">
                            <a:avLst/>
                          </a:prstGeom>
                        </pic:spPr>
                      </pic:pic>
                    </a:graphicData>
                  </a:graphic>
                </wp:inline>
              </w:drawing>
            </w:r>
          </w:p>
        </w:tc>
      </w:tr>
      <w:tr w:rsidR="00DE77A2" w:rsidRPr="00BD2FF3" w14:paraId="0C17D1E9" w14:textId="77777777" w:rsidTr="004B738A">
        <w:trPr>
          <w:gridBefore w:val="1"/>
          <w:wBefore w:w="96" w:type="dxa"/>
          <w:jc w:val="center"/>
        </w:trPr>
        <w:tc>
          <w:tcPr>
            <w:tcW w:w="625" w:type="dxa"/>
            <w:gridSpan w:val="2"/>
            <w:shd w:val="clear" w:color="auto" w:fill="1F497D" w:themeFill="text2"/>
          </w:tcPr>
          <w:p w14:paraId="4CA09930" w14:textId="77777777" w:rsidR="00DE77A2" w:rsidRPr="00BD2FF3" w:rsidRDefault="00DE77A2" w:rsidP="002256FA"/>
        </w:tc>
        <w:tc>
          <w:tcPr>
            <w:tcW w:w="9225" w:type="dxa"/>
            <w:gridSpan w:val="3"/>
            <w:shd w:val="clear" w:color="auto" w:fill="1F497D" w:themeFill="text2"/>
          </w:tcPr>
          <w:p w14:paraId="4821AC6A" w14:textId="77777777" w:rsidR="00DE77A2" w:rsidRPr="002256FA" w:rsidRDefault="00DE77A2" w:rsidP="00656D54">
            <w:pPr>
              <w:pStyle w:val="Heading1"/>
              <w:outlineLvl w:val="0"/>
            </w:pPr>
            <w:r w:rsidRPr="002256FA">
              <w:t xml:space="preserve">CEO Update – </w:t>
            </w:r>
            <w:r w:rsidR="00656D54">
              <w:fldChar w:fldCharType="begin"/>
            </w:r>
            <w:r w:rsidR="00656D54">
              <w:instrText xml:space="preserve"> DATE  \@ "MMMM yyyy"  \* MERGEFORMAT </w:instrText>
            </w:r>
            <w:r w:rsidR="00656D54">
              <w:fldChar w:fldCharType="separate"/>
            </w:r>
            <w:r w:rsidR="006D5EE8">
              <w:rPr>
                <w:noProof/>
              </w:rPr>
              <w:t>May 2017</w:t>
            </w:r>
            <w:r w:rsidR="00656D54">
              <w:fldChar w:fldCharType="end"/>
            </w:r>
          </w:p>
        </w:tc>
        <w:tc>
          <w:tcPr>
            <w:tcW w:w="590" w:type="dxa"/>
            <w:gridSpan w:val="2"/>
            <w:shd w:val="clear" w:color="auto" w:fill="1F497D" w:themeFill="text2"/>
          </w:tcPr>
          <w:p w14:paraId="4EE04083" w14:textId="77777777" w:rsidR="00DE77A2" w:rsidRPr="00BD2FF3" w:rsidRDefault="00DE77A2" w:rsidP="002256FA"/>
        </w:tc>
      </w:tr>
      <w:tr w:rsidR="00DE77A2" w:rsidRPr="00BD2FF3" w14:paraId="50CBC816" w14:textId="77777777" w:rsidTr="004B738A">
        <w:trPr>
          <w:gridBefore w:val="1"/>
          <w:wBefore w:w="96" w:type="dxa"/>
          <w:jc w:val="center"/>
        </w:trPr>
        <w:tc>
          <w:tcPr>
            <w:tcW w:w="625" w:type="dxa"/>
            <w:gridSpan w:val="2"/>
          </w:tcPr>
          <w:p w14:paraId="08DC95D7" w14:textId="77777777" w:rsidR="00DE77A2" w:rsidRPr="00BD2FF3" w:rsidRDefault="00DE77A2" w:rsidP="002256FA"/>
        </w:tc>
        <w:tc>
          <w:tcPr>
            <w:tcW w:w="9225" w:type="dxa"/>
            <w:gridSpan w:val="3"/>
          </w:tcPr>
          <w:p w14:paraId="116D0371" w14:textId="77777777" w:rsidR="00DE77A2" w:rsidRPr="00BD2FF3" w:rsidRDefault="00DE77A2" w:rsidP="0096275B">
            <w:pPr>
              <w:jc w:val="both"/>
            </w:pPr>
            <w:r w:rsidRPr="00BD2FF3">
              <w:t xml:space="preserve">Dear </w:t>
            </w:r>
            <w:r w:rsidR="005B32D7" w:rsidRPr="002256FA">
              <w:t>Stakeholders</w:t>
            </w:r>
            <w:r w:rsidRPr="00BD2FF3">
              <w:t>,</w:t>
            </w:r>
          </w:p>
          <w:p w14:paraId="4559F834" w14:textId="1ED72732" w:rsidR="0096275B" w:rsidRDefault="0096275B" w:rsidP="0096275B">
            <w:pPr>
              <w:jc w:val="both"/>
            </w:pPr>
            <w:r>
              <w:t>On 28 April 2017</w:t>
            </w:r>
            <w:r w:rsidR="003B383C">
              <w:t>,</w:t>
            </w:r>
            <w:r>
              <w:t xml:space="preserve"> the Board of Taxation held its third meeting for 2017</w:t>
            </w:r>
            <w:r w:rsidR="003B383C">
              <w:t xml:space="preserve"> in Melbourne</w:t>
            </w:r>
            <w:r>
              <w:t>. The meeting was hosted by He</w:t>
            </w:r>
            <w:r w:rsidR="008867E3">
              <w:t>r</w:t>
            </w:r>
            <w:r>
              <w:t xml:space="preserve">bert Smith Freehills (HSF), </w:t>
            </w:r>
            <w:r w:rsidR="003B383C">
              <w:t>and included</w:t>
            </w:r>
            <w:r w:rsidR="00ED264B">
              <w:t xml:space="preserve"> an information </w:t>
            </w:r>
            <w:r w:rsidR="003B383C">
              <w:t xml:space="preserve">session and </w:t>
            </w:r>
            <w:r w:rsidR="00ED264B">
              <w:t xml:space="preserve">discussion over lunch </w:t>
            </w:r>
            <w:r>
              <w:t xml:space="preserve">with stakeholders and the </w:t>
            </w:r>
            <w:r w:rsidR="00ED264B">
              <w:t xml:space="preserve">Board’s Advisory Panel members. </w:t>
            </w:r>
            <w:r w:rsidR="00D52A49">
              <w:t xml:space="preserve">The Board received a number of </w:t>
            </w:r>
            <w:r w:rsidR="002D1967">
              <w:t xml:space="preserve">ideas </w:t>
            </w:r>
            <w:r w:rsidR="00D52A49">
              <w:t>to add to our future pipeline (refer below)</w:t>
            </w:r>
            <w:r w:rsidR="002D1967">
              <w:t>.</w:t>
            </w:r>
          </w:p>
          <w:p w14:paraId="2793A9C6" w14:textId="18D270A6" w:rsidR="0096275B" w:rsidRDefault="0096275B" w:rsidP="0096275B">
            <w:pPr>
              <w:jc w:val="both"/>
            </w:pPr>
            <w:r>
              <w:t xml:space="preserve">Thank you to everyone for attending and </w:t>
            </w:r>
            <w:r w:rsidR="00D52A49">
              <w:t>contributing your ideas and observations on how we can improve the tax system</w:t>
            </w:r>
            <w:r>
              <w:t>.</w:t>
            </w:r>
          </w:p>
          <w:p w14:paraId="66E4E453" w14:textId="390411AB" w:rsidR="0096275B" w:rsidRDefault="0096275B" w:rsidP="0096275B">
            <w:pPr>
              <w:jc w:val="both"/>
            </w:pPr>
            <w:r>
              <w:t xml:space="preserve">At the Board’s meeting, we discussed the progress and direction of our current projects </w:t>
            </w:r>
            <w:r w:rsidR="003B383C">
              <w:t>(a number of which are about to conclude)</w:t>
            </w:r>
            <w:r w:rsidR="00D52A49">
              <w:t xml:space="preserve">, new instructions and referrals, </w:t>
            </w:r>
            <w:r w:rsidR="003B383C">
              <w:t xml:space="preserve">a stocktake of our reports </w:t>
            </w:r>
            <w:r w:rsidR="00D52A49">
              <w:t xml:space="preserve">and recommendations to date </w:t>
            </w:r>
            <w:r>
              <w:t xml:space="preserve">and </w:t>
            </w:r>
            <w:r w:rsidR="003B383C">
              <w:t xml:space="preserve">our possible </w:t>
            </w:r>
            <w:r>
              <w:t>pipeline for fu</w:t>
            </w:r>
            <w:r w:rsidR="003B383C">
              <w:t xml:space="preserve">ture </w:t>
            </w:r>
            <w:r>
              <w:t xml:space="preserve">projects </w:t>
            </w:r>
            <w:r w:rsidR="00D52A49">
              <w:t>– to be confirmed with the Minister</w:t>
            </w:r>
            <w:r>
              <w:t xml:space="preserve">. The Board also </w:t>
            </w:r>
            <w:r w:rsidR="007A580E">
              <w:t xml:space="preserve">noted the take-up of the Tax Transparency Code (the Code) among Australian corporate taxpayers (thanks to the support of the CTA, BCA and others) and </w:t>
            </w:r>
            <w:r>
              <w:t xml:space="preserve">discussed </w:t>
            </w:r>
            <w:r w:rsidR="007A580E">
              <w:t xml:space="preserve">other ways to improve the </w:t>
            </w:r>
            <w:r>
              <w:t>uptake of the Code.</w:t>
            </w:r>
          </w:p>
          <w:p w14:paraId="7618245B" w14:textId="424AF8BE" w:rsidR="00DE77A2" w:rsidRPr="00BD2FF3" w:rsidRDefault="0096275B" w:rsidP="0096275B">
            <w:pPr>
              <w:jc w:val="both"/>
            </w:pPr>
            <w:r>
              <w:t>Some additional detail on the progress of the Board’s work is set out below.</w:t>
            </w:r>
          </w:p>
        </w:tc>
        <w:tc>
          <w:tcPr>
            <w:tcW w:w="590" w:type="dxa"/>
            <w:gridSpan w:val="2"/>
          </w:tcPr>
          <w:p w14:paraId="1737BFF5" w14:textId="77777777" w:rsidR="00DE77A2" w:rsidRPr="00BD2FF3" w:rsidRDefault="00DE77A2" w:rsidP="002256FA"/>
        </w:tc>
      </w:tr>
      <w:tr w:rsidR="005B32D7" w:rsidRPr="006B1E71" w14:paraId="6712C915" w14:textId="77777777" w:rsidTr="004B738A">
        <w:trPr>
          <w:gridBefore w:val="1"/>
          <w:wBefore w:w="96" w:type="dxa"/>
          <w:jc w:val="center"/>
        </w:trPr>
        <w:tc>
          <w:tcPr>
            <w:tcW w:w="625" w:type="dxa"/>
            <w:gridSpan w:val="2"/>
            <w:shd w:val="clear" w:color="auto" w:fill="auto"/>
          </w:tcPr>
          <w:p w14:paraId="33BE3A34" w14:textId="77777777" w:rsidR="00DE77A2" w:rsidRPr="006B1E71" w:rsidRDefault="00DE77A2" w:rsidP="002256FA">
            <w:pPr>
              <w:rPr>
                <w:sz w:val="36"/>
                <w:szCs w:val="36"/>
              </w:rPr>
            </w:pPr>
          </w:p>
        </w:tc>
        <w:tc>
          <w:tcPr>
            <w:tcW w:w="9225" w:type="dxa"/>
            <w:gridSpan w:val="3"/>
            <w:shd w:val="clear" w:color="auto" w:fill="auto"/>
          </w:tcPr>
          <w:p w14:paraId="23CBAF9D" w14:textId="137577AB" w:rsidR="00DE77A2" w:rsidRPr="006B1E71" w:rsidRDefault="0096275B" w:rsidP="00D52A49">
            <w:pPr>
              <w:pStyle w:val="Heading2"/>
              <w:outlineLvl w:val="1"/>
              <w:rPr>
                <w:sz w:val="36"/>
                <w:szCs w:val="36"/>
              </w:rPr>
            </w:pPr>
            <w:r w:rsidRPr="006B1E71">
              <w:rPr>
                <w:sz w:val="36"/>
                <w:szCs w:val="36"/>
              </w:rPr>
              <w:t xml:space="preserve">Our </w:t>
            </w:r>
            <w:r w:rsidR="00D52A49" w:rsidRPr="006B1E71">
              <w:rPr>
                <w:sz w:val="36"/>
                <w:szCs w:val="36"/>
              </w:rPr>
              <w:t>C</w:t>
            </w:r>
            <w:r w:rsidRPr="006B1E71">
              <w:rPr>
                <w:sz w:val="36"/>
                <w:szCs w:val="36"/>
              </w:rPr>
              <w:t xml:space="preserve">urrent projects </w:t>
            </w:r>
            <w:r w:rsidR="006B1E71" w:rsidRPr="006B1E71">
              <w:rPr>
                <w:sz w:val="36"/>
                <w:szCs w:val="36"/>
              </w:rPr>
              <w:t>and n</w:t>
            </w:r>
            <w:r w:rsidR="00392A88" w:rsidRPr="006B1E71">
              <w:rPr>
                <w:sz w:val="36"/>
                <w:szCs w:val="36"/>
              </w:rPr>
              <w:t>ew referrals</w:t>
            </w:r>
          </w:p>
        </w:tc>
        <w:tc>
          <w:tcPr>
            <w:tcW w:w="590" w:type="dxa"/>
            <w:gridSpan w:val="2"/>
            <w:shd w:val="clear" w:color="auto" w:fill="auto"/>
          </w:tcPr>
          <w:p w14:paraId="581CE1E4" w14:textId="77777777" w:rsidR="00DE77A2" w:rsidRPr="006B1E71" w:rsidRDefault="00DE77A2" w:rsidP="002256FA">
            <w:pPr>
              <w:rPr>
                <w:sz w:val="36"/>
                <w:szCs w:val="36"/>
              </w:rPr>
            </w:pPr>
          </w:p>
        </w:tc>
      </w:tr>
      <w:tr w:rsidR="00DE77A2" w:rsidRPr="00BD2FF3" w14:paraId="1A714762" w14:textId="77777777" w:rsidTr="004B738A">
        <w:trPr>
          <w:gridBefore w:val="1"/>
          <w:wBefore w:w="96" w:type="dxa"/>
          <w:jc w:val="center"/>
        </w:trPr>
        <w:tc>
          <w:tcPr>
            <w:tcW w:w="625" w:type="dxa"/>
            <w:gridSpan w:val="2"/>
          </w:tcPr>
          <w:p w14:paraId="56B921FD" w14:textId="77777777" w:rsidR="00DE77A2" w:rsidRPr="00BD2FF3" w:rsidRDefault="00DE77A2" w:rsidP="0096275B">
            <w:pPr>
              <w:jc w:val="both"/>
            </w:pPr>
          </w:p>
        </w:tc>
        <w:tc>
          <w:tcPr>
            <w:tcW w:w="9225" w:type="dxa"/>
            <w:gridSpan w:val="3"/>
          </w:tcPr>
          <w:p w14:paraId="1759CE50" w14:textId="2F86343B" w:rsidR="0096275B" w:rsidRDefault="0096275B" w:rsidP="0096275B">
            <w:pPr>
              <w:jc w:val="both"/>
            </w:pPr>
            <w:r>
              <w:t>The Board continues to be involved with the Government’s Black Economy Taskforce</w:t>
            </w:r>
            <w:r w:rsidR="004501CF">
              <w:t xml:space="preserve"> and is </w:t>
            </w:r>
            <w:proofErr w:type="gramStart"/>
            <w:r>
              <w:t>progress</w:t>
            </w:r>
            <w:r w:rsidR="007A580E">
              <w:t>ing</w:t>
            </w:r>
            <w:proofErr w:type="gramEnd"/>
            <w:r w:rsidR="007A580E">
              <w:t xml:space="preserve"> </w:t>
            </w:r>
            <w:r>
              <w:t>several</w:t>
            </w:r>
            <w:r w:rsidR="007A580E">
              <w:t xml:space="preserve"> other</w:t>
            </w:r>
            <w:r>
              <w:t xml:space="preserve"> projects towards completion. </w:t>
            </w:r>
          </w:p>
          <w:p w14:paraId="6B4CA003" w14:textId="49FEB3EB" w:rsidR="0096275B" w:rsidRDefault="0096275B" w:rsidP="0096275B">
            <w:pPr>
              <w:jc w:val="both"/>
            </w:pPr>
            <w:r>
              <w:t>Work continues to progress on the following projects:</w:t>
            </w:r>
          </w:p>
          <w:p w14:paraId="75A381D5" w14:textId="7F2CA0B0" w:rsidR="0096275B" w:rsidRDefault="0096275B" w:rsidP="008867E3">
            <w:pPr>
              <w:pStyle w:val="Bullet"/>
              <w:numPr>
                <w:ilvl w:val="0"/>
                <w:numId w:val="20"/>
              </w:numPr>
              <w:jc w:val="both"/>
            </w:pPr>
            <w:r>
              <w:t>targeted trust simplification – bare trusts;</w:t>
            </w:r>
          </w:p>
          <w:p w14:paraId="1CB8B40E" w14:textId="6E1D6F5A" w:rsidR="0096275B" w:rsidRDefault="0096275B" w:rsidP="008867E3">
            <w:pPr>
              <w:pStyle w:val="Bullet"/>
              <w:numPr>
                <w:ilvl w:val="0"/>
                <w:numId w:val="20"/>
              </w:numPr>
              <w:jc w:val="both"/>
            </w:pPr>
            <w:r>
              <w:t>high wealth individuals and residency;</w:t>
            </w:r>
          </w:p>
          <w:p w14:paraId="74E0314F" w14:textId="47B113A4" w:rsidR="0096275B" w:rsidRDefault="00617495" w:rsidP="008867E3">
            <w:pPr>
              <w:pStyle w:val="Bullet"/>
              <w:numPr>
                <w:ilvl w:val="0"/>
                <w:numId w:val="20"/>
              </w:numPr>
              <w:jc w:val="both"/>
            </w:pPr>
            <w:r>
              <w:t>d</w:t>
            </w:r>
            <w:r w:rsidR="00E3161A">
              <w:t>efinitions under State and Federal Laws;</w:t>
            </w:r>
            <w:r w:rsidDel="00617495">
              <w:t xml:space="preserve"> </w:t>
            </w:r>
          </w:p>
          <w:p w14:paraId="6650B98B" w14:textId="4DABF908" w:rsidR="00617495" w:rsidRDefault="00617495" w:rsidP="00617495">
            <w:pPr>
              <w:pStyle w:val="Bullet"/>
              <w:numPr>
                <w:ilvl w:val="0"/>
                <w:numId w:val="20"/>
              </w:numPr>
              <w:jc w:val="both"/>
            </w:pPr>
            <w:r>
              <w:t>tax and the sharing economy (consultation ongoing); and</w:t>
            </w:r>
          </w:p>
          <w:p w14:paraId="57D094B1" w14:textId="77777777" w:rsidR="0096275B" w:rsidRDefault="0096275B" w:rsidP="008867E3">
            <w:pPr>
              <w:pStyle w:val="Bullet"/>
              <w:numPr>
                <w:ilvl w:val="0"/>
                <w:numId w:val="20"/>
              </w:numPr>
              <w:jc w:val="both"/>
            </w:pPr>
            <w:proofErr w:type="gramStart"/>
            <w:r>
              <w:t>alignment</w:t>
            </w:r>
            <w:proofErr w:type="gramEnd"/>
            <w:r>
              <w:t xml:space="preserve"> of tax and accounting concepts (consultation ongoing).</w:t>
            </w:r>
          </w:p>
          <w:p w14:paraId="2C29D071" w14:textId="3F07707F" w:rsidR="00DE77A2" w:rsidRPr="00BD2FF3" w:rsidRDefault="007A580E" w:rsidP="00617495">
            <w:pPr>
              <w:jc w:val="both"/>
            </w:pPr>
            <w:r>
              <w:t xml:space="preserve">The Board discussed its submission to Treasury on Stapled Structures. </w:t>
            </w:r>
            <w:r w:rsidR="0096275B">
              <w:t>The Board is also considering whistle-blower protections and the OECD proposal for Mandatory Disclosure Rules for the early disclosure of aggressive tax arrangements.</w:t>
            </w:r>
            <w:r w:rsidR="00617495">
              <w:t xml:space="preserve"> Some of our current projects are expanded upon below.</w:t>
            </w:r>
          </w:p>
        </w:tc>
        <w:tc>
          <w:tcPr>
            <w:tcW w:w="590" w:type="dxa"/>
            <w:gridSpan w:val="2"/>
          </w:tcPr>
          <w:p w14:paraId="5B2E4DF3" w14:textId="77777777" w:rsidR="008867E3" w:rsidRPr="00BD2FF3" w:rsidRDefault="008867E3" w:rsidP="002256FA"/>
        </w:tc>
      </w:tr>
      <w:tr w:rsidR="008867E3" w:rsidRPr="00BD2FF3" w14:paraId="27C036E6" w14:textId="77777777" w:rsidTr="004B738A">
        <w:trPr>
          <w:gridBefore w:val="1"/>
          <w:wBefore w:w="96" w:type="dxa"/>
          <w:jc w:val="center"/>
        </w:trPr>
        <w:tc>
          <w:tcPr>
            <w:tcW w:w="625" w:type="dxa"/>
            <w:gridSpan w:val="2"/>
          </w:tcPr>
          <w:p w14:paraId="72399309" w14:textId="77777777" w:rsidR="008867E3" w:rsidRPr="00BD2FF3" w:rsidRDefault="008867E3" w:rsidP="0096275B">
            <w:pPr>
              <w:jc w:val="both"/>
            </w:pPr>
          </w:p>
        </w:tc>
        <w:tc>
          <w:tcPr>
            <w:tcW w:w="9225" w:type="dxa"/>
            <w:gridSpan w:val="3"/>
          </w:tcPr>
          <w:p w14:paraId="25CAB409" w14:textId="212589EF" w:rsidR="008867E3" w:rsidRPr="008867E3" w:rsidRDefault="008867E3" w:rsidP="008867E3">
            <w:pPr>
              <w:pStyle w:val="Heading2"/>
              <w:outlineLvl w:val="1"/>
              <w:rPr>
                <w:sz w:val="36"/>
                <w:szCs w:val="36"/>
              </w:rPr>
            </w:pPr>
            <w:r w:rsidRPr="008867E3">
              <w:rPr>
                <w:sz w:val="36"/>
                <w:szCs w:val="36"/>
              </w:rPr>
              <w:t>Black Economy Taskforce</w:t>
            </w:r>
          </w:p>
        </w:tc>
        <w:tc>
          <w:tcPr>
            <w:tcW w:w="590" w:type="dxa"/>
            <w:gridSpan w:val="2"/>
          </w:tcPr>
          <w:p w14:paraId="6C69892B" w14:textId="77777777" w:rsidR="008867E3" w:rsidRDefault="008867E3" w:rsidP="002256FA"/>
        </w:tc>
      </w:tr>
      <w:tr w:rsidR="008867E3" w:rsidRPr="00BD2FF3" w14:paraId="4145E846" w14:textId="77777777" w:rsidTr="004B738A">
        <w:trPr>
          <w:gridBefore w:val="1"/>
          <w:wBefore w:w="96" w:type="dxa"/>
          <w:jc w:val="center"/>
        </w:trPr>
        <w:tc>
          <w:tcPr>
            <w:tcW w:w="625" w:type="dxa"/>
            <w:gridSpan w:val="2"/>
          </w:tcPr>
          <w:p w14:paraId="54D79314" w14:textId="77777777" w:rsidR="008867E3" w:rsidRDefault="008867E3" w:rsidP="0096275B">
            <w:pPr>
              <w:jc w:val="both"/>
            </w:pPr>
          </w:p>
        </w:tc>
        <w:tc>
          <w:tcPr>
            <w:tcW w:w="9225" w:type="dxa"/>
            <w:gridSpan w:val="3"/>
          </w:tcPr>
          <w:p w14:paraId="6D325695" w14:textId="6A8B1725" w:rsidR="008867E3" w:rsidRDefault="008867E3" w:rsidP="005A3E01">
            <w:pPr>
              <w:jc w:val="both"/>
            </w:pPr>
            <w:r>
              <w:t>The Board received an update from the Chair on the work to date (including stakeholder consultations) held as part of the Black Economy Taskforce.  This included both interim recommendations and longer term issues requiring further consultation.  A number of the Board’s current projects interact and intersect with the work of the Taskforce</w:t>
            </w:r>
            <w:r w:rsidR="00971041">
              <w:t xml:space="preserve">.  The Board </w:t>
            </w:r>
            <w:r>
              <w:t xml:space="preserve">discussed </w:t>
            </w:r>
            <w:r w:rsidR="005A3E01">
              <w:t xml:space="preserve">how best to </w:t>
            </w:r>
            <w:r>
              <w:t>co-ordinat</w:t>
            </w:r>
            <w:r w:rsidR="005A3E01">
              <w:t>e t</w:t>
            </w:r>
            <w:r>
              <w:t>his work.</w:t>
            </w:r>
          </w:p>
        </w:tc>
        <w:tc>
          <w:tcPr>
            <w:tcW w:w="590" w:type="dxa"/>
            <w:gridSpan w:val="2"/>
          </w:tcPr>
          <w:p w14:paraId="3F3076AF" w14:textId="77777777" w:rsidR="008867E3" w:rsidRDefault="008867E3" w:rsidP="002256FA"/>
        </w:tc>
      </w:tr>
      <w:tr w:rsidR="00E3161A" w:rsidRPr="006B1E71" w14:paraId="46D0D85B" w14:textId="77777777" w:rsidTr="004B738A">
        <w:trPr>
          <w:gridBefore w:val="1"/>
          <w:wBefore w:w="96" w:type="dxa"/>
          <w:jc w:val="center"/>
        </w:trPr>
        <w:tc>
          <w:tcPr>
            <w:tcW w:w="625" w:type="dxa"/>
            <w:gridSpan w:val="2"/>
            <w:shd w:val="clear" w:color="auto" w:fill="auto"/>
          </w:tcPr>
          <w:p w14:paraId="12F5FD86" w14:textId="77777777" w:rsidR="00E3161A" w:rsidRPr="006B1E71" w:rsidRDefault="00E3161A" w:rsidP="00227957">
            <w:pPr>
              <w:rPr>
                <w:sz w:val="36"/>
                <w:szCs w:val="36"/>
              </w:rPr>
            </w:pPr>
          </w:p>
        </w:tc>
        <w:tc>
          <w:tcPr>
            <w:tcW w:w="9225" w:type="dxa"/>
            <w:gridSpan w:val="3"/>
            <w:shd w:val="clear" w:color="auto" w:fill="auto"/>
          </w:tcPr>
          <w:p w14:paraId="020BAAF1" w14:textId="77777777" w:rsidR="00E3161A" w:rsidRPr="006B1E71" w:rsidRDefault="00E3161A" w:rsidP="00227957">
            <w:pPr>
              <w:pStyle w:val="Heading2"/>
              <w:outlineLvl w:val="1"/>
              <w:rPr>
                <w:sz w:val="36"/>
                <w:szCs w:val="36"/>
              </w:rPr>
            </w:pPr>
            <w:r w:rsidRPr="006B1E71">
              <w:rPr>
                <w:sz w:val="36"/>
                <w:szCs w:val="36"/>
              </w:rPr>
              <w:t>Targeted Trust Simplification – Bare Trusts</w:t>
            </w:r>
          </w:p>
        </w:tc>
        <w:tc>
          <w:tcPr>
            <w:tcW w:w="590" w:type="dxa"/>
            <w:gridSpan w:val="2"/>
            <w:shd w:val="clear" w:color="auto" w:fill="auto"/>
          </w:tcPr>
          <w:p w14:paraId="14A987F1" w14:textId="77777777" w:rsidR="00E3161A" w:rsidRPr="006B1E71" w:rsidRDefault="00E3161A" w:rsidP="00227957">
            <w:pPr>
              <w:rPr>
                <w:sz w:val="36"/>
                <w:szCs w:val="36"/>
              </w:rPr>
            </w:pPr>
          </w:p>
        </w:tc>
      </w:tr>
      <w:tr w:rsidR="00E3161A" w:rsidRPr="00BD2FF3" w14:paraId="5579B695" w14:textId="77777777" w:rsidTr="004B738A">
        <w:trPr>
          <w:gridBefore w:val="1"/>
          <w:wBefore w:w="96" w:type="dxa"/>
          <w:jc w:val="center"/>
        </w:trPr>
        <w:tc>
          <w:tcPr>
            <w:tcW w:w="625" w:type="dxa"/>
            <w:gridSpan w:val="2"/>
          </w:tcPr>
          <w:p w14:paraId="5509078E" w14:textId="77777777" w:rsidR="00E3161A" w:rsidRPr="00BD2FF3" w:rsidRDefault="00E3161A" w:rsidP="00227957"/>
        </w:tc>
        <w:tc>
          <w:tcPr>
            <w:tcW w:w="9225" w:type="dxa"/>
            <w:gridSpan w:val="3"/>
          </w:tcPr>
          <w:p w14:paraId="5673AD06" w14:textId="1B738EFB" w:rsidR="00E3161A" w:rsidRPr="00BD2FF3" w:rsidRDefault="00E3161A" w:rsidP="006D5EE8">
            <w:pPr>
              <w:pStyle w:val="Bullet"/>
              <w:numPr>
                <w:ilvl w:val="0"/>
                <w:numId w:val="0"/>
              </w:numPr>
              <w:tabs>
                <w:tab w:val="left" w:pos="720"/>
              </w:tabs>
              <w:jc w:val="both"/>
            </w:pPr>
            <w:r>
              <w:t>The Board discussed a draft working paper of the working group led by John Emerson in relation to the income tax treatment of bare trusts. The project is considering how to ‘disregard’ custodial style bare trusts and simplify the ‘absolute entitlement’ interaction issues for CGT and income tax purposes. The Board provided observations and comments in relation to several matters still under consideration by the working group.</w:t>
            </w:r>
          </w:p>
        </w:tc>
        <w:tc>
          <w:tcPr>
            <w:tcW w:w="590" w:type="dxa"/>
            <w:gridSpan w:val="2"/>
          </w:tcPr>
          <w:p w14:paraId="2EC1A23C" w14:textId="77777777" w:rsidR="00E3161A" w:rsidRPr="00BD2FF3" w:rsidRDefault="00E3161A" w:rsidP="00227957"/>
        </w:tc>
      </w:tr>
      <w:tr w:rsidR="008867E3" w:rsidRPr="00BD2FF3" w14:paraId="6F363BB9" w14:textId="77777777" w:rsidTr="004B738A">
        <w:trPr>
          <w:gridBefore w:val="1"/>
          <w:wBefore w:w="96" w:type="dxa"/>
          <w:jc w:val="center"/>
        </w:trPr>
        <w:tc>
          <w:tcPr>
            <w:tcW w:w="625" w:type="dxa"/>
            <w:gridSpan w:val="2"/>
          </w:tcPr>
          <w:p w14:paraId="06EAB370" w14:textId="77777777" w:rsidR="008867E3" w:rsidRPr="00BD2FF3" w:rsidRDefault="008867E3" w:rsidP="00227957"/>
        </w:tc>
        <w:tc>
          <w:tcPr>
            <w:tcW w:w="9225" w:type="dxa"/>
            <w:gridSpan w:val="3"/>
          </w:tcPr>
          <w:p w14:paraId="74F28290" w14:textId="65A0EDDC" w:rsidR="008867E3" w:rsidRDefault="008867E3" w:rsidP="00617495">
            <w:pPr>
              <w:pStyle w:val="Bullet"/>
              <w:numPr>
                <w:ilvl w:val="0"/>
                <w:numId w:val="0"/>
              </w:numPr>
              <w:tabs>
                <w:tab w:val="left" w:pos="720"/>
                <w:tab w:val="left" w:pos="7530"/>
              </w:tabs>
              <w:jc w:val="both"/>
            </w:pPr>
            <w:r>
              <w:rPr>
                <w:rFonts w:ascii="Segoe UI Light" w:hAnsi="Segoe UI Light"/>
                <w:b/>
                <w:color w:val="1F497D" w:themeColor="text2"/>
                <w:sz w:val="36"/>
                <w:szCs w:val="36"/>
              </w:rPr>
              <w:t>H</w:t>
            </w:r>
            <w:r w:rsidRPr="008867E3">
              <w:rPr>
                <w:rFonts w:ascii="Segoe UI Light" w:hAnsi="Segoe UI Light"/>
                <w:b/>
                <w:color w:val="1F497D" w:themeColor="text2"/>
                <w:sz w:val="36"/>
                <w:szCs w:val="36"/>
              </w:rPr>
              <w:t xml:space="preserve">igh </w:t>
            </w:r>
            <w:r w:rsidR="00617495">
              <w:rPr>
                <w:rFonts w:ascii="Segoe UI Light" w:hAnsi="Segoe UI Light"/>
                <w:b/>
                <w:color w:val="1F497D" w:themeColor="text2"/>
                <w:sz w:val="36"/>
                <w:szCs w:val="36"/>
              </w:rPr>
              <w:t>Wealth Individuals a</w:t>
            </w:r>
            <w:r w:rsidR="00617495" w:rsidRPr="008867E3">
              <w:rPr>
                <w:rFonts w:ascii="Segoe UI Light" w:hAnsi="Segoe UI Light"/>
                <w:b/>
                <w:color w:val="1F497D" w:themeColor="text2"/>
                <w:sz w:val="36"/>
                <w:szCs w:val="36"/>
              </w:rPr>
              <w:t>nd Residency</w:t>
            </w:r>
          </w:p>
        </w:tc>
        <w:tc>
          <w:tcPr>
            <w:tcW w:w="590" w:type="dxa"/>
            <w:gridSpan w:val="2"/>
          </w:tcPr>
          <w:p w14:paraId="1687B4F8" w14:textId="77777777" w:rsidR="008867E3" w:rsidRPr="00BD2FF3" w:rsidRDefault="008867E3" w:rsidP="00227957"/>
        </w:tc>
      </w:tr>
      <w:tr w:rsidR="008867E3" w:rsidRPr="00BD2FF3" w14:paraId="4658BBE2" w14:textId="77777777" w:rsidTr="004B738A">
        <w:trPr>
          <w:gridBefore w:val="1"/>
          <w:wBefore w:w="96" w:type="dxa"/>
          <w:jc w:val="center"/>
        </w:trPr>
        <w:tc>
          <w:tcPr>
            <w:tcW w:w="625" w:type="dxa"/>
            <w:gridSpan w:val="2"/>
          </w:tcPr>
          <w:p w14:paraId="05ED8376" w14:textId="77777777" w:rsidR="008867E3" w:rsidRDefault="008867E3" w:rsidP="00227957"/>
        </w:tc>
        <w:tc>
          <w:tcPr>
            <w:tcW w:w="9225" w:type="dxa"/>
            <w:gridSpan w:val="3"/>
          </w:tcPr>
          <w:p w14:paraId="03D8EC62" w14:textId="725FCD80" w:rsidR="008867E3" w:rsidRDefault="008867E3" w:rsidP="00C96E51">
            <w:pPr>
              <w:pStyle w:val="Bullet"/>
              <w:numPr>
                <w:ilvl w:val="0"/>
                <w:numId w:val="0"/>
              </w:numPr>
              <w:tabs>
                <w:tab w:val="left" w:pos="720"/>
              </w:tabs>
              <w:jc w:val="both"/>
            </w:pPr>
            <w:r>
              <w:t xml:space="preserve">The Board discussed a draft working paper of the working group led by Mark </w:t>
            </w:r>
            <w:proofErr w:type="spellStart"/>
            <w:r>
              <w:t>Pizzacalla</w:t>
            </w:r>
            <w:proofErr w:type="spellEnd"/>
            <w:r>
              <w:t xml:space="preserve"> in relation to residency and high wealth individuals.  </w:t>
            </w:r>
            <w:r w:rsidR="00C96E51">
              <w:t>This included a discussion on the UK experience, the merits of simplification versus codification and areas of interaction with a number of other tax and visa provisions.  The Board provided observations and comments in relation to several matters still under consideration by the working group.</w:t>
            </w:r>
          </w:p>
        </w:tc>
        <w:tc>
          <w:tcPr>
            <w:tcW w:w="590" w:type="dxa"/>
            <w:gridSpan w:val="2"/>
          </w:tcPr>
          <w:p w14:paraId="33F12D04" w14:textId="77777777" w:rsidR="008867E3" w:rsidRDefault="008867E3" w:rsidP="00227957"/>
        </w:tc>
      </w:tr>
      <w:tr w:rsidR="00E3161A" w:rsidRPr="006B1E71" w14:paraId="627E7020" w14:textId="77777777" w:rsidTr="004B738A">
        <w:trPr>
          <w:gridBefore w:val="1"/>
          <w:wBefore w:w="96" w:type="dxa"/>
          <w:jc w:val="center"/>
        </w:trPr>
        <w:tc>
          <w:tcPr>
            <w:tcW w:w="625" w:type="dxa"/>
            <w:gridSpan w:val="2"/>
          </w:tcPr>
          <w:p w14:paraId="395E435A" w14:textId="77777777" w:rsidR="00E3161A" w:rsidRPr="006B1E71" w:rsidRDefault="00E3161A" w:rsidP="00227957">
            <w:pPr>
              <w:rPr>
                <w:sz w:val="36"/>
                <w:szCs w:val="36"/>
              </w:rPr>
            </w:pPr>
          </w:p>
        </w:tc>
        <w:tc>
          <w:tcPr>
            <w:tcW w:w="9225" w:type="dxa"/>
            <w:gridSpan w:val="3"/>
          </w:tcPr>
          <w:p w14:paraId="704AA9A3" w14:textId="29108545" w:rsidR="00E3161A" w:rsidRPr="006B1E71" w:rsidRDefault="00E3161A" w:rsidP="00E3161A">
            <w:pPr>
              <w:pStyle w:val="Heading2"/>
              <w:outlineLvl w:val="1"/>
              <w:rPr>
                <w:sz w:val="36"/>
                <w:szCs w:val="36"/>
              </w:rPr>
            </w:pPr>
            <w:r w:rsidRPr="006B1E71">
              <w:rPr>
                <w:sz w:val="36"/>
                <w:szCs w:val="36"/>
              </w:rPr>
              <w:t>Definitions under State and Federal Laws – Employee versus Contractor</w:t>
            </w:r>
          </w:p>
        </w:tc>
        <w:tc>
          <w:tcPr>
            <w:tcW w:w="590" w:type="dxa"/>
            <w:gridSpan w:val="2"/>
          </w:tcPr>
          <w:p w14:paraId="7B5AB92A" w14:textId="77777777" w:rsidR="00E3161A" w:rsidRPr="006B1E71" w:rsidRDefault="00E3161A" w:rsidP="00227957">
            <w:pPr>
              <w:rPr>
                <w:sz w:val="36"/>
                <w:szCs w:val="36"/>
              </w:rPr>
            </w:pPr>
          </w:p>
        </w:tc>
      </w:tr>
      <w:tr w:rsidR="00E3161A" w:rsidRPr="00BD2FF3" w14:paraId="275F92CC" w14:textId="77777777" w:rsidTr="004B738A">
        <w:trPr>
          <w:gridBefore w:val="1"/>
          <w:wBefore w:w="96" w:type="dxa"/>
          <w:jc w:val="center"/>
        </w:trPr>
        <w:tc>
          <w:tcPr>
            <w:tcW w:w="625" w:type="dxa"/>
            <w:gridSpan w:val="2"/>
          </w:tcPr>
          <w:p w14:paraId="27A05CCF" w14:textId="77777777" w:rsidR="00E3161A" w:rsidRDefault="00E3161A" w:rsidP="00227957"/>
        </w:tc>
        <w:tc>
          <w:tcPr>
            <w:tcW w:w="9225" w:type="dxa"/>
            <w:gridSpan w:val="3"/>
          </w:tcPr>
          <w:p w14:paraId="4E153B3A" w14:textId="7F0C16C0" w:rsidR="00E3161A" w:rsidRDefault="008867E3" w:rsidP="008867E3">
            <w:pPr>
              <w:pStyle w:val="Bullet"/>
              <w:numPr>
                <w:ilvl w:val="0"/>
                <w:numId w:val="0"/>
              </w:numPr>
              <w:tabs>
                <w:tab w:val="left" w:pos="720"/>
              </w:tabs>
              <w:jc w:val="both"/>
            </w:pPr>
            <w:r>
              <w:t>The Board tabled a comparison table of the differences in core definitions between State, Territory and Federal tax laws, as verified by various State and Territory Revenue Offices.</w:t>
            </w:r>
            <w:r w:rsidR="00E3161A">
              <w:t xml:space="preserve">  This report was provided to the Board by Deloitte and reviewed by the Board’s working group.  There are a number of notable differences.  Stakeholders wishing to receive a copy of this report should contact us.</w:t>
            </w:r>
          </w:p>
        </w:tc>
        <w:tc>
          <w:tcPr>
            <w:tcW w:w="590" w:type="dxa"/>
            <w:gridSpan w:val="2"/>
          </w:tcPr>
          <w:p w14:paraId="1F8E0B98" w14:textId="77777777" w:rsidR="00E3161A" w:rsidRDefault="00E3161A" w:rsidP="00227957"/>
        </w:tc>
      </w:tr>
      <w:tr w:rsidR="00E3161A" w:rsidRPr="006B1E71" w14:paraId="6712640B" w14:textId="77777777" w:rsidTr="004B738A">
        <w:trPr>
          <w:gridBefore w:val="1"/>
          <w:wBefore w:w="96" w:type="dxa"/>
          <w:jc w:val="center"/>
        </w:trPr>
        <w:tc>
          <w:tcPr>
            <w:tcW w:w="625" w:type="dxa"/>
            <w:gridSpan w:val="2"/>
            <w:shd w:val="clear" w:color="auto" w:fill="auto"/>
          </w:tcPr>
          <w:p w14:paraId="10171C18" w14:textId="77777777" w:rsidR="00E3161A" w:rsidRPr="006B1E71" w:rsidRDefault="00E3161A" w:rsidP="00227957">
            <w:pPr>
              <w:rPr>
                <w:sz w:val="36"/>
                <w:szCs w:val="36"/>
              </w:rPr>
            </w:pPr>
          </w:p>
        </w:tc>
        <w:tc>
          <w:tcPr>
            <w:tcW w:w="9225" w:type="dxa"/>
            <w:gridSpan w:val="3"/>
            <w:shd w:val="clear" w:color="auto" w:fill="auto"/>
          </w:tcPr>
          <w:p w14:paraId="619D8754" w14:textId="77777777" w:rsidR="00E3161A" w:rsidRPr="006B1E71" w:rsidRDefault="00E3161A" w:rsidP="00227957">
            <w:pPr>
              <w:pStyle w:val="Heading2"/>
              <w:outlineLvl w:val="1"/>
              <w:rPr>
                <w:sz w:val="36"/>
                <w:szCs w:val="36"/>
              </w:rPr>
            </w:pPr>
            <w:r w:rsidRPr="006B1E71">
              <w:rPr>
                <w:sz w:val="36"/>
                <w:szCs w:val="36"/>
              </w:rPr>
              <w:t>Mandatory Disclosure Rules</w:t>
            </w:r>
          </w:p>
        </w:tc>
        <w:tc>
          <w:tcPr>
            <w:tcW w:w="590" w:type="dxa"/>
            <w:gridSpan w:val="2"/>
            <w:shd w:val="clear" w:color="auto" w:fill="auto"/>
          </w:tcPr>
          <w:p w14:paraId="735D8DB6" w14:textId="77777777" w:rsidR="00E3161A" w:rsidRPr="006B1E71" w:rsidRDefault="00E3161A" w:rsidP="00227957">
            <w:pPr>
              <w:rPr>
                <w:sz w:val="36"/>
                <w:szCs w:val="36"/>
              </w:rPr>
            </w:pPr>
          </w:p>
        </w:tc>
      </w:tr>
      <w:tr w:rsidR="00E3161A" w:rsidRPr="00BD2FF3" w14:paraId="11825489" w14:textId="77777777" w:rsidTr="004B738A">
        <w:trPr>
          <w:gridBefore w:val="1"/>
          <w:wBefore w:w="96" w:type="dxa"/>
          <w:jc w:val="center"/>
        </w:trPr>
        <w:tc>
          <w:tcPr>
            <w:tcW w:w="625" w:type="dxa"/>
            <w:gridSpan w:val="2"/>
          </w:tcPr>
          <w:p w14:paraId="4794ED9C" w14:textId="77777777" w:rsidR="00E3161A" w:rsidRPr="00BD2FF3" w:rsidRDefault="00E3161A" w:rsidP="00227957"/>
        </w:tc>
        <w:tc>
          <w:tcPr>
            <w:tcW w:w="9225" w:type="dxa"/>
            <w:gridSpan w:val="3"/>
          </w:tcPr>
          <w:p w14:paraId="376C5DED" w14:textId="77777777" w:rsidR="00E3161A" w:rsidRPr="00BD2FF3" w:rsidRDefault="00E3161A" w:rsidP="00227957">
            <w:pPr>
              <w:jc w:val="both"/>
            </w:pPr>
            <w:r w:rsidRPr="0096275B">
              <w:t>The Board will undertake consultation aimed at further developing and evaluating the Mandatory Disclosure Rules in the coming weeks. The Board encourages you to contact us on the details below if you would like to be consulted.</w:t>
            </w:r>
          </w:p>
        </w:tc>
        <w:tc>
          <w:tcPr>
            <w:tcW w:w="590" w:type="dxa"/>
            <w:gridSpan w:val="2"/>
          </w:tcPr>
          <w:p w14:paraId="535C2849" w14:textId="77777777" w:rsidR="00E3161A" w:rsidRPr="00BD2FF3" w:rsidRDefault="00E3161A" w:rsidP="00227957"/>
        </w:tc>
      </w:tr>
      <w:tr w:rsidR="00C96E51" w:rsidRPr="00BD2FF3" w14:paraId="6A3F9127" w14:textId="77777777" w:rsidTr="004B738A">
        <w:trPr>
          <w:gridBefore w:val="1"/>
          <w:wBefore w:w="96" w:type="dxa"/>
          <w:jc w:val="center"/>
        </w:trPr>
        <w:tc>
          <w:tcPr>
            <w:tcW w:w="625" w:type="dxa"/>
            <w:gridSpan w:val="2"/>
          </w:tcPr>
          <w:p w14:paraId="474C159E" w14:textId="77777777" w:rsidR="00C96E51" w:rsidRPr="00BD2FF3" w:rsidRDefault="00C96E51" w:rsidP="00227957"/>
        </w:tc>
        <w:tc>
          <w:tcPr>
            <w:tcW w:w="9225" w:type="dxa"/>
            <w:gridSpan w:val="3"/>
          </w:tcPr>
          <w:p w14:paraId="4CE61DE6" w14:textId="220B7C0D" w:rsidR="00C96E51" w:rsidRPr="0096275B" w:rsidRDefault="00C96E51" w:rsidP="00161DBC">
            <w:pPr>
              <w:pStyle w:val="Heading2"/>
              <w:outlineLvl w:val="1"/>
            </w:pPr>
            <w:r w:rsidRPr="00C96E51">
              <w:rPr>
                <w:sz w:val="36"/>
                <w:szCs w:val="36"/>
              </w:rPr>
              <w:t>Stapled S</w:t>
            </w:r>
            <w:r w:rsidR="00161DBC">
              <w:rPr>
                <w:sz w:val="36"/>
                <w:szCs w:val="36"/>
              </w:rPr>
              <w:t>tructures</w:t>
            </w:r>
          </w:p>
        </w:tc>
        <w:tc>
          <w:tcPr>
            <w:tcW w:w="590" w:type="dxa"/>
            <w:gridSpan w:val="2"/>
          </w:tcPr>
          <w:p w14:paraId="3315E6AF" w14:textId="77777777" w:rsidR="00C96E51" w:rsidRPr="00BD2FF3" w:rsidRDefault="00C96E51" w:rsidP="00227957"/>
        </w:tc>
      </w:tr>
      <w:tr w:rsidR="00C96E51" w:rsidRPr="00BD2FF3" w14:paraId="0AC4C246" w14:textId="77777777" w:rsidTr="004B738A">
        <w:trPr>
          <w:gridBefore w:val="1"/>
          <w:wBefore w:w="96" w:type="dxa"/>
          <w:jc w:val="center"/>
        </w:trPr>
        <w:tc>
          <w:tcPr>
            <w:tcW w:w="625" w:type="dxa"/>
            <w:gridSpan w:val="2"/>
          </w:tcPr>
          <w:p w14:paraId="3EAB0A15" w14:textId="77777777" w:rsidR="00C96E51" w:rsidRDefault="00C96E51" w:rsidP="00227957"/>
        </w:tc>
        <w:tc>
          <w:tcPr>
            <w:tcW w:w="9225" w:type="dxa"/>
            <w:gridSpan w:val="3"/>
          </w:tcPr>
          <w:p w14:paraId="42AE8CCA" w14:textId="0E8E18E2" w:rsidR="00C96E51" w:rsidRPr="0096275B" w:rsidRDefault="00C96E51" w:rsidP="00161DBC">
            <w:pPr>
              <w:jc w:val="both"/>
            </w:pPr>
            <w:r>
              <w:t>The Board submission to Treasury on Stapled S</w:t>
            </w:r>
            <w:r w:rsidR="00161DBC">
              <w:t>tructures</w:t>
            </w:r>
            <w:r>
              <w:t xml:space="preserve"> was discussed.  There was a general discussion on the</w:t>
            </w:r>
            <w:r w:rsidR="00161DBC">
              <w:t xml:space="preserve"> economic significance of stapled structures and acceptable and unacceptable use of such structures</w:t>
            </w:r>
            <w:r>
              <w:t>.</w:t>
            </w:r>
          </w:p>
        </w:tc>
        <w:tc>
          <w:tcPr>
            <w:tcW w:w="590" w:type="dxa"/>
            <w:gridSpan w:val="2"/>
          </w:tcPr>
          <w:p w14:paraId="3D5BEDF6" w14:textId="77777777" w:rsidR="00C96E51" w:rsidRDefault="00C96E51" w:rsidP="00227957"/>
        </w:tc>
      </w:tr>
      <w:tr w:rsidR="00161DBC" w:rsidRPr="006B1E71" w14:paraId="50155C84" w14:textId="77777777" w:rsidTr="00227957">
        <w:trPr>
          <w:gridBefore w:val="1"/>
          <w:wBefore w:w="96" w:type="dxa"/>
          <w:jc w:val="center"/>
        </w:trPr>
        <w:tc>
          <w:tcPr>
            <w:tcW w:w="625" w:type="dxa"/>
            <w:gridSpan w:val="2"/>
          </w:tcPr>
          <w:p w14:paraId="6517B335" w14:textId="77777777" w:rsidR="00161DBC" w:rsidRPr="006B1E71" w:rsidRDefault="00161DBC" w:rsidP="00227957">
            <w:pPr>
              <w:jc w:val="both"/>
              <w:rPr>
                <w:sz w:val="36"/>
                <w:szCs w:val="36"/>
              </w:rPr>
            </w:pPr>
          </w:p>
        </w:tc>
        <w:tc>
          <w:tcPr>
            <w:tcW w:w="9225" w:type="dxa"/>
            <w:gridSpan w:val="3"/>
          </w:tcPr>
          <w:p w14:paraId="5942F3CF" w14:textId="5220BA3D" w:rsidR="00161DBC" w:rsidRPr="006B1E71" w:rsidRDefault="00617495" w:rsidP="00617495">
            <w:pPr>
              <w:pStyle w:val="Heading2"/>
              <w:outlineLvl w:val="1"/>
              <w:rPr>
                <w:sz w:val="36"/>
                <w:szCs w:val="36"/>
              </w:rPr>
            </w:pPr>
            <w:r w:rsidRPr="006B1E71">
              <w:rPr>
                <w:sz w:val="36"/>
                <w:szCs w:val="36"/>
              </w:rPr>
              <w:t xml:space="preserve">Stocktake </w:t>
            </w:r>
            <w:r>
              <w:rPr>
                <w:sz w:val="36"/>
                <w:szCs w:val="36"/>
              </w:rPr>
              <w:t>o</w:t>
            </w:r>
            <w:r w:rsidRPr="006B1E71">
              <w:rPr>
                <w:sz w:val="36"/>
                <w:szCs w:val="36"/>
              </w:rPr>
              <w:t xml:space="preserve">f </w:t>
            </w:r>
            <w:r>
              <w:rPr>
                <w:sz w:val="36"/>
                <w:szCs w:val="36"/>
              </w:rPr>
              <w:t>o</w:t>
            </w:r>
            <w:r w:rsidRPr="006B1E71">
              <w:rPr>
                <w:sz w:val="36"/>
                <w:szCs w:val="36"/>
              </w:rPr>
              <w:t xml:space="preserve">ur </w:t>
            </w:r>
            <w:r>
              <w:rPr>
                <w:sz w:val="36"/>
                <w:szCs w:val="36"/>
              </w:rPr>
              <w:t>w</w:t>
            </w:r>
            <w:r w:rsidRPr="006B1E71">
              <w:rPr>
                <w:sz w:val="36"/>
                <w:szCs w:val="36"/>
              </w:rPr>
              <w:t xml:space="preserve">ork </w:t>
            </w:r>
            <w:r>
              <w:rPr>
                <w:sz w:val="36"/>
                <w:szCs w:val="36"/>
              </w:rPr>
              <w:t>t</w:t>
            </w:r>
            <w:r w:rsidRPr="006B1E71">
              <w:rPr>
                <w:sz w:val="36"/>
                <w:szCs w:val="36"/>
              </w:rPr>
              <w:t xml:space="preserve">o </w:t>
            </w:r>
            <w:r>
              <w:rPr>
                <w:sz w:val="36"/>
                <w:szCs w:val="36"/>
              </w:rPr>
              <w:t>d</w:t>
            </w:r>
            <w:r w:rsidRPr="006B1E71">
              <w:rPr>
                <w:sz w:val="36"/>
                <w:szCs w:val="36"/>
              </w:rPr>
              <w:t>ate</w:t>
            </w:r>
          </w:p>
        </w:tc>
        <w:tc>
          <w:tcPr>
            <w:tcW w:w="590" w:type="dxa"/>
            <w:gridSpan w:val="2"/>
          </w:tcPr>
          <w:p w14:paraId="78903A31" w14:textId="77777777" w:rsidR="00161DBC" w:rsidRPr="006B1E71" w:rsidRDefault="00161DBC" w:rsidP="00227957">
            <w:pPr>
              <w:rPr>
                <w:sz w:val="36"/>
                <w:szCs w:val="36"/>
              </w:rPr>
            </w:pPr>
          </w:p>
        </w:tc>
      </w:tr>
      <w:tr w:rsidR="00161DBC" w:rsidRPr="00BD2FF3" w14:paraId="524B224C" w14:textId="77777777" w:rsidTr="00227957">
        <w:trPr>
          <w:gridBefore w:val="1"/>
          <w:wBefore w:w="96" w:type="dxa"/>
          <w:jc w:val="center"/>
        </w:trPr>
        <w:tc>
          <w:tcPr>
            <w:tcW w:w="625" w:type="dxa"/>
            <w:gridSpan w:val="2"/>
          </w:tcPr>
          <w:p w14:paraId="5E8B1163" w14:textId="77777777" w:rsidR="00161DBC" w:rsidRDefault="00161DBC" w:rsidP="00227957">
            <w:pPr>
              <w:jc w:val="both"/>
            </w:pPr>
          </w:p>
        </w:tc>
        <w:tc>
          <w:tcPr>
            <w:tcW w:w="9225" w:type="dxa"/>
            <w:gridSpan w:val="3"/>
          </w:tcPr>
          <w:p w14:paraId="5FC5FB3E" w14:textId="3246A713" w:rsidR="00161DBC" w:rsidRDefault="00161DBC" w:rsidP="00227957">
            <w:pPr>
              <w:jc w:val="both"/>
            </w:pPr>
            <w:r>
              <w:t>The Board discussed a preliminary stocktake of its reports and recommendations.  This will be finalised in time for the nex</w:t>
            </w:r>
            <w:r w:rsidR="00A93BBA">
              <w:t>t Board meeting.  The Board</w:t>
            </w:r>
            <w:r>
              <w:t xml:space="preserve"> noted that reports commissioned by or provided to previous Governments will not necessarily be a priority for </w:t>
            </w:r>
            <w:r w:rsidR="00A93BBA">
              <w:t xml:space="preserve">a later </w:t>
            </w:r>
            <w:r>
              <w:t xml:space="preserve">Government.  The Board discussed how Stakeholders that wish to prioritise issues </w:t>
            </w:r>
            <w:r w:rsidR="00A93BBA">
              <w:t xml:space="preserve">raised in earlier reports </w:t>
            </w:r>
            <w:r>
              <w:t>can continue to advocate for these reforms</w:t>
            </w:r>
            <w:r w:rsidR="00541CD2">
              <w:t xml:space="preserve"> – either through the Board or directly with the Government</w:t>
            </w:r>
            <w:r>
              <w:t>.  Please contact the Board if you are interested in receiving the stocktake document once finalised.</w:t>
            </w:r>
          </w:p>
          <w:p w14:paraId="494469EA" w14:textId="77777777" w:rsidR="00161DBC" w:rsidRDefault="00161DBC" w:rsidP="00227957">
            <w:pPr>
              <w:jc w:val="both"/>
            </w:pPr>
          </w:p>
          <w:p w14:paraId="60A02187" w14:textId="77777777" w:rsidR="00161DBC" w:rsidRDefault="00161DBC" w:rsidP="00227957">
            <w:pPr>
              <w:jc w:val="both"/>
            </w:pPr>
          </w:p>
          <w:p w14:paraId="7A332AFB" w14:textId="77777777" w:rsidR="00161DBC" w:rsidRDefault="00161DBC" w:rsidP="00227957">
            <w:pPr>
              <w:jc w:val="both"/>
            </w:pPr>
          </w:p>
          <w:p w14:paraId="1826F037" w14:textId="77777777" w:rsidR="00161DBC" w:rsidRDefault="00161DBC" w:rsidP="00227957">
            <w:pPr>
              <w:jc w:val="both"/>
            </w:pPr>
          </w:p>
        </w:tc>
        <w:tc>
          <w:tcPr>
            <w:tcW w:w="590" w:type="dxa"/>
            <w:gridSpan w:val="2"/>
          </w:tcPr>
          <w:p w14:paraId="28DA1B04" w14:textId="77777777" w:rsidR="00161DBC" w:rsidRDefault="00161DBC" w:rsidP="00227957"/>
        </w:tc>
      </w:tr>
      <w:tr w:rsidR="00D52A49" w:rsidRPr="006B1E71" w14:paraId="759B1692" w14:textId="77777777" w:rsidTr="004B738A">
        <w:trPr>
          <w:gridBefore w:val="1"/>
          <w:wBefore w:w="96" w:type="dxa"/>
          <w:jc w:val="center"/>
        </w:trPr>
        <w:tc>
          <w:tcPr>
            <w:tcW w:w="625" w:type="dxa"/>
            <w:gridSpan w:val="2"/>
            <w:shd w:val="clear" w:color="auto" w:fill="auto"/>
          </w:tcPr>
          <w:p w14:paraId="2093717C" w14:textId="77777777" w:rsidR="00D52A49" w:rsidRPr="006B1E71" w:rsidRDefault="00D52A49" w:rsidP="00227957">
            <w:pPr>
              <w:rPr>
                <w:sz w:val="36"/>
                <w:szCs w:val="36"/>
              </w:rPr>
            </w:pPr>
          </w:p>
        </w:tc>
        <w:tc>
          <w:tcPr>
            <w:tcW w:w="9225" w:type="dxa"/>
            <w:gridSpan w:val="3"/>
            <w:shd w:val="clear" w:color="auto" w:fill="auto"/>
          </w:tcPr>
          <w:p w14:paraId="537560D6" w14:textId="0F6DA3AE" w:rsidR="00D52A49" w:rsidRPr="006B1E71" w:rsidRDefault="00D52A49" w:rsidP="00617495">
            <w:pPr>
              <w:pStyle w:val="Heading2"/>
              <w:outlineLvl w:val="1"/>
              <w:rPr>
                <w:sz w:val="36"/>
                <w:szCs w:val="36"/>
              </w:rPr>
            </w:pPr>
            <w:r w:rsidRPr="006B1E71">
              <w:rPr>
                <w:sz w:val="36"/>
                <w:szCs w:val="36"/>
              </w:rPr>
              <w:t xml:space="preserve">Our </w:t>
            </w:r>
            <w:r w:rsidR="00617495">
              <w:rPr>
                <w:sz w:val="36"/>
                <w:szCs w:val="36"/>
              </w:rPr>
              <w:t>P</w:t>
            </w:r>
            <w:r w:rsidRPr="006B1E71">
              <w:rPr>
                <w:sz w:val="36"/>
                <w:szCs w:val="36"/>
              </w:rPr>
              <w:t>ipeline for 2017</w:t>
            </w:r>
          </w:p>
        </w:tc>
        <w:tc>
          <w:tcPr>
            <w:tcW w:w="590" w:type="dxa"/>
            <w:gridSpan w:val="2"/>
            <w:shd w:val="clear" w:color="auto" w:fill="auto"/>
          </w:tcPr>
          <w:p w14:paraId="5910D3D2" w14:textId="77777777" w:rsidR="00D52A49" w:rsidRPr="006B1E71" w:rsidRDefault="00D52A49" w:rsidP="00227957">
            <w:pPr>
              <w:rPr>
                <w:sz w:val="36"/>
                <w:szCs w:val="36"/>
              </w:rPr>
            </w:pPr>
          </w:p>
        </w:tc>
      </w:tr>
      <w:tr w:rsidR="00D52A49" w:rsidRPr="00BD2FF3" w14:paraId="6AEBC6BD" w14:textId="77777777" w:rsidTr="004B738A">
        <w:trPr>
          <w:gridBefore w:val="1"/>
          <w:wBefore w:w="96" w:type="dxa"/>
          <w:jc w:val="center"/>
        </w:trPr>
        <w:tc>
          <w:tcPr>
            <w:tcW w:w="625" w:type="dxa"/>
            <w:gridSpan w:val="2"/>
          </w:tcPr>
          <w:p w14:paraId="1775A53C" w14:textId="77777777" w:rsidR="00D52A49" w:rsidRDefault="00D52A49" w:rsidP="0096275B">
            <w:pPr>
              <w:jc w:val="both"/>
            </w:pPr>
          </w:p>
        </w:tc>
        <w:tc>
          <w:tcPr>
            <w:tcW w:w="9225" w:type="dxa"/>
            <w:gridSpan w:val="3"/>
          </w:tcPr>
          <w:p w14:paraId="2FE05447" w14:textId="2C926C02" w:rsidR="00D52A49" w:rsidRDefault="00D52A49" w:rsidP="0096275B">
            <w:pPr>
              <w:jc w:val="both"/>
            </w:pPr>
            <w:r>
              <w:t xml:space="preserve">The Board also discussed a range of options </w:t>
            </w:r>
            <w:r w:rsidR="007907B9">
              <w:t>to add to i</w:t>
            </w:r>
            <w:r>
              <w:t>ts pipeline of work</w:t>
            </w:r>
            <w:r w:rsidR="007907B9">
              <w:t>.  These ideas may be considered in the</w:t>
            </w:r>
            <w:r>
              <w:t xml:space="preserve"> remainder of 2017</w:t>
            </w:r>
            <w:r w:rsidR="007907B9">
              <w:t xml:space="preserve"> or at a future time</w:t>
            </w:r>
            <w:r>
              <w:t>.  Some ideas contributed by Stakeholders at the lunch discussion</w:t>
            </w:r>
            <w:r w:rsidR="006B1E71">
              <w:t>,</w:t>
            </w:r>
            <w:r>
              <w:t xml:space="preserve"> includ</w:t>
            </w:r>
            <w:r w:rsidR="00E55A44">
              <w:t>ed</w:t>
            </w:r>
            <w:r w:rsidR="006B1E71">
              <w:t xml:space="preserve"> the following</w:t>
            </w:r>
            <w:r>
              <w:t>:</w:t>
            </w:r>
          </w:p>
          <w:p w14:paraId="44AAD2A4" w14:textId="5F6E42DC" w:rsidR="006B1E71" w:rsidRPr="006B1E71" w:rsidRDefault="006B1E71" w:rsidP="006B1E71">
            <w:pPr>
              <w:pStyle w:val="ListParagraph"/>
              <w:numPr>
                <w:ilvl w:val="0"/>
                <w:numId w:val="18"/>
              </w:numPr>
            </w:pPr>
            <w:r w:rsidRPr="006B1E71">
              <w:t xml:space="preserve">Improved </w:t>
            </w:r>
            <w:r>
              <w:t xml:space="preserve">‘co-ordination’ of government </w:t>
            </w:r>
            <w:r w:rsidRPr="006B1E71">
              <w:t>systems to allow large corporate groups to update information more effectively and to en</w:t>
            </w:r>
            <w:r w:rsidR="001A46D9">
              <w:t>sure all systems are integrated;</w:t>
            </w:r>
          </w:p>
          <w:p w14:paraId="4DE911F9" w14:textId="3AA43F81" w:rsidR="00D52A49" w:rsidRPr="006B1E71" w:rsidRDefault="0036272E" w:rsidP="006B1E71">
            <w:pPr>
              <w:pStyle w:val="ListParagraph"/>
              <w:numPr>
                <w:ilvl w:val="0"/>
                <w:numId w:val="18"/>
              </w:numPr>
              <w:jc w:val="both"/>
            </w:pPr>
            <w:r>
              <w:t>Review of the o</w:t>
            </w:r>
            <w:r w:rsidR="006B1E71">
              <w:t xml:space="preserve">peration of the </w:t>
            </w:r>
            <w:r w:rsidR="007A580E" w:rsidRPr="006B1E71">
              <w:t>GST</w:t>
            </w:r>
            <w:r w:rsidR="00571D7D" w:rsidRPr="006B1E71">
              <w:t xml:space="preserve"> </w:t>
            </w:r>
            <w:r w:rsidR="008867E3">
              <w:t>system - especially</w:t>
            </w:r>
            <w:r w:rsidR="006B1E71">
              <w:t xml:space="preserve"> important </w:t>
            </w:r>
            <w:r w:rsidR="006B1E71" w:rsidRPr="006B1E71">
              <w:t>for</w:t>
            </w:r>
            <w:r w:rsidR="008867E3">
              <w:t xml:space="preserve"> the</w:t>
            </w:r>
            <w:r w:rsidR="006B1E71" w:rsidRPr="006B1E71">
              <w:t xml:space="preserve"> financial services</w:t>
            </w:r>
            <w:r w:rsidR="001A46D9">
              <w:t xml:space="preserve"> industry;</w:t>
            </w:r>
          </w:p>
          <w:p w14:paraId="2031F59C" w14:textId="4A2519A5" w:rsidR="007A580E" w:rsidRPr="006B1E71" w:rsidRDefault="0036272E" w:rsidP="006B1E71">
            <w:pPr>
              <w:pStyle w:val="ListParagraph"/>
              <w:numPr>
                <w:ilvl w:val="0"/>
                <w:numId w:val="18"/>
              </w:numPr>
              <w:jc w:val="both"/>
            </w:pPr>
            <w:r>
              <w:t>Review of the</w:t>
            </w:r>
            <w:r w:rsidR="006B1E71" w:rsidRPr="006B1E71">
              <w:t xml:space="preserve"> taxation of </w:t>
            </w:r>
            <w:r w:rsidR="007A580E" w:rsidRPr="006B1E71">
              <w:t xml:space="preserve">Infrastructure; </w:t>
            </w:r>
          </w:p>
          <w:p w14:paraId="5D16695D" w14:textId="46EAA652" w:rsidR="00571D7D" w:rsidRPr="006B1E71" w:rsidRDefault="00571D7D" w:rsidP="006B1E71">
            <w:pPr>
              <w:pStyle w:val="ListParagraph"/>
              <w:numPr>
                <w:ilvl w:val="0"/>
                <w:numId w:val="18"/>
              </w:numPr>
              <w:jc w:val="both"/>
            </w:pPr>
            <w:r w:rsidRPr="006B1E71">
              <w:t xml:space="preserve">Non-resident withholding taxes for </w:t>
            </w:r>
            <w:r w:rsidR="006B1E71" w:rsidRPr="006B1E71">
              <w:t>public company transactions (scrip for scrip)</w:t>
            </w:r>
            <w:r w:rsidRPr="006B1E71">
              <w:t>;</w:t>
            </w:r>
          </w:p>
          <w:p w14:paraId="140BDE04" w14:textId="4A8E93C6" w:rsidR="006B1E71" w:rsidRDefault="006B1E71" w:rsidP="006B1E71">
            <w:pPr>
              <w:pStyle w:val="ListParagraph"/>
              <w:numPr>
                <w:ilvl w:val="0"/>
                <w:numId w:val="18"/>
              </w:numPr>
            </w:pPr>
            <w:r w:rsidRPr="006B1E71">
              <w:t>What should be done with the funds of deregistered charities (entities that lose their charity status)?</w:t>
            </w:r>
          </w:p>
          <w:p w14:paraId="3A197F97" w14:textId="7568CB7A" w:rsidR="00071C97" w:rsidRDefault="00071C97" w:rsidP="00071C97">
            <w:pPr>
              <w:pStyle w:val="ListParagraph"/>
              <w:numPr>
                <w:ilvl w:val="0"/>
                <w:numId w:val="19"/>
              </w:numPr>
            </w:pPr>
            <w:r>
              <w:t xml:space="preserve">The treatment of foreign trusts for capital gains tax purposes as set out in ATO draft rulings 2016/D4 and D5. </w:t>
            </w:r>
          </w:p>
          <w:p w14:paraId="24353D1E" w14:textId="0E7DB4B8" w:rsidR="007907B9" w:rsidRDefault="00D52A49" w:rsidP="00D52A49">
            <w:pPr>
              <w:jc w:val="both"/>
            </w:pPr>
            <w:r>
              <w:t xml:space="preserve">The </w:t>
            </w:r>
            <w:r w:rsidR="00541CD2">
              <w:t xml:space="preserve">Board will discuss and agree its </w:t>
            </w:r>
            <w:r>
              <w:t xml:space="preserve">pipeline of work </w:t>
            </w:r>
            <w:r w:rsidR="00541CD2">
              <w:t>in conjunction</w:t>
            </w:r>
            <w:r w:rsidR="00C96E51">
              <w:t xml:space="preserve"> </w:t>
            </w:r>
            <w:r>
              <w:t>with the Minister before we commenc</w:t>
            </w:r>
            <w:r w:rsidR="007907B9">
              <w:t>e work on any ideas</w:t>
            </w:r>
            <w:r w:rsidR="00C96E51">
              <w:t xml:space="preserve"> – </w:t>
            </w:r>
            <w:r w:rsidR="00541CD2">
              <w:t>especially because we have ‘fin</w:t>
            </w:r>
            <w:r w:rsidR="00C96E51">
              <w:t>i</w:t>
            </w:r>
            <w:r w:rsidR="00541CD2">
              <w:t>te resources’ and in light of our other priorities</w:t>
            </w:r>
            <w:r w:rsidR="0036272E">
              <w:t>.  Some of these ideas will be added to Sounding Board to gauge their priority with the business and tax community.</w:t>
            </w:r>
          </w:p>
          <w:p w14:paraId="1750A306" w14:textId="794EA05B" w:rsidR="00D52A49" w:rsidRDefault="007907B9" w:rsidP="007907B9">
            <w:pPr>
              <w:jc w:val="both"/>
            </w:pPr>
            <w:r>
              <w:t>We welcome your feedback on any of the ideas and other areas that you consider should be considered in our potential pipeline of work.</w:t>
            </w:r>
          </w:p>
        </w:tc>
        <w:tc>
          <w:tcPr>
            <w:tcW w:w="590" w:type="dxa"/>
            <w:gridSpan w:val="2"/>
          </w:tcPr>
          <w:p w14:paraId="0B8AE7D0" w14:textId="77777777" w:rsidR="00D52A49" w:rsidRDefault="00D52A49" w:rsidP="002256FA"/>
        </w:tc>
      </w:tr>
      <w:tr w:rsidR="00E3161A" w:rsidRPr="006B1E71" w14:paraId="7073E043" w14:textId="77777777" w:rsidTr="004B738A">
        <w:trPr>
          <w:gridBefore w:val="1"/>
          <w:wBefore w:w="96" w:type="dxa"/>
          <w:jc w:val="center"/>
        </w:trPr>
        <w:tc>
          <w:tcPr>
            <w:tcW w:w="625" w:type="dxa"/>
            <w:gridSpan w:val="2"/>
            <w:shd w:val="clear" w:color="auto" w:fill="auto"/>
          </w:tcPr>
          <w:p w14:paraId="2AFDD519" w14:textId="77777777" w:rsidR="00E3161A" w:rsidRPr="006B1E71" w:rsidRDefault="00E3161A" w:rsidP="00227957">
            <w:pPr>
              <w:rPr>
                <w:sz w:val="36"/>
                <w:szCs w:val="36"/>
              </w:rPr>
            </w:pPr>
          </w:p>
        </w:tc>
        <w:tc>
          <w:tcPr>
            <w:tcW w:w="9225" w:type="dxa"/>
            <w:gridSpan w:val="3"/>
            <w:shd w:val="clear" w:color="auto" w:fill="auto"/>
          </w:tcPr>
          <w:p w14:paraId="66E4F92B" w14:textId="77777777" w:rsidR="00E3161A" w:rsidRPr="006B1E71" w:rsidRDefault="00E3161A" w:rsidP="00227957">
            <w:pPr>
              <w:pStyle w:val="Heading2"/>
              <w:outlineLvl w:val="1"/>
              <w:rPr>
                <w:sz w:val="36"/>
                <w:szCs w:val="36"/>
              </w:rPr>
            </w:pPr>
            <w:r w:rsidRPr="006B1E71">
              <w:rPr>
                <w:sz w:val="36"/>
                <w:szCs w:val="36"/>
              </w:rPr>
              <w:t>Tax Transparency Code</w:t>
            </w:r>
          </w:p>
        </w:tc>
        <w:tc>
          <w:tcPr>
            <w:tcW w:w="590" w:type="dxa"/>
            <w:gridSpan w:val="2"/>
            <w:shd w:val="clear" w:color="auto" w:fill="auto"/>
          </w:tcPr>
          <w:p w14:paraId="7937E5B2" w14:textId="77777777" w:rsidR="00E3161A" w:rsidRPr="006B1E71" w:rsidRDefault="00E3161A" w:rsidP="00227957">
            <w:pPr>
              <w:rPr>
                <w:sz w:val="36"/>
                <w:szCs w:val="36"/>
              </w:rPr>
            </w:pPr>
          </w:p>
        </w:tc>
      </w:tr>
      <w:tr w:rsidR="00E3161A" w:rsidRPr="00BD2FF3" w14:paraId="77598337" w14:textId="77777777" w:rsidTr="004B738A">
        <w:trPr>
          <w:gridBefore w:val="1"/>
          <w:wBefore w:w="96" w:type="dxa"/>
          <w:jc w:val="center"/>
        </w:trPr>
        <w:tc>
          <w:tcPr>
            <w:tcW w:w="625" w:type="dxa"/>
            <w:gridSpan w:val="2"/>
          </w:tcPr>
          <w:p w14:paraId="286F5B42" w14:textId="77777777" w:rsidR="00E3161A" w:rsidRPr="00BD2FF3" w:rsidRDefault="00E3161A" w:rsidP="00227957"/>
        </w:tc>
        <w:tc>
          <w:tcPr>
            <w:tcW w:w="9225" w:type="dxa"/>
            <w:gridSpan w:val="3"/>
          </w:tcPr>
          <w:p w14:paraId="530CC2A0" w14:textId="77777777" w:rsidR="00E3161A" w:rsidRDefault="00E3161A" w:rsidP="00227957">
            <w:pPr>
              <w:jc w:val="both"/>
            </w:pPr>
            <w:r>
              <w:t xml:space="preserve">The Board noted that 82 organisations (including private and foreign companies) have now indicated their intention to adopt the Code – the set of principles and minimum standards to guide the disclosure of tax information by businesses. As this update is being sent out, 40 companies have already published their first reports. A register of these organisations can be found at: </w:t>
            </w:r>
            <w:hyperlink r:id="rId14" w:history="1">
              <w:r w:rsidRPr="00BF22B3">
                <w:rPr>
                  <w:rStyle w:val="Hyperlink"/>
                </w:rPr>
                <w:t>http://taxboard.gov.au/current-activities/transparency-code-register/</w:t>
              </w:r>
            </w:hyperlink>
            <w:r>
              <w:t xml:space="preserve">. </w:t>
            </w:r>
          </w:p>
          <w:p w14:paraId="2B935130" w14:textId="3B40FAAA" w:rsidR="00E3161A" w:rsidRDefault="007A580E" w:rsidP="00227957">
            <w:pPr>
              <w:jc w:val="both"/>
            </w:pPr>
            <w:r>
              <w:t>M</w:t>
            </w:r>
            <w:r w:rsidR="00E3161A">
              <w:t>ore organisations have adopt</w:t>
            </w:r>
            <w:r w:rsidR="00392A88">
              <w:t>ed</w:t>
            </w:r>
            <w:r w:rsidR="00E3161A">
              <w:t xml:space="preserve"> the Code as 2017 progresses</w:t>
            </w:r>
            <w:r w:rsidR="00392A88">
              <w:t xml:space="preserve"> - </w:t>
            </w:r>
            <w:r w:rsidR="00E3161A">
              <w:t>as the Board expected</w:t>
            </w:r>
            <w:r>
              <w:t>.  W</w:t>
            </w:r>
            <w:r w:rsidR="00E3161A">
              <w:t xml:space="preserve">e have also been </w:t>
            </w:r>
            <w:r>
              <w:t xml:space="preserve">exploring </w:t>
            </w:r>
            <w:r w:rsidR="00E3161A">
              <w:t>ways in which to increase our promotion of the Code.</w:t>
            </w:r>
            <w:r w:rsidR="006D5EE8">
              <w:t xml:space="preserve"> </w:t>
            </w:r>
            <w:r w:rsidR="00E3161A">
              <w:t xml:space="preserve"> Initiatives </w:t>
            </w:r>
            <w:r>
              <w:t xml:space="preserve">discussed include – shareholders raising the issue on an ‘if not why not’ basis with individual companies, </w:t>
            </w:r>
            <w:r w:rsidR="00571D7D">
              <w:t xml:space="preserve">the </w:t>
            </w:r>
            <w:r>
              <w:t>ATO promoti</w:t>
            </w:r>
            <w:r w:rsidR="00571D7D">
              <w:t>o</w:t>
            </w:r>
            <w:r>
              <w:t>n</w:t>
            </w:r>
            <w:r w:rsidR="00571D7D">
              <w:t xml:space="preserve"> of the Code through risk assessment processes and how adoption may influence other procurement processes.</w:t>
            </w:r>
            <w:r w:rsidR="00E3161A">
              <w:t xml:space="preserve"> </w:t>
            </w:r>
          </w:p>
          <w:p w14:paraId="4D9E68D7" w14:textId="0F4BEB0B" w:rsidR="00E3161A" w:rsidRDefault="00E3161A" w:rsidP="00227957">
            <w:pPr>
              <w:jc w:val="both"/>
            </w:pPr>
            <w:r>
              <w:t xml:space="preserve">The Board continues to work with the AASB on material to guide organisations seeking to comply with the obligations they have taken on under the Code. </w:t>
            </w:r>
          </w:p>
          <w:p w14:paraId="00CC4BE3" w14:textId="77777777" w:rsidR="00161DBC" w:rsidRDefault="00E3161A" w:rsidP="00227957">
            <w:pPr>
              <w:jc w:val="both"/>
            </w:pPr>
            <w:r>
              <w:t xml:space="preserve">The Board encourages you to adopt the Code and support and assist your clients to adopt it. For further information on the Code or to register your intention to adopt it, please contact the Board at </w:t>
            </w:r>
            <w:hyperlink r:id="rId15" w:history="1">
              <w:r w:rsidRPr="00BF22B3">
                <w:rPr>
                  <w:rStyle w:val="Hyperlink"/>
                </w:rPr>
                <w:t>taxboard@treasury.gov.au</w:t>
              </w:r>
            </w:hyperlink>
            <w:r>
              <w:t>.</w:t>
            </w:r>
          </w:p>
          <w:p w14:paraId="22ACE3F0" w14:textId="77777777" w:rsidR="00EF21EE" w:rsidRDefault="00EF21EE" w:rsidP="00227957">
            <w:pPr>
              <w:jc w:val="both"/>
            </w:pPr>
          </w:p>
          <w:p w14:paraId="5DB12F13" w14:textId="77777777" w:rsidR="00EF21EE" w:rsidRDefault="00EF21EE" w:rsidP="00227957">
            <w:pPr>
              <w:jc w:val="both"/>
            </w:pPr>
          </w:p>
          <w:p w14:paraId="7167D147" w14:textId="77777777" w:rsidR="00EF21EE" w:rsidRDefault="00EF21EE" w:rsidP="00227957">
            <w:pPr>
              <w:jc w:val="both"/>
            </w:pPr>
          </w:p>
          <w:p w14:paraId="36D487C8" w14:textId="77777777" w:rsidR="00EF21EE" w:rsidRDefault="00EF21EE" w:rsidP="00227957">
            <w:pPr>
              <w:jc w:val="both"/>
            </w:pPr>
          </w:p>
          <w:p w14:paraId="1269C838" w14:textId="77777777" w:rsidR="00EF21EE" w:rsidRDefault="00EF21EE" w:rsidP="00227957">
            <w:pPr>
              <w:jc w:val="both"/>
            </w:pPr>
          </w:p>
          <w:p w14:paraId="5128E81B" w14:textId="3887E961" w:rsidR="00EF21EE" w:rsidRPr="00BD2FF3" w:rsidRDefault="00EF21EE" w:rsidP="00227957">
            <w:pPr>
              <w:jc w:val="both"/>
            </w:pPr>
          </w:p>
        </w:tc>
        <w:tc>
          <w:tcPr>
            <w:tcW w:w="590" w:type="dxa"/>
            <w:gridSpan w:val="2"/>
          </w:tcPr>
          <w:p w14:paraId="295D3225" w14:textId="77777777" w:rsidR="00E3161A" w:rsidRPr="00BD2FF3" w:rsidRDefault="00E3161A" w:rsidP="00227957"/>
        </w:tc>
      </w:tr>
      <w:tr w:rsidR="00E3161A" w:rsidRPr="005158CD" w14:paraId="293737F7" w14:textId="77777777" w:rsidTr="004B738A">
        <w:trPr>
          <w:gridBefore w:val="1"/>
          <w:wBefore w:w="96" w:type="dxa"/>
          <w:jc w:val="center"/>
        </w:trPr>
        <w:tc>
          <w:tcPr>
            <w:tcW w:w="625" w:type="dxa"/>
            <w:gridSpan w:val="2"/>
            <w:shd w:val="clear" w:color="auto" w:fill="auto"/>
          </w:tcPr>
          <w:p w14:paraId="400BC3A6" w14:textId="77777777" w:rsidR="00E3161A" w:rsidRPr="005158CD" w:rsidRDefault="00E3161A" w:rsidP="00227957">
            <w:pPr>
              <w:rPr>
                <w:sz w:val="36"/>
                <w:szCs w:val="36"/>
              </w:rPr>
            </w:pPr>
          </w:p>
        </w:tc>
        <w:tc>
          <w:tcPr>
            <w:tcW w:w="9225" w:type="dxa"/>
            <w:gridSpan w:val="3"/>
            <w:shd w:val="clear" w:color="auto" w:fill="auto"/>
          </w:tcPr>
          <w:p w14:paraId="1E5D9C16" w14:textId="77777777" w:rsidR="00E3161A" w:rsidRPr="005158CD" w:rsidRDefault="00E3161A" w:rsidP="00227957">
            <w:pPr>
              <w:pStyle w:val="Heading2"/>
              <w:outlineLvl w:val="1"/>
              <w:rPr>
                <w:sz w:val="36"/>
                <w:szCs w:val="36"/>
              </w:rPr>
            </w:pPr>
            <w:r w:rsidRPr="005158CD">
              <w:rPr>
                <w:sz w:val="36"/>
                <w:szCs w:val="36"/>
              </w:rPr>
              <w:t>Sounding Board</w:t>
            </w:r>
          </w:p>
        </w:tc>
        <w:tc>
          <w:tcPr>
            <w:tcW w:w="590" w:type="dxa"/>
            <w:gridSpan w:val="2"/>
            <w:shd w:val="clear" w:color="auto" w:fill="auto"/>
          </w:tcPr>
          <w:p w14:paraId="0839B73C" w14:textId="77777777" w:rsidR="00E3161A" w:rsidRPr="005158CD" w:rsidRDefault="00E3161A" w:rsidP="00227957">
            <w:pPr>
              <w:rPr>
                <w:sz w:val="36"/>
                <w:szCs w:val="36"/>
              </w:rPr>
            </w:pPr>
          </w:p>
        </w:tc>
      </w:tr>
      <w:tr w:rsidR="00E3161A" w:rsidRPr="00BD2FF3" w14:paraId="4F32532D" w14:textId="77777777" w:rsidTr="004B738A">
        <w:trPr>
          <w:gridBefore w:val="1"/>
          <w:wBefore w:w="96" w:type="dxa"/>
          <w:jc w:val="center"/>
        </w:trPr>
        <w:tc>
          <w:tcPr>
            <w:tcW w:w="625" w:type="dxa"/>
            <w:gridSpan w:val="2"/>
          </w:tcPr>
          <w:p w14:paraId="466AB6ED" w14:textId="77777777" w:rsidR="00E3161A" w:rsidRPr="00BD2FF3" w:rsidRDefault="00E3161A" w:rsidP="00227957"/>
        </w:tc>
        <w:tc>
          <w:tcPr>
            <w:tcW w:w="9225" w:type="dxa"/>
            <w:gridSpan w:val="3"/>
          </w:tcPr>
          <w:p w14:paraId="78F9BDF2" w14:textId="0DAF36B9" w:rsidR="00571D7D" w:rsidRDefault="00E3161A" w:rsidP="00227957">
            <w:pPr>
              <w:jc w:val="both"/>
            </w:pPr>
            <w:r>
              <w:t xml:space="preserve">The Board received an update on the recent activity on the Sounding Board and noted some of the most-supported ideas. </w:t>
            </w:r>
            <w:r w:rsidR="00392A88">
              <w:t xml:space="preserve"> </w:t>
            </w:r>
            <w:r w:rsidRPr="00571D7D">
              <w:t>The Board encourages the tax community to continue to</w:t>
            </w:r>
            <w:r w:rsidR="00571D7D" w:rsidRPr="00571D7D">
              <w:t xml:space="preserve"> submit ideas to Sounding Board.  </w:t>
            </w:r>
            <w:r w:rsidR="00571D7D">
              <w:t>The Board also notes the following:</w:t>
            </w:r>
          </w:p>
          <w:p w14:paraId="612FD511" w14:textId="065DF231" w:rsidR="00392A88" w:rsidRDefault="00571D7D" w:rsidP="00392A88">
            <w:pPr>
              <w:pStyle w:val="ListParagraph"/>
              <w:numPr>
                <w:ilvl w:val="0"/>
                <w:numId w:val="17"/>
              </w:numPr>
              <w:jc w:val="both"/>
            </w:pPr>
            <w:r>
              <w:t xml:space="preserve">there </w:t>
            </w:r>
            <w:r w:rsidR="006B1E71">
              <w:t xml:space="preserve">can be </w:t>
            </w:r>
            <w:r>
              <w:t xml:space="preserve">a relatively long legislative lead time (at least 18 months) – even </w:t>
            </w:r>
            <w:r w:rsidRPr="00571D7D">
              <w:t xml:space="preserve">for minor, uncontroversial changes </w:t>
            </w:r>
            <w:r w:rsidR="00392A88">
              <w:t xml:space="preserve">(and </w:t>
            </w:r>
            <w:r w:rsidRPr="00571D7D">
              <w:t xml:space="preserve">longer if </w:t>
            </w:r>
            <w:r w:rsidR="00392A88">
              <w:t xml:space="preserve">changes are </w:t>
            </w:r>
            <w:r w:rsidRPr="00571D7D">
              <w:t>more complex in nature</w:t>
            </w:r>
            <w:r w:rsidR="00392A88">
              <w:t>);</w:t>
            </w:r>
          </w:p>
          <w:p w14:paraId="6F6DD53D" w14:textId="77777777" w:rsidR="00392A88" w:rsidRDefault="00571D7D" w:rsidP="00392A88">
            <w:pPr>
              <w:pStyle w:val="ListParagraph"/>
              <w:numPr>
                <w:ilvl w:val="0"/>
                <w:numId w:val="17"/>
              </w:numPr>
              <w:jc w:val="both"/>
            </w:pPr>
            <w:proofErr w:type="gramStart"/>
            <w:r w:rsidRPr="00571D7D">
              <w:t>policy</w:t>
            </w:r>
            <w:proofErr w:type="gramEnd"/>
            <w:r w:rsidRPr="00571D7D">
              <w:t xml:space="preserve"> matters are ultimately a matter for the government.</w:t>
            </w:r>
          </w:p>
          <w:p w14:paraId="300AEC61" w14:textId="3295904F" w:rsidR="00571D7D" w:rsidRPr="00571D7D" w:rsidRDefault="00571D7D" w:rsidP="00617495">
            <w:pPr>
              <w:keepNext/>
              <w:keepLines/>
              <w:jc w:val="both"/>
            </w:pPr>
            <w:r w:rsidRPr="00571D7D">
              <w:t xml:space="preserve">Even though some of </w:t>
            </w:r>
            <w:r w:rsidR="00E3161A" w:rsidRPr="00571D7D">
              <w:t>the</w:t>
            </w:r>
            <w:r w:rsidR="00392A88">
              <w:t xml:space="preserve"> Sounding Board </w:t>
            </w:r>
            <w:r w:rsidR="00E3161A" w:rsidRPr="00571D7D">
              <w:t xml:space="preserve">ideas are unable to be progressed </w:t>
            </w:r>
            <w:r w:rsidR="00392A88">
              <w:t>‘immediately’</w:t>
            </w:r>
            <w:r w:rsidRPr="00571D7D">
              <w:t>, the Board provides real-time advice on tax policy issues and your ideas inform the Board’s advice on a wide range of topics.  T</w:t>
            </w:r>
            <w:r w:rsidR="00E3161A" w:rsidRPr="00571D7D">
              <w:t xml:space="preserve">he Board </w:t>
            </w:r>
            <w:r w:rsidRPr="00571D7D">
              <w:t xml:space="preserve">also </w:t>
            </w:r>
            <w:r w:rsidR="00E3161A" w:rsidRPr="00571D7D">
              <w:t xml:space="preserve">regularly raises the feedback it receives with </w:t>
            </w:r>
            <w:r w:rsidRPr="00571D7D">
              <w:t>M</w:t>
            </w:r>
            <w:r w:rsidR="00E3161A" w:rsidRPr="00571D7D">
              <w:t>inisters.</w:t>
            </w:r>
          </w:p>
          <w:p w14:paraId="3EF2DB69" w14:textId="46DD3089" w:rsidR="006B1E71" w:rsidRPr="00BD2FF3" w:rsidRDefault="00E3161A" w:rsidP="006B1E71">
            <w:pPr>
              <w:jc w:val="both"/>
            </w:pPr>
            <w:r>
              <w:t>The Board continues to monitor and review activity on Sounding Board, which is a standing item on the Board’s agenda.</w:t>
            </w:r>
            <w:r w:rsidR="006D5EE8">
              <w:t xml:space="preserve"> </w:t>
            </w:r>
            <w:r>
              <w:t xml:space="preserve"> </w:t>
            </w:r>
            <w:r w:rsidR="00541CD2">
              <w:t xml:space="preserve">If you would like to comment, vote or post your own suggestion, you can do so by registering with Sounding Board. </w:t>
            </w:r>
            <w:r>
              <w:t xml:space="preserve">Please visit Sounding Board for more information – </w:t>
            </w:r>
            <w:hyperlink r:id="rId16" w:history="1">
              <w:r w:rsidRPr="00BF22B3">
                <w:rPr>
                  <w:rStyle w:val="Hyperlink"/>
                </w:rPr>
                <w:t>https://taxboard.ideascale.com/</w:t>
              </w:r>
            </w:hyperlink>
            <w:r>
              <w:t>.</w:t>
            </w:r>
          </w:p>
        </w:tc>
        <w:tc>
          <w:tcPr>
            <w:tcW w:w="590" w:type="dxa"/>
            <w:gridSpan w:val="2"/>
          </w:tcPr>
          <w:p w14:paraId="05D81F38" w14:textId="77777777" w:rsidR="00E3161A" w:rsidRPr="00BD2FF3" w:rsidRDefault="00E3161A" w:rsidP="00227957"/>
        </w:tc>
      </w:tr>
      <w:tr w:rsidR="0096275B" w:rsidRPr="005158CD" w14:paraId="10FD373F" w14:textId="77777777" w:rsidTr="004B738A">
        <w:trPr>
          <w:gridBefore w:val="1"/>
          <w:wBefore w:w="96" w:type="dxa"/>
          <w:jc w:val="center"/>
        </w:trPr>
        <w:tc>
          <w:tcPr>
            <w:tcW w:w="625" w:type="dxa"/>
            <w:gridSpan w:val="2"/>
            <w:shd w:val="clear" w:color="auto" w:fill="auto"/>
          </w:tcPr>
          <w:p w14:paraId="4953D655" w14:textId="1FF8EF4B" w:rsidR="0096275B" w:rsidRPr="005158CD" w:rsidRDefault="0096275B" w:rsidP="00445764">
            <w:pPr>
              <w:rPr>
                <w:sz w:val="36"/>
                <w:szCs w:val="36"/>
              </w:rPr>
            </w:pPr>
          </w:p>
        </w:tc>
        <w:tc>
          <w:tcPr>
            <w:tcW w:w="9225" w:type="dxa"/>
            <w:gridSpan w:val="3"/>
            <w:shd w:val="clear" w:color="auto" w:fill="auto"/>
          </w:tcPr>
          <w:p w14:paraId="305267FA" w14:textId="4986C926" w:rsidR="0096275B" w:rsidRPr="005158CD" w:rsidRDefault="0096275B" w:rsidP="00392A88">
            <w:pPr>
              <w:pStyle w:val="Heading2"/>
              <w:outlineLvl w:val="1"/>
              <w:rPr>
                <w:sz w:val="36"/>
                <w:szCs w:val="36"/>
              </w:rPr>
            </w:pPr>
            <w:r w:rsidRPr="005158CD">
              <w:rPr>
                <w:sz w:val="36"/>
                <w:szCs w:val="36"/>
              </w:rPr>
              <w:t>Thank You</w:t>
            </w:r>
          </w:p>
        </w:tc>
        <w:tc>
          <w:tcPr>
            <w:tcW w:w="590" w:type="dxa"/>
            <w:gridSpan w:val="2"/>
            <w:shd w:val="clear" w:color="auto" w:fill="auto"/>
          </w:tcPr>
          <w:p w14:paraId="646BA747" w14:textId="77777777" w:rsidR="0096275B" w:rsidRPr="005158CD" w:rsidRDefault="0096275B" w:rsidP="00445764">
            <w:pPr>
              <w:rPr>
                <w:sz w:val="36"/>
                <w:szCs w:val="36"/>
              </w:rPr>
            </w:pPr>
          </w:p>
        </w:tc>
      </w:tr>
      <w:tr w:rsidR="0096275B" w:rsidRPr="00BD2FF3" w14:paraId="679281BC" w14:textId="77777777" w:rsidTr="004B738A">
        <w:trPr>
          <w:gridBefore w:val="1"/>
          <w:wBefore w:w="96" w:type="dxa"/>
          <w:jc w:val="center"/>
        </w:trPr>
        <w:tc>
          <w:tcPr>
            <w:tcW w:w="625" w:type="dxa"/>
            <w:gridSpan w:val="2"/>
          </w:tcPr>
          <w:p w14:paraId="5D3D274E" w14:textId="77777777" w:rsidR="0096275B" w:rsidRPr="00BD2FF3" w:rsidRDefault="0096275B" w:rsidP="00445764"/>
        </w:tc>
        <w:tc>
          <w:tcPr>
            <w:tcW w:w="9225" w:type="dxa"/>
            <w:gridSpan w:val="3"/>
          </w:tcPr>
          <w:p w14:paraId="0B84AE4F" w14:textId="2E9BDD60" w:rsidR="0096275B" w:rsidRPr="00BD2FF3" w:rsidRDefault="0096275B" w:rsidP="00392A88">
            <w:r w:rsidRPr="00392A88">
              <w:t xml:space="preserve">The Board would also like to thank </w:t>
            </w:r>
            <w:r w:rsidR="00392A88" w:rsidRPr="00392A88">
              <w:t xml:space="preserve">John Emerson </w:t>
            </w:r>
            <w:r w:rsidRPr="00392A88">
              <w:t>and Herbert Smith Freehills for host</w:t>
            </w:r>
            <w:r w:rsidR="00392A88">
              <w:t>ing</w:t>
            </w:r>
            <w:r w:rsidRPr="00392A88">
              <w:t xml:space="preserve"> the Board in Melbourne – the Board is most grateful.</w:t>
            </w:r>
            <w:r w:rsidR="00392A88">
              <w:t xml:space="preserve">  </w:t>
            </w:r>
            <w:r>
              <w:t xml:space="preserve">The Board would like to thank all those who participated in the discussions over lunch. </w:t>
            </w:r>
            <w:r w:rsidR="006D5EE8">
              <w:t xml:space="preserve"> </w:t>
            </w:r>
            <w:r>
              <w:t xml:space="preserve">We remind you that you can contact us at any time – refer to my contact details below or please email </w:t>
            </w:r>
            <w:hyperlink r:id="rId17" w:history="1">
              <w:r w:rsidRPr="00BF22B3">
                <w:rPr>
                  <w:rStyle w:val="Hyperlink"/>
                </w:rPr>
                <w:t>taxboard@treasury.gov.au</w:t>
              </w:r>
            </w:hyperlink>
            <w:r>
              <w:t>.</w:t>
            </w:r>
          </w:p>
        </w:tc>
        <w:tc>
          <w:tcPr>
            <w:tcW w:w="590" w:type="dxa"/>
            <w:gridSpan w:val="2"/>
          </w:tcPr>
          <w:p w14:paraId="7C1FB5E8" w14:textId="77777777" w:rsidR="0096275B" w:rsidRPr="00BD2FF3" w:rsidRDefault="0096275B" w:rsidP="00445764"/>
        </w:tc>
      </w:tr>
      <w:tr w:rsidR="005B32D7" w:rsidRPr="005158CD" w14:paraId="680A6CAF" w14:textId="77777777" w:rsidTr="004B738A">
        <w:trPr>
          <w:gridBefore w:val="1"/>
          <w:wBefore w:w="96" w:type="dxa"/>
          <w:jc w:val="center"/>
        </w:trPr>
        <w:tc>
          <w:tcPr>
            <w:tcW w:w="625" w:type="dxa"/>
            <w:gridSpan w:val="2"/>
            <w:shd w:val="clear" w:color="auto" w:fill="auto"/>
          </w:tcPr>
          <w:p w14:paraId="7A87FE42" w14:textId="77777777" w:rsidR="00DE77A2" w:rsidRPr="005158CD" w:rsidRDefault="00DE77A2" w:rsidP="002256FA">
            <w:pPr>
              <w:rPr>
                <w:sz w:val="36"/>
                <w:szCs w:val="36"/>
              </w:rPr>
            </w:pPr>
          </w:p>
        </w:tc>
        <w:tc>
          <w:tcPr>
            <w:tcW w:w="9225" w:type="dxa"/>
            <w:gridSpan w:val="3"/>
            <w:shd w:val="clear" w:color="auto" w:fill="auto"/>
          </w:tcPr>
          <w:p w14:paraId="4E321892" w14:textId="77777777" w:rsidR="00DE77A2" w:rsidRPr="005158CD" w:rsidRDefault="0096275B" w:rsidP="002256FA">
            <w:pPr>
              <w:pStyle w:val="Heading2"/>
              <w:outlineLvl w:val="1"/>
              <w:rPr>
                <w:sz w:val="36"/>
                <w:szCs w:val="36"/>
              </w:rPr>
            </w:pPr>
            <w:r w:rsidRPr="005158CD">
              <w:rPr>
                <w:sz w:val="36"/>
                <w:szCs w:val="36"/>
              </w:rPr>
              <w:t>Upcoming 2017 Board Meetings</w:t>
            </w:r>
          </w:p>
        </w:tc>
        <w:tc>
          <w:tcPr>
            <w:tcW w:w="590" w:type="dxa"/>
            <w:gridSpan w:val="2"/>
            <w:shd w:val="clear" w:color="auto" w:fill="auto"/>
          </w:tcPr>
          <w:p w14:paraId="72E576C6" w14:textId="77777777" w:rsidR="00DE77A2" w:rsidRPr="005158CD" w:rsidRDefault="00DE77A2" w:rsidP="002256FA">
            <w:pPr>
              <w:rPr>
                <w:sz w:val="36"/>
                <w:szCs w:val="36"/>
              </w:rPr>
            </w:pPr>
          </w:p>
        </w:tc>
      </w:tr>
      <w:tr w:rsidR="00DE77A2" w:rsidRPr="00BD2FF3" w14:paraId="4DE528DD" w14:textId="77777777" w:rsidTr="004B738A">
        <w:trPr>
          <w:gridBefore w:val="1"/>
          <w:wBefore w:w="96" w:type="dxa"/>
          <w:jc w:val="center"/>
        </w:trPr>
        <w:tc>
          <w:tcPr>
            <w:tcW w:w="625" w:type="dxa"/>
            <w:gridSpan w:val="2"/>
          </w:tcPr>
          <w:p w14:paraId="72F85ED8" w14:textId="77777777" w:rsidR="00DE77A2" w:rsidRPr="00BD2FF3" w:rsidRDefault="00DE77A2" w:rsidP="002256FA"/>
        </w:tc>
        <w:tc>
          <w:tcPr>
            <w:tcW w:w="9225" w:type="dxa"/>
            <w:gridSpan w:val="3"/>
          </w:tcPr>
          <w:p w14:paraId="26D82271" w14:textId="2C886B0B" w:rsidR="00DE77A2" w:rsidRPr="00BD2FF3" w:rsidRDefault="0096275B" w:rsidP="006D5EE8">
            <w:r>
              <w:t xml:space="preserve">The next Board meeting will be held in Canberra on 26 May 2017. </w:t>
            </w:r>
            <w:r w:rsidR="006B1E71">
              <w:t xml:space="preserve"> </w:t>
            </w:r>
            <w:r>
              <w:t>Please do not hesitate to contact the Board of Taxation on 02 6263 4366 should you wish to discuss any of the above matters further.</w:t>
            </w:r>
          </w:p>
        </w:tc>
        <w:tc>
          <w:tcPr>
            <w:tcW w:w="590" w:type="dxa"/>
            <w:gridSpan w:val="2"/>
          </w:tcPr>
          <w:p w14:paraId="4CAE1840" w14:textId="77777777" w:rsidR="00DE77A2" w:rsidRPr="00BD2FF3" w:rsidRDefault="00DE77A2" w:rsidP="002256FA"/>
        </w:tc>
      </w:tr>
      <w:tr w:rsidR="00DE77A2" w:rsidRPr="00BD2FF3" w14:paraId="3021FA73" w14:textId="77777777" w:rsidTr="004B738A">
        <w:trPr>
          <w:gridBefore w:val="1"/>
          <w:wBefore w:w="96" w:type="dxa"/>
          <w:jc w:val="center"/>
        </w:trPr>
        <w:tc>
          <w:tcPr>
            <w:tcW w:w="625" w:type="dxa"/>
            <w:gridSpan w:val="2"/>
          </w:tcPr>
          <w:p w14:paraId="6B5D896A" w14:textId="77777777" w:rsidR="00DE77A2" w:rsidRPr="00BD2FF3" w:rsidRDefault="00DE77A2" w:rsidP="002256FA"/>
        </w:tc>
        <w:tc>
          <w:tcPr>
            <w:tcW w:w="9225" w:type="dxa"/>
            <w:gridSpan w:val="3"/>
          </w:tcPr>
          <w:p w14:paraId="4BD11071" w14:textId="304616F8" w:rsidR="00DE77A2" w:rsidRPr="00BD2FF3" w:rsidRDefault="00DE77A2" w:rsidP="005158CD">
            <w:r w:rsidRPr="00BD2FF3">
              <w:t>Kind regards</w:t>
            </w:r>
            <w:r w:rsidR="005158CD">
              <w:br/>
            </w:r>
            <w:r w:rsidRPr="00BD2FF3">
              <w:t>Karen Payne</w:t>
            </w:r>
          </w:p>
        </w:tc>
        <w:tc>
          <w:tcPr>
            <w:tcW w:w="590" w:type="dxa"/>
            <w:gridSpan w:val="2"/>
          </w:tcPr>
          <w:p w14:paraId="2E709572" w14:textId="77777777" w:rsidR="00DE77A2" w:rsidRPr="00BD2FF3" w:rsidRDefault="00DE77A2" w:rsidP="002256FA"/>
        </w:tc>
      </w:tr>
      <w:tr w:rsidR="00BD2FF3" w:rsidRPr="00BD2FF3" w14:paraId="7E437BB5" w14:textId="77777777" w:rsidTr="004B738A">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bottom w:val="single" w:sz="4" w:space="0" w:color="BFBFBF" w:themeColor="background1" w:themeShade="BF"/>
            </w:tcBorders>
            <w:shd w:val="clear" w:color="auto" w:fill="1F497D" w:themeFill="text2"/>
          </w:tcPr>
          <w:p w14:paraId="5207EEBA" w14:textId="77777777" w:rsidR="00B85592" w:rsidRPr="00BD2FF3" w:rsidRDefault="00B85592" w:rsidP="002256FA"/>
        </w:tc>
        <w:tc>
          <w:tcPr>
            <w:tcW w:w="4536" w:type="dxa"/>
            <w:gridSpan w:val="2"/>
            <w:tcBorders>
              <w:bottom w:val="single" w:sz="4" w:space="0" w:color="BFBFBF" w:themeColor="background1" w:themeShade="BF"/>
            </w:tcBorders>
            <w:shd w:val="clear" w:color="auto" w:fill="1F497D" w:themeFill="text2"/>
          </w:tcPr>
          <w:p w14:paraId="155E29DE" w14:textId="77777777" w:rsidR="00B85592" w:rsidRPr="002256FA" w:rsidRDefault="00B85592" w:rsidP="002256FA">
            <w:pPr>
              <w:rPr>
                <w:color w:val="FFFFFF" w:themeColor="background1"/>
                <w:lang w:eastAsia="en-AU"/>
              </w:rPr>
            </w:pPr>
            <w:r w:rsidRPr="002256FA">
              <w:rPr>
                <w:color w:val="FFFFFF" w:themeColor="background1"/>
                <w:lang w:eastAsia="en-AU"/>
              </w:rPr>
              <w:t>Karen Payne</w:t>
            </w:r>
          </w:p>
          <w:p w14:paraId="5878EA63" w14:textId="77777777" w:rsidR="00B85592" w:rsidRPr="002256FA" w:rsidRDefault="00B85592" w:rsidP="002256FA">
            <w:pPr>
              <w:rPr>
                <w:color w:val="FFFFFF" w:themeColor="background1"/>
              </w:rPr>
            </w:pPr>
            <w:r w:rsidRPr="002256FA">
              <w:rPr>
                <w:color w:val="FFFFFF" w:themeColor="background1"/>
                <w:lang w:eastAsia="en-AU"/>
              </w:rPr>
              <w:t>Chief Executive Officer</w:t>
            </w:r>
            <w:r w:rsidRPr="002256FA">
              <w:rPr>
                <w:color w:val="FFFFFF" w:themeColor="background1"/>
                <w:lang w:eastAsia="en-AU"/>
              </w:rPr>
              <w:br/>
              <w:t>Board of Taxation</w:t>
            </w:r>
          </w:p>
        </w:tc>
        <w:tc>
          <w:tcPr>
            <w:tcW w:w="4536" w:type="dxa"/>
            <w:tcBorders>
              <w:bottom w:val="single" w:sz="4" w:space="0" w:color="BFBFBF" w:themeColor="background1" w:themeShade="BF"/>
            </w:tcBorders>
            <w:shd w:val="clear" w:color="auto" w:fill="1F497D" w:themeFill="text2"/>
          </w:tcPr>
          <w:p w14:paraId="31C4AF68" w14:textId="77777777" w:rsidR="00BD2FF3" w:rsidRPr="002256FA" w:rsidRDefault="00BD2FF3" w:rsidP="002256FA">
            <w:pPr>
              <w:rPr>
                <w:color w:val="FFFFFF" w:themeColor="background1"/>
                <w:lang w:eastAsia="en-AU"/>
              </w:rPr>
            </w:pPr>
            <w:r w:rsidRPr="002256FA">
              <w:rPr>
                <w:color w:val="FFFFFF" w:themeColor="background1"/>
                <w:lang w:eastAsia="en-AU"/>
              </w:rPr>
              <w:t>phone:  +61 2 6263 2122</w:t>
            </w:r>
          </w:p>
          <w:p w14:paraId="618A01A5" w14:textId="77777777" w:rsidR="00BD2FF3" w:rsidRPr="002256FA" w:rsidRDefault="00BD2FF3" w:rsidP="002256FA">
            <w:pPr>
              <w:rPr>
                <w:color w:val="FFFFFF" w:themeColor="background1"/>
                <w:lang w:eastAsia="en-AU"/>
              </w:rPr>
            </w:pPr>
            <w:r w:rsidRPr="002256FA">
              <w:rPr>
                <w:color w:val="FFFFFF" w:themeColor="background1"/>
                <w:lang w:eastAsia="en-AU"/>
              </w:rPr>
              <w:t>mobile: 0405 843 880</w:t>
            </w:r>
          </w:p>
          <w:p w14:paraId="452D9E23" w14:textId="77777777" w:rsidR="00B85592" w:rsidRPr="002256FA" w:rsidRDefault="00BD2FF3" w:rsidP="002256FA">
            <w:pPr>
              <w:rPr>
                <w:color w:val="FFFFFF" w:themeColor="background1"/>
                <w:lang w:eastAsia="en-AU"/>
              </w:rPr>
            </w:pPr>
            <w:r w:rsidRPr="002256FA">
              <w:rPr>
                <w:color w:val="FFFFFF" w:themeColor="background1"/>
                <w:lang w:eastAsia="en-AU"/>
              </w:rPr>
              <w:t xml:space="preserve">email: </w:t>
            </w:r>
            <w:hyperlink r:id="rId18" w:history="1">
              <w:r w:rsidRPr="002256FA">
                <w:rPr>
                  <w:rStyle w:val="Hyperlink"/>
                  <w:color w:val="FFFFFF" w:themeColor="background1"/>
                  <w:lang w:eastAsia="en-AU"/>
                </w:rPr>
                <w:t>karen.payne@treasury.gov.au</w:t>
              </w:r>
            </w:hyperlink>
          </w:p>
        </w:tc>
        <w:tc>
          <w:tcPr>
            <w:tcW w:w="709" w:type="dxa"/>
            <w:gridSpan w:val="2"/>
            <w:tcBorders>
              <w:bottom w:val="single" w:sz="4" w:space="0" w:color="BFBFBF" w:themeColor="background1" w:themeShade="BF"/>
            </w:tcBorders>
            <w:shd w:val="clear" w:color="auto" w:fill="1F497D" w:themeFill="text2"/>
          </w:tcPr>
          <w:p w14:paraId="02186E13" w14:textId="77777777" w:rsidR="00B85592" w:rsidRPr="00BD2FF3" w:rsidRDefault="00B85592" w:rsidP="002256FA"/>
        </w:tc>
      </w:tr>
      <w:tr w:rsidR="00BD2FF3" w:rsidRPr="00BD2FF3" w14:paraId="493769BF" w14:textId="77777777" w:rsidTr="004B738A">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top w:val="single" w:sz="4" w:space="0" w:color="BFBFBF" w:themeColor="background1" w:themeShade="BF"/>
              <w:bottom w:val="nil"/>
            </w:tcBorders>
            <w:shd w:val="clear" w:color="auto" w:fill="1F497D" w:themeFill="text2"/>
          </w:tcPr>
          <w:p w14:paraId="7DEDC06B" w14:textId="77777777" w:rsidR="00B85592" w:rsidRPr="00BD2FF3" w:rsidRDefault="00B85592" w:rsidP="002256FA"/>
        </w:tc>
        <w:tc>
          <w:tcPr>
            <w:tcW w:w="4536" w:type="dxa"/>
            <w:gridSpan w:val="2"/>
            <w:tcBorders>
              <w:top w:val="single" w:sz="4" w:space="0" w:color="BFBFBF" w:themeColor="background1" w:themeShade="BF"/>
              <w:bottom w:val="nil"/>
            </w:tcBorders>
            <w:shd w:val="clear" w:color="auto" w:fill="1F497D" w:themeFill="text2"/>
          </w:tcPr>
          <w:p w14:paraId="24FBCEC5" w14:textId="77777777" w:rsidR="005B32D7" w:rsidRPr="002256FA" w:rsidRDefault="005B32D7" w:rsidP="002256FA">
            <w:pPr>
              <w:rPr>
                <w:color w:val="FFFFFF" w:themeColor="background1"/>
                <w:lang w:eastAsia="en-AU"/>
              </w:rPr>
            </w:pPr>
            <w:r w:rsidRPr="002256FA">
              <w:rPr>
                <w:color w:val="FFFFFF" w:themeColor="background1"/>
              </w:rPr>
              <w:t xml:space="preserve">C/- </w:t>
            </w:r>
            <w:r w:rsidRPr="002256FA">
              <w:rPr>
                <w:color w:val="FFFFFF" w:themeColor="background1"/>
                <w:lang w:eastAsia="en-AU"/>
              </w:rPr>
              <w:t>The Treasury</w:t>
            </w:r>
          </w:p>
          <w:p w14:paraId="6B3825D1" w14:textId="77777777" w:rsidR="00B85592" w:rsidRPr="002256FA" w:rsidRDefault="005B32D7" w:rsidP="002256FA">
            <w:pPr>
              <w:rPr>
                <w:color w:val="FFFFFF" w:themeColor="background1"/>
                <w:lang w:eastAsia="en-AU"/>
              </w:rPr>
            </w:pPr>
            <w:r w:rsidRPr="002256FA">
              <w:rPr>
                <w:color w:val="FFFFFF" w:themeColor="background1"/>
                <w:lang w:eastAsia="en-AU"/>
              </w:rPr>
              <w:t>100 Market Street, Sydney NSW 2000</w:t>
            </w:r>
          </w:p>
        </w:tc>
        <w:tc>
          <w:tcPr>
            <w:tcW w:w="4536" w:type="dxa"/>
            <w:tcBorders>
              <w:top w:val="single" w:sz="4" w:space="0" w:color="BFBFBF" w:themeColor="background1" w:themeShade="BF"/>
              <w:bottom w:val="nil"/>
            </w:tcBorders>
            <w:shd w:val="clear" w:color="auto" w:fill="1F497D" w:themeFill="text2"/>
          </w:tcPr>
          <w:p w14:paraId="640FC35A" w14:textId="77777777" w:rsidR="00BD2FF3" w:rsidRPr="002256FA" w:rsidRDefault="00BD2FF3" w:rsidP="002256FA">
            <w:pPr>
              <w:rPr>
                <w:rStyle w:val="Hyperlink"/>
                <w:color w:val="FFFFFF" w:themeColor="background1"/>
                <w:lang w:eastAsia="en-AU"/>
              </w:rPr>
            </w:pPr>
            <w:r w:rsidRPr="002256FA">
              <w:rPr>
                <w:color w:val="FFFFFF" w:themeColor="background1"/>
                <w:lang w:eastAsia="en-AU"/>
              </w:rPr>
              <w:t xml:space="preserve">website: </w:t>
            </w:r>
            <w:hyperlink r:id="rId19" w:history="1">
              <w:r w:rsidRPr="002256FA">
                <w:rPr>
                  <w:rStyle w:val="Hyperlink"/>
                  <w:color w:val="FFFFFF" w:themeColor="background1"/>
                  <w:lang w:eastAsia="en-AU"/>
                </w:rPr>
                <w:t>www.taxboard.gov.au</w:t>
              </w:r>
            </w:hyperlink>
          </w:p>
          <w:p w14:paraId="4BC63A46" w14:textId="77777777" w:rsidR="005B32D7" w:rsidRPr="002256FA" w:rsidRDefault="005B32D7" w:rsidP="002256FA">
            <w:pPr>
              <w:rPr>
                <w:color w:val="FFFFFF" w:themeColor="background1"/>
                <w:lang w:eastAsia="en-AU"/>
              </w:rPr>
            </w:pPr>
            <w:r w:rsidRPr="002256FA">
              <w:rPr>
                <w:color w:val="FFFFFF" w:themeColor="background1"/>
                <w:lang w:eastAsia="en-AU"/>
              </w:rPr>
              <w:t>The Board of Taxation Secretariat</w:t>
            </w:r>
          </w:p>
          <w:p w14:paraId="0EB65C76" w14:textId="77777777" w:rsidR="005B32D7" w:rsidRPr="002256FA" w:rsidRDefault="005B32D7" w:rsidP="002256FA">
            <w:pPr>
              <w:rPr>
                <w:color w:val="FFFFFF" w:themeColor="background1"/>
              </w:rPr>
            </w:pPr>
            <w:r w:rsidRPr="002256FA">
              <w:rPr>
                <w:color w:val="FFFFFF" w:themeColor="background1"/>
                <w:lang w:eastAsia="en-AU"/>
              </w:rPr>
              <w:t>Langton Crescent, Parkes ACT 2600 Australia</w:t>
            </w:r>
          </w:p>
        </w:tc>
        <w:tc>
          <w:tcPr>
            <w:tcW w:w="709" w:type="dxa"/>
            <w:gridSpan w:val="2"/>
            <w:tcBorders>
              <w:top w:val="single" w:sz="4" w:space="0" w:color="BFBFBF" w:themeColor="background1" w:themeShade="BF"/>
              <w:bottom w:val="nil"/>
            </w:tcBorders>
            <w:shd w:val="clear" w:color="auto" w:fill="1F497D" w:themeFill="text2"/>
          </w:tcPr>
          <w:p w14:paraId="0505C3DB" w14:textId="77777777" w:rsidR="00B85592" w:rsidRPr="00BD2FF3" w:rsidRDefault="00B85592" w:rsidP="002256FA"/>
        </w:tc>
      </w:tr>
      <w:tr w:rsidR="00B85592" w14:paraId="5D4B26EE" w14:textId="77777777" w:rsidTr="004B738A">
        <w:tblPrEx>
          <w:tblBorders>
            <w:bottom w:val="single" w:sz="4" w:space="0" w:color="BFBFBF" w:themeColor="background1" w:themeShade="BF"/>
          </w:tblBorders>
          <w:shd w:val="clear" w:color="auto" w:fill="CCDDF1"/>
        </w:tblPrEx>
        <w:trPr>
          <w:gridAfter w:val="1"/>
          <w:wAfter w:w="46" w:type="dxa"/>
          <w:jc w:val="center"/>
        </w:trPr>
        <w:tc>
          <w:tcPr>
            <w:tcW w:w="10490" w:type="dxa"/>
            <w:gridSpan w:val="7"/>
            <w:tcBorders>
              <w:bottom w:val="nil"/>
            </w:tcBorders>
            <w:shd w:val="clear" w:color="auto" w:fill="auto"/>
            <w:tcMar>
              <w:left w:w="0" w:type="dxa"/>
              <w:right w:w="0" w:type="dxa"/>
            </w:tcMar>
          </w:tcPr>
          <w:p w14:paraId="6DE09F46" w14:textId="77777777" w:rsidR="00B85592" w:rsidRDefault="00B85592" w:rsidP="002256FA">
            <w:r>
              <w:rPr>
                <w:noProof/>
                <w:lang w:eastAsia="en-AU"/>
              </w:rPr>
              <w:drawing>
                <wp:inline distT="0" distB="0" distL="0" distR="0" wp14:anchorId="4584B164" wp14:editId="0E961E13">
                  <wp:extent cx="6624000" cy="313200"/>
                  <wp:effectExtent l="0" t="0" r="571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0">
                            <a:extLst>
                              <a:ext uri="{28A0092B-C50C-407E-A947-70E740481C1C}">
                                <a14:useLocalDpi xmlns:a14="http://schemas.microsoft.com/office/drawing/2010/main" val="0"/>
                              </a:ext>
                            </a:extLst>
                          </a:blip>
                          <a:stretch>
                            <a:fillRect/>
                          </a:stretch>
                        </pic:blipFill>
                        <pic:spPr>
                          <a:xfrm>
                            <a:off x="0" y="0"/>
                            <a:ext cx="6624000" cy="313200"/>
                          </a:xfrm>
                          <a:prstGeom prst="rect">
                            <a:avLst/>
                          </a:prstGeom>
                        </pic:spPr>
                      </pic:pic>
                    </a:graphicData>
                  </a:graphic>
                </wp:inline>
              </w:drawing>
            </w:r>
          </w:p>
        </w:tc>
      </w:tr>
    </w:tbl>
    <w:p w14:paraId="272164E2" w14:textId="77777777" w:rsidR="001010C1" w:rsidRPr="0098345D" w:rsidRDefault="001010C1" w:rsidP="005158CD"/>
    <w:sectPr w:rsidR="001010C1" w:rsidRPr="0098345D" w:rsidSect="00BD2FF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E522D" w14:textId="77777777" w:rsidR="0096275B" w:rsidRDefault="0096275B" w:rsidP="002256FA">
      <w:r>
        <w:separator/>
      </w:r>
    </w:p>
  </w:endnote>
  <w:endnote w:type="continuationSeparator" w:id="0">
    <w:p w14:paraId="69716629" w14:textId="77777777" w:rsidR="0096275B" w:rsidRDefault="0096275B" w:rsidP="002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8317" w14:textId="77777777" w:rsidR="0096275B" w:rsidRDefault="0096275B" w:rsidP="002256FA">
      <w:r>
        <w:separator/>
      </w:r>
    </w:p>
  </w:footnote>
  <w:footnote w:type="continuationSeparator" w:id="0">
    <w:p w14:paraId="0AC135A8" w14:textId="77777777" w:rsidR="0096275B" w:rsidRDefault="0096275B" w:rsidP="00225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447"/>
    <w:multiLevelType w:val="hybridMultilevel"/>
    <w:tmpl w:val="3D16F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7E01041"/>
    <w:multiLevelType w:val="hybridMultilevel"/>
    <w:tmpl w:val="D61219B4"/>
    <w:lvl w:ilvl="0" w:tplc="73143E0C">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4F1F88"/>
    <w:multiLevelType w:val="multilevel"/>
    <w:tmpl w:val="B1A48B7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E207AC"/>
    <w:multiLevelType w:val="hybridMultilevel"/>
    <w:tmpl w:val="03C04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F831CA"/>
    <w:multiLevelType w:val="hybridMultilevel"/>
    <w:tmpl w:val="ABCADC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C923A43"/>
    <w:multiLevelType w:val="hybridMultilevel"/>
    <w:tmpl w:val="DF22C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C94C4D"/>
    <w:multiLevelType w:val="multilevel"/>
    <w:tmpl w:val="9E58112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7A75847"/>
    <w:multiLevelType w:val="hybridMultilevel"/>
    <w:tmpl w:val="EDFA3F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724B97"/>
    <w:multiLevelType w:val="hybridMultilevel"/>
    <w:tmpl w:val="4B1E0D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1"/>
  </w:num>
  <w:num w:numId="12">
    <w:abstractNumId w:val="10"/>
  </w:num>
  <w:num w:numId="13">
    <w:abstractNumId w:val="3"/>
  </w:num>
  <w:num w:numId="14">
    <w:abstractNumId w:val="3"/>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3"/>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B"/>
    <w:rsid w:val="00071C97"/>
    <w:rsid w:val="000E07A0"/>
    <w:rsid w:val="001010C1"/>
    <w:rsid w:val="00161DBC"/>
    <w:rsid w:val="001921CA"/>
    <w:rsid w:val="001A46D9"/>
    <w:rsid w:val="00201B0A"/>
    <w:rsid w:val="002256FA"/>
    <w:rsid w:val="002D1967"/>
    <w:rsid w:val="00315E92"/>
    <w:rsid w:val="0035507D"/>
    <w:rsid w:val="00355336"/>
    <w:rsid w:val="0036272E"/>
    <w:rsid w:val="00392A88"/>
    <w:rsid w:val="003A2D24"/>
    <w:rsid w:val="003B383C"/>
    <w:rsid w:val="0043294F"/>
    <w:rsid w:val="004501CF"/>
    <w:rsid w:val="004A7EC7"/>
    <w:rsid w:val="004B738A"/>
    <w:rsid w:val="005158CD"/>
    <w:rsid w:val="00541CD2"/>
    <w:rsid w:val="00571D7D"/>
    <w:rsid w:val="005A3E01"/>
    <w:rsid w:val="005A720B"/>
    <w:rsid w:val="005B32D7"/>
    <w:rsid w:val="006075E6"/>
    <w:rsid w:val="00617495"/>
    <w:rsid w:val="00656D54"/>
    <w:rsid w:val="006B1E71"/>
    <w:rsid w:val="006D5EE8"/>
    <w:rsid w:val="00704189"/>
    <w:rsid w:val="007907B9"/>
    <w:rsid w:val="007A580E"/>
    <w:rsid w:val="008867E3"/>
    <w:rsid w:val="0096275B"/>
    <w:rsid w:val="00971041"/>
    <w:rsid w:val="0098345D"/>
    <w:rsid w:val="00A93BBA"/>
    <w:rsid w:val="00AD13C5"/>
    <w:rsid w:val="00B85592"/>
    <w:rsid w:val="00BD2FF3"/>
    <w:rsid w:val="00C274F4"/>
    <w:rsid w:val="00C96E51"/>
    <w:rsid w:val="00D12DCE"/>
    <w:rsid w:val="00D52A49"/>
    <w:rsid w:val="00DE77A2"/>
    <w:rsid w:val="00E3161A"/>
    <w:rsid w:val="00E55A44"/>
    <w:rsid w:val="00ED264B"/>
    <w:rsid w:val="00EF21EE"/>
    <w:rsid w:val="00FA7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390">
      <w:bodyDiv w:val="1"/>
      <w:marLeft w:val="0"/>
      <w:marRight w:val="0"/>
      <w:marTop w:val="0"/>
      <w:marBottom w:val="0"/>
      <w:divBdr>
        <w:top w:val="none" w:sz="0" w:space="0" w:color="auto"/>
        <w:left w:val="none" w:sz="0" w:space="0" w:color="auto"/>
        <w:bottom w:val="none" w:sz="0" w:space="0" w:color="auto"/>
        <w:right w:val="none" w:sz="0" w:space="0" w:color="auto"/>
      </w:divBdr>
    </w:div>
    <w:div w:id="421802283">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693924939">
      <w:bodyDiv w:val="1"/>
      <w:marLeft w:val="0"/>
      <w:marRight w:val="0"/>
      <w:marTop w:val="0"/>
      <w:marBottom w:val="0"/>
      <w:divBdr>
        <w:top w:val="none" w:sz="0" w:space="0" w:color="auto"/>
        <w:left w:val="none" w:sz="0" w:space="0" w:color="auto"/>
        <w:bottom w:val="none" w:sz="0" w:space="0" w:color="auto"/>
        <w:right w:val="none" w:sz="0" w:space="0" w:color="auto"/>
      </w:divBdr>
    </w:div>
    <w:div w:id="1021972806">
      <w:bodyDiv w:val="1"/>
      <w:marLeft w:val="0"/>
      <w:marRight w:val="0"/>
      <w:marTop w:val="0"/>
      <w:marBottom w:val="0"/>
      <w:divBdr>
        <w:top w:val="none" w:sz="0" w:space="0" w:color="auto"/>
        <w:left w:val="none" w:sz="0" w:space="0" w:color="auto"/>
        <w:bottom w:val="none" w:sz="0" w:space="0" w:color="auto"/>
        <w:right w:val="none" w:sz="0" w:space="0" w:color="auto"/>
      </w:divBdr>
    </w:div>
    <w:div w:id="1270697531">
      <w:bodyDiv w:val="1"/>
      <w:marLeft w:val="0"/>
      <w:marRight w:val="0"/>
      <w:marTop w:val="0"/>
      <w:marBottom w:val="0"/>
      <w:divBdr>
        <w:top w:val="none" w:sz="0" w:space="0" w:color="auto"/>
        <w:left w:val="none" w:sz="0" w:space="0" w:color="auto"/>
        <w:bottom w:val="none" w:sz="0" w:space="0" w:color="auto"/>
        <w:right w:val="none" w:sz="0" w:space="0" w:color="auto"/>
      </w:divBdr>
    </w:div>
    <w:div w:id="14238401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49193919">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1993412319">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47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karen.payne@treasury.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axboard@treasury.gov.au" TargetMode="External"/><Relationship Id="rId2" Type="http://schemas.openxmlformats.org/officeDocument/2006/relationships/customXml" Target="../customXml/item2.xml"/><Relationship Id="rId16" Type="http://schemas.openxmlformats.org/officeDocument/2006/relationships/hyperlink" Target="https://taxboard.ideascale.com/"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xboard@treasury.gov.au" TargetMode="External"/><Relationship Id="rId10" Type="http://schemas.openxmlformats.org/officeDocument/2006/relationships/webSettings" Target="webSettings.xml"/><Relationship Id="rId19" Type="http://schemas.openxmlformats.org/officeDocument/2006/relationships/hyperlink" Target="http://www.taxboar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axboard.gov.au/current-activities/transparency-code-registe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9f7bc583-7cbe-45b9-a2bd-8bbb6543b37e">
      <Value>18</Value>
    </TaxCatchAll>
    <_dlc_DocId xmlns="9f7bc583-7cbe-45b9-a2bd-8bbb6543b37e">2017RG-356-4899</_dlc_DocId>
    <_dlc_DocIdUrl xmlns="9f7bc583-7cbe-45b9-a2bd-8bbb6543b37e">
      <Url>http://tweb/sites/rg/bots/boards/_layouts/15/DocIdRedir.aspx?ID=2017RG-356-4899</Url>
      <Description>2017RG-356-4899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191" ma:contentTypeDescription="" ma:contentTypeScope="" ma:versionID="b785e359fc211c7cc5d87bc2a33c54be">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48ff628207e125b56f0638089dec2023"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B7620-A9EE-4AD1-BDAD-72BBF0826AE5}">
  <ds:schemaRefs>
    <ds:schemaRef ds:uri="office.server.policy"/>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5A204F58-9936-43C8-BCA0-589AD3836680}">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microsoft.com/sharepoint/v3"/>
    <ds:schemaRef ds:uri="9f7bc583-7cbe-45b9-a2bd-8bbb6543b37e"/>
    <ds:schemaRef ds:uri="http://schemas.microsoft.com/sharepoint/v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5.xml><?xml version="1.0" encoding="utf-8"?>
<ds:datastoreItem xmlns:ds="http://schemas.openxmlformats.org/officeDocument/2006/customXml" ds:itemID="{70B7DC66-99E1-4A69-A03F-7F5C85FB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TotalTime>
  <Pages>4</Pages>
  <Words>1607</Words>
  <Characters>8266</Characters>
  <Application>Microsoft Office Word</Application>
  <DocSecurity>4</DocSecurity>
  <Lines>435</Lines>
  <Paragraphs>253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Dodshon</dc:creator>
  <cp:lastModifiedBy>Tsikleas, Jean</cp:lastModifiedBy>
  <cp:revision>2</cp:revision>
  <cp:lastPrinted>2017-05-01T07:10:00Z</cp:lastPrinted>
  <dcterms:created xsi:type="dcterms:W3CDTF">2017-05-02T02:50:00Z</dcterms:created>
  <dcterms:modified xsi:type="dcterms:W3CDTF">2017-05-02T02:50:00Z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d28882bd-2fdc-4f96-ad73-c2afd1d229a5</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{c9c84b76-4bc6-4b5c-b8ba-ab521798665d}</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R0001290603</vt:lpwstr>
  </property>
  <property fmtid="{D5CDD505-2E9C-101B-9397-08002B2CF9AE}" pid="11" name="RecordPoint_SubmissionCompleted">
    <vt:lpwstr>2017-05-02T08:36:11.5226125+10:00</vt:lpwstr>
  </property>
  <property fmtid="{D5CDD505-2E9C-101B-9397-08002B2CF9AE}" pid="12" name="_AdHocReviewCycleID">
    <vt:i4>697348249</vt:i4>
  </property>
  <property fmtid="{D5CDD505-2E9C-101B-9397-08002B2CF9AE}" pid="13" name="_NewReviewCycle">
    <vt:lpwstr/>
  </property>
  <property fmtid="{D5CDD505-2E9C-101B-9397-08002B2CF9AE}" pid="14" name="_EmailSubject">
    <vt:lpwstr>CEO Update and covering email</vt:lpwstr>
  </property>
  <property fmtid="{D5CDD505-2E9C-101B-9397-08002B2CF9AE}" pid="15" name="_AuthorEmail">
    <vt:lpwstr>Karen.Payne@TREASURY.GOV.AU</vt:lpwstr>
  </property>
  <property fmtid="{D5CDD505-2E9C-101B-9397-08002B2CF9AE}" pid="16" name="_AuthorEmailDisplayName">
    <vt:lpwstr>Payne, Karen</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2100197868</vt:i4>
  </property>
  <property fmtid="{D5CDD505-2E9C-101B-9397-08002B2CF9AE}" pid="21" name="_ReviewingToolsShownOnce">
    <vt:lpwstr/>
  </property>
</Properties>
</file>