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536" w:type="dxa"/>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
        <w:gridCol w:w="613"/>
        <w:gridCol w:w="12"/>
        <w:gridCol w:w="4524"/>
        <w:gridCol w:w="4536"/>
        <w:gridCol w:w="165"/>
        <w:gridCol w:w="544"/>
        <w:gridCol w:w="46"/>
      </w:tblGrid>
      <w:tr w:rsidR="00DE77A2" w14:paraId="40350228" w14:textId="77777777" w:rsidTr="004B738A">
        <w:trPr>
          <w:gridBefore w:val="1"/>
          <w:wBefore w:w="96" w:type="dxa"/>
          <w:jc w:val="center"/>
        </w:trPr>
        <w:tc>
          <w:tcPr>
            <w:tcW w:w="10440" w:type="dxa"/>
            <w:gridSpan w:val="7"/>
            <w:tcMar>
              <w:left w:w="0" w:type="dxa"/>
              <w:right w:w="0" w:type="dxa"/>
            </w:tcMar>
          </w:tcPr>
          <w:p w14:paraId="6531BD38" w14:textId="77777777" w:rsidR="00DE77A2" w:rsidRDefault="00DE77A2" w:rsidP="002256FA">
            <w:bookmarkStart w:id="0" w:name="_GoBack"/>
            <w:bookmarkEnd w:id="0"/>
            <w:r>
              <w:rPr>
                <w:noProof/>
                <w:lang w:eastAsia="en-AU"/>
              </w:rPr>
              <w:drawing>
                <wp:inline distT="0" distB="0" distL="0" distR="0" wp14:anchorId="47280592" wp14:editId="656A9937">
                  <wp:extent cx="6624000" cy="1517204"/>
                  <wp:effectExtent l="0" t="0" r="571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 banner.jpg"/>
                          <pic:cNvPicPr/>
                        </pic:nvPicPr>
                        <pic:blipFill>
                          <a:blip r:embed="rId8">
                            <a:extLst>
                              <a:ext uri="{28A0092B-C50C-407E-A947-70E740481C1C}">
                                <a14:useLocalDpi xmlns:a14="http://schemas.microsoft.com/office/drawing/2010/main" val="0"/>
                              </a:ext>
                            </a:extLst>
                          </a:blip>
                          <a:stretch>
                            <a:fillRect/>
                          </a:stretch>
                        </pic:blipFill>
                        <pic:spPr>
                          <a:xfrm>
                            <a:off x="0" y="0"/>
                            <a:ext cx="6624000" cy="1517204"/>
                          </a:xfrm>
                          <a:prstGeom prst="rect">
                            <a:avLst/>
                          </a:prstGeom>
                        </pic:spPr>
                      </pic:pic>
                    </a:graphicData>
                  </a:graphic>
                </wp:inline>
              </w:drawing>
            </w:r>
          </w:p>
        </w:tc>
      </w:tr>
      <w:tr w:rsidR="00DE77A2" w:rsidRPr="00BD2FF3" w14:paraId="0C17D1E9" w14:textId="77777777" w:rsidTr="004B738A">
        <w:trPr>
          <w:gridBefore w:val="1"/>
          <w:wBefore w:w="96" w:type="dxa"/>
          <w:jc w:val="center"/>
        </w:trPr>
        <w:tc>
          <w:tcPr>
            <w:tcW w:w="625" w:type="dxa"/>
            <w:gridSpan w:val="2"/>
            <w:shd w:val="clear" w:color="auto" w:fill="1F497D" w:themeFill="text2"/>
          </w:tcPr>
          <w:p w14:paraId="4CA09930" w14:textId="77777777" w:rsidR="00DE77A2" w:rsidRPr="00BD2FF3" w:rsidRDefault="00DE77A2" w:rsidP="002256FA"/>
        </w:tc>
        <w:tc>
          <w:tcPr>
            <w:tcW w:w="9225" w:type="dxa"/>
            <w:gridSpan w:val="3"/>
            <w:shd w:val="clear" w:color="auto" w:fill="1F497D" w:themeFill="text2"/>
          </w:tcPr>
          <w:p w14:paraId="4821AC6A" w14:textId="1F972682" w:rsidR="00DE77A2" w:rsidRPr="002256FA" w:rsidRDefault="00DE77A2" w:rsidP="00335185">
            <w:pPr>
              <w:pStyle w:val="Heading1"/>
              <w:outlineLvl w:val="0"/>
            </w:pPr>
            <w:r w:rsidRPr="002256FA">
              <w:t xml:space="preserve">CEO Update – </w:t>
            </w:r>
            <w:r w:rsidR="00656D54">
              <w:fldChar w:fldCharType="begin"/>
            </w:r>
            <w:r w:rsidR="00656D54">
              <w:instrText xml:space="preserve"> DATE  \@ "MMMM yyyy"  \* MERGEFORMAT </w:instrText>
            </w:r>
            <w:r w:rsidR="00656D54">
              <w:fldChar w:fldCharType="separate"/>
            </w:r>
            <w:r w:rsidR="00AB7574">
              <w:rPr>
                <w:noProof/>
              </w:rPr>
              <w:t>June 2017</w:t>
            </w:r>
            <w:r w:rsidR="00656D54">
              <w:fldChar w:fldCharType="end"/>
            </w:r>
          </w:p>
        </w:tc>
        <w:tc>
          <w:tcPr>
            <w:tcW w:w="590" w:type="dxa"/>
            <w:gridSpan w:val="2"/>
            <w:shd w:val="clear" w:color="auto" w:fill="1F497D" w:themeFill="text2"/>
          </w:tcPr>
          <w:p w14:paraId="4EE04083" w14:textId="77777777" w:rsidR="00DE77A2" w:rsidRPr="00BD2FF3" w:rsidRDefault="00DE77A2" w:rsidP="002256FA"/>
        </w:tc>
      </w:tr>
      <w:tr w:rsidR="00DE77A2" w:rsidRPr="00BD2FF3" w14:paraId="50CBC816" w14:textId="77777777" w:rsidTr="004B738A">
        <w:trPr>
          <w:gridBefore w:val="1"/>
          <w:wBefore w:w="96" w:type="dxa"/>
          <w:jc w:val="center"/>
        </w:trPr>
        <w:tc>
          <w:tcPr>
            <w:tcW w:w="625" w:type="dxa"/>
            <w:gridSpan w:val="2"/>
          </w:tcPr>
          <w:p w14:paraId="08DC95D7" w14:textId="77777777" w:rsidR="00DE77A2" w:rsidRPr="00BD2FF3" w:rsidRDefault="00DE77A2" w:rsidP="002256FA"/>
        </w:tc>
        <w:tc>
          <w:tcPr>
            <w:tcW w:w="9225" w:type="dxa"/>
            <w:gridSpan w:val="3"/>
          </w:tcPr>
          <w:p w14:paraId="116D0371" w14:textId="77777777" w:rsidR="00DE77A2" w:rsidRPr="00BD2FF3" w:rsidRDefault="00DE77A2" w:rsidP="0096275B">
            <w:pPr>
              <w:jc w:val="both"/>
            </w:pPr>
            <w:r w:rsidRPr="00BD2FF3">
              <w:t xml:space="preserve">Dear </w:t>
            </w:r>
            <w:r w:rsidR="005B32D7" w:rsidRPr="002256FA">
              <w:t>Stakeholders</w:t>
            </w:r>
            <w:r w:rsidRPr="00BD2FF3">
              <w:t>,</w:t>
            </w:r>
          </w:p>
          <w:p w14:paraId="4559F834" w14:textId="2C667319" w:rsidR="0096275B" w:rsidRDefault="0096275B" w:rsidP="0096275B">
            <w:pPr>
              <w:jc w:val="both"/>
            </w:pPr>
            <w:r>
              <w:t xml:space="preserve">On </w:t>
            </w:r>
            <w:r w:rsidR="00335185">
              <w:t>26</w:t>
            </w:r>
            <w:r>
              <w:t xml:space="preserve"> </w:t>
            </w:r>
            <w:r w:rsidR="00335185">
              <w:t xml:space="preserve">May </w:t>
            </w:r>
            <w:r>
              <w:t>2017</w:t>
            </w:r>
            <w:r w:rsidR="003B383C">
              <w:t>,</w:t>
            </w:r>
            <w:r>
              <w:t xml:space="preserve"> the Board of Taxation </w:t>
            </w:r>
            <w:r w:rsidR="00754D90">
              <w:t xml:space="preserve">(the Board) </w:t>
            </w:r>
            <w:r>
              <w:t xml:space="preserve">held its </w:t>
            </w:r>
            <w:r w:rsidR="00335185">
              <w:t xml:space="preserve">fourth </w:t>
            </w:r>
            <w:r>
              <w:t>meeting for 2017</w:t>
            </w:r>
            <w:r w:rsidR="003B383C">
              <w:t xml:space="preserve"> in </w:t>
            </w:r>
            <w:r w:rsidR="00335185">
              <w:t>Canberra</w:t>
            </w:r>
            <w:r>
              <w:t>.</w:t>
            </w:r>
            <w:r w:rsidR="00E65983">
              <w:t xml:space="preserve"> </w:t>
            </w:r>
            <w:r>
              <w:t xml:space="preserve"> The meeting was hosted by </w:t>
            </w:r>
            <w:r w:rsidR="00335185">
              <w:t>the Department of the Treasury</w:t>
            </w:r>
            <w:r w:rsidR="00306E52">
              <w:t xml:space="preserve"> and the recent Budget was a central theme of the Board’s agenda.</w:t>
            </w:r>
          </w:p>
          <w:p w14:paraId="7618245B" w14:textId="3FB4082B" w:rsidR="00DE77A2" w:rsidRPr="00BD2FF3" w:rsidRDefault="00306E52" w:rsidP="00B94D2F">
            <w:pPr>
              <w:jc w:val="both"/>
            </w:pPr>
            <w:r>
              <w:t xml:space="preserve">In addition to our discussion of </w:t>
            </w:r>
            <w:r w:rsidR="0096275B">
              <w:t xml:space="preserve">the </w:t>
            </w:r>
            <w:r w:rsidR="00335185">
              <w:t xml:space="preserve">tax measures from the Government’s 2017/18 budget, </w:t>
            </w:r>
            <w:r>
              <w:t xml:space="preserve">the Board discussed </w:t>
            </w:r>
            <w:r w:rsidR="00335185">
              <w:t xml:space="preserve">the </w:t>
            </w:r>
            <w:r w:rsidR="0096275B">
              <w:t xml:space="preserve">progress and direction of our current projects </w:t>
            </w:r>
            <w:r w:rsidR="003B383C">
              <w:t xml:space="preserve">(a number of which </w:t>
            </w:r>
            <w:r w:rsidR="00335185">
              <w:t>are concluding in June</w:t>
            </w:r>
            <w:r w:rsidR="003B383C">
              <w:t>)</w:t>
            </w:r>
            <w:r w:rsidR="00D52A49">
              <w:t xml:space="preserve">, new instructions and referrals, </w:t>
            </w:r>
            <w:r w:rsidR="003B383C">
              <w:t xml:space="preserve">a stocktake of our reports </w:t>
            </w:r>
            <w:r w:rsidR="00D52A49">
              <w:t xml:space="preserve">and recommendations to date </w:t>
            </w:r>
            <w:r w:rsidR="0096275B">
              <w:t xml:space="preserve">and </w:t>
            </w:r>
            <w:r w:rsidR="003B383C">
              <w:t xml:space="preserve">our possible </w:t>
            </w:r>
            <w:r w:rsidR="0096275B">
              <w:t>pipeline for fu</w:t>
            </w:r>
            <w:r w:rsidR="003B383C">
              <w:t xml:space="preserve">ture </w:t>
            </w:r>
            <w:r w:rsidR="0096275B">
              <w:t xml:space="preserve">projects </w:t>
            </w:r>
            <w:r>
              <w:t>(</w:t>
            </w:r>
            <w:r w:rsidR="00D52A49">
              <w:t>to be confirmed with the Minister</w:t>
            </w:r>
            <w:r>
              <w:t>)</w:t>
            </w:r>
            <w:r w:rsidR="0096275B">
              <w:t xml:space="preserve">. </w:t>
            </w:r>
            <w:r w:rsidR="00E65983">
              <w:t xml:space="preserve"> </w:t>
            </w:r>
            <w:r w:rsidR="00B94D2F">
              <w:t xml:space="preserve">The Board also discussed a range of ideas from the Sounding Board that could be included in a Regulatory Reform Bill.  The Board </w:t>
            </w:r>
            <w:r w:rsidR="007A580E">
              <w:t xml:space="preserve">noted the </w:t>
            </w:r>
            <w:r w:rsidR="00335185">
              <w:t xml:space="preserve">publication by </w:t>
            </w:r>
            <w:r>
              <w:t>the Australian Accounting and Standards Board (</w:t>
            </w:r>
            <w:r w:rsidR="00335185">
              <w:t>AAS</w:t>
            </w:r>
            <w:r w:rsidR="00754D90">
              <w:t>B</w:t>
            </w:r>
            <w:r>
              <w:t>)</w:t>
            </w:r>
            <w:r w:rsidR="00335185">
              <w:t xml:space="preserve"> of guidance for corporate taxpayers on complying with </w:t>
            </w:r>
            <w:r w:rsidR="007A580E">
              <w:t>the Tax Transparency Code (the Code)</w:t>
            </w:r>
            <w:r w:rsidR="0096275B">
              <w:t>.</w:t>
            </w:r>
            <w:r w:rsidR="00E65983">
              <w:t xml:space="preserve"> </w:t>
            </w:r>
            <w:r w:rsidR="00F76F0E">
              <w:t xml:space="preserve"> </w:t>
            </w:r>
            <w:r w:rsidR="0096275B">
              <w:t>Some additional detail on the</w:t>
            </w:r>
            <w:r>
              <w:t xml:space="preserve">se matters </w:t>
            </w:r>
            <w:r w:rsidR="0096275B">
              <w:t>is set out below.</w:t>
            </w:r>
          </w:p>
        </w:tc>
        <w:tc>
          <w:tcPr>
            <w:tcW w:w="590" w:type="dxa"/>
            <w:gridSpan w:val="2"/>
          </w:tcPr>
          <w:p w14:paraId="1737BFF5" w14:textId="77777777" w:rsidR="00DE77A2" w:rsidRPr="00BD2FF3" w:rsidRDefault="00DE77A2" w:rsidP="002256FA"/>
        </w:tc>
      </w:tr>
      <w:tr w:rsidR="00F76F0E" w:rsidRPr="006B1E71" w14:paraId="4B8DB205" w14:textId="77777777" w:rsidTr="00622E71">
        <w:trPr>
          <w:gridBefore w:val="1"/>
          <w:wBefore w:w="96" w:type="dxa"/>
          <w:jc w:val="center"/>
        </w:trPr>
        <w:tc>
          <w:tcPr>
            <w:tcW w:w="625" w:type="dxa"/>
            <w:gridSpan w:val="2"/>
            <w:shd w:val="clear" w:color="auto" w:fill="auto"/>
          </w:tcPr>
          <w:p w14:paraId="45AAFB91" w14:textId="77777777" w:rsidR="00F76F0E" w:rsidRPr="006B1E71" w:rsidRDefault="00F76F0E" w:rsidP="00622E71">
            <w:pPr>
              <w:rPr>
                <w:sz w:val="36"/>
                <w:szCs w:val="36"/>
              </w:rPr>
            </w:pPr>
          </w:p>
        </w:tc>
        <w:tc>
          <w:tcPr>
            <w:tcW w:w="9225" w:type="dxa"/>
            <w:gridSpan w:val="3"/>
            <w:shd w:val="clear" w:color="auto" w:fill="auto"/>
          </w:tcPr>
          <w:p w14:paraId="4B81CF81" w14:textId="5F63AA76" w:rsidR="00F76F0E" w:rsidRPr="006B1E71" w:rsidRDefault="0045599C" w:rsidP="00622E71">
            <w:pPr>
              <w:pStyle w:val="Heading2"/>
              <w:outlineLvl w:val="1"/>
              <w:rPr>
                <w:sz w:val="36"/>
                <w:szCs w:val="36"/>
              </w:rPr>
            </w:pPr>
            <w:r>
              <w:rPr>
                <w:sz w:val="36"/>
                <w:szCs w:val="36"/>
              </w:rPr>
              <w:t>2017/2018 Budget</w:t>
            </w:r>
          </w:p>
        </w:tc>
        <w:tc>
          <w:tcPr>
            <w:tcW w:w="590" w:type="dxa"/>
            <w:gridSpan w:val="2"/>
            <w:shd w:val="clear" w:color="auto" w:fill="auto"/>
          </w:tcPr>
          <w:p w14:paraId="4E025BEF" w14:textId="77777777" w:rsidR="00F76F0E" w:rsidRPr="006B1E71" w:rsidRDefault="00F76F0E" w:rsidP="00622E71">
            <w:pPr>
              <w:rPr>
                <w:sz w:val="36"/>
                <w:szCs w:val="36"/>
              </w:rPr>
            </w:pPr>
          </w:p>
        </w:tc>
      </w:tr>
      <w:tr w:rsidR="0045599C" w:rsidRPr="006B1E71" w14:paraId="405BD598" w14:textId="77777777" w:rsidTr="00622E71">
        <w:trPr>
          <w:gridBefore w:val="1"/>
          <w:wBefore w:w="96" w:type="dxa"/>
          <w:jc w:val="center"/>
        </w:trPr>
        <w:tc>
          <w:tcPr>
            <w:tcW w:w="625" w:type="dxa"/>
            <w:gridSpan w:val="2"/>
            <w:shd w:val="clear" w:color="auto" w:fill="auto"/>
          </w:tcPr>
          <w:p w14:paraId="3C112095" w14:textId="77777777" w:rsidR="0045599C" w:rsidRPr="006B1E71" w:rsidRDefault="0045599C" w:rsidP="00622E71">
            <w:pPr>
              <w:rPr>
                <w:sz w:val="36"/>
                <w:szCs w:val="36"/>
              </w:rPr>
            </w:pPr>
          </w:p>
        </w:tc>
        <w:tc>
          <w:tcPr>
            <w:tcW w:w="9225" w:type="dxa"/>
            <w:gridSpan w:val="3"/>
            <w:shd w:val="clear" w:color="auto" w:fill="auto"/>
          </w:tcPr>
          <w:p w14:paraId="781BD2C3" w14:textId="71E6EA14" w:rsidR="0045599C" w:rsidRDefault="0045599C" w:rsidP="00801721">
            <w:pPr>
              <w:jc w:val="both"/>
              <w:rPr>
                <w:sz w:val="36"/>
                <w:szCs w:val="36"/>
              </w:rPr>
            </w:pPr>
            <w:r>
              <w:t>The Board received an update from Treasury on the 2017/2018 Budget</w:t>
            </w:r>
            <w:r w:rsidR="00801721">
              <w:t xml:space="preserve"> and the budgetary process</w:t>
            </w:r>
            <w:r>
              <w:t xml:space="preserve">.  </w:t>
            </w:r>
            <w:r w:rsidR="00801721">
              <w:t>There was a general discussion on the budgetary process and measures during which t</w:t>
            </w:r>
            <w:r>
              <w:t xml:space="preserve">he Board members had an opportunity to share some observations and </w:t>
            </w:r>
            <w:r w:rsidR="00801721">
              <w:t xml:space="preserve">provide </w:t>
            </w:r>
            <w:r>
              <w:t xml:space="preserve">comments </w:t>
            </w:r>
            <w:r w:rsidR="00801721">
              <w:t xml:space="preserve">and </w:t>
            </w:r>
            <w:r>
              <w:t xml:space="preserve">feedback </w:t>
            </w:r>
            <w:r w:rsidR="00801721">
              <w:t xml:space="preserve">based on their discussions with community stakeholders. </w:t>
            </w:r>
          </w:p>
        </w:tc>
        <w:tc>
          <w:tcPr>
            <w:tcW w:w="590" w:type="dxa"/>
            <w:gridSpan w:val="2"/>
            <w:shd w:val="clear" w:color="auto" w:fill="auto"/>
          </w:tcPr>
          <w:p w14:paraId="5E716C7D" w14:textId="77777777" w:rsidR="0045599C" w:rsidRPr="006B1E71" w:rsidRDefault="0045599C" w:rsidP="00622E71">
            <w:pPr>
              <w:rPr>
                <w:sz w:val="36"/>
                <w:szCs w:val="36"/>
              </w:rPr>
            </w:pPr>
          </w:p>
        </w:tc>
      </w:tr>
      <w:tr w:rsidR="0045599C" w:rsidRPr="006B1E71" w14:paraId="7DEAED6B" w14:textId="77777777" w:rsidTr="009E04E3">
        <w:trPr>
          <w:gridBefore w:val="1"/>
          <w:wBefore w:w="96" w:type="dxa"/>
          <w:jc w:val="center"/>
        </w:trPr>
        <w:tc>
          <w:tcPr>
            <w:tcW w:w="625" w:type="dxa"/>
            <w:gridSpan w:val="2"/>
            <w:shd w:val="clear" w:color="auto" w:fill="auto"/>
          </w:tcPr>
          <w:p w14:paraId="5A935089" w14:textId="0B610E5B" w:rsidR="0045599C" w:rsidRPr="006B1E71" w:rsidRDefault="0045599C" w:rsidP="009E04E3">
            <w:pPr>
              <w:rPr>
                <w:sz w:val="36"/>
                <w:szCs w:val="36"/>
              </w:rPr>
            </w:pPr>
          </w:p>
        </w:tc>
        <w:tc>
          <w:tcPr>
            <w:tcW w:w="9225" w:type="dxa"/>
            <w:gridSpan w:val="3"/>
            <w:shd w:val="clear" w:color="auto" w:fill="auto"/>
          </w:tcPr>
          <w:p w14:paraId="60859067" w14:textId="77777777" w:rsidR="0045599C" w:rsidRPr="006B1E71" w:rsidRDefault="0045599C" w:rsidP="009E04E3">
            <w:pPr>
              <w:pStyle w:val="Heading2"/>
              <w:outlineLvl w:val="1"/>
              <w:rPr>
                <w:sz w:val="36"/>
                <w:szCs w:val="36"/>
              </w:rPr>
            </w:pPr>
            <w:r>
              <w:rPr>
                <w:sz w:val="36"/>
                <w:szCs w:val="36"/>
              </w:rPr>
              <w:t>LinkedIn – Board of Taxation is live!</w:t>
            </w:r>
          </w:p>
        </w:tc>
        <w:tc>
          <w:tcPr>
            <w:tcW w:w="590" w:type="dxa"/>
            <w:gridSpan w:val="2"/>
            <w:shd w:val="clear" w:color="auto" w:fill="auto"/>
          </w:tcPr>
          <w:p w14:paraId="7F01AA30" w14:textId="77777777" w:rsidR="0045599C" w:rsidRPr="006B1E71" w:rsidRDefault="0045599C" w:rsidP="009E04E3">
            <w:pPr>
              <w:rPr>
                <w:sz w:val="36"/>
                <w:szCs w:val="36"/>
              </w:rPr>
            </w:pPr>
          </w:p>
        </w:tc>
      </w:tr>
      <w:tr w:rsidR="00F76F0E" w:rsidRPr="00BD2FF3" w14:paraId="56590A53" w14:textId="77777777" w:rsidTr="00622E71">
        <w:trPr>
          <w:gridBefore w:val="1"/>
          <w:wBefore w:w="96" w:type="dxa"/>
          <w:jc w:val="center"/>
        </w:trPr>
        <w:tc>
          <w:tcPr>
            <w:tcW w:w="625" w:type="dxa"/>
            <w:gridSpan w:val="2"/>
          </w:tcPr>
          <w:p w14:paraId="15F34DA0" w14:textId="77777777" w:rsidR="00F76F0E" w:rsidRPr="00BD2FF3" w:rsidRDefault="00F76F0E" w:rsidP="00622E71">
            <w:pPr>
              <w:jc w:val="both"/>
            </w:pPr>
          </w:p>
        </w:tc>
        <w:tc>
          <w:tcPr>
            <w:tcW w:w="9225" w:type="dxa"/>
            <w:gridSpan w:val="3"/>
          </w:tcPr>
          <w:p w14:paraId="53DBA683" w14:textId="6EFED0F8" w:rsidR="00F76F0E" w:rsidRDefault="00F76F0E" w:rsidP="00622E71">
            <w:pPr>
              <w:jc w:val="both"/>
            </w:pPr>
            <w:r>
              <w:t xml:space="preserve">The Board is now on LinkedIn! </w:t>
            </w:r>
            <w:r w:rsidR="00225535">
              <w:t xml:space="preserve">For those of you who are on LinkedIn, you can follow the Board’s page </w:t>
            </w:r>
            <w:hyperlink r:id="rId9" w:history="1">
              <w:r w:rsidR="00225535" w:rsidRPr="00225535">
                <w:rPr>
                  <w:rStyle w:val="Hyperlink"/>
                </w:rPr>
                <w:t>here</w:t>
              </w:r>
            </w:hyperlink>
            <w:r w:rsidR="00225535">
              <w:t xml:space="preserve">.  </w:t>
            </w:r>
          </w:p>
          <w:p w14:paraId="02C97445" w14:textId="78AA25F8" w:rsidR="00F76F0E" w:rsidRPr="00BD2FF3" w:rsidRDefault="00F76F0E" w:rsidP="00F76F0E">
            <w:pPr>
              <w:jc w:val="both"/>
            </w:pPr>
            <w:r>
              <w:t xml:space="preserve">As you can see, this CEO Update has been published on our LinkedIn, and we will be publishing future correspondence on our page. </w:t>
            </w:r>
            <w:r w:rsidR="00E65983">
              <w:t xml:space="preserve"> </w:t>
            </w:r>
            <w:r>
              <w:t>The Board expects that this platform will enhance its engagement with stakeholders in the tax community (as we know so many of you are already very active on LinkedIn).</w:t>
            </w:r>
            <w:r w:rsidR="00E65983">
              <w:t xml:space="preserve"> </w:t>
            </w:r>
            <w:r>
              <w:t xml:space="preserve"> We hope you enjoy and share our posts!</w:t>
            </w:r>
          </w:p>
        </w:tc>
        <w:tc>
          <w:tcPr>
            <w:tcW w:w="590" w:type="dxa"/>
            <w:gridSpan w:val="2"/>
          </w:tcPr>
          <w:p w14:paraId="057E38E3" w14:textId="77777777" w:rsidR="00F76F0E" w:rsidRPr="00BD2FF3" w:rsidRDefault="00F76F0E" w:rsidP="00622E71"/>
        </w:tc>
      </w:tr>
      <w:tr w:rsidR="005706C0" w:rsidRPr="006B1E71" w14:paraId="46A3A03C" w14:textId="77777777" w:rsidTr="00AB22AC">
        <w:trPr>
          <w:gridBefore w:val="1"/>
          <w:wBefore w:w="96" w:type="dxa"/>
          <w:jc w:val="center"/>
        </w:trPr>
        <w:tc>
          <w:tcPr>
            <w:tcW w:w="625" w:type="dxa"/>
            <w:gridSpan w:val="2"/>
            <w:shd w:val="clear" w:color="auto" w:fill="auto"/>
          </w:tcPr>
          <w:p w14:paraId="30DF25D9" w14:textId="77777777" w:rsidR="005706C0" w:rsidRPr="006B1E71" w:rsidRDefault="005706C0" w:rsidP="00BC0BEE">
            <w:pPr>
              <w:rPr>
                <w:sz w:val="36"/>
                <w:szCs w:val="36"/>
              </w:rPr>
            </w:pPr>
          </w:p>
        </w:tc>
        <w:tc>
          <w:tcPr>
            <w:tcW w:w="9225" w:type="dxa"/>
            <w:gridSpan w:val="3"/>
            <w:shd w:val="clear" w:color="auto" w:fill="auto"/>
          </w:tcPr>
          <w:p w14:paraId="7BBBCEC5" w14:textId="6D2F581F" w:rsidR="005706C0" w:rsidRPr="006B1E71" w:rsidRDefault="005706C0" w:rsidP="00235816">
            <w:pPr>
              <w:pStyle w:val="Heading2"/>
              <w:outlineLvl w:val="1"/>
              <w:rPr>
                <w:sz w:val="36"/>
                <w:szCs w:val="36"/>
              </w:rPr>
            </w:pPr>
            <w:r w:rsidRPr="006B1E71">
              <w:rPr>
                <w:sz w:val="36"/>
                <w:szCs w:val="36"/>
              </w:rPr>
              <w:t xml:space="preserve">Our </w:t>
            </w:r>
            <w:r>
              <w:rPr>
                <w:sz w:val="36"/>
                <w:szCs w:val="36"/>
              </w:rPr>
              <w:t>P</w:t>
            </w:r>
            <w:r w:rsidRPr="006B1E71">
              <w:rPr>
                <w:sz w:val="36"/>
                <w:szCs w:val="36"/>
              </w:rPr>
              <w:t>ipeline for 2017</w:t>
            </w:r>
            <w:r>
              <w:rPr>
                <w:sz w:val="36"/>
                <w:szCs w:val="36"/>
              </w:rPr>
              <w:t xml:space="preserve"> – </w:t>
            </w:r>
            <w:r w:rsidR="00235816">
              <w:rPr>
                <w:sz w:val="36"/>
                <w:szCs w:val="36"/>
              </w:rPr>
              <w:t>contingent consideration</w:t>
            </w:r>
          </w:p>
        </w:tc>
        <w:tc>
          <w:tcPr>
            <w:tcW w:w="590" w:type="dxa"/>
            <w:gridSpan w:val="2"/>
            <w:shd w:val="clear" w:color="auto" w:fill="auto"/>
          </w:tcPr>
          <w:p w14:paraId="6EF84CB5" w14:textId="77777777" w:rsidR="005706C0" w:rsidRPr="006B1E71" w:rsidRDefault="005706C0" w:rsidP="00BC0BEE">
            <w:pPr>
              <w:rPr>
                <w:sz w:val="36"/>
                <w:szCs w:val="36"/>
              </w:rPr>
            </w:pPr>
          </w:p>
        </w:tc>
      </w:tr>
      <w:tr w:rsidR="005706C0" w:rsidRPr="00BD2FF3" w14:paraId="595306CE" w14:textId="77777777" w:rsidTr="00AB22AC">
        <w:trPr>
          <w:gridBefore w:val="1"/>
          <w:wBefore w:w="96" w:type="dxa"/>
          <w:jc w:val="center"/>
        </w:trPr>
        <w:tc>
          <w:tcPr>
            <w:tcW w:w="625" w:type="dxa"/>
            <w:gridSpan w:val="2"/>
          </w:tcPr>
          <w:p w14:paraId="0E46E79B" w14:textId="77777777" w:rsidR="005706C0" w:rsidRDefault="005706C0" w:rsidP="00BC0BEE">
            <w:pPr>
              <w:jc w:val="both"/>
            </w:pPr>
          </w:p>
        </w:tc>
        <w:tc>
          <w:tcPr>
            <w:tcW w:w="9225" w:type="dxa"/>
            <w:gridSpan w:val="3"/>
          </w:tcPr>
          <w:p w14:paraId="1F937DAA" w14:textId="1C8A1BE4" w:rsidR="00306E52" w:rsidRDefault="00306E52" w:rsidP="00BC0BEE">
            <w:pPr>
              <w:jc w:val="both"/>
            </w:pPr>
            <w:r>
              <w:t>T</w:t>
            </w:r>
            <w:r w:rsidR="005706C0">
              <w:t>he Board discuss</w:t>
            </w:r>
            <w:r>
              <w:t>ed several</w:t>
            </w:r>
            <w:r w:rsidR="005706C0">
              <w:t xml:space="preserve"> </w:t>
            </w:r>
            <w:r>
              <w:t xml:space="preserve">ideas (many of which have been contributed by stakeholders) </w:t>
            </w:r>
            <w:r w:rsidR="005706C0">
              <w:t>t</w:t>
            </w:r>
            <w:r>
              <w:t>o add to its pipeline of work.</w:t>
            </w:r>
          </w:p>
          <w:p w14:paraId="3320CE41" w14:textId="4E3EEBEA" w:rsidR="005706C0" w:rsidRDefault="00306E52" w:rsidP="00235816">
            <w:pPr>
              <w:jc w:val="both"/>
            </w:pPr>
            <w:r>
              <w:t>T</w:t>
            </w:r>
            <w:r w:rsidR="005706C0">
              <w:t xml:space="preserve">he Board agreed to undertake a review of the current taxation treatment of </w:t>
            </w:r>
            <w:r w:rsidR="00235816">
              <w:t xml:space="preserve">contingent consideration </w:t>
            </w:r>
            <w:r w:rsidR="005706C0">
              <w:t>arrangements</w:t>
            </w:r>
            <w:r>
              <w:t xml:space="preserve"> - </w:t>
            </w:r>
            <w:r w:rsidR="005706C0">
              <w:t>to be led by Board member Ann-Maree Wolff</w:t>
            </w:r>
            <w:r>
              <w:t xml:space="preserve"> and the working group to include </w:t>
            </w:r>
            <w:r w:rsidR="005706C0">
              <w:t xml:space="preserve">Craig </w:t>
            </w:r>
            <w:proofErr w:type="spellStart"/>
            <w:r w:rsidR="005706C0">
              <w:t>Yaxley</w:t>
            </w:r>
            <w:proofErr w:type="spellEnd"/>
            <w:r w:rsidR="005706C0">
              <w:t xml:space="preserve"> and Mark </w:t>
            </w:r>
            <w:proofErr w:type="spellStart"/>
            <w:r w:rsidR="005706C0">
              <w:t>Pizzacalla</w:t>
            </w:r>
            <w:proofErr w:type="spellEnd"/>
            <w:r w:rsidR="005706C0">
              <w:t xml:space="preserve">. </w:t>
            </w:r>
            <w:r w:rsidR="00BC0BEE">
              <w:t xml:space="preserve"> </w:t>
            </w:r>
            <w:r w:rsidR="005706C0">
              <w:t>Please contact us on the details below if you would like to be consulted.</w:t>
            </w:r>
          </w:p>
        </w:tc>
        <w:tc>
          <w:tcPr>
            <w:tcW w:w="590" w:type="dxa"/>
            <w:gridSpan w:val="2"/>
          </w:tcPr>
          <w:p w14:paraId="0C955E65" w14:textId="77777777" w:rsidR="005706C0" w:rsidRDefault="005706C0" w:rsidP="00BC0BEE"/>
        </w:tc>
      </w:tr>
      <w:tr w:rsidR="005B32D7" w:rsidRPr="006B1E71" w14:paraId="6712C915" w14:textId="77777777" w:rsidTr="004B738A">
        <w:trPr>
          <w:gridBefore w:val="1"/>
          <w:wBefore w:w="96" w:type="dxa"/>
          <w:jc w:val="center"/>
        </w:trPr>
        <w:tc>
          <w:tcPr>
            <w:tcW w:w="625" w:type="dxa"/>
            <w:gridSpan w:val="2"/>
            <w:shd w:val="clear" w:color="auto" w:fill="auto"/>
          </w:tcPr>
          <w:p w14:paraId="33BE3A34" w14:textId="2C8FCD1A" w:rsidR="00DE77A2" w:rsidRPr="006B1E71" w:rsidRDefault="00DE77A2" w:rsidP="00BC0BEE">
            <w:pPr>
              <w:keepNext/>
              <w:keepLines/>
              <w:rPr>
                <w:sz w:val="36"/>
                <w:szCs w:val="36"/>
              </w:rPr>
            </w:pPr>
          </w:p>
        </w:tc>
        <w:tc>
          <w:tcPr>
            <w:tcW w:w="9225" w:type="dxa"/>
            <w:gridSpan w:val="3"/>
            <w:shd w:val="clear" w:color="auto" w:fill="auto"/>
          </w:tcPr>
          <w:p w14:paraId="23CBAF9D" w14:textId="5CB6B6F0" w:rsidR="00DE77A2" w:rsidRPr="006B1E71" w:rsidRDefault="0096275B" w:rsidP="00BC0BEE">
            <w:pPr>
              <w:pStyle w:val="Heading2"/>
              <w:keepNext/>
              <w:keepLines/>
              <w:outlineLvl w:val="1"/>
              <w:rPr>
                <w:sz w:val="36"/>
                <w:szCs w:val="36"/>
              </w:rPr>
            </w:pPr>
            <w:r w:rsidRPr="006B1E71">
              <w:rPr>
                <w:sz w:val="36"/>
                <w:szCs w:val="36"/>
              </w:rPr>
              <w:t xml:space="preserve">Our </w:t>
            </w:r>
            <w:r w:rsidR="00A566EE">
              <w:rPr>
                <w:sz w:val="36"/>
                <w:szCs w:val="36"/>
              </w:rPr>
              <w:t>c</w:t>
            </w:r>
            <w:r w:rsidRPr="006B1E71">
              <w:rPr>
                <w:sz w:val="36"/>
                <w:szCs w:val="36"/>
              </w:rPr>
              <w:t xml:space="preserve">urrent projects </w:t>
            </w:r>
            <w:r w:rsidR="006B1E71" w:rsidRPr="006B1E71">
              <w:rPr>
                <w:sz w:val="36"/>
                <w:szCs w:val="36"/>
              </w:rPr>
              <w:t>and n</w:t>
            </w:r>
            <w:r w:rsidR="00392A88" w:rsidRPr="006B1E71">
              <w:rPr>
                <w:sz w:val="36"/>
                <w:szCs w:val="36"/>
              </w:rPr>
              <w:t>ew referrals</w:t>
            </w:r>
          </w:p>
        </w:tc>
        <w:tc>
          <w:tcPr>
            <w:tcW w:w="590" w:type="dxa"/>
            <w:gridSpan w:val="2"/>
            <w:shd w:val="clear" w:color="auto" w:fill="auto"/>
          </w:tcPr>
          <w:p w14:paraId="581CE1E4" w14:textId="77777777" w:rsidR="00DE77A2" w:rsidRPr="006B1E71" w:rsidRDefault="00DE77A2" w:rsidP="00BC0BEE">
            <w:pPr>
              <w:keepNext/>
              <w:keepLines/>
              <w:rPr>
                <w:sz w:val="36"/>
                <w:szCs w:val="36"/>
              </w:rPr>
            </w:pPr>
          </w:p>
        </w:tc>
      </w:tr>
      <w:tr w:rsidR="00DE77A2" w:rsidRPr="00BD2FF3" w14:paraId="1A714762" w14:textId="77777777" w:rsidTr="004B738A">
        <w:trPr>
          <w:gridBefore w:val="1"/>
          <w:wBefore w:w="96" w:type="dxa"/>
          <w:jc w:val="center"/>
        </w:trPr>
        <w:tc>
          <w:tcPr>
            <w:tcW w:w="625" w:type="dxa"/>
            <w:gridSpan w:val="2"/>
          </w:tcPr>
          <w:p w14:paraId="56B921FD" w14:textId="77777777" w:rsidR="00DE77A2" w:rsidRPr="00BD2FF3" w:rsidRDefault="00DE77A2" w:rsidP="00BC0BEE">
            <w:pPr>
              <w:keepNext/>
              <w:keepLines/>
              <w:jc w:val="both"/>
            </w:pPr>
          </w:p>
        </w:tc>
        <w:tc>
          <w:tcPr>
            <w:tcW w:w="9225" w:type="dxa"/>
            <w:gridSpan w:val="3"/>
          </w:tcPr>
          <w:p w14:paraId="6B4CA003" w14:textId="4DD72505" w:rsidR="0096275B" w:rsidRDefault="0096275B" w:rsidP="00BC0BEE">
            <w:pPr>
              <w:keepNext/>
              <w:keepLines/>
              <w:jc w:val="both"/>
            </w:pPr>
            <w:r>
              <w:t>The Board continues to be involved with the Government’s Black Economy Taskforce</w:t>
            </w:r>
            <w:r w:rsidR="00306E52">
              <w:t xml:space="preserve">.  The Board is also </w:t>
            </w:r>
            <w:r>
              <w:t>progress</w:t>
            </w:r>
            <w:r w:rsidR="007A580E">
              <w:t xml:space="preserve">ing </w:t>
            </w:r>
            <w:r w:rsidR="00306E52">
              <w:t xml:space="preserve">(some </w:t>
            </w:r>
            <w:r w:rsidR="00B84E73">
              <w:t>towards completion</w:t>
            </w:r>
            <w:r w:rsidR="00306E52">
              <w:t>)</w:t>
            </w:r>
            <w:r w:rsidR="00B84E73">
              <w:t xml:space="preserve"> the Board’s </w:t>
            </w:r>
            <w:r w:rsidR="00306E52">
              <w:t>other</w:t>
            </w:r>
            <w:r w:rsidR="00B84E73">
              <w:t xml:space="preserve"> projects</w:t>
            </w:r>
            <w:r>
              <w:t xml:space="preserve">. </w:t>
            </w:r>
            <w:r w:rsidR="00306E52">
              <w:t xml:space="preserve"> This includes </w:t>
            </w:r>
            <w:r>
              <w:t>the following projects:</w:t>
            </w:r>
          </w:p>
          <w:p w14:paraId="75A381D5" w14:textId="4DA98011" w:rsidR="0096275B" w:rsidRDefault="0096275B" w:rsidP="00BC0BEE">
            <w:pPr>
              <w:pStyle w:val="Bullet"/>
              <w:keepNext/>
              <w:keepLines/>
              <w:numPr>
                <w:ilvl w:val="0"/>
                <w:numId w:val="20"/>
              </w:numPr>
              <w:jc w:val="both"/>
            </w:pPr>
            <w:r>
              <w:t>targeted trust simplification – bare trusts</w:t>
            </w:r>
            <w:r w:rsidR="00335185">
              <w:t xml:space="preserve"> (to conclude in June)</w:t>
            </w:r>
            <w:r>
              <w:t>;</w:t>
            </w:r>
          </w:p>
          <w:p w14:paraId="47F229D2" w14:textId="77777777" w:rsidR="00495B9D" w:rsidRDefault="00495B9D" w:rsidP="00BC0BEE">
            <w:pPr>
              <w:pStyle w:val="Bullet"/>
              <w:keepNext/>
              <w:keepLines/>
              <w:numPr>
                <w:ilvl w:val="0"/>
                <w:numId w:val="20"/>
              </w:numPr>
              <w:jc w:val="both"/>
            </w:pPr>
            <w:r>
              <w:t>definitions under State and Federal Laws (to conclude in June);</w:t>
            </w:r>
            <w:r w:rsidDel="00617495">
              <w:t xml:space="preserve"> </w:t>
            </w:r>
          </w:p>
          <w:p w14:paraId="1CB8B40E" w14:textId="7AB0C9EC" w:rsidR="0096275B" w:rsidRDefault="0096275B" w:rsidP="00BC0BEE">
            <w:pPr>
              <w:pStyle w:val="Bullet"/>
              <w:keepNext/>
              <w:keepLines/>
              <w:numPr>
                <w:ilvl w:val="0"/>
                <w:numId w:val="20"/>
              </w:numPr>
              <w:jc w:val="both"/>
            </w:pPr>
            <w:r>
              <w:t>high wealth individuals and residency</w:t>
            </w:r>
            <w:r w:rsidR="00FB5825">
              <w:t xml:space="preserve"> (</w:t>
            </w:r>
            <w:r w:rsidR="004A6493">
              <w:t>ongoing</w:t>
            </w:r>
            <w:r w:rsidR="00FB5825">
              <w:t>)</w:t>
            </w:r>
            <w:r>
              <w:t>;</w:t>
            </w:r>
          </w:p>
          <w:p w14:paraId="6650B98B" w14:textId="138C9B26" w:rsidR="00617495" w:rsidRDefault="00617495" w:rsidP="00BC0BEE">
            <w:pPr>
              <w:pStyle w:val="Bullet"/>
              <w:keepNext/>
              <w:keepLines/>
              <w:numPr>
                <w:ilvl w:val="0"/>
                <w:numId w:val="20"/>
              </w:numPr>
              <w:jc w:val="both"/>
            </w:pPr>
            <w:r>
              <w:t>tax and the sharing economy</w:t>
            </w:r>
            <w:r w:rsidR="00FB5825">
              <w:t xml:space="preserve"> </w:t>
            </w:r>
            <w:r w:rsidR="00495B9D" w:rsidRPr="00495B9D">
              <w:t>(</w:t>
            </w:r>
            <w:r w:rsidR="00495B9D">
              <w:t>ongoing</w:t>
            </w:r>
            <w:r w:rsidR="00495B9D" w:rsidRPr="00495B9D">
              <w:t>);</w:t>
            </w:r>
            <w:r w:rsidR="00495B9D">
              <w:t xml:space="preserve"> </w:t>
            </w:r>
            <w:r>
              <w:t>and</w:t>
            </w:r>
          </w:p>
          <w:p w14:paraId="57D094B1" w14:textId="6B3F65DB" w:rsidR="0096275B" w:rsidRDefault="0096275B" w:rsidP="00BC0BEE">
            <w:pPr>
              <w:pStyle w:val="Bullet"/>
              <w:keepNext/>
              <w:keepLines/>
              <w:numPr>
                <w:ilvl w:val="0"/>
                <w:numId w:val="20"/>
              </w:numPr>
              <w:jc w:val="both"/>
            </w:pPr>
            <w:proofErr w:type="gramStart"/>
            <w:r>
              <w:t>alignment</w:t>
            </w:r>
            <w:proofErr w:type="gramEnd"/>
            <w:r>
              <w:t xml:space="preserve"> of tax and accounting concepts (</w:t>
            </w:r>
            <w:r w:rsidR="00495B9D">
              <w:t>ongoing</w:t>
            </w:r>
            <w:r>
              <w:t>).</w:t>
            </w:r>
          </w:p>
          <w:p w14:paraId="2C29D071" w14:textId="327F9ED2" w:rsidR="00DE77A2" w:rsidRPr="00BD2FF3" w:rsidRDefault="0096275B" w:rsidP="00BC0BEE">
            <w:pPr>
              <w:keepNext/>
              <w:keepLines/>
              <w:jc w:val="both"/>
            </w:pPr>
            <w:r>
              <w:t xml:space="preserve">The Board also </w:t>
            </w:r>
            <w:r w:rsidR="00335185">
              <w:t xml:space="preserve">discussed its </w:t>
            </w:r>
            <w:r w:rsidR="00306E52">
              <w:t xml:space="preserve">recommendations and </w:t>
            </w:r>
            <w:r w:rsidR="00335185">
              <w:t xml:space="preserve">advice </w:t>
            </w:r>
            <w:r w:rsidR="00306E52">
              <w:t>to Trea</w:t>
            </w:r>
            <w:r w:rsidR="00EE5867">
              <w:t>s</w:t>
            </w:r>
            <w:r w:rsidR="00306E52">
              <w:t>ury on</w:t>
            </w:r>
            <w:r w:rsidR="00335185">
              <w:t xml:space="preserve"> </w:t>
            </w:r>
            <w:r>
              <w:t xml:space="preserve">whistle-blower protections and </w:t>
            </w:r>
            <w:r w:rsidR="00FB5825">
              <w:t xml:space="preserve">its ongoing consultation on </w:t>
            </w:r>
            <w:r>
              <w:t xml:space="preserve">the OECD proposal for Mandatory Disclosure Rules </w:t>
            </w:r>
            <w:r w:rsidR="00B84E73">
              <w:t>(</w:t>
            </w:r>
            <w:r>
              <w:t>for the early disclosure of aggressive tax arrangements</w:t>
            </w:r>
            <w:r w:rsidR="00B84E73">
              <w:t>)</w:t>
            </w:r>
            <w:r>
              <w:t>.</w:t>
            </w:r>
            <w:r w:rsidR="00617495">
              <w:t xml:space="preserve"> </w:t>
            </w:r>
            <w:r w:rsidR="00E65983">
              <w:t xml:space="preserve"> </w:t>
            </w:r>
            <w:r w:rsidR="00617495">
              <w:t xml:space="preserve">Some </w:t>
            </w:r>
            <w:r w:rsidR="00306E52">
              <w:t xml:space="preserve">further details on some of the </w:t>
            </w:r>
            <w:r w:rsidR="00617495">
              <w:t xml:space="preserve">projects </w:t>
            </w:r>
            <w:proofErr w:type="gramStart"/>
            <w:r w:rsidR="00306E52">
              <w:t>is</w:t>
            </w:r>
            <w:proofErr w:type="gramEnd"/>
            <w:r w:rsidR="00306E52">
              <w:t xml:space="preserve"> provided</w:t>
            </w:r>
            <w:r w:rsidR="00617495">
              <w:t xml:space="preserve"> below.</w:t>
            </w:r>
          </w:p>
        </w:tc>
        <w:tc>
          <w:tcPr>
            <w:tcW w:w="590" w:type="dxa"/>
            <w:gridSpan w:val="2"/>
          </w:tcPr>
          <w:p w14:paraId="5B2E4DF3" w14:textId="77777777" w:rsidR="008867E3" w:rsidRPr="00BD2FF3" w:rsidRDefault="008867E3" w:rsidP="00BC0BEE">
            <w:pPr>
              <w:keepNext/>
              <w:keepLines/>
            </w:pPr>
          </w:p>
        </w:tc>
      </w:tr>
      <w:tr w:rsidR="008867E3" w:rsidRPr="00BD2FF3" w14:paraId="27C036E6" w14:textId="77777777" w:rsidTr="004B738A">
        <w:trPr>
          <w:gridBefore w:val="1"/>
          <w:wBefore w:w="96" w:type="dxa"/>
          <w:jc w:val="center"/>
        </w:trPr>
        <w:tc>
          <w:tcPr>
            <w:tcW w:w="625" w:type="dxa"/>
            <w:gridSpan w:val="2"/>
          </w:tcPr>
          <w:p w14:paraId="72399309" w14:textId="77777777" w:rsidR="008867E3" w:rsidRPr="00BD2FF3" w:rsidRDefault="008867E3" w:rsidP="0096275B">
            <w:pPr>
              <w:jc w:val="both"/>
            </w:pPr>
          </w:p>
        </w:tc>
        <w:tc>
          <w:tcPr>
            <w:tcW w:w="9225" w:type="dxa"/>
            <w:gridSpan w:val="3"/>
          </w:tcPr>
          <w:p w14:paraId="25CAB409" w14:textId="212589EF" w:rsidR="008867E3" w:rsidRPr="008867E3" w:rsidRDefault="008867E3" w:rsidP="008867E3">
            <w:pPr>
              <w:pStyle w:val="Heading2"/>
              <w:outlineLvl w:val="1"/>
              <w:rPr>
                <w:sz w:val="36"/>
                <w:szCs w:val="36"/>
              </w:rPr>
            </w:pPr>
            <w:r w:rsidRPr="008867E3">
              <w:rPr>
                <w:sz w:val="36"/>
                <w:szCs w:val="36"/>
              </w:rPr>
              <w:t>Black Economy Taskforce</w:t>
            </w:r>
          </w:p>
        </w:tc>
        <w:tc>
          <w:tcPr>
            <w:tcW w:w="590" w:type="dxa"/>
            <w:gridSpan w:val="2"/>
          </w:tcPr>
          <w:p w14:paraId="6C69892B" w14:textId="77777777" w:rsidR="008867E3" w:rsidRDefault="008867E3" w:rsidP="002256FA"/>
        </w:tc>
      </w:tr>
      <w:tr w:rsidR="008867E3" w:rsidRPr="00BD2FF3" w14:paraId="4145E846" w14:textId="77777777" w:rsidTr="004B738A">
        <w:trPr>
          <w:gridBefore w:val="1"/>
          <w:wBefore w:w="96" w:type="dxa"/>
          <w:jc w:val="center"/>
        </w:trPr>
        <w:tc>
          <w:tcPr>
            <w:tcW w:w="625" w:type="dxa"/>
            <w:gridSpan w:val="2"/>
          </w:tcPr>
          <w:p w14:paraId="54D79314" w14:textId="77777777" w:rsidR="008867E3" w:rsidRDefault="008867E3" w:rsidP="0096275B">
            <w:pPr>
              <w:jc w:val="both"/>
            </w:pPr>
          </w:p>
        </w:tc>
        <w:tc>
          <w:tcPr>
            <w:tcW w:w="9225" w:type="dxa"/>
            <w:gridSpan w:val="3"/>
          </w:tcPr>
          <w:p w14:paraId="6D325695" w14:textId="1FC239EE" w:rsidR="008867E3" w:rsidRDefault="008867E3" w:rsidP="00824637">
            <w:pPr>
              <w:jc w:val="both"/>
            </w:pPr>
            <w:r>
              <w:t xml:space="preserve">The Board received an update from the Chair on the work to date of the Black Economy Taskforce.  This included both </w:t>
            </w:r>
            <w:r w:rsidR="00FB5825">
              <w:t xml:space="preserve">the Government’s release of the </w:t>
            </w:r>
            <w:r>
              <w:t xml:space="preserve">interim </w:t>
            </w:r>
            <w:r w:rsidR="00FB5825">
              <w:t xml:space="preserve">report </w:t>
            </w:r>
            <w:r>
              <w:t xml:space="preserve">and </w:t>
            </w:r>
            <w:r w:rsidR="00FB5825">
              <w:t>the opening of a public discussion into the black economy</w:t>
            </w:r>
            <w:r>
              <w:t>.</w:t>
            </w:r>
            <w:r w:rsidR="00FB5825">
              <w:t xml:space="preserve"> </w:t>
            </w:r>
            <w:r w:rsidR="00E65983">
              <w:t xml:space="preserve"> </w:t>
            </w:r>
            <w:r w:rsidR="00FB5825">
              <w:t xml:space="preserve">The Chair noted that public meetings will be held nationally throughout June. </w:t>
            </w:r>
            <w:r w:rsidR="00E65983">
              <w:t xml:space="preserve"> </w:t>
            </w:r>
            <w:r w:rsidR="00FB5825">
              <w:t xml:space="preserve">Go to the website for more information </w:t>
            </w:r>
            <w:hyperlink r:id="rId10" w:history="1">
              <w:r w:rsidR="00FB5825" w:rsidRPr="00B94FC2">
                <w:rPr>
                  <w:rStyle w:val="Hyperlink"/>
                </w:rPr>
                <w:t>https://consult.treasury.gov.au/tax-framework-division/black-economy-taskforce/</w:t>
              </w:r>
            </w:hyperlink>
            <w:r w:rsidR="00824637">
              <w:t>.</w:t>
            </w:r>
            <w:r w:rsidR="00FB5825">
              <w:t xml:space="preserve"> </w:t>
            </w:r>
          </w:p>
        </w:tc>
        <w:tc>
          <w:tcPr>
            <w:tcW w:w="590" w:type="dxa"/>
            <w:gridSpan w:val="2"/>
          </w:tcPr>
          <w:p w14:paraId="3F3076AF" w14:textId="77777777" w:rsidR="008867E3" w:rsidRDefault="008867E3" w:rsidP="002256FA"/>
        </w:tc>
      </w:tr>
      <w:tr w:rsidR="00E3161A" w:rsidRPr="006B1E71" w14:paraId="46D0D85B" w14:textId="77777777" w:rsidTr="004B738A">
        <w:trPr>
          <w:gridBefore w:val="1"/>
          <w:wBefore w:w="96" w:type="dxa"/>
          <w:jc w:val="center"/>
        </w:trPr>
        <w:tc>
          <w:tcPr>
            <w:tcW w:w="625" w:type="dxa"/>
            <w:gridSpan w:val="2"/>
            <w:shd w:val="clear" w:color="auto" w:fill="auto"/>
          </w:tcPr>
          <w:p w14:paraId="12F5FD86" w14:textId="77777777" w:rsidR="00E3161A" w:rsidRPr="006B1E71" w:rsidRDefault="00E3161A" w:rsidP="00227957">
            <w:pPr>
              <w:rPr>
                <w:sz w:val="36"/>
                <w:szCs w:val="36"/>
              </w:rPr>
            </w:pPr>
          </w:p>
        </w:tc>
        <w:tc>
          <w:tcPr>
            <w:tcW w:w="9225" w:type="dxa"/>
            <w:gridSpan w:val="3"/>
            <w:shd w:val="clear" w:color="auto" w:fill="auto"/>
          </w:tcPr>
          <w:p w14:paraId="020BAAF1" w14:textId="77777777" w:rsidR="00E3161A" w:rsidRPr="006B1E71" w:rsidRDefault="00E3161A" w:rsidP="00227957">
            <w:pPr>
              <w:pStyle w:val="Heading2"/>
              <w:outlineLvl w:val="1"/>
              <w:rPr>
                <w:sz w:val="36"/>
                <w:szCs w:val="36"/>
              </w:rPr>
            </w:pPr>
            <w:r w:rsidRPr="006B1E71">
              <w:rPr>
                <w:sz w:val="36"/>
                <w:szCs w:val="36"/>
              </w:rPr>
              <w:t>Targeted Trust Simplification – Bare Trusts</w:t>
            </w:r>
          </w:p>
        </w:tc>
        <w:tc>
          <w:tcPr>
            <w:tcW w:w="590" w:type="dxa"/>
            <w:gridSpan w:val="2"/>
            <w:shd w:val="clear" w:color="auto" w:fill="auto"/>
          </w:tcPr>
          <w:p w14:paraId="14A987F1" w14:textId="77777777" w:rsidR="00E3161A" w:rsidRPr="006B1E71" w:rsidRDefault="00E3161A" w:rsidP="00227957">
            <w:pPr>
              <w:rPr>
                <w:sz w:val="36"/>
                <w:szCs w:val="36"/>
              </w:rPr>
            </w:pPr>
          </w:p>
        </w:tc>
      </w:tr>
      <w:tr w:rsidR="00E3161A" w:rsidRPr="00BD2FF3" w14:paraId="5579B695" w14:textId="77777777" w:rsidTr="004B738A">
        <w:trPr>
          <w:gridBefore w:val="1"/>
          <w:wBefore w:w="96" w:type="dxa"/>
          <w:jc w:val="center"/>
        </w:trPr>
        <w:tc>
          <w:tcPr>
            <w:tcW w:w="625" w:type="dxa"/>
            <w:gridSpan w:val="2"/>
          </w:tcPr>
          <w:p w14:paraId="5509078E" w14:textId="77777777" w:rsidR="00E3161A" w:rsidRPr="00BD2FF3" w:rsidRDefault="00E3161A" w:rsidP="00227957"/>
        </w:tc>
        <w:tc>
          <w:tcPr>
            <w:tcW w:w="9225" w:type="dxa"/>
            <w:gridSpan w:val="3"/>
          </w:tcPr>
          <w:p w14:paraId="5673AD06" w14:textId="2376389F" w:rsidR="00E3161A" w:rsidRPr="00BD2FF3" w:rsidRDefault="00E3161A" w:rsidP="00B94D2F">
            <w:pPr>
              <w:pStyle w:val="Bullet"/>
              <w:numPr>
                <w:ilvl w:val="0"/>
                <w:numId w:val="0"/>
              </w:numPr>
              <w:tabs>
                <w:tab w:val="left" w:pos="720"/>
              </w:tabs>
              <w:jc w:val="both"/>
            </w:pPr>
            <w:r>
              <w:t xml:space="preserve">The Board discussed a </w:t>
            </w:r>
            <w:r w:rsidR="00FB5825">
              <w:t xml:space="preserve">revised </w:t>
            </w:r>
            <w:r>
              <w:t xml:space="preserve">draft working paper of the working group led by John Emerson in relation to the income tax treatment of bare trusts. The project is considering how to ‘disregard’ custodial style bare trusts and simplify the ‘absolute entitlement’ interaction issues for CGT and income tax purposes. The Board </w:t>
            </w:r>
            <w:r w:rsidR="00B94D2F">
              <w:t xml:space="preserve">expects to </w:t>
            </w:r>
            <w:r w:rsidR="004A6493">
              <w:t>finalise this report</w:t>
            </w:r>
            <w:r w:rsidR="00B94D2F">
              <w:t xml:space="preserve"> before 30 June 2017</w:t>
            </w:r>
            <w:r>
              <w:t>.</w:t>
            </w:r>
          </w:p>
        </w:tc>
        <w:tc>
          <w:tcPr>
            <w:tcW w:w="590" w:type="dxa"/>
            <w:gridSpan w:val="2"/>
          </w:tcPr>
          <w:p w14:paraId="2EC1A23C" w14:textId="77777777" w:rsidR="00E3161A" w:rsidRPr="00BD2FF3" w:rsidRDefault="00E3161A" w:rsidP="00227957"/>
        </w:tc>
      </w:tr>
      <w:tr w:rsidR="00E3161A" w:rsidRPr="006B1E71" w14:paraId="6712640B" w14:textId="77777777" w:rsidTr="004B738A">
        <w:trPr>
          <w:gridBefore w:val="1"/>
          <w:wBefore w:w="96" w:type="dxa"/>
          <w:jc w:val="center"/>
        </w:trPr>
        <w:tc>
          <w:tcPr>
            <w:tcW w:w="625" w:type="dxa"/>
            <w:gridSpan w:val="2"/>
            <w:shd w:val="clear" w:color="auto" w:fill="auto"/>
          </w:tcPr>
          <w:p w14:paraId="10171C18" w14:textId="77777777" w:rsidR="00E3161A" w:rsidRPr="006B1E71" w:rsidRDefault="00E3161A" w:rsidP="00227957">
            <w:pPr>
              <w:rPr>
                <w:sz w:val="36"/>
                <w:szCs w:val="36"/>
              </w:rPr>
            </w:pPr>
          </w:p>
        </w:tc>
        <w:tc>
          <w:tcPr>
            <w:tcW w:w="9225" w:type="dxa"/>
            <w:gridSpan w:val="3"/>
            <w:shd w:val="clear" w:color="auto" w:fill="auto"/>
          </w:tcPr>
          <w:p w14:paraId="619D8754" w14:textId="77777777" w:rsidR="00E3161A" w:rsidRPr="006B1E71" w:rsidRDefault="00E3161A" w:rsidP="00227957">
            <w:pPr>
              <w:pStyle w:val="Heading2"/>
              <w:outlineLvl w:val="1"/>
              <w:rPr>
                <w:sz w:val="36"/>
                <w:szCs w:val="36"/>
              </w:rPr>
            </w:pPr>
            <w:r w:rsidRPr="006B1E71">
              <w:rPr>
                <w:sz w:val="36"/>
                <w:szCs w:val="36"/>
              </w:rPr>
              <w:t>Mandatory Disclosure Rules</w:t>
            </w:r>
          </w:p>
        </w:tc>
        <w:tc>
          <w:tcPr>
            <w:tcW w:w="590" w:type="dxa"/>
            <w:gridSpan w:val="2"/>
            <w:shd w:val="clear" w:color="auto" w:fill="auto"/>
          </w:tcPr>
          <w:p w14:paraId="735D8DB6" w14:textId="77777777" w:rsidR="00E3161A" w:rsidRPr="006B1E71" w:rsidRDefault="00E3161A" w:rsidP="00227957">
            <w:pPr>
              <w:rPr>
                <w:sz w:val="36"/>
                <w:szCs w:val="36"/>
              </w:rPr>
            </w:pPr>
          </w:p>
        </w:tc>
      </w:tr>
      <w:tr w:rsidR="00E3161A" w:rsidRPr="00BD2FF3" w14:paraId="11825489" w14:textId="77777777" w:rsidTr="004B738A">
        <w:trPr>
          <w:gridBefore w:val="1"/>
          <w:wBefore w:w="96" w:type="dxa"/>
          <w:jc w:val="center"/>
        </w:trPr>
        <w:tc>
          <w:tcPr>
            <w:tcW w:w="625" w:type="dxa"/>
            <w:gridSpan w:val="2"/>
          </w:tcPr>
          <w:p w14:paraId="4794ED9C" w14:textId="77777777" w:rsidR="00E3161A" w:rsidRPr="00BD2FF3" w:rsidRDefault="00E3161A" w:rsidP="00227957"/>
        </w:tc>
        <w:tc>
          <w:tcPr>
            <w:tcW w:w="9225" w:type="dxa"/>
            <w:gridSpan w:val="3"/>
          </w:tcPr>
          <w:p w14:paraId="376C5DED" w14:textId="6F0581BF" w:rsidR="00E3161A" w:rsidRPr="00BD2FF3" w:rsidRDefault="00E3161A" w:rsidP="00B94D2F">
            <w:pPr>
              <w:jc w:val="both"/>
            </w:pPr>
            <w:r w:rsidRPr="0096275B">
              <w:t xml:space="preserve">The Board </w:t>
            </w:r>
            <w:r w:rsidR="004A6493">
              <w:t xml:space="preserve">has </w:t>
            </w:r>
            <w:r w:rsidRPr="0096275B">
              <w:t>undertake</w:t>
            </w:r>
            <w:r w:rsidR="004A6493">
              <w:t>n</w:t>
            </w:r>
            <w:r w:rsidRPr="0096275B">
              <w:t xml:space="preserve"> consultation </w:t>
            </w:r>
            <w:r w:rsidR="004A6493">
              <w:t xml:space="preserve">with business, professional and community </w:t>
            </w:r>
            <w:r w:rsidR="00B94D2F">
              <w:t xml:space="preserve">stakeholders </w:t>
            </w:r>
            <w:r w:rsidR="004A6493">
              <w:t xml:space="preserve">to inform its </w:t>
            </w:r>
            <w:r w:rsidR="00B94D2F">
              <w:t xml:space="preserve">advice </w:t>
            </w:r>
            <w:r w:rsidR="004A6493">
              <w:t>and evaluate</w:t>
            </w:r>
            <w:r w:rsidRPr="0096275B">
              <w:t xml:space="preserve"> </w:t>
            </w:r>
            <w:r w:rsidR="00B94D2F">
              <w:t xml:space="preserve">proposals for implementation of </w:t>
            </w:r>
            <w:r w:rsidRPr="0096275B">
              <w:t xml:space="preserve">Mandatory Disclosure Rules. </w:t>
            </w:r>
            <w:r w:rsidR="00E65983">
              <w:t xml:space="preserve"> </w:t>
            </w:r>
            <w:r w:rsidRPr="0096275B">
              <w:t xml:space="preserve">The Board </w:t>
            </w:r>
            <w:r w:rsidR="004A6493">
              <w:t xml:space="preserve">continues to consult </w:t>
            </w:r>
            <w:r w:rsidR="00B94D2F">
              <w:t xml:space="preserve">on these measures </w:t>
            </w:r>
            <w:r w:rsidR="004A6493">
              <w:t xml:space="preserve">and </w:t>
            </w:r>
            <w:r w:rsidRPr="0096275B">
              <w:t>encourages you to contact us on the details below if you would like to be consulted.</w:t>
            </w:r>
            <w:r w:rsidR="00B94D2F">
              <w:t xml:space="preserve">  The Board is due to speak with officers from HMRC to understand the UK experience in implementing similar rules.</w:t>
            </w:r>
          </w:p>
        </w:tc>
        <w:tc>
          <w:tcPr>
            <w:tcW w:w="590" w:type="dxa"/>
            <w:gridSpan w:val="2"/>
          </w:tcPr>
          <w:p w14:paraId="535C2849" w14:textId="77777777" w:rsidR="00E3161A" w:rsidRPr="00BD2FF3" w:rsidRDefault="00E3161A" w:rsidP="00227957"/>
        </w:tc>
      </w:tr>
      <w:tr w:rsidR="00161DBC" w:rsidRPr="006B1E71" w14:paraId="50155C84" w14:textId="77777777" w:rsidTr="00227957">
        <w:trPr>
          <w:gridBefore w:val="1"/>
          <w:wBefore w:w="96" w:type="dxa"/>
          <w:jc w:val="center"/>
        </w:trPr>
        <w:tc>
          <w:tcPr>
            <w:tcW w:w="625" w:type="dxa"/>
            <w:gridSpan w:val="2"/>
          </w:tcPr>
          <w:p w14:paraId="6517B335" w14:textId="77777777" w:rsidR="00161DBC" w:rsidRPr="006B1E71" w:rsidRDefault="00161DBC" w:rsidP="00BC0BEE">
            <w:pPr>
              <w:jc w:val="both"/>
              <w:rPr>
                <w:sz w:val="36"/>
                <w:szCs w:val="36"/>
              </w:rPr>
            </w:pPr>
          </w:p>
        </w:tc>
        <w:tc>
          <w:tcPr>
            <w:tcW w:w="9225" w:type="dxa"/>
            <w:gridSpan w:val="3"/>
          </w:tcPr>
          <w:p w14:paraId="5942F3CF" w14:textId="5220BA3D" w:rsidR="00161DBC" w:rsidRPr="006B1E71" w:rsidRDefault="00617495" w:rsidP="00BC0BEE">
            <w:pPr>
              <w:pStyle w:val="Heading2"/>
              <w:outlineLvl w:val="1"/>
              <w:rPr>
                <w:sz w:val="36"/>
                <w:szCs w:val="36"/>
              </w:rPr>
            </w:pPr>
            <w:r w:rsidRPr="006B1E71">
              <w:rPr>
                <w:sz w:val="36"/>
                <w:szCs w:val="36"/>
              </w:rPr>
              <w:t xml:space="preserve">Stocktake </w:t>
            </w:r>
            <w:r>
              <w:rPr>
                <w:sz w:val="36"/>
                <w:szCs w:val="36"/>
              </w:rPr>
              <w:t>o</w:t>
            </w:r>
            <w:r w:rsidRPr="006B1E71">
              <w:rPr>
                <w:sz w:val="36"/>
                <w:szCs w:val="36"/>
              </w:rPr>
              <w:t xml:space="preserve">f </w:t>
            </w:r>
            <w:r>
              <w:rPr>
                <w:sz w:val="36"/>
                <w:szCs w:val="36"/>
              </w:rPr>
              <w:t>o</w:t>
            </w:r>
            <w:r w:rsidRPr="006B1E71">
              <w:rPr>
                <w:sz w:val="36"/>
                <w:szCs w:val="36"/>
              </w:rPr>
              <w:t xml:space="preserve">ur </w:t>
            </w:r>
            <w:r>
              <w:rPr>
                <w:sz w:val="36"/>
                <w:szCs w:val="36"/>
              </w:rPr>
              <w:t>w</w:t>
            </w:r>
            <w:r w:rsidRPr="006B1E71">
              <w:rPr>
                <w:sz w:val="36"/>
                <w:szCs w:val="36"/>
              </w:rPr>
              <w:t xml:space="preserve">ork </w:t>
            </w:r>
            <w:r>
              <w:rPr>
                <w:sz w:val="36"/>
                <w:szCs w:val="36"/>
              </w:rPr>
              <w:t>t</w:t>
            </w:r>
            <w:r w:rsidRPr="006B1E71">
              <w:rPr>
                <w:sz w:val="36"/>
                <w:szCs w:val="36"/>
              </w:rPr>
              <w:t xml:space="preserve">o </w:t>
            </w:r>
            <w:r>
              <w:rPr>
                <w:sz w:val="36"/>
                <w:szCs w:val="36"/>
              </w:rPr>
              <w:t>d</w:t>
            </w:r>
            <w:r w:rsidRPr="006B1E71">
              <w:rPr>
                <w:sz w:val="36"/>
                <w:szCs w:val="36"/>
              </w:rPr>
              <w:t>ate</w:t>
            </w:r>
          </w:p>
        </w:tc>
        <w:tc>
          <w:tcPr>
            <w:tcW w:w="590" w:type="dxa"/>
            <w:gridSpan w:val="2"/>
          </w:tcPr>
          <w:p w14:paraId="78903A31" w14:textId="77777777" w:rsidR="00161DBC" w:rsidRPr="006B1E71" w:rsidRDefault="00161DBC" w:rsidP="00BC0BEE">
            <w:pPr>
              <w:rPr>
                <w:sz w:val="36"/>
                <w:szCs w:val="36"/>
              </w:rPr>
            </w:pPr>
          </w:p>
        </w:tc>
      </w:tr>
      <w:tr w:rsidR="00161DBC" w:rsidRPr="00BD2FF3" w14:paraId="524B224C" w14:textId="77777777" w:rsidTr="00227957">
        <w:trPr>
          <w:gridBefore w:val="1"/>
          <w:wBefore w:w="96" w:type="dxa"/>
          <w:jc w:val="center"/>
        </w:trPr>
        <w:tc>
          <w:tcPr>
            <w:tcW w:w="625" w:type="dxa"/>
            <w:gridSpan w:val="2"/>
          </w:tcPr>
          <w:p w14:paraId="5E8B1163" w14:textId="77777777" w:rsidR="00161DBC" w:rsidRDefault="00161DBC" w:rsidP="00BC0BEE">
            <w:pPr>
              <w:jc w:val="both"/>
            </w:pPr>
          </w:p>
        </w:tc>
        <w:tc>
          <w:tcPr>
            <w:tcW w:w="9225" w:type="dxa"/>
            <w:gridSpan w:val="3"/>
          </w:tcPr>
          <w:p w14:paraId="1826F037" w14:textId="79351E06" w:rsidR="00161DBC" w:rsidRDefault="00161DBC" w:rsidP="00BC0BEE">
            <w:pPr>
              <w:jc w:val="both"/>
            </w:pPr>
            <w:r>
              <w:t xml:space="preserve">The Board discussed a </w:t>
            </w:r>
            <w:r w:rsidR="004A6493">
              <w:t>revised</w:t>
            </w:r>
            <w:r>
              <w:t xml:space="preserve"> stocktake of its reports and recommendations.  </w:t>
            </w:r>
            <w:r w:rsidR="004A6493">
              <w:t xml:space="preserve">As the Board finalises its stocktake, it will </w:t>
            </w:r>
            <w:r w:rsidR="00B94D2F">
              <w:t xml:space="preserve">also be seeking </w:t>
            </w:r>
            <w:r w:rsidR="004A6493">
              <w:t>stakeholder</w:t>
            </w:r>
            <w:r w:rsidR="00B94D2F">
              <w:t xml:space="preserve"> input on </w:t>
            </w:r>
            <w:r w:rsidR="004A6493">
              <w:t>priorit</w:t>
            </w:r>
            <w:r w:rsidR="00B94D2F">
              <w:t>y</w:t>
            </w:r>
            <w:r w:rsidR="004A6493">
              <w:t xml:space="preserve"> issues </w:t>
            </w:r>
            <w:r w:rsidR="00B94D2F">
              <w:t>for the business community and tax profession</w:t>
            </w:r>
            <w:r w:rsidR="004A6493">
              <w:t xml:space="preserve">. </w:t>
            </w:r>
            <w:r w:rsidR="00E65983">
              <w:t xml:space="preserve"> </w:t>
            </w:r>
            <w:r>
              <w:t xml:space="preserve">Please contact the Board if you are interested in </w:t>
            </w:r>
            <w:r w:rsidR="004A6493">
              <w:t>contributing to this work</w:t>
            </w:r>
            <w:r>
              <w:t>.</w:t>
            </w:r>
          </w:p>
        </w:tc>
        <w:tc>
          <w:tcPr>
            <w:tcW w:w="590" w:type="dxa"/>
            <w:gridSpan w:val="2"/>
          </w:tcPr>
          <w:p w14:paraId="28DA1B04" w14:textId="77777777" w:rsidR="00161DBC" w:rsidRDefault="00161DBC" w:rsidP="00BC0BEE"/>
        </w:tc>
      </w:tr>
      <w:tr w:rsidR="00E3161A" w:rsidRPr="006B1E71" w14:paraId="7073E043" w14:textId="77777777" w:rsidTr="004B738A">
        <w:trPr>
          <w:gridBefore w:val="1"/>
          <w:wBefore w:w="96" w:type="dxa"/>
          <w:jc w:val="center"/>
        </w:trPr>
        <w:tc>
          <w:tcPr>
            <w:tcW w:w="625" w:type="dxa"/>
            <w:gridSpan w:val="2"/>
            <w:shd w:val="clear" w:color="auto" w:fill="auto"/>
          </w:tcPr>
          <w:p w14:paraId="2AFDD519" w14:textId="77777777" w:rsidR="00E3161A" w:rsidRPr="006B1E71" w:rsidRDefault="00E3161A" w:rsidP="00BC0BEE">
            <w:pPr>
              <w:keepNext/>
              <w:keepLines/>
              <w:rPr>
                <w:sz w:val="36"/>
                <w:szCs w:val="36"/>
              </w:rPr>
            </w:pPr>
          </w:p>
        </w:tc>
        <w:tc>
          <w:tcPr>
            <w:tcW w:w="9225" w:type="dxa"/>
            <w:gridSpan w:val="3"/>
            <w:shd w:val="clear" w:color="auto" w:fill="auto"/>
          </w:tcPr>
          <w:p w14:paraId="66E4F92B" w14:textId="77777777" w:rsidR="00E3161A" w:rsidRPr="006B1E71" w:rsidRDefault="00E3161A" w:rsidP="00BC0BEE">
            <w:pPr>
              <w:pStyle w:val="Heading2"/>
              <w:keepNext/>
              <w:keepLines/>
              <w:outlineLvl w:val="1"/>
              <w:rPr>
                <w:sz w:val="36"/>
                <w:szCs w:val="36"/>
              </w:rPr>
            </w:pPr>
            <w:r w:rsidRPr="006B1E71">
              <w:rPr>
                <w:sz w:val="36"/>
                <w:szCs w:val="36"/>
              </w:rPr>
              <w:t>Tax Transparency Code</w:t>
            </w:r>
          </w:p>
        </w:tc>
        <w:tc>
          <w:tcPr>
            <w:tcW w:w="590" w:type="dxa"/>
            <w:gridSpan w:val="2"/>
            <w:shd w:val="clear" w:color="auto" w:fill="auto"/>
          </w:tcPr>
          <w:p w14:paraId="7937E5B2" w14:textId="77777777" w:rsidR="00E3161A" w:rsidRPr="006B1E71" w:rsidRDefault="00E3161A" w:rsidP="00BC0BEE">
            <w:pPr>
              <w:keepNext/>
              <w:keepLines/>
              <w:rPr>
                <w:sz w:val="36"/>
                <w:szCs w:val="36"/>
              </w:rPr>
            </w:pPr>
          </w:p>
        </w:tc>
      </w:tr>
      <w:tr w:rsidR="00E3161A" w:rsidRPr="00BD2FF3" w14:paraId="77598337" w14:textId="77777777" w:rsidTr="004B738A">
        <w:trPr>
          <w:gridBefore w:val="1"/>
          <w:wBefore w:w="96" w:type="dxa"/>
          <w:jc w:val="center"/>
        </w:trPr>
        <w:tc>
          <w:tcPr>
            <w:tcW w:w="625" w:type="dxa"/>
            <w:gridSpan w:val="2"/>
          </w:tcPr>
          <w:p w14:paraId="286F5B42" w14:textId="77777777" w:rsidR="00E3161A" w:rsidRPr="00BD2FF3" w:rsidRDefault="00E3161A" w:rsidP="00BC0BEE">
            <w:pPr>
              <w:keepNext/>
              <w:keepLines/>
            </w:pPr>
          </w:p>
        </w:tc>
        <w:tc>
          <w:tcPr>
            <w:tcW w:w="9225" w:type="dxa"/>
            <w:gridSpan w:val="3"/>
          </w:tcPr>
          <w:p w14:paraId="530CC2A0" w14:textId="038A885E" w:rsidR="00E3161A" w:rsidRDefault="00E3161A" w:rsidP="00BC0BEE">
            <w:pPr>
              <w:keepNext/>
              <w:keepLines/>
              <w:jc w:val="both"/>
            </w:pPr>
            <w:r>
              <w:t xml:space="preserve">The Board noted that </w:t>
            </w:r>
            <w:r w:rsidR="00754D90">
              <w:t xml:space="preserve">90 </w:t>
            </w:r>
            <w:r>
              <w:t xml:space="preserve">organisations (including private and foreign companies) have now indicated their intention to adopt the Code – the set of principles and minimum standards to guide the disclosure of tax information by businesses. As this update is being sent out, </w:t>
            </w:r>
            <w:r w:rsidR="00754D90">
              <w:t xml:space="preserve">45 </w:t>
            </w:r>
            <w:r>
              <w:t xml:space="preserve">companies have already published their first reports. A register of these organisations can be found at: </w:t>
            </w:r>
            <w:hyperlink r:id="rId11" w:history="1">
              <w:r w:rsidRPr="00BF22B3">
                <w:rPr>
                  <w:rStyle w:val="Hyperlink"/>
                </w:rPr>
                <w:t>http://taxboard.gov.au/current-activities/transparency-code-register/</w:t>
              </w:r>
            </w:hyperlink>
            <w:r>
              <w:t xml:space="preserve">. </w:t>
            </w:r>
          </w:p>
          <w:p w14:paraId="4D9E68D7" w14:textId="02F0D9AF" w:rsidR="00E3161A" w:rsidRDefault="00E3161A" w:rsidP="00BC0BEE">
            <w:pPr>
              <w:keepNext/>
              <w:keepLines/>
              <w:jc w:val="both"/>
            </w:pPr>
            <w:r>
              <w:t xml:space="preserve">The Board </w:t>
            </w:r>
            <w:r w:rsidR="00824637">
              <w:t xml:space="preserve">discussed </w:t>
            </w:r>
            <w:r>
              <w:t xml:space="preserve">the </w:t>
            </w:r>
            <w:r w:rsidR="00824637">
              <w:t xml:space="preserve">draft guidance material published by the </w:t>
            </w:r>
            <w:r>
              <w:t xml:space="preserve">AASB </w:t>
            </w:r>
            <w:r w:rsidR="00824637">
              <w:t xml:space="preserve">that will </w:t>
            </w:r>
            <w:r>
              <w:t xml:space="preserve">guide organisations seeking to comply with the obligations under the Code. </w:t>
            </w:r>
            <w:r w:rsidR="00824637">
              <w:t xml:space="preserve">The AASB seeks public comments on this draft – the Board urges you to review the draft guidance and submit comments to the AASB at: </w:t>
            </w:r>
            <w:hyperlink r:id="rId12" w:history="1">
              <w:r w:rsidR="00824637" w:rsidRPr="00B94FC2">
                <w:rPr>
                  <w:rStyle w:val="Hyperlink"/>
                </w:rPr>
                <w:t>http://www.aasb.gov.au/Work-In-Progress/Open-for-comment.aspx?id=2085</w:t>
              </w:r>
            </w:hyperlink>
            <w:r w:rsidR="00824637">
              <w:t>.</w:t>
            </w:r>
          </w:p>
          <w:p w14:paraId="5128E81B" w14:textId="65D16F36" w:rsidR="00EF21EE" w:rsidRPr="00BD2FF3" w:rsidRDefault="00E3161A" w:rsidP="00BC0BEE">
            <w:pPr>
              <w:keepNext/>
              <w:keepLines/>
              <w:jc w:val="both"/>
            </w:pPr>
            <w:r>
              <w:t xml:space="preserve">The Board encourages you to adopt the Code and support and assist your clients to adopt it. For further information on the Code or to register your intention to adopt it, please contact the Board at </w:t>
            </w:r>
            <w:hyperlink r:id="rId13" w:history="1">
              <w:r w:rsidRPr="00BF22B3">
                <w:rPr>
                  <w:rStyle w:val="Hyperlink"/>
                </w:rPr>
                <w:t>taxboard@treasury.gov.au</w:t>
              </w:r>
            </w:hyperlink>
            <w:r>
              <w:t>.</w:t>
            </w:r>
          </w:p>
        </w:tc>
        <w:tc>
          <w:tcPr>
            <w:tcW w:w="590" w:type="dxa"/>
            <w:gridSpan w:val="2"/>
          </w:tcPr>
          <w:p w14:paraId="295D3225" w14:textId="77777777" w:rsidR="00E3161A" w:rsidRPr="00BD2FF3" w:rsidRDefault="00E3161A" w:rsidP="00BC0BEE">
            <w:pPr>
              <w:keepNext/>
              <w:keepLines/>
            </w:pPr>
          </w:p>
        </w:tc>
      </w:tr>
      <w:tr w:rsidR="00E3161A" w:rsidRPr="005158CD" w14:paraId="293737F7" w14:textId="77777777" w:rsidTr="004B738A">
        <w:trPr>
          <w:gridBefore w:val="1"/>
          <w:wBefore w:w="96" w:type="dxa"/>
          <w:jc w:val="center"/>
        </w:trPr>
        <w:tc>
          <w:tcPr>
            <w:tcW w:w="625" w:type="dxa"/>
            <w:gridSpan w:val="2"/>
            <w:shd w:val="clear" w:color="auto" w:fill="auto"/>
          </w:tcPr>
          <w:p w14:paraId="400BC3A6" w14:textId="77777777" w:rsidR="00E3161A" w:rsidRPr="005158CD" w:rsidRDefault="00E3161A" w:rsidP="00227957">
            <w:pPr>
              <w:rPr>
                <w:sz w:val="36"/>
                <w:szCs w:val="36"/>
              </w:rPr>
            </w:pPr>
          </w:p>
        </w:tc>
        <w:tc>
          <w:tcPr>
            <w:tcW w:w="9225" w:type="dxa"/>
            <w:gridSpan w:val="3"/>
            <w:shd w:val="clear" w:color="auto" w:fill="auto"/>
          </w:tcPr>
          <w:p w14:paraId="1E5D9C16" w14:textId="78CB072B" w:rsidR="00E3161A" w:rsidRPr="005158CD" w:rsidRDefault="00B94D2F" w:rsidP="00227957">
            <w:pPr>
              <w:pStyle w:val="Heading2"/>
              <w:outlineLvl w:val="1"/>
              <w:rPr>
                <w:sz w:val="36"/>
                <w:szCs w:val="36"/>
              </w:rPr>
            </w:pPr>
            <w:r>
              <w:rPr>
                <w:sz w:val="36"/>
                <w:szCs w:val="36"/>
              </w:rPr>
              <w:t xml:space="preserve">Regulatory Reform Bill and </w:t>
            </w:r>
            <w:r w:rsidR="00E3161A" w:rsidRPr="005158CD">
              <w:rPr>
                <w:sz w:val="36"/>
                <w:szCs w:val="36"/>
              </w:rPr>
              <w:t>Sounding Board</w:t>
            </w:r>
          </w:p>
        </w:tc>
        <w:tc>
          <w:tcPr>
            <w:tcW w:w="590" w:type="dxa"/>
            <w:gridSpan w:val="2"/>
            <w:shd w:val="clear" w:color="auto" w:fill="auto"/>
          </w:tcPr>
          <w:p w14:paraId="0839B73C" w14:textId="77777777" w:rsidR="00E3161A" w:rsidRPr="005158CD" w:rsidRDefault="00E3161A" w:rsidP="00227957">
            <w:pPr>
              <w:rPr>
                <w:sz w:val="36"/>
                <w:szCs w:val="36"/>
              </w:rPr>
            </w:pPr>
          </w:p>
        </w:tc>
      </w:tr>
      <w:tr w:rsidR="00E3161A" w:rsidRPr="00BD2FF3" w14:paraId="4F32532D" w14:textId="77777777" w:rsidTr="004B738A">
        <w:trPr>
          <w:gridBefore w:val="1"/>
          <w:wBefore w:w="96" w:type="dxa"/>
          <w:jc w:val="center"/>
        </w:trPr>
        <w:tc>
          <w:tcPr>
            <w:tcW w:w="625" w:type="dxa"/>
            <w:gridSpan w:val="2"/>
          </w:tcPr>
          <w:p w14:paraId="466AB6ED" w14:textId="77777777" w:rsidR="00E3161A" w:rsidRPr="00BD2FF3" w:rsidRDefault="00E3161A" w:rsidP="00227957"/>
        </w:tc>
        <w:tc>
          <w:tcPr>
            <w:tcW w:w="9225" w:type="dxa"/>
            <w:gridSpan w:val="3"/>
          </w:tcPr>
          <w:p w14:paraId="13C177FC" w14:textId="6859D991" w:rsidR="00B94D2F" w:rsidRDefault="00B94D2F" w:rsidP="00BC0BEE">
            <w:pPr>
              <w:jc w:val="both"/>
            </w:pPr>
            <w:r>
              <w:t xml:space="preserve">The Board discussed a range of ideas </w:t>
            </w:r>
            <w:r w:rsidR="00BC0BEE">
              <w:t xml:space="preserve">– generated from </w:t>
            </w:r>
            <w:r w:rsidR="00EE5867">
              <w:t>s</w:t>
            </w:r>
            <w:r w:rsidR="00BC0BEE">
              <w:t xml:space="preserve">takeholder consultations and the </w:t>
            </w:r>
            <w:r>
              <w:t xml:space="preserve">Sounding Board </w:t>
            </w:r>
            <w:r w:rsidR="00BC0BEE">
              <w:t xml:space="preserve">- </w:t>
            </w:r>
            <w:r>
              <w:t xml:space="preserve">that could be included in a </w:t>
            </w:r>
            <w:r w:rsidR="00BC0BEE">
              <w:t xml:space="preserve">regulatory reform </w:t>
            </w:r>
            <w:r>
              <w:t xml:space="preserve">Bill.  </w:t>
            </w:r>
            <w:r w:rsidR="00BC0BEE">
              <w:t xml:space="preserve">These ideas </w:t>
            </w:r>
            <w:r w:rsidR="00EE5867">
              <w:t xml:space="preserve">are (in the Board’s view) ‘uncontentious’ and </w:t>
            </w:r>
            <w:r w:rsidR="00BC0BEE" w:rsidRPr="00BC0BEE">
              <w:t>represent tax system improvement</w:t>
            </w:r>
            <w:r w:rsidR="00EE5867">
              <w:t>,</w:t>
            </w:r>
            <w:r w:rsidR="00BC0BEE" w:rsidRPr="00BC0BEE">
              <w:t xml:space="preserve"> reduction of red tape </w:t>
            </w:r>
            <w:r w:rsidR="00EE5867">
              <w:t xml:space="preserve">or reduced </w:t>
            </w:r>
            <w:r w:rsidR="00BC0BEE" w:rsidRPr="00BC0BEE">
              <w:t xml:space="preserve">tax compliance.   The Board believes these ideas to be non-controversial and supported by the business and tax community, and as such, likely to attract bi-partisan support.  </w:t>
            </w:r>
          </w:p>
          <w:p w14:paraId="3EF2DB69" w14:textId="15978551" w:rsidR="00EE5867" w:rsidRPr="00BD2FF3" w:rsidRDefault="00EE5867" w:rsidP="00BC0BEE">
            <w:pPr>
              <w:jc w:val="both"/>
            </w:pPr>
            <w:r>
              <w:t xml:space="preserve">The Board continues to monitor and review activity on Sounding Board, which is a standing item on the Board’s agenda.  If you would like to comment, vote or post your own suggestion, you can do so by registering with Sounding Board. Please visit Sounding Board for more information – </w:t>
            </w:r>
            <w:hyperlink r:id="rId14" w:history="1">
              <w:r w:rsidRPr="00BF22B3">
                <w:rPr>
                  <w:rStyle w:val="Hyperlink"/>
                </w:rPr>
                <w:t>https://taxboard.ideascale.com/</w:t>
              </w:r>
            </w:hyperlink>
            <w:r>
              <w:t>.</w:t>
            </w:r>
          </w:p>
        </w:tc>
        <w:tc>
          <w:tcPr>
            <w:tcW w:w="590" w:type="dxa"/>
            <w:gridSpan w:val="2"/>
          </w:tcPr>
          <w:p w14:paraId="05D81F38" w14:textId="77777777" w:rsidR="00E3161A" w:rsidRPr="00BD2FF3" w:rsidRDefault="00E3161A" w:rsidP="00227957"/>
        </w:tc>
      </w:tr>
      <w:tr w:rsidR="005B32D7" w:rsidRPr="005158CD" w14:paraId="680A6CAF" w14:textId="77777777" w:rsidTr="004B738A">
        <w:trPr>
          <w:gridBefore w:val="1"/>
          <w:wBefore w:w="96" w:type="dxa"/>
          <w:jc w:val="center"/>
        </w:trPr>
        <w:tc>
          <w:tcPr>
            <w:tcW w:w="625" w:type="dxa"/>
            <w:gridSpan w:val="2"/>
            <w:shd w:val="clear" w:color="auto" w:fill="auto"/>
          </w:tcPr>
          <w:p w14:paraId="7A87FE42" w14:textId="77777777" w:rsidR="00DE77A2" w:rsidRPr="005158CD" w:rsidRDefault="00DE77A2" w:rsidP="002256FA">
            <w:pPr>
              <w:rPr>
                <w:sz w:val="36"/>
                <w:szCs w:val="36"/>
              </w:rPr>
            </w:pPr>
          </w:p>
        </w:tc>
        <w:tc>
          <w:tcPr>
            <w:tcW w:w="9225" w:type="dxa"/>
            <w:gridSpan w:val="3"/>
            <w:shd w:val="clear" w:color="auto" w:fill="auto"/>
          </w:tcPr>
          <w:p w14:paraId="4E321892" w14:textId="418AE8A0" w:rsidR="00DE77A2" w:rsidRPr="005158CD" w:rsidRDefault="0045599C" w:rsidP="002256FA">
            <w:pPr>
              <w:pStyle w:val="Heading2"/>
              <w:outlineLvl w:val="1"/>
              <w:rPr>
                <w:sz w:val="36"/>
                <w:szCs w:val="36"/>
              </w:rPr>
            </w:pPr>
            <w:r>
              <w:rPr>
                <w:sz w:val="36"/>
                <w:szCs w:val="36"/>
              </w:rPr>
              <w:t>Upcoming 2</w:t>
            </w:r>
            <w:r w:rsidR="0096275B" w:rsidRPr="005158CD">
              <w:rPr>
                <w:sz w:val="36"/>
                <w:szCs w:val="36"/>
              </w:rPr>
              <w:t>017 Board Meetings</w:t>
            </w:r>
          </w:p>
        </w:tc>
        <w:tc>
          <w:tcPr>
            <w:tcW w:w="590" w:type="dxa"/>
            <w:gridSpan w:val="2"/>
            <w:shd w:val="clear" w:color="auto" w:fill="auto"/>
          </w:tcPr>
          <w:p w14:paraId="72E576C6" w14:textId="77777777" w:rsidR="00DE77A2" w:rsidRPr="005158CD" w:rsidRDefault="00DE77A2" w:rsidP="002256FA">
            <w:pPr>
              <w:rPr>
                <w:sz w:val="36"/>
                <w:szCs w:val="36"/>
              </w:rPr>
            </w:pPr>
          </w:p>
        </w:tc>
      </w:tr>
      <w:tr w:rsidR="00DE77A2" w:rsidRPr="00BD2FF3" w14:paraId="4DE528DD" w14:textId="77777777" w:rsidTr="004B738A">
        <w:trPr>
          <w:gridBefore w:val="1"/>
          <w:wBefore w:w="96" w:type="dxa"/>
          <w:jc w:val="center"/>
        </w:trPr>
        <w:tc>
          <w:tcPr>
            <w:tcW w:w="625" w:type="dxa"/>
            <w:gridSpan w:val="2"/>
          </w:tcPr>
          <w:p w14:paraId="72F85ED8" w14:textId="77777777" w:rsidR="00DE77A2" w:rsidRPr="00BD2FF3" w:rsidRDefault="00DE77A2" w:rsidP="002256FA"/>
        </w:tc>
        <w:tc>
          <w:tcPr>
            <w:tcW w:w="9225" w:type="dxa"/>
            <w:gridSpan w:val="3"/>
          </w:tcPr>
          <w:p w14:paraId="26D82271" w14:textId="2C891E5F" w:rsidR="00DE77A2" w:rsidRPr="00BD2FF3" w:rsidRDefault="0096275B" w:rsidP="00335185">
            <w:r>
              <w:t xml:space="preserve">The next Board meeting will be held in </w:t>
            </w:r>
            <w:r w:rsidR="00335185">
              <w:t>Melbourne</w:t>
            </w:r>
            <w:r>
              <w:t xml:space="preserve"> on </w:t>
            </w:r>
            <w:r w:rsidR="00335185">
              <w:t>6</w:t>
            </w:r>
            <w:r>
              <w:t xml:space="preserve"> </w:t>
            </w:r>
            <w:r w:rsidR="00335185">
              <w:t xml:space="preserve">July </w:t>
            </w:r>
            <w:r>
              <w:t xml:space="preserve">2017. </w:t>
            </w:r>
            <w:r w:rsidR="006B1E71">
              <w:t xml:space="preserve"> </w:t>
            </w:r>
            <w:r w:rsidR="0045599C">
              <w:t xml:space="preserve">KPMG have kindly agreed to host the </w:t>
            </w:r>
            <w:r w:rsidR="00FF4569">
              <w:t xml:space="preserve">next </w:t>
            </w:r>
            <w:r w:rsidR="0045599C">
              <w:t>Board</w:t>
            </w:r>
            <w:r w:rsidR="00FF4569">
              <w:t xml:space="preserve"> meeting</w:t>
            </w:r>
            <w:r w:rsidR="0045599C">
              <w:t xml:space="preserve">.  </w:t>
            </w:r>
            <w:r>
              <w:t>Please do not hesitate to contact the Board of Taxation on 02 6263 4366 should you wish to discuss any of the above matters further.</w:t>
            </w:r>
          </w:p>
        </w:tc>
        <w:tc>
          <w:tcPr>
            <w:tcW w:w="590" w:type="dxa"/>
            <w:gridSpan w:val="2"/>
          </w:tcPr>
          <w:p w14:paraId="4CAE1840" w14:textId="77777777" w:rsidR="00DE77A2" w:rsidRPr="00BD2FF3" w:rsidRDefault="00DE77A2" w:rsidP="002256FA"/>
        </w:tc>
      </w:tr>
      <w:tr w:rsidR="00DE77A2" w:rsidRPr="00BD2FF3" w14:paraId="3021FA73" w14:textId="77777777" w:rsidTr="004B738A">
        <w:trPr>
          <w:gridBefore w:val="1"/>
          <w:wBefore w:w="96" w:type="dxa"/>
          <w:jc w:val="center"/>
        </w:trPr>
        <w:tc>
          <w:tcPr>
            <w:tcW w:w="625" w:type="dxa"/>
            <w:gridSpan w:val="2"/>
          </w:tcPr>
          <w:p w14:paraId="6B5D896A" w14:textId="77777777" w:rsidR="00DE77A2" w:rsidRPr="00BD2FF3" w:rsidRDefault="00DE77A2" w:rsidP="002256FA"/>
        </w:tc>
        <w:tc>
          <w:tcPr>
            <w:tcW w:w="9225" w:type="dxa"/>
            <w:gridSpan w:val="3"/>
          </w:tcPr>
          <w:p w14:paraId="4BD11071" w14:textId="304616F8" w:rsidR="00DE77A2" w:rsidRPr="00BD2FF3" w:rsidRDefault="00DE77A2" w:rsidP="005158CD">
            <w:r w:rsidRPr="00BD2FF3">
              <w:t>Kind regards</w:t>
            </w:r>
            <w:r w:rsidR="005158CD">
              <w:br/>
            </w:r>
            <w:r w:rsidRPr="00BD2FF3">
              <w:t>Karen Payne</w:t>
            </w:r>
          </w:p>
        </w:tc>
        <w:tc>
          <w:tcPr>
            <w:tcW w:w="590" w:type="dxa"/>
            <w:gridSpan w:val="2"/>
          </w:tcPr>
          <w:p w14:paraId="2E709572" w14:textId="77777777" w:rsidR="00DE77A2" w:rsidRPr="00BD2FF3" w:rsidRDefault="00DE77A2" w:rsidP="002256FA"/>
        </w:tc>
      </w:tr>
      <w:tr w:rsidR="00BD2FF3" w:rsidRPr="00BD2FF3" w14:paraId="7E437BB5" w14:textId="77777777" w:rsidTr="004B738A">
        <w:tblPrEx>
          <w:tblBorders>
            <w:bottom w:val="single" w:sz="4" w:space="0" w:color="BFBFBF" w:themeColor="background1" w:themeShade="BF"/>
          </w:tblBorders>
          <w:shd w:val="clear" w:color="auto" w:fill="CCDDF1"/>
        </w:tblPrEx>
        <w:trPr>
          <w:gridAfter w:val="1"/>
          <w:wAfter w:w="46" w:type="dxa"/>
          <w:jc w:val="center"/>
        </w:trPr>
        <w:tc>
          <w:tcPr>
            <w:tcW w:w="709" w:type="dxa"/>
            <w:gridSpan w:val="2"/>
            <w:tcBorders>
              <w:bottom w:val="single" w:sz="4" w:space="0" w:color="BFBFBF" w:themeColor="background1" w:themeShade="BF"/>
            </w:tcBorders>
            <w:shd w:val="clear" w:color="auto" w:fill="1F497D" w:themeFill="text2"/>
          </w:tcPr>
          <w:p w14:paraId="5207EEBA" w14:textId="77777777" w:rsidR="00B85592" w:rsidRPr="00BD2FF3" w:rsidRDefault="00B85592" w:rsidP="002256FA"/>
        </w:tc>
        <w:tc>
          <w:tcPr>
            <w:tcW w:w="4536" w:type="dxa"/>
            <w:gridSpan w:val="2"/>
            <w:tcBorders>
              <w:bottom w:val="single" w:sz="4" w:space="0" w:color="BFBFBF" w:themeColor="background1" w:themeShade="BF"/>
            </w:tcBorders>
            <w:shd w:val="clear" w:color="auto" w:fill="1F497D" w:themeFill="text2"/>
          </w:tcPr>
          <w:p w14:paraId="155E29DE" w14:textId="77777777" w:rsidR="00B85592" w:rsidRPr="002256FA" w:rsidRDefault="00B85592" w:rsidP="002256FA">
            <w:pPr>
              <w:rPr>
                <w:color w:val="FFFFFF" w:themeColor="background1"/>
                <w:lang w:eastAsia="en-AU"/>
              </w:rPr>
            </w:pPr>
            <w:r w:rsidRPr="002256FA">
              <w:rPr>
                <w:color w:val="FFFFFF" w:themeColor="background1"/>
                <w:lang w:eastAsia="en-AU"/>
              </w:rPr>
              <w:t>Karen Payne</w:t>
            </w:r>
          </w:p>
          <w:p w14:paraId="5878EA63" w14:textId="77777777" w:rsidR="00B85592" w:rsidRPr="002256FA" w:rsidRDefault="00B85592" w:rsidP="002256FA">
            <w:pPr>
              <w:rPr>
                <w:color w:val="FFFFFF" w:themeColor="background1"/>
              </w:rPr>
            </w:pPr>
            <w:r w:rsidRPr="002256FA">
              <w:rPr>
                <w:color w:val="FFFFFF" w:themeColor="background1"/>
                <w:lang w:eastAsia="en-AU"/>
              </w:rPr>
              <w:t>Chief Executive Officer</w:t>
            </w:r>
            <w:r w:rsidRPr="002256FA">
              <w:rPr>
                <w:color w:val="FFFFFF" w:themeColor="background1"/>
                <w:lang w:eastAsia="en-AU"/>
              </w:rPr>
              <w:br/>
              <w:t>Board of Taxation</w:t>
            </w:r>
          </w:p>
        </w:tc>
        <w:tc>
          <w:tcPr>
            <w:tcW w:w="4536" w:type="dxa"/>
            <w:tcBorders>
              <w:bottom w:val="single" w:sz="4" w:space="0" w:color="BFBFBF" w:themeColor="background1" w:themeShade="BF"/>
            </w:tcBorders>
            <w:shd w:val="clear" w:color="auto" w:fill="1F497D" w:themeFill="text2"/>
          </w:tcPr>
          <w:p w14:paraId="31C4AF68" w14:textId="77777777" w:rsidR="00BD2FF3" w:rsidRPr="002256FA" w:rsidRDefault="00BD2FF3" w:rsidP="002256FA">
            <w:pPr>
              <w:rPr>
                <w:color w:val="FFFFFF" w:themeColor="background1"/>
                <w:lang w:eastAsia="en-AU"/>
              </w:rPr>
            </w:pPr>
            <w:r w:rsidRPr="002256FA">
              <w:rPr>
                <w:color w:val="FFFFFF" w:themeColor="background1"/>
                <w:lang w:eastAsia="en-AU"/>
              </w:rPr>
              <w:t>phone:  +61 2 6263 2122</w:t>
            </w:r>
          </w:p>
          <w:p w14:paraId="618A01A5" w14:textId="77777777" w:rsidR="00BD2FF3" w:rsidRPr="002256FA" w:rsidRDefault="00BD2FF3" w:rsidP="002256FA">
            <w:pPr>
              <w:rPr>
                <w:color w:val="FFFFFF" w:themeColor="background1"/>
                <w:lang w:eastAsia="en-AU"/>
              </w:rPr>
            </w:pPr>
            <w:r w:rsidRPr="002256FA">
              <w:rPr>
                <w:color w:val="FFFFFF" w:themeColor="background1"/>
                <w:lang w:eastAsia="en-AU"/>
              </w:rPr>
              <w:t>mobile: 0405 843 880</w:t>
            </w:r>
          </w:p>
          <w:p w14:paraId="452D9E23" w14:textId="77777777" w:rsidR="00B85592" w:rsidRPr="002256FA" w:rsidRDefault="00BD2FF3" w:rsidP="002256FA">
            <w:pPr>
              <w:rPr>
                <w:color w:val="FFFFFF" w:themeColor="background1"/>
                <w:lang w:eastAsia="en-AU"/>
              </w:rPr>
            </w:pPr>
            <w:r w:rsidRPr="002256FA">
              <w:rPr>
                <w:color w:val="FFFFFF" w:themeColor="background1"/>
                <w:lang w:eastAsia="en-AU"/>
              </w:rPr>
              <w:t xml:space="preserve">email: </w:t>
            </w:r>
            <w:hyperlink r:id="rId15" w:history="1">
              <w:r w:rsidRPr="002256FA">
                <w:rPr>
                  <w:rStyle w:val="Hyperlink"/>
                  <w:color w:val="FFFFFF" w:themeColor="background1"/>
                  <w:lang w:eastAsia="en-AU"/>
                </w:rPr>
                <w:t>karen.payne@treasury.gov.au</w:t>
              </w:r>
            </w:hyperlink>
          </w:p>
        </w:tc>
        <w:tc>
          <w:tcPr>
            <w:tcW w:w="709" w:type="dxa"/>
            <w:gridSpan w:val="2"/>
            <w:tcBorders>
              <w:bottom w:val="single" w:sz="4" w:space="0" w:color="BFBFBF" w:themeColor="background1" w:themeShade="BF"/>
            </w:tcBorders>
            <w:shd w:val="clear" w:color="auto" w:fill="1F497D" w:themeFill="text2"/>
          </w:tcPr>
          <w:p w14:paraId="02186E13" w14:textId="77777777" w:rsidR="00B85592" w:rsidRPr="00BD2FF3" w:rsidRDefault="00B85592" w:rsidP="002256FA"/>
        </w:tc>
      </w:tr>
      <w:tr w:rsidR="00BD2FF3" w:rsidRPr="00BD2FF3" w14:paraId="493769BF" w14:textId="77777777" w:rsidTr="004B738A">
        <w:tblPrEx>
          <w:tblBorders>
            <w:bottom w:val="single" w:sz="4" w:space="0" w:color="BFBFBF" w:themeColor="background1" w:themeShade="BF"/>
          </w:tblBorders>
          <w:shd w:val="clear" w:color="auto" w:fill="CCDDF1"/>
        </w:tblPrEx>
        <w:trPr>
          <w:gridAfter w:val="1"/>
          <w:wAfter w:w="46" w:type="dxa"/>
          <w:jc w:val="center"/>
        </w:trPr>
        <w:tc>
          <w:tcPr>
            <w:tcW w:w="709" w:type="dxa"/>
            <w:gridSpan w:val="2"/>
            <w:tcBorders>
              <w:top w:val="single" w:sz="4" w:space="0" w:color="BFBFBF" w:themeColor="background1" w:themeShade="BF"/>
              <w:bottom w:val="nil"/>
            </w:tcBorders>
            <w:shd w:val="clear" w:color="auto" w:fill="1F497D" w:themeFill="text2"/>
          </w:tcPr>
          <w:p w14:paraId="7DEDC06B" w14:textId="77777777" w:rsidR="00B85592" w:rsidRPr="00BD2FF3" w:rsidRDefault="00B85592" w:rsidP="002256FA"/>
        </w:tc>
        <w:tc>
          <w:tcPr>
            <w:tcW w:w="4536" w:type="dxa"/>
            <w:gridSpan w:val="2"/>
            <w:tcBorders>
              <w:top w:val="single" w:sz="4" w:space="0" w:color="BFBFBF" w:themeColor="background1" w:themeShade="BF"/>
              <w:bottom w:val="nil"/>
            </w:tcBorders>
            <w:shd w:val="clear" w:color="auto" w:fill="1F497D" w:themeFill="text2"/>
          </w:tcPr>
          <w:p w14:paraId="24FBCEC5" w14:textId="77777777" w:rsidR="005B32D7" w:rsidRPr="002256FA" w:rsidRDefault="005B32D7" w:rsidP="002256FA">
            <w:pPr>
              <w:rPr>
                <w:color w:val="FFFFFF" w:themeColor="background1"/>
                <w:lang w:eastAsia="en-AU"/>
              </w:rPr>
            </w:pPr>
            <w:r w:rsidRPr="002256FA">
              <w:rPr>
                <w:color w:val="FFFFFF" w:themeColor="background1"/>
              </w:rPr>
              <w:t xml:space="preserve">C/- </w:t>
            </w:r>
            <w:r w:rsidRPr="002256FA">
              <w:rPr>
                <w:color w:val="FFFFFF" w:themeColor="background1"/>
                <w:lang w:eastAsia="en-AU"/>
              </w:rPr>
              <w:t>The Treasury</w:t>
            </w:r>
          </w:p>
          <w:p w14:paraId="6B3825D1" w14:textId="77777777" w:rsidR="00B85592" w:rsidRPr="002256FA" w:rsidRDefault="005B32D7" w:rsidP="002256FA">
            <w:pPr>
              <w:rPr>
                <w:color w:val="FFFFFF" w:themeColor="background1"/>
                <w:lang w:eastAsia="en-AU"/>
              </w:rPr>
            </w:pPr>
            <w:r w:rsidRPr="002256FA">
              <w:rPr>
                <w:color w:val="FFFFFF" w:themeColor="background1"/>
                <w:lang w:eastAsia="en-AU"/>
              </w:rPr>
              <w:t>100 Market Street, Sydney NSW 2000</w:t>
            </w:r>
          </w:p>
        </w:tc>
        <w:tc>
          <w:tcPr>
            <w:tcW w:w="4536" w:type="dxa"/>
            <w:tcBorders>
              <w:top w:val="single" w:sz="4" w:space="0" w:color="BFBFBF" w:themeColor="background1" w:themeShade="BF"/>
              <w:bottom w:val="nil"/>
            </w:tcBorders>
            <w:shd w:val="clear" w:color="auto" w:fill="1F497D" w:themeFill="text2"/>
          </w:tcPr>
          <w:p w14:paraId="640FC35A" w14:textId="77777777" w:rsidR="00BD2FF3" w:rsidRPr="002256FA" w:rsidRDefault="00BD2FF3" w:rsidP="002256FA">
            <w:pPr>
              <w:rPr>
                <w:rStyle w:val="Hyperlink"/>
                <w:color w:val="FFFFFF" w:themeColor="background1"/>
                <w:lang w:eastAsia="en-AU"/>
              </w:rPr>
            </w:pPr>
            <w:r w:rsidRPr="002256FA">
              <w:rPr>
                <w:color w:val="FFFFFF" w:themeColor="background1"/>
                <w:lang w:eastAsia="en-AU"/>
              </w:rPr>
              <w:t xml:space="preserve">website: </w:t>
            </w:r>
            <w:hyperlink r:id="rId16" w:history="1">
              <w:r w:rsidRPr="002256FA">
                <w:rPr>
                  <w:rStyle w:val="Hyperlink"/>
                  <w:color w:val="FFFFFF" w:themeColor="background1"/>
                  <w:lang w:eastAsia="en-AU"/>
                </w:rPr>
                <w:t>www.taxboard.gov.au</w:t>
              </w:r>
            </w:hyperlink>
          </w:p>
          <w:p w14:paraId="4BC63A46" w14:textId="77777777" w:rsidR="005B32D7" w:rsidRPr="002256FA" w:rsidRDefault="005B32D7" w:rsidP="002256FA">
            <w:pPr>
              <w:rPr>
                <w:color w:val="FFFFFF" w:themeColor="background1"/>
                <w:lang w:eastAsia="en-AU"/>
              </w:rPr>
            </w:pPr>
            <w:r w:rsidRPr="002256FA">
              <w:rPr>
                <w:color w:val="FFFFFF" w:themeColor="background1"/>
                <w:lang w:eastAsia="en-AU"/>
              </w:rPr>
              <w:t>The Board of Taxation Secretariat</w:t>
            </w:r>
          </w:p>
          <w:p w14:paraId="0EB65C76" w14:textId="77777777" w:rsidR="005B32D7" w:rsidRPr="002256FA" w:rsidRDefault="005B32D7" w:rsidP="002256FA">
            <w:pPr>
              <w:rPr>
                <w:color w:val="FFFFFF" w:themeColor="background1"/>
              </w:rPr>
            </w:pPr>
            <w:r w:rsidRPr="002256FA">
              <w:rPr>
                <w:color w:val="FFFFFF" w:themeColor="background1"/>
                <w:lang w:eastAsia="en-AU"/>
              </w:rPr>
              <w:t xml:space="preserve">Langton Crescent, </w:t>
            </w:r>
            <w:proofErr w:type="spellStart"/>
            <w:r w:rsidRPr="002256FA">
              <w:rPr>
                <w:color w:val="FFFFFF" w:themeColor="background1"/>
                <w:lang w:eastAsia="en-AU"/>
              </w:rPr>
              <w:t>Parkes</w:t>
            </w:r>
            <w:proofErr w:type="spellEnd"/>
            <w:r w:rsidRPr="002256FA">
              <w:rPr>
                <w:color w:val="FFFFFF" w:themeColor="background1"/>
                <w:lang w:eastAsia="en-AU"/>
              </w:rPr>
              <w:t xml:space="preserve"> ACT 2600 Australia</w:t>
            </w:r>
          </w:p>
        </w:tc>
        <w:tc>
          <w:tcPr>
            <w:tcW w:w="709" w:type="dxa"/>
            <w:gridSpan w:val="2"/>
            <w:tcBorders>
              <w:top w:val="single" w:sz="4" w:space="0" w:color="BFBFBF" w:themeColor="background1" w:themeShade="BF"/>
              <w:bottom w:val="nil"/>
            </w:tcBorders>
            <w:shd w:val="clear" w:color="auto" w:fill="1F497D" w:themeFill="text2"/>
          </w:tcPr>
          <w:p w14:paraId="0505C3DB" w14:textId="77777777" w:rsidR="00B85592" w:rsidRPr="00BD2FF3" w:rsidRDefault="00B85592" w:rsidP="002256FA"/>
        </w:tc>
      </w:tr>
      <w:tr w:rsidR="00B85592" w14:paraId="5D4B26EE" w14:textId="77777777" w:rsidTr="004B738A">
        <w:tblPrEx>
          <w:tblBorders>
            <w:bottom w:val="single" w:sz="4" w:space="0" w:color="BFBFBF" w:themeColor="background1" w:themeShade="BF"/>
          </w:tblBorders>
          <w:shd w:val="clear" w:color="auto" w:fill="CCDDF1"/>
        </w:tblPrEx>
        <w:trPr>
          <w:gridAfter w:val="1"/>
          <w:wAfter w:w="46" w:type="dxa"/>
          <w:jc w:val="center"/>
        </w:trPr>
        <w:tc>
          <w:tcPr>
            <w:tcW w:w="10490" w:type="dxa"/>
            <w:gridSpan w:val="7"/>
            <w:tcBorders>
              <w:bottom w:val="nil"/>
            </w:tcBorders>
            <w:shd w:val="clear" w:color="auto" w:fill="auto"/>
            <w:tcMar>
              <w:left w:w="0" w:type="dxa"/>
              <w:right w:w="0" w:type="dxa"/>
            </w:tcMar>
          </w:tcPr>
          <w:p w14:paraId="6DE09F46" w14:textId="77777777" w:rsidR="00B85592" w:rsidRDefault="00B85592" w:rsidP="002256FA">
            <w:r>
              <w:rPr>
                <w:noProof/>
                <w:lang w:eastAsia="en-AU"/>
              </w:rPr>
              <w:drawing>
                <wp:inline distT="0" distB="0" distL="0" distR="0" wp14:anchorId="4584B164" wp14:editId="0E961E13">
                  <wp:extent cx="6624000" cy="313200"/>
                  <wp:effectExtent l="0" t="0" r="5715"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oT footer.jpg"/>
                          <pic:cNvPicPr/>
                        </pic:nvPicPr>
                        <pic:blipFill>
                          <a:blip r:embed="rId17">
                            <a:extLst>
                              <a:ext uri="{28A0092B-C50C-407E-A947-70E740481C1C}">
                                <a14:useLocalDpi xmlns:a14="http://schemas.microsoft.com/office/drawing/2010/main" val="0"/>
                              </a:ext>
                            </a:extLst>
                          </a:blip>
                          <a:stretch>
                            <a:fillRect/>
                          </a:stretch>
                        </pic:blipFill>
                        <pic:spPr>
                          <a:xfrm>
                            <a:off x="0" y="0"/>
                            <a:ext cx="6624000" cy="313200"/>
                          </a:xfrm>
                          <a:prstGeom prst="rect">
                            <a:avLst/>
                          </a:prstGeom>
                        </pic:spPr>
                      </pic:pic>
                    </a:graphicData>
                  </a:graphic>
                </wp:inline>
              </w:drawing>
            </w:r>
          </w:p>
        </w:tc>
      </w:tr>
    </w:tbl>
    <w:p w14:paraId="272164E2" w14:textId="77777777" w:rsidR="001010C1" w:rsidRPr="0098345D" w:rsidRDefault="001010C1" w:rsidP="005158CD"/>
    <w:sectPr w:rsidR="001010C1" w:rsidRPr="0098345D" w:rsidSect="00BD2FF3">
      <w:headerReference w:type="even" r:id="rId18"/>
      <w:headerReference w:type="default" r:id="rId19"/>
      <w:footerReference w:type="even" r:id="rId20"/>
      <w:footerReference w:type="default" r:id="rId21"/>
      <w:headerReference w:type="first" r:id="rId22"/>
      <w:footerReference w:type="first" r:id="rId2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3E522D" w14:textId="77777777" w:rsidR="0096275B" w:rsidRDefault="0096275B" w:rsidP="002256FA">
      <w:r>
        <w:separator/>
      </w:r>
    </w:p>
  </w:endnote>
  <w:endnote w:type="continuationSeparator" w:id="0">
    <w:p w14:paraId="69716629" w14:textId="77777777" w:rsidR="0096275B" w:rsidRDefault="0096275B" w:rsidP="00225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Light">
    <w:panose1 w:val="020B0502040204020203"/>
    <w:charset w:val="00"/>
    <w:family w:val="swiss"/>
    <w:pitch w:val="variable"/>
    <w:sig w:usb0="E00002FF" w:usb1="4000A47B"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1BEB0" w14:textId="77777777" w:rsidR="00AB7574" w:rsidRDefault="00AB75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E5B67" w14:textId="77777777" w:rsidR="00AB7574" w:rsidRDefault="00AB75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AD904" w14:textId="77777777" w:rsidR="00AB7574" w:rsidRDefault="00AB75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0C8317" w14:textId="77777777" w:rsidR="0096275B" w:rsidRDefault="0096275B" w:rsidP="002256FA">
      <w:r>
        <w:separator/>
      </w:r>
    </w:p>
  </w:footnote>
  <w:footnote w:type="continuationSeparator" w:id="0">
    <w:p w14:paraId="0AC135A8" w14:textId="77777777" w:rsidR="0096275B" w:rsidRDefault="0096275B" w:rsidP="002256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62936" w14:textId="77777777" w:rsidR="00AB7574" w:rsidRDefault="00AB75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DA2ED" w14:textId="77777777" w:rsidR="00AB7574" w:rsidRDefault="00AB75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E7273" w14:textId="77777777" w:rsidR="00AB7574" w:rsidRDefault="00AB75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4447"/>
    <w:multiLevelType w:val="hybridMultilevel"/>
    <w:tmpl w:val="3D16FCE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D766B3"/>
    <w:multiLevelType w:val="hybridMultilevel"/>
    <w:tmpl w:val="259ACEF4"/>
    <w:lvl w:ilvl="0" w:tplc="E208FD36">
      <w:start w:val="1"/>
      <w:numFmt w:val="bullet"/>
      <w:pStyle w:val="ListParagraph"/>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232369E"/>
    <w:multiLevelType w:val="hybridMultilevel"/>
    <w:tmpl w:val="0B6EE5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17E01041"/>
    <w:multiLevelType w:val="hybridMultilevel"/>
    <w:tmpl w:val="D61219B4"/>
    <w:lvl w:ilvl="0" w:tplc="73143E0C">
      <w:start w:val="1"/>
      <w:numFmt w:val="bullet"/>
      <w:pStyle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7D1333"/>
    <w:multiLevelType w:val="hybridMultilevel"/>
    <w:tmpl w:val="8C8E8A8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1DE6809"/>
    <w:multiLevelType w:val="multilevel"/>
    <w:tmpl w:val="C38C777A"/>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F4F1F88"/>
    <w:multiLevelType w:val="multilevel"/>
    <w:tmpl w:val="B1A48B72"/>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7E207AC"/>
    <w:multiLevelType w:val="hybridMultilevel"/>
    <w:tmpl w:val="03C0413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9F831CA"/>
    <w:multiLevelType w:val="hybridMultilevel"/>
    <w:tmpl w:val="ABCADCC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0D15EBB"/>
    <w:multiLevelType w:val="hybridMultilevel"/>
    <w:tmpl w:val="103C54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4C923A43"/>
    <w:multiLevelType w:val="hybridMultilevel"/>
    <w:tmpl w:val="DF22C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EC94C4D"/>
    <w:multiLevelType w:val="multilevel"/>
    <w:tmpl w:val="9E58112C"/>
    <w:name w:val="StandardNumberedList"/>
    <w:lvl w:ilvl="0">
      <w:start w:val="1"/>
      <w:numFmt w:val="decimal"/>
      <w:pStyle w:val="OutlineNumbered1"/>
      <w:lvlText w:val="%1."/>
      <w:lvlJc w:val="left"/>
      <w:pPr>
        <w:tabs>
          <w:tab w:val="num" w:pos="472"/>
        </w:tabs>
        <w:ind w:left="472" w:hanging="472"/>
      </w:pPr>
    </w:lvl>
    <w:lvl w:ilvl="1">
      <w:start w:val="1"/>
      <w:numFmt w:val="decimal"/>
      <w:pStyle w:val="OutlineNumbered2"/>
      <w:lvlText w:val="%1.%2."/>
      <w:lvlJc w:val="left"/>
      <w:pPr>
        <w:tabs>
          <w:tab w:val="num" w:pos="944"/>
        </w:tabs>
        <w:ind w:left="944" w:hanging="472"/>
      </w:pPr>
    </w:lvl>
    <w:lvl w:ilvl="2">
      <w:start w:val="1"/>
      <w:numFmt w:val="decimal"/>
      <w:pStyle w:val="OutlineNumbered3"/>
      <w:lvlText w:val="%1.%2.%3."/>
      <w:lvlJc w:val="left"/>
      <w:pPr>
        <w:tabs>
          <w:tab w:val="num" w:pos="1416"/>
        </w:tabs>
        <w:ind w:left="1416" w:hanging="472"/>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7A75847"/>
    <w:multiLevelType w:val="hybridMultilevel"/>
    <w:tmpl w:val="EDFA3F2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2724B97"/>
    <w:multiLevelType w:val="hybridMultilevel"/>
    <w:tmpl w:val="4B1E0D1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CF6414C"/>
    <w:multiLevelType w:val="hybridMultilevel"/>
    <w:tmpl w:val="91980606"/>
    <w:lvl w:ilvl="0" w:tplc="B1EC514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
  </w:num>
  <w:num w:numId="4">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11"/>
  </w:num>
  <w:num w:numId="12">
    <w:abstractNumId w:val="10"/>
  </w:num>
  <w:num w:numId="13">
    <w:abstractNumId w:val="3"/>
  </w:num>
  <w:num w:numId="14">
    <w:abstractNumId w:val="3"/>
  </w:num>
  <w:num w:numId="15">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8"/>
  </w:num>
  <w:num w:numId="18">
    <w:abstractNumId w:val="13"/>
  </w:num>
  <w:num w:numId="19">
    <w:abstractNumId w:val="12"/>
  </w:num>
  <w:num w:numId="20">
    <w:abstractNumId w:val="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75B"/>
    <w:rsid w:val="00071C97"/>
    <w:rsid w:val="000E07A0"/>
    <w:rsid w:val="001010C1"/>
    <w:rsid w:val="00161DBC"/>
    <w:rsid w:val="001921CA"/>
    <w:rsid w:val="001A46D9"/>
    <w:rsid w:val="00201B0A"/>
    <w:rsid w:val="00225535"/>
    <w:rsid w:val="002256FA"/>
    <w:rsid w:val="00235816"/>
    <w:rsid w:val="002D1967"/>
    <w:rsid w:val="00306E52"/>
    <w:rsid w:val="00315E92"/>
    <w:rsid w:val="00335185"/>
    <w:rsid w:val="0035507D"/>
    <w:rsid w:val="00355336"/>
    <w:rsid w:val="0036272E"/>
    <w:rsid w:val="00392A88"/>
    <w:rsid w:val="003A2488"/>
    <w:rsid w:val="003A2D24"/>
    <w:rsid w:val="003B383C"/>
    <w:rsid w:val="0043294F"/>
    <w:rsid w:val="004501CF"/>
    <w:rsid w:val="0045599C"/>
    <w:rsid w:val="00495B9D"/>
    <w:rsid w:val="004A6493"/>
    <w:rsid w:val="004A7EC7"/>
    <w:rsid w:val="004B738A"/>
    <w:rsid w:val="005158CD"/>
    <w:rsid w:val="00541CD2"/>
    <w:rsid w:val="005706C0"/>
    <w:rsid w:val="00571D7D"/>
    <w:rsid w:val="005A3E01"/>
    <w:rsid w:val="005A720B"/>
    <w:rsid w:val="005B32D7"/>
    <w:rsid w:val="006075E6"/>
    <w:rsid w:val="00617495"/>
    <w:rsid w:val="006245F3"/>
    <w:rsid w:val="00656D54"/>
    <w:rsid w:val="006B1E71"/>
    <w:rsid w:val="006D5EE8"/>
    <w:rsid w:val="00704189"/>
    <w:rsid w:val="00754D90"/>
    <w:rsid w:val="007907B9"/>
    <w:rsid w:val="007A580E"/>
    <w:rsid w:val="00801721"/>
    <w:rsid w:val="008032DC"/>
    <w:rsid w:val="00824637"/>
    <w:rsid w:val="008867E3"/>
    <w:rsid w:val="0096275B"/>
    <w:rsid w:val="00971041"/>
    <w:rsid w:val="0098345D"/>
    <w:rsid w:val="00A566EE"/>
    <w:rsid w:val="00A62217"/>
    <w:rsid w:val="00A93BBA"/>
    <w:rsid w:val="00AB7574"/>
    <w:rsid w:val="00AD13C5"/>
    <w:rsid w:val="00B84E73"/>
    <w:rsid w:val="00B85592"/>
    <w:rsid w:val="00B94D2F"/>
    <w:rsid w:val="00BC0BEE"/>
    <w:rsid w:val="00BD2FF3"/>
    <w:rsid w:val="00C274F4"/>
    <w:rsid w:val="00C6583E"/>
    <w:rsid w:val="00C96E51"/>
    <w:rsid w:val="00D12DCE"/>
    <w:rsid w:val="00D52A49"/>
    <w:rsid w:val="00DE77A2"/>
    <w:rsid w:val="00E3161A"/>
    <w:rsid w:val="00E55A44"/>
    <w:rsid w:val="00E65983"/>
    <w:rsid w:val="00ED264B"/>
    <w:rsid w:val="00EE5867"/>
    <w:rsid w:val="00EF21EE"/>
    <w:rsid w:val="00F648EB"/>
    <w:rsid w:val="00F76F0E"/>
    <w:rsid w:val="00FA777B"/>
    <w:rsid w:val="00FB5825"/>
    <w:rsid w:val="00FF4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8A2C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6FA"/>
    <w:pPr>
      <w:spacing w:before="120" w:after="120" w:line="240" w:lineRule="auto"/>
    </w:pPr>
    <w:rPr>
      <w:rFonts w:ascii="Calibri Light" w:hAnsi="Calibri Light"/>
    </w:rPr>
  </w:style>
  <w:style w:type="paragraph" w:styleId="Heading1">
    <w:name w:val="heading 1"/>
    <w:basedOn w:val="Normal"/>
    <w:next w:val="Normal"/>
    <w:link w:val="Heading1Char"/>
    <w:uiPriority w:val="9"/>
    <w:qFormat/>
    <w:rsid w:val="002256FA"/>
    <w:pPr>
      <w:outlineLvl w:val="0"/>
    </w:pPr>
    <w:rPr>
      <w:rFonts w:ascii="Segoe UI Light" w:hAnsi="Segoe UI Light"/>
      <w:b/>
      <w:color w:val="FFFFFF" w:themeColor="background1"/>
      <w:sz w:val="40"/>
      <w:szCs w:val="40"/>
    </w:rPr>
  </w:style>
  <w:style w:type="paragraph" w:styleId="Heading2">
    <w:name w:val="heading 2"/>
    <w:basedOn w:val="Normal"/>
    <w:next w:val="Normal"/>
    <w:link w:val="Heading2Char"/>
    <w:uiPriority w:val="9"/>
    <w:unhideWhenUsed/>
    <w:qFormat/>
    <w:rsid w:val="002256FA"/>
    <w:pPr>
      <w:outlineLvl w:val="1"/>
    </w:pPr>
    <w:rPr>
      <w:rFonts w:ascii="Segoe UI Light" w:hAnsi="Segoe UI Light"/>
      <w:b/>
      <w:color w:val="1F497D" w:themeColor="text2"/>
      <w:sz w:val="40"/>
      <w:szCs w:val="48"/>
    </w:rPr>
  </w:style>
  <w:style w:type="paragraph" w:styleId="Heading3">
    <w:name w:val="heading 3"/>
    <w:basedOn w:val="Heading2"/>
    <w:next w:val="Normal"/>
    <w:link w:val="Heading3Char"/>
    <w:uiPriority w:val="9"/>
    <w:unhideWhenUsed/>
    <w:qFormat/>
    <w:rsid w:val="00DE77A2"/>
    <w:pPr>
      <w:keepNext/>
      <w:spacing w:before="240"/>
      <w:ind w:firstLine="357"/>
      <w:outlineLvl w:val="2"/>
    </w:pPr>
    <w:rPr>
      <w:color w:val="8FBCE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507D"/>
    <w:rPr>
      <w:color w:val="1F497D" w:themeColor="text2"/>
      <w:u w:val="single"/>
    </w:rPr>
  </w:style>
  <w:style w:type="paragraph" w:styleId="ListParagraph">
    <w:name w:val="List Paragraph"/>
    <w:basedOn w:val="Normal"/>
    <w:uiPriority w:val="34"/>
    <w:qFormat/>
    <w:rsid w:val="002256FA"/>
    <w:pPr>
      <w:numPr>
        <w:numId w:val="10"/>
      </w:numPr>
      <w:spacing w:after="0"/>
    </w:pPr>
    <w:rPr>
      <w:rFonts w:cs="Times New Roman"/>
    </w:rPr>
  </w:style>
  <w:style w:type="character" w:customStyle="1" w:styleId="BulletChar">
    <w:name w:val="Bullet Char"/>
    <w:basedOn w:val="DefaultParagraphFont"/>
    <w:link w:val="Bullet"/>
    <w:locked/>
    <w:rsid w:val="000E07A0"/>
    <w:rPr>
      <w:rFonts w:ascii="Calibri Light" w:hAnsi="Calibri Light"/>
    </w:rPr>
  </w:style>
  <w:style w:type="paragraph" w:customStyle="1" w:styleId="Bullet">
    <w:name w:val="Bullet"/>
    <w:basedOn w:val="Normal"/>
    <w:link w:val="BulletChar"/>
    <w:rsid w:val="000E07A0"/>
    <w:pPr>
      <w:numPr>
        <w:numId w:val="6"/>
      </w:numPr>
    </w:pPr>
  </w:style>
  <w:style w:type="paragraph" w:customStyle="1" w:styleId="Dash">
    <w:name w:val="Dash"/>
    <w:basedOn w:val="Normal"/>
    <w:rsid w:val="0098345D"/>
    <w:pPr>
      <w:numPr>
        <w:ilvl w:val="1"/>
        <w:numId w:val="1"/>
      </w:numPr>
    </w:pPr>
    <w:rPr>
      <w:rFonts w:ascii="Calibri" w:hAnsi="Calibri" w:cs="Times New Roman"/>
    </w:rPr>
  </w:style>
  <w:style w:type="paragraph" w:customStyle="1" w:styleId="DoubleDot">
    <w:name w:val="Double Dot"/>
    <w:basedOn w:val="Normal"/>
    <w:rsid w:val="0098345D"/>
    <w:pPr>
      <w:numPr>
        <w:ilvl w:val="2"/>
        <w:numId w:val="1"/>
      </w:numPr>
    </w:pPr>
    <w:rPr>
      <w:rFonts w:ascii="Calibri" w:hAnsi="Calibri" w:cs="Times New Roman"/>
    </w:rPr>
  </w:style>
  <w:style w:type="paragraph" w:styleId="Header">
    <w:name w:val="header"/>
    <w:basedOn w:val="Normal"/>
    <w:link w:val="HeaderChar"/>
    <w:uiPriority w:val="99"/>
    <w:unhideWhenUsed/>
    <w:rsid w:val="000E07A0"/>
    <w:pPr>
      <w:tabs>
        <w:tab w:val="center" w:pos="4513"/>
        <w:tab w:val="right" w:pos="9026"/>
      </w:tabs>
      <w:spacing w:after="0"/>
    </w:pPr>
  </w:style>
  <w:style w:type="character" w:customStyle="1" w:styleId="HeaderChar">
    <w:name w:val="Header Char"/>
    <w:basedOn w:val="DefaultParagraphFont"/>
    <w:link w:val="Header"/>
    <w:uiPriority w:val="99"/>
    <w:rsid w:val="000E07A0"/>
  </w:style>
  <w:style w:type="paragraph" w:styleId="Footer">
    <w:name w:val="footer"/>
    <w:basedOn w:val="Normal"/>
    <w:link w:val="FooterChar"/>
    <w:uiPriority w:val="99"/>
    <w:unhideWhenUsed/>
    <w:rsid w:val="000E07A0"/>
    <w:pPr>
      <w:tabs>
        <w:tab w:val="center" w:pos="4513"/>
        <w:tab w:val="right" w:pos="9026"/>
      </w:tabs>
      <w:spacing w:after="0"/>
    </w:pPr>
  </w:style>
  <w:style w:type="character" w:customStyle="1" w:styleId="FooterChar">
    <w:name w:val="Footer Char"/>
    <w:basedOn w:val="DefaultParagraphFont"/>
    <w:link w:val="Footer"/>
    <w:uiPriority w:val="99"/>
    <w:rsid w:val="000E07A0"/>
  </w:style>
  <w:style w:type="paragraph" w:styleId="BalloonText">
    <w:name w:val="Balloon Text"/>
    <w:basedOn w:val="Normal"/>
    <w:link w:val="BalloonTextChar"/>
    <w:uiPriority w:val="99"/>
    <w:semiHidden/>
    <w:unhideWhenUsed/>
    <w:rsid w:val="000E07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7A0"/>
    <w:rPr>
      <w:rFonts w:ascii="Tahoma" w:hAnsi="Tahoma" w:cs="Tahoma"/>
      <w:sz w:val="16"/>
      <w:szCs w:val="16"/>
    </w:rPr>
  </w:style>
  <w:style w:type="character" w:customStyle="1" w:styleId="Heading1Char">
    <w:name w:val="Heading 1 Char"/>
    <w:basedOn w:val="DefaultParagraphFont"/>
    <w:link w:val="Heading1"/>
    <w:uiPriority w:val="9"/>
    <w:rsid w:val="002256FA"/>
    <w:rPr>
      <w:rFonts w:ascii="Segoe UI Light" w:hAnsi="Segoe UI Light"/>
      <w:b/>
      <w:color w:val="FFFFFF" w:themeColor="background1"/>
      <w:sz w:val="40"/>
      <w:szCs w:val="40"/>
    </w:rPr>
  </w:style>
  <w:style w:type="character" w:customStyle="1" w:styleId="Heading2Char">
    <w:name w:val="Heading 2 Char"/>
    <w:basedOn w:val="DefaultParagraphFont"/>
    <w:link w:val="Heading2"/>
    <w:uiPriority w:val="9"/>
    <w:rsid w:val="002256FA"/>
    <w:rPr>
      <w:rFonts w:ascii="Segoe UI Light" w:hAnsi="Segoe UI Light"/>
      <w:b/>
      <w:color w:val="1F497D" w:themeColor="text2"/>
      <w:sz w:val="40"/>
      <w:szCs w:val="48"/>
    </w:rPr>
  </w:style>
  <w:style w:type="character" w:customStyle="1" w:styleId="Heading3Char">
    <w:name w:val="Heading 3 Char"/>
    <w:basedOn w:val="DefaultParagraphFont"/>
    <w:link w:val="Heading3"/>
    <w:uiPriority w:val="9"/>
    <w:rsid w:val="00DE77A2"/>
    <w:rPr>
      <w:rFonts w:ascii="Segoe UI Light" w:hAnsi="Segoe UI Light"/>
      <w:color w:val="8FBCE2"/>
      <w:sz w:val="40"/>
      <w:szCs w:val="48"/>
    </w:rPr>
  </w:style>
  <w:style w:type="table" w:styleId="TableGrid">
    <w:name w:val="Table Grid"/>
    <w:basedOn w:val="TableNormal"/>
    <w:uiPriority w:val="59"/>
    <w:rsid w:val="004A7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Numbered1">
    <w:name w:val="Outline Numbered 1"/>
    <w:basedOn w:val="Normal"/>
    <w:link w:val="OutlineNumbered1Char"/>
    <w:rsid w:val="0096275B"/>
    <w:pPr>
      <w:numPr>
        <w:numId w:val="11"/>
      </w:numPr>
    </w:pPr>
    <w:rPr>
      <w:sz w:val="20"/>
      <w:szCs w:val="20"/>
    </w:rPr>
  </w:style>
  <w:style w:type="character" w:customStyle="1" w:styleId="OutlineNumbered1Char">
    <w:name w:val="Outline Numbered 1 Char"/>
    <w:basedOn w:val="BulletChar"/>
    <w:link w:val="OutlineNumbered1"/>
    <w:rsid w:val="0096275B"/>
    <w:rPr>
      <w:rFonts w:ascii="Calibri Light" w:hAnsi="Calibri Light"/>
    </w:rPr>
  </w:style>
  <w:style w:type="paragraph" w:customStyle="1" w:styleId="OutlineNumbered2">
    <w:name w:val="Outline Numbered 2"/>
    <w:basedOn w:val="Normal"/>
    <w:link w:val="OutlineNumbered2Char"/>
    <w:rsid w:val="0096275B"/>
    <w:pPr>
      <w:numPr>
        <w:ilvl w:val="1"/>
        <w:numId w:val="11"/>
      </w:numPr>
    </w:pPr>
    <w:rPr>
      <w:sz w:val="20"/>
      <w:szCs w:val="20"/>
    </w:rPr>
  </w:style>
  <w:style w:type="character" w:customStyle="1" w:styleId="OutlineNumbered2Char">
    <w:name w:val="Outline Numbered 2 Char"/>
    <w:basedOn w:val="BulletChar"/>
    <w:link w:val="OutlineNumbered2"/>
    <w:rsid w:val="0096275B"/>
    <w:rPr>
      <w:rFonts w:ascii="Calibri Light" w:hAnsi="Calibri Light"/>
    </w:rPr>
  </w:style>
  <w:style w:type="paragraph" w:customStyle="1" w:styleId="OutlineNumbered3">
    <w:name w:val="Outline Numbered 3"/>
    <w:basedOn w:val="Normal"/>
    <w:link w:val="OutlineNumbered3Char"/>
    <w:rsid w:val="0096275B"/>
    <w:pPr>
      <w:numPr>
        <w:ilvl w:val="2"/>
        <w:numId w:val="11"/>
      </w:numPr>
    </w:pPr>
    <w:rPr>
      <w:sz w:val="20"/>
      <w:szCs w:val="20"/>
    </w:rPr>
  </w:style>
  <w:style w:type="character" w:customStyle="1" w:styleId="OutlineNumbered3Char">
    <w:name w:val="Outline Numbered 3 Char"/>
    <w:basedOn w:val="BulletChar"/>
    <w:link w:val="OutlineNumbered3"/>
    <w:rsid w:val="0096275B"/>
    <w:rPr>
      <w:rFonts w:ascii="Calibri Light" w:hAnsi="Calibri Light"/>
    </w:rPr>
  </w:style>
  <w:style w:type="character" w:styleId="CommentReference">
    <w:name w:val="annotation reference"/>
    <w:basedOn w:val="DefaultParagraphFont"/>
    <w:uiPriority w:val="99"/>
    <w:semiHidden/>
    <w:unhideWhenUsed/>
    <w:rsid w:val="00617495"/>
    <w:rPr>
      <w:sz w:val="16"/>
      <w:szCs w:val="16"/>
    </w:rPr>
  </w:style>
  <w:style w:type="paragraph" w:styleId="CommentText">
    <w:name w:val="annotation text"/>
    <w:basedOn w:val="Normal"/>
    <w:link w:val="CommentTextChar"/>
    <w:uiPriority w:val="99"/>
    <w:semiHidden/>
    <w:unhideWhenUsed/>
    <w:rsid w:val="00617495"/>
    <w:rPr>
      <w:sz w:val="20"/>
      <w:szCs w:val="20"/>
    </w:rPr>
  </w:style>
  <w:style w:type="character" w:customStyle="1" w:styleId="CommentTextChar">
    <w:name w:val="Comment Text Char"/>
    <w:basedOn w:val="DefaultParagraphFont"/>
    <w:link w:val="CommentText"/>
    <w:uiPriority w:val="99"/>
    <w:semiHidden/>
    <w:rsid w:val="00617495"/>
    <w:rPr>
      <w:rFonts w:ascii="Calibri Light" w:hAnsi="Calibri Light"/>
      <w:sz w:val="20"/>
      <w:szCs w:val="20"/>
    </w:rPr>
  </w:style>
  <w:style w:type="paragraph" w:styleId="CommentSubject">
    <w:name w:val="annotation subject"/>
    <w:basedOn w:val="CommentText"/>
    <w:next w:val="CommentText"/>
    <w:link w:val="CommentSubjectChar"/>
    <w:uiPriority w:val="99"/>
    <w:semiHidden/>
    <w:unhideWhenUsed/>
    <w:rsid w:val="00617495"/>
    <w:rPr>
      <w:b/>
      <w:bCs/>
    </w:rPr>
  </w:style>
  <w:style w:type="character" w:customStyle="1" w:styleId="CommentSubjectChar">
    <w:name w:val="Comment Subject Char"/>
    <w:basedOn w:val="CommentTextChar"/>
    <w:link w:val="CommentSubject"/>
    <w:uiPriority w:val="99"/>
    <w:semiHidden/>
    <w:rsid w:val="00617495"/>
    <w:rPr>
      <w:rFonts w:ascii="Calibri Light" w:hAnsi="Calibri Light"/>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6FA"/>
    <w:pPr>
      <w:spacing w:before="120" w:after="120" w:line="240" w:lineRule="auto"/>
    </w:pPr>
    <w:rPr>
      <w:rFonts w:ascii="Calibri Light" w:hAnsi="Calibri Light"/>
    </w:rPr>
  </w:style>
  <w:style w:type="paragraph" w:styleId="Heading1">
    <w:name w:val="heading 1"/>
    <w:basedOn w:val="Normal"/>
    <w:next w:val="Normal"/>
    <w:link w:val="Heading1Char"/>
    <w:uiPriority w:val="9"/>
    <w:qFormat/>
    <w:rsid w:val="002256FA"/>
    <w:pPr>
      <w:outlineLvl w:val="0"/>
    </w:pPr>
    <w:rPr>
      <w:rFonts w:ascii="Segoe UI Light" w:hAnsi="Segoe UI Light"/>
      <w:b/>
      <w:color w:val="FFFFFF" w:themeColor="background1"/>
      <w:sz w:val="40"/>
      <w:szCs w:val="40"/>
    </w:rPr>
  </w:style>
  <w:style w:type="paragraph" w:styleId="Heading2">
    <w:name w:val="heading 2"/>
    <w:basedOn w:val="Normal"/>
    <w:next w:val="Normal"/>
    <w:link w:val="Heading2Char"/>
    <w:uiPriority w:val="9"/>
    <w:unhideWhenUsed/>
    <w:qFormat/>
    <w:rsid w:val="002256FA"/>
    <w:pPr>
      <w:outlineLvl w:val="1"/>
    </w:pPr>
    <w:rPr>
      <w:rFonts w:ascii="Segoe UI Light" w:hAnsi="Segoe UI Light"/>
      <w:b/>
      <w:color w:val="1F497D" w:themeColor="text2"/>
      <w:sz w:val="40"/>
      <w:szCs w:val="48"/>
    </w:rPr>
  </w:style>
  <w:style w:type="paragraph" w:styleId="Heading3">
    <w:name w:val="heading 3"/>
    <w:basedOn w:val="Heading2"/>
    <w:next w:val="Normal"/>
    <w:link w:val="Heading3Char"/>
    <w:uiPriority w:val="9"/>
    <w:unhideWhenUsed/>
    <w:qFormat/>
    <w:rsid w:val="00DE77A2"/>
    <w:pPr>
      <w:keepNext/>
      <w:spacing w:before="240"/>
      <w:ind w:firstLine="357"/>
      <w:outlineLvl w:val="2"/>
    </w:pPr>
    <w:rPr>
      <w:color w:val="8FBCE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507D"/>
    <w:rPr>
      <w:color w:val="1F497D" w:themeColor="text2"/>
      <w:u w:val="single"/>
    </w:rPr>
  </w:style>
  <w:style w:type="paragraph" w:styleId="ListParagraph">
    <w:name w:val="List Paragraph"/>
    <w:basedOn w:val="Normal"/>
    <w:uiPriority w:val="34"/>
    <w:qFormat/>
    <w:rsid w:val="002256FA"/>
    <w:pPr>
      <w:numPr>
        <w:numId w:val="10"/>
      </w:numPr>
      <w:spacing w:after="0"/>
    </w:pPr>
    <w:rPr>
      <w:rFonts w:cs="Times New Roman"/>
    </w:rPr>
  </w:style>
  <w:style w:type="character" w:customStyle="1" w:styleId="BulletChar">
    <w:name w:val="Bullet Char"/>
    <w:basedOn w:val="DefaultParagraphFont"/>
    <w:link w:val="Bullet"/>
    <w:locked/>
    <w:rsid w:val="000E07A0"/>
    <w:rPr>
      <w:rFonts w:ascii="Calibri Light" w:hAnsi="Calibri Light"/>
    </w:rPr>
  </w:style>
  <w:style w:type="paragraph" w:customStyle="1" w:styleId="Bullet">
    <w:name w:val="Bullet"/>
    <w:basedOn w:val="Normal"/>
    <w:link w:val="BulletChar"/>
    <w:rsid w:val="000E07A0"/>
    <w:pPr>
      <w:numPr>
        <w:numId w:val="6"/>
      </w:numPr>
    </w:pPr>
  </w:style>
  <w:style w:type="paragraph" w:customStyle="1" w:styleId="Dash">
    <w:name w:val="Dash"/>
    <w:basedOn w:val="Normal"/>
    <w:rsid w:val="0098345D"/>
    <w:pPr>
      <w:numPr>
        <w:ilvl w:val="1"/>
        <w:numId w:val="1"/>
      </w:numPr>
    </w:pPr>
    <w:rPr>
      <w:rFonts w:ascii="Calibri" w:hAnsi="Calibri" w:cs="Times New Roman"/>
    </w:rPr>
  </w:style>
  <w:style w:type="paragraph" w:customStyle="1" w:styleId="DoubleDot">
    <w:name w:val="Double Dot"/>
    <w:basedOn w:val="Normal"/>
    <w:rsid w:val="0098345D"/>
    <w:pPr>
      <w:numPr>
        <w:ilvl w:val="2"/>
        <w:numId w:val="1"/>
      </w:numPr>
    </w:pPr>
    <w:rPr>
      <w:rFonts w:ascii="Calibri" w:hAnsi="Calibri" w:cs="Times New Roman"/>
    </w:rPr>
  </w:style>
  <w:style w:type="paragraph" w:styleId="Header">
    <w:name w:val="header"/>
    <w:basedOn w:val="Normal"/>
    <w:link w:val="HeaderChar"/>
    <w:uiPriority w:val="99"/>
    <w:unhideWhenUsed/>
    <w:rsid w:val="000E07A0"/>
    <w:pPr>
      <w:tabs>
        <w:tab w:val="center" w:pos="4513"/>
        <w:tab w:val="right" w:pos="9026"/>
      </w:tabs>
      <w:spacing w:after="0"/>
    </w:pPr>
  </w:style>
  <w:style w:type="character" w:customStyle="1" w:styleId="HeaderChar">
    <w:name w:val="Header Char"/>
    <w:basedOn w:val="DefaultParagraphFont"/>
    <w:link w:val="Header"/>
    <w:uiPriority w:val="99"/>
    <w:rsid w:val="000E07A0"/>
  </w:style>
  <w:style w:type="paragraph" w:styleId="Footer">
    <w:name w:val="footer"/>
    <w:basedOn w:val="Normal"/>
    <w:link w:val="FooterChar"/>
    <w:uiPriority w:val="99"/>
    <w:unhideWhenUsed/>
    <w:rsid w:val="000E07A0"/>
    <w:pPr>
      <w:tabs>
        <w:tab w:val="center" w:pos="4513"/>
        <w:tab w:val="right" w:pos="9026"/>
      </w:tabs>
      <w:spacing w:after="0"/>
    </w:pPr>
  </w:style>
  <w:style w:type="character" w:customStyle="1" w:styleId="FooterChar">
    <w:name w:val="Footer Char"/>
    <w:basedOn w:val="DefaultParagraphFont"/>
    <w:link w:val="Footer"/>
    <w:uiPriority w:val="99"/>
    <w:rsid w:val="000E07A0"/>
  </w:style>
  <w:style w:type="paragraph" w:styleId="BalloonText">
    <w:name w:val="Balloon Text"/>
    <w:basedOn w:val="Normal"/>
    <w:link w:val="BalloonTextChar"/>
    <w:uiPriority w:val="99"/>
    <w:semiHidden/>
    <w:unhideWhenUsed/>
    <w:rsid w:val="000E07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7A0"/>
    <w:rPr>
      <w:rFonts w:ascii="Tahoma" w:hAnsi="Tahoma" w:cs="Tahoma"/>
      <w:sz w:val="16"/>
      <w:szCs w:val="16"/>
    </w:rPr>
  </w:style>
  <w:style w:type="character" w:customStyle="1" w:styleId="Heading1Char">
    <w:name w:val="Heading 1 Char"/>
    <w:basedOn w:val="DefaultParagraphFont"/>
    <w:link w:val="Heading1"/>
    <w:uiPriority w:val="9"/>
    <w:rsid w:val="002256FA"/>
    <w:rPr>
      <w:rFonts w:ascii="Segoe UI Light" w:hAnsi="Segoe UI Light"/>
      <w:b/>
      <w:color w:val="FFFFFF" w:themeColor="background1"/>
      <w:sz w:val="40"/>
      <w:szCs w:val="40"/>
    </w:rPr>
  </w:style>
  <w:style w:type="character" w:customStyle="1" w:styleId="Heading2Char">
    <w:name w:val="Heading 2 Char"/>
    <w:basedOn w:val="DefaultParagraphFont"/>
    <w:link w:val="Heading2"/>
    <w:uiPriority w:val="9"/>
    <w:rsid w:val="002256FA"/>
    <w:rPr>
      <w:rFonts w:ascii="Segoe UI Light" w:hAnsi="Segoe UI Light"/>
      <w:b/>
      <w:color w:val="1F497D" w:themeColor="text2"/>
      <w:sz w:val="40"/>
      <w:szCs w:val="48"/>
    </w:rPr>
  </w:style>
  <w:style w:type="character" w:customStyle="1" w:styleId="Heading3Char">
    <w:name w:val="Heading 3 Char"/>
    <w:basedOn w:val="DefaultParagraphFont"/>
    <w:link w:val="Heading3"/>
    <w:uiPriority w:val="9"/>
    <w:rsid w:val="00DE77A2"/>
    <w:rPr>
      <w:rFonts w:ascii="Segoe UI Light" w:hAnsi="Segoe UI Light"/>
      <w:color w:val="8FBCE2"/>
      <w:sz w:val="40"/>
      <w:szCs w:val="48"/>
    </w:rPr>
  </w:style>
  <w:style w:type="table" w:styleId="TableGrid">
    <w:name w:val="Table Grid"/>
    <w:basedOn w:val="TableNormal"/>
    <w:uiPriority w:val="59"/>
    <w:rsid w:val="004A7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Numbered1">
    <w:name w:val="Outline Numbered 1"/>
    <w:basedOn w:val="Normal"/>
    <w:link w:val="OutlineNumbered1Char"/>
    <w:rsid w:val="0096275B"/>
    <w:pPr>
      <w:numPr>
        <w:numId w:val="11"/>
      </w:numPr>
    </w:pPr>
    <w:rPr>
      <w:sz w:val="20"/>
      <w:szCs w:val="20"/>
    </w:rPr>
  </w:style>
  <w:style w:type="character" w:customStyle="1" w:styleId="OutlineNumbered1Char">
    <w:name w:val="Outline Numbered 1 Char"/>
    <w:basedOn w:val="BulletChar"/>
    <w:link w:val="OutlineNumbered1"/>
    <w:rsid w:val="0096275B"/>
    <w:rPr>
      <w:rFonts w:ascii="Calibri Light" w:hAnsi="Calibri Light"/>
    </w:rPr>
  </w:style>
  <w:style w:type="paragraph" w:customStyle="1" w:styleId="OutlineNumbered2">
    <w:name w:val="Outline Numbered 2"/>
    <w:basedOn w:val="Normal"/>
    <w:link w:val="OutlineNumbered2Char"/>
    <w:rsid w:val="0096275B"/>
    <w:pPr>
      <w:numPr>
        <w:ilvl w:val="1"/>
        <w:numId w:val="11"/>
      </w:numPr>
    </w:pPr>
    <w:rPr>
      <w:sz w:val="20"/>
      <w:szCs w:val="20"/>
    </w:rPr>
  </w:style>
  <w:style w:type="character" w:customStyle="1" w:styleId="OutlineNumbered2Char">
    <w:name w:val="Outline Numbered 2 Char"/>
    <w:basedOn w:val="BulletChar"/>
    <w:link w:val="OutlineNumbered2"/>
    <w:rsid w:val="0096275B"/>
    <w:rPr>
      <w:rFonts w:ascii="Calibri Light" w:hAnsi="Calibri Light"/>
    </w:rPr>
  </w:style>
  <w:style w:type="paragraph" w:customStyle="1" w:styleId="OutlineNumbered3">
    <w:name w:val="Outline Numbered 3"/>
    <w:basedOn w:val="Normal"/>
    <w:link w:val="OutlineNumbered3Char"/>
    <w:rsid w:val="0096275B"/>
    <w:pPr>
      <w:numPr>
        <w:ilvl w:val="2"/>
        <w:numId w:val="11"/>
      </w:numPr>
    </w:pPr>
    <w:rPr>
      <w:sz w:val="20"/>
      <w:szCs w:val="20"/>
    </w:rPr>
  </w:style>
  <w:style w:type="character" w:customStyle="1" w:styleId="OutlineNumbered3Char">
    <w:name w:val="Outline Numbered 3 Char"/>
    <w:basedOn w:val="BulletChar"/>
    <w:link w:val="OutlineNumbered3"/>
    <w:rsid w:val="0096275B"/>
    <w:rPr>
      <w:rFonts w:ascii="Calibri Light" w:hAnsi="Calibri Light"/>
    </w:rPr>
  </w:style>
  <w:style w:type="character" w:styleId="CommentReference">
    <w:name w:val="annotation reference"/>
    <w:basedOn w:val="DefaultParagraphFont"/>
    <w:uiPriority w:val="99"/>
    <w:semiHidden/>
    <w:unhideWhenUsed/>
    <w:rsid w:val="00617495"/>
    <w:rPr>
      <w:sz w:val="16"/>
      <w:szCs w:val="16"/>
    </w:rPr>
  </w:style>
  <w:style w:type="paragraph" w:styleId="CommentText">
    <w:name w:val="annotation text"/>
    <w:basedOn w:val="Normal"/>
    <w:link w:val="CommentTextChar"/>
    <w:uiPriority w:val="99"/>
    <w:semiHidden/>
    <w:unhideWhenUsed/>
    <w:rsid w:val="00617495"/>
    <w:rPr>
      <w:sz w:val="20"/>
      <w:szCs w:val="20"/>
    </w:rPr>
  </w:style>
  <w:style w:type="character" w:customStyle="1" w:styleId="CommentTextChar">
    <w:name w:val="Comment Text Char"/>
    <w:basedOn w:val="DefaultParagraphFont"/>
    <w:link w:val="CommentText"/>
    <w:uiPriority w:val="99"/>
    <w:semiHidden/>
    <w:rsid w:val="00617495"/>
    <w:rPr>
      <w:rFonts w:ascii="Calibri Light" w:hAnsi="Calibri Light"/>
      <w:sz w:val="20"/>
      <w:szCs w:val="20"/>
    </w:rPr>
  </w:style>
  <w:style w:type="paragraph" w:styleId="CommentSubject">
    <w:name w:val="annotation subject"/>
    <w:basedOn w:val="CommentText"/>
    <w:next w:val="CommentText"/>
    <w:link w:val="CommentSubjectChar"/>
    <w:uiPriority w:val="99"/>
    <w:semiHidden/>
    <w:unhideWhenUsed/>
    <w:rsid w:val="00617495"/>
    <w:rPr>
      <w:b/>
      <w:bCs/>
    </w:rPr>
  </w:style>
  <w:style w:type="character" w:customStyle="1" w:styleId="CommentSubjectChar">
    <w:name w:val="Comment Subject Char"/>
    <w:basedOn w:val="CommentTextChar"/>
    <w:link w:val="CommentSubject"/>
    <w:uiPriority w:val="99"/>
    <w:semiHidden/>
    <w:rsid w:val="00617495"/>
    <w:rPr>
      <w:rFonts w:ascii="Calibri Light" w:hAnsi="Calibri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61390">
      <w:bodyDiv w:val="1"/>
      <w:marLeft w:val="0"/>
      <w:marRight w:val="0"/>
      <w:marTop w:val="0"/>
      <w:marBottom w:val="0"/>
      <w:divBdr>
        <w:top w:val="none" w:sz="0" w:space="0" w:color="auto"/>
        <w:left w:val="none" w:sz="0" w:space="0" w:color="auto"/>
        <w:bottom w:val="none" w:sz="0" w:space="0" w:color="auto"/>
        <w:right w:val="none" w:sz="0" w:space="0" w:color="auto"/>
      </w:divBdr>
    </w:div>
    <w:div w:id="421802283">
      <w:bodyDiv w:val="1"/>
      <w:marLeft w:val="0"/>
      <w:marRight w:val="0"/>
      <w:marTop w:val="0"/>
      <w:marBottom w:val="0"/>
      <w:divBdr>
        <w:top w:val="none" w:sz="0" w:space="0" w:color="auto"/>
        <w:left w:val="none" w:sz="0" w:space="0" w:color="auto"/>
        <w:bottom w:val="none" w:sz="0" w:space="0" w:color="auto"/>
        <w:right w:val="none" w:sz="0" w:space="0" w:color="auto"/>
      </w:divBdr>
    </w:div>
    <w:div w:id="566842997">
      <w:bodyDiv w:val="1"/>
      <w:marLeft w:val="0"/>
      <w:marRight w:val="0"/>
      <w:marTop w:val="0"/>
      <w:marBottom w:val="0"/>
      <w:divBdr>
        <w:top w:val="none" w:sz="0" w:space="0" w:color="auto"/>
        <w:left w:val="none" w:sz="0" w:space="0" w:color="auto"/>
        <w:bottom w:val="none" w:sz="0" w:space="0" w:color="auto"/>
        <w:right w:val="none" w:sz="0" w:space="0" w:color="auto"/>
      </w:divBdr>
    </w:div>
    <w:div w:id="693924939">
      <w:bodyDiv w:val="1"/>
      <w:marLeft w:val="0"/>
      <w:marRight w:val="0"/>
      <w:marTop w:val="0"/>
      <w:marBottom w:val="0"/>
      <w:divBdr>
        <w:top w:val="none" w:sz="0" w:space="0" w:color="auto"/>
        <w:left w:val="none" w:sz="0" w:space="0" w:color="auto"/>
        <w:bottom w:val="none" w:sz="0" w:space="0" w:color="auto"/>
        <w:right w:val="none" w:sz="0" w:space="0" w:color="auto"/>
      </w:divBdr>
    </w:div>
    <w:div w:id="1021972806">
      <w:bodyDiv w:val="1"/>
      <w:marLeft w:val="0"/>
      <w:marRight w:val="0"/>
      <w:marTop w:val="0"/>
      <w:marBottom w:val="0"/>
      <w:divBdr>
        <w:top w:val="none" w:sz="0" w:space="0" w:color="auto"/>
        <w:left w:val="none" w:sz="0" w:space="0" w:color="auto"/>
        <w:bottom w:val="none" w:sz="0" w:space="0" w:color="auto"/>
        <w:right w:val="none" w:sz="0" w:space="0" w:color="auto"/>
      </w:divBdr>
    </w:div>
    <w:div w:id="1270697531">
      <w:bodyDiv w:val="1"/>
      <w:marLeft w:val="0"/>
      <w:marRight w:val="0"/>
      <w:marTop w:val="0"/>
      <w:marBottom w:val="0"/>
      <w:divBdr>
        <w:top w:val="none" w:sz="0" w:space="0" w:color="auto"/>
        <w:left w:val="none" w:sz="0" w:space="0" w:color="auto"/>
        <w:bottom w:val="none" w:sz="0" w:space="0" w:color="auto"/>
        <w:right w:val="none" w:sz="0" w:space="0" w:color="auto"/>
      </w:divBdr>
    </w:div>
    <w:div w:id="1423840169">
      <w:bodyDiv w:val="1"/>
      <w:marLeft w:val="0"/>
      <w:marRight w:val="0"/>
      <w:marTop w:val="0"/>
      <w:marBottom w:val="0"/>
      <w:divBdr>
        <w:top w:val="none" w:sz="0" w:space="0" w:color="auto"/>
        <w:left w:val="none" w:sz="0" w:space="0" w:color="auto"/>
        <w:bottom w:val="none" w:sz="0" w:space="0" w:color="auto"/>
        <w:right w:val="none" w:sz="0" w:space="0" w:color="auto"/>
      </w:divBdr>
    </w:div>
    <w:div w:id="1891306385">
      <w:bodyDiv w:val="1"/>
      <w:marLeft w:val="0"/>
      <w:marRight w:val="0"/>
      <w:marTop w:val="0"/>
      <w:marBottom w:val="0"/>
      <w:divBdr>
        <w:top w:val="none" w:sz="0" w:space="0" w:color="auto"/>
        <w:left w:val="none" w:sz="0" w:space="0" w:color="auto"/>
        <w:bottom w:val="none" w:sz="0" w:space="0" w:color="auto"/>
        <w:right w:val="none" w:sz="0" w:space="0" w:color="auto"/>
      </w:divBdr>
    </w:div>
    <w:div w:id="1949193919">
      <w:bodyDiv w:val="1"/>
      <w:marLeft w:val="0"/>
      <w:marRight w:val="0"/>
      <w:marTop w:val="0"/>
      <w:marBottom w:val="0"/>
      <w:divBdr>
        <w:top w:val="none" w:sz="0" w:space="0" w:color="auto"/>
        <w:left w:val="none" w:sz="0" w:space="0" w:color="auto"/>
        <w:bottom w:val="none" w:sz="0" w:space="0" w:color="auto"/>
        <w:right w:val="none" w:sz="0" w:space="0" w:color="auto"/>
      </w:divBdr>
    </w:div>
    <w:div w:id="1992371325">
      <w:bodyDiv w:val="1"/>
      <w:marLeft w:val="0"/>
      <w:marRight w:val="0"/>
      <w:marTop w:val="0"/>
      <w:marBottom w:val="0"/>
      <w:divBdr>
        <w:top w:val="none" w:sz="0" w:space="0" w:color="auto"/>
        <w:left w:val="none" w:sz="0" w:space="0" w:color="auto"/>
        <w:bottom w:val="none" w:sz="0" w:space="0" w:color="auto"/>
        <w:right w:val="none" w:sz="0" w:space="0" w:color="auto"/>
      </w:divBdr>
    </w:div>
    <w:div w:id="1993412319">
      <w:bodyDiv w:val="1"/>
      <w:marLeft w:val="0"/>
      <w:marRight w:val="0"/>
      <w:marTop w:val="0"/>
      <w:marBottom w:val="0"/>
      <w:divBdr>
        <w:top w:val="none" w:sz="0" w:space="0" w:color="auto"/>
        <w:left w:val="none" w:sz="0" w:space="0" w:color="auto"/>
        <w:bottom w:val="none" w:sz="0" w:space="0" w:color="auto"/>
        <w:right w:val="none" w:sz="0" w:space="0" w:color="auto"/>
      </w:divBdr>
    </w:div>
    <w:div w:id="2079206438">
      <w:bodyDiv w:val="1"/>
      <w:marLeft w:val="0"/>
      <w:marRight w:val="0"/>
      <w:marTop w:val="0"/>
      <w:marBottom w:val="0"/>
      <w:divBdr>
        <w:top w:val="none" w:sz="0" w:space="0" w:color="auto"/>
        <w:left w:val="none" w:sz="0" w:space="0" w:color="auto"/>
        <w:bottom w:val="none" w:sz="0" w:space="0" w:color="auto"/>
        <w:right w:val="none" w:sz="0" w:space="0" w:color="auto"/>
      </w:divBdr>
    </w:div>
    <w:div w:id="213470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taxboard@treasury.gov.au"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aasb.gov.au/Work-In-Progress/Open-for-comment.aspx?id=2085" TargetMode="External"/><Relationship Id="rId17" Type="http://schemas.openxmlformats.org/officeDocument/2006/relationships/image" Target="media/image2.jp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axboard.gov.a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axboard.gov.au/current-activities/transparency-code-registe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aren.payne@treasury.gov.au" TargetMode="External"/><Relationship Id="rId23" Type="http://schemas.openxmlformats.org/officeDocument/2006/relationships/footer" Target="footer3.xml"/><Relationship Id="rId10" Type="http://schemas.openxmlformats.org/officeDocument/2006/relationships/hyperlink" Target="https://consult.treasury.gov.au/tax-framework-division/black-economy-taskforc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linkedin.com/company-beta/18103811/" TargetMode="External"/><Relationship Id="rId14" Type="http://schemas.openxmlformats.org/officeDocument/2006/relationships/hyperlink" Target="https://taxboard.ideascale.co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CEO Updates - June</dc:title>
  <dc:subject/>
  <dc:creator/>
  <cp:keywords/>
  <cp:lastModifiedBy/>
  <cp:revision>1</cp:revision>
  <dcterms:created xsi:type="dcterms:W3CDTF">2017-06-13T04:42:00Z</dcterms:created>
  <dcterms:modified xsi:type="dcterms:W3CDTF">2017-06-13T04:43:00Z</dcterms:modified>
</cp:coreProperties>
</file>