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jc w:val="center"/>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225"/>
        <w:gridCol w:w="590"/>
      </w:tblGrid>
      <w:tr w:rsidR="00DE77A2" w14:paraId="40350228" w14:textId="77777777" w:rsidTr="00962E16">
        <w:trPr>
          <w:jc w:val="center"/>
        </w:trPr>
        <w:tc>
          <w:tcPr>
            <w:tcW w:w="10440" w:type="dxa"/>
            <w:gridSpan w:val="3"/>
            <w:tcMar>
              <w:left w:w="0" w:type="dxa"/>
              <w:right w:w="0" w:type="dxa"/>
            </w:tcMar>
          </w:tcPr>
          <w:p w14:paraId="6531BD38" w14:textId="77777777" w:rsidR="00DE77A2" w:rsidRDefault="00DE77A2" w:rsidP="002256FA">
            <w:bookmarkStart w:id="0" w:name="_GoBack"/>
            <w:bookmarkEnd w:id="0"/>
            <w:r>
              <w:rPr>
                <w:noProof/>
                <w:lang w:eastAsia="en-AU"/>
              </w:rPr>
              <w:drawing>
                <wp:inline distT="0" distB="0" distL="0" distR="0" wp14:anchorId="47280592" wp14:editId="656A9937">
                  <wp:extent cx="6624000" cy="1517204"/>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a:extLst>
                              <a:ext uri="{28A0092B-C50C-407E-A947-70E740481C1C}">
                                <a14:useLocalDpi xmlns:a14="http://schemas.microsoft.com/office/drawing/2010/main" val="0"/>
                              </a:ext>
                            </a:extLst>
                          </a:blip>
                          <a:stretch>
                            <a:fillRect/>
                          </a:stretch>
                        </pic:blipFill>
                        <pic:spPr>
                          <a:xfrm>
                            <a:off x="0" y="0"/>
                            <a:ext cx="6624000" cy="1517204"/>
                          </a:xfrm>
                          <a:prstGeom prst="rect">
                            <a:avLst/>
                          </a:prstGeom>
                        </pic:spPr>
                      </pic:pic>
                    </a:graphicData>
                  </a:graphic>
                </wp:inline>
              </w:drawing>
            </w:r>
          </w:p>
        </w:tc>
      </w:tr>
      <w:tr w:rsidR="00DE77A2" w:rsidRPr="00BD2FF3" w14:paraId="0C17D1E9" w14:textId="77777777" w:rsidTr="00962E16">
        <w:trPr>
          <w:jc w:val="center"/>
        </w:trPr>
        <w:tc>
          <w:tcPr>
            <w:tcW w:w="625" w:type="dxa"/>
            <w:shd w:val="clear" w:color="auto" w:fill="1F497D" w:themeFill="text2"/>
          </w:tcPr>
          <w:p w14:paraId="4CA09930" w14:textId="77777777" w:rsidR="00DE77A2" w:rsidRPr="00BD2FF3" w:rsidRDefault="00DE77A2" w:rsidP="002256FA"/>
        </w:tc>
        <w:tc>
          <w:tcPr>
            <w:tcW w:w="9225" w:type="dxa"/>
            <w:shd w:val="clear" w:color="auto" w:fill="1F497D" w:themeFill="text2"/>
          </w:tcPr>
          <w:p w14:paraId="4821AC6A" w14:textId="77777777" w:rsidR="00DE77A2" w:rsidRPr="002256FA" w:rsidRDefault="00DE77A2" w:rsidP="00656D54">
            <w:pPr>
              <w:pStyle w:val="Heading1"/>
              <w:outlineLvl w:val="0"/>
            </w:pPr>
            <w:r w:rsidRPr="002256FA">
              <w:t xml:space="preserve">CEO Update – </w:t>
            </w:r>
            <w:r w:rsidR="00656D54">
              <w:fldChar w:fldCharType="begin"/>
            </w:r>
            <w:r w:rsidR="00656D54">
              <w:instrText xml:space="preserve"> DATE  \@ "MMMM yyyy"  \* MERGEFORMAT </w:instrText>
            </w:r>
            <w:r w:rsidR="00656D54">
              <w:fldChar w:fldCharType="separate"/>
            </w:r>
            <w:r w:rsidR="005B469A">
              <w:rPr>
                <w:noProof/>
              </w:rPr>
              <w:t>July 2017</w:t>
            </w:r>
            <w:r w:rsidR="00656D54">
              <w:fldChar w:fldCharType="end"/>
            </w:r>
          </w:p>
        </w:tc>
        <w:tc>
          <w:tcPr>
            <w:tcW w:w="590" w:type="dxa"/>
            <w:shd w:val="clear" w:color="auto" w:fill="1F497D" w:themeFill="text2"/>
          </w:tcPr>
          <w:p w14:paraId="4EE04083" w14:textId="77777777" w:rsidR="00DE77A2" w:rsidRPr="00BD2FF3" w:rsidRDefault="00DE77A2" w:rsidP="002256FA"/>
        </w:tc>
      </w:tr>
      <w:tr w:rsidR="00DE77A2" w:rsidRPr="00BD2FF3" w14:paraId="50CBC816" w14:textId="77777777" w:rsidTr="00962E16">
        <w:trPr>
          <w:jc w:val="center"/>
        </w:trPr>
        <w:tc>
          <w:tcPr>
            <w:tcW w:w="625" w:type="dxa"/>
          </w:tcPr>
          <w:p w14:paraId="08DC95D7" w14:textId="77777777" w:rsidR="00DE77A2" w:rsidRPr="00BD2FF3" w:rsidRDefault="00DE77A2" w:rsidP="002256FA"/>
        </w:tc>
        <w:tc>
          <w:tcPr>
            <w:tcW w:w="9225" w:type="dxa"/>
          </w:tcPr>
          <w:p w14:paraId="17E9A61C" w14:textId="77777777" w:rsidR="00007585" w:rsidRDefault="00007585" w:rsidP="00007585">
            <w:pPr>
              <w:spacing w:before="0"/>
              <w:jc w:val="both"/>
            </w:pPr>
          </w:p>
          <w:p w14:paraId="116D0371" w14:textId="77777777" w:rsidR="00DE77A2" w:rsidRPr="00BD2FF3" w:rsidRDefault="00DE77A2" w:rsidP="00007585">
            <w:pPr>
              <w:spacing w:before="0" w:after="200" w:line="276" w:lineRule="auto"/>
              <w:jc w:val="both"/>
            </w:pPr>
            <w:r w:rsidRPr="00BD2FF3">
              <w:t xml:space="preserve">Dear </w:t>
            </w:r>
            <w:r w:rsidR="005B32D7" w:rsidRPr="002256FA">
              <w:t>Stakeholders</w:t>
            </w:r>
            <w:r w:rsidRPr="00BD2FF3">
              <w:t>,</w:t>
            </w:r>
          </w:p>
          <w:p w14:paraId="2793A9C6" w14:textId="3CC4FEA9" w:rsidR="0096275B" w:rsidRDefault="0096275B" w:rsidP="00007585">
            <w:pPr>
              <w:spacing w:before="0" w:after="200" w:line="276" w:lineRule="auto"/>
              <w:jc w:val="both"/>
            </w:pPr>
            <w:r>
              <w:t xml:space="preserve">On </w:t>
            </w:r>
            <w:r w:rsidR="00287410">
              <w:t>6 July</w:t>
            </w:r>
            <w:r>
              <w:t xml:space="preserve"> 2017</w:t>
            </w:r>
            <w:r w:rsidR="003B383C">
              <w:t>,</w:t>
            </w:r>
            <w:r>
              <w:t xml:space="preserve"> the Board of Taxation held its </w:t>
            </w:r>
            <w:r w:rsidR="00287410">
              <w:t>f</w:t>
            </w:r>
            <w:r w:rsidR="00D72E96">
              <w:t>ifth</w:t>
            </w:r>
            <w:r>
              <w:t xml:space="preserve"> meeting for 2017</w:t>
            </w:r>
            <w:r w:rsidR="003B383C">
              <w:t xml:space="preserve"> </w:t>
            </w:r>
            <w:r w:rsidR="00882BE7">
              <w:t xml:space="preserve">- </w:t>
            </w:r>
            <w:r w:rsidR="003B383C">
              <w:t>in Melbourne</w:t>
            </w:r>
            <w:r>
              <w:t xml:space="preserve">. </w:t>
            </w:r>
          </w:p>
          <w:p w14:paraId="6B43FD35" w14:textId="56D0D110" w:rsidR="00EF71F5" w:rsidRDefault="00287410" w:rsidP="00007585">
            <w:pPr>
              <w:spacing w:before="0" w:after="200" w:line="276" w:lineRule="auto"/>
              <w:jc w:val="both"/>
            </w:pPr>
            <w:r>
              <w:t>The Board had the pleasure of welcoming the Minister for Revenue and Financial Services, the Hon</w:t>
            </w:r>
            <w:r w:rsidR="005B469A">
              <w:t> </w:t>
            </w:r>
            <w:r>
              <w:t xml:space="preserve">Kelly O’Dwyer MP, to the meeting. This provided us with an opportunity to update the Minister on the Board’s </w:t>
            </w:r>
            <w:r w:rsidR="00FA7E97">
              <w:t xml:space="preserve">current projects and pipeline of ideas. </w:t>
            </w:r>
            <w:r w:rsidR="00EF71F5">
              <w:t xml:space="preserve">The Minister also welcomed </w:t>
            </w:r>
            <w:r w:rsidR="00D72E96">
              <w:t>Dr</w:t>
            </w:r>
            <w:r w:rsidR="00EF71F5">
              <w:t xml:space="preserve"> Julianne Jaques to her first Board meeting</w:t>
            </w:r>
            <w:r w:rsidR="00D72E96">
              <w:t>.</w:t>
            </w:r>
          </w:p>
          <w:p w14:paraId="73AE78D5" w14:textId="2324593D" w:rsidR="00287410" w:rsidRDefault="00FA7E97" w:rsidP="00007585">
            <w:pPr>
              <w:spacing w:before="0" w:after="200" w:line="276" w:lineRule="auto"/>
              <w:jc w:val="both"/>
            </w:pPr>
            <w:r>
              <w:t>The Minister outlined the Government’s priorities</w:t>
            </w:r>
            <w:r w:rsidR="00EF71F5">
              <w:t xml:space="preserve"> and</w:t>
            </w:r>
            <w:r>
              <w:t xml:space="preserve"> thanked the Board for its important work</w:t>
            </w:r>
            <w:r w:rsidR="00EF71F5">
              <w:t>.</w:t>
            </w:r>
            <w:r w:rsidR="00B0277A">
              <w:t xml:space="preserve"> The </w:t>
            </w:r>
            <w:r w:rsidR="00B0277A" w:rsidRPr="00B0277A">
              <w:t>Minister al</w:t>
            </w:r>
            <w:r w:rsidR="002826A4">
              <w:t xml:space="preserve">so discussed </w:t>
            </w:r>
            <w:r w:rsidR="009B1DC8">
              <w:t>t</w:t>
            </w:r>
            <w:r w:rsidR="0096485E">
              <w:t>h</w:t>
            </w:r>
            <w:r w:rsidR="009B1DC8">
              <w:t>e</w:t>
            </w:r>
            <w:r w:rsidR="0096485E">
              <w:t xml:space="preserve"> legislative agenda </w:t>
            </w:r>
            <w:r w:rsidR="002826A4">
              <w:t xml:space="preserve">with the Board; including the Government’s </w:t>
            </w:r>
            <w:r w:rsidR="00D72E96">
              <w:t>provision of additional funding in the 2017</w:t>
            </w:r>
            <w:r w:rsidR="00D72E96">
              <w:noBreakHyphen/>
              <w:t xml:space="preserve">18 Budget </w:t>
            </w:r>
            <w:r w:rsidR="002826A4">
              <w:t>for</w:t>
            </w:r>
            <w:r w:rsidR="00B0277A" w:rsidRPr="00B0277A">
              <w:t xml:space="preserve"> Treasury and </w:t>
            </w:r>
            <w:r w:rsidR="00D72E96">
              <w:t>the Office of Parliamentary Coun</w:t>
            </w:r>
            <w:r w:rsidR="00F45150">
              <w:t>se</w:t>
            </w:r>
            <w:r w:rsidR="00D72E96">
              <w:t>l</w:t>
            </w:r>
            <w:r w:rsidR="002826A4">
              <w:t xml:space="preserve"> to ensure dedicated drafting resources are available </w:t>
            </w:r>
            <w:r w:rsidR="00B0277A" w:rsidRPr="00B0277A">
              <w:t>for progressing</w:t>
            </w:r>
            <w:r w:rsidR="004D6BF7">
              <w:t xml:space="preserve"> </w:t>
            </w:r>
            <w:r w:rsidR="00E63ED6">
              <w:t xml:space="preserve">the Government’s legislative agenda – </w:t>
            </w:r>
            <w:r w:rsidR="00A23911">
              <w:t>a large component of which includes</w:t>
            </w:r>
            <w:r w:rsidR="00E63ED6">
              <w:t xml:space="preserve"> </w:t>
            </w:r>
            <w:r w:rsidR="004D6BF7">
              <w:t xml:space="preserve">financial services and </w:t>
            </w:r>
            <w:r w:rsidR="002826A4">
              <w:t>tax</w:t>
            </w:r>
            <w:r w:rsidR="004D6BF7">
              <w:t>ation</w:t>
            </w:r>
            <w:r w:rsidR="002826A4">
              <w:t xml:space="preserve"> reform </w:t>
            </w:r>
            <w:r w:rsidR="00B0277A" w:rsidRPr="00B0277A">
              <w:t>legislation.</w:t>
            </w:r>
            <w:r w:rsidR="002826A4">
              <w:t xml:space="preserve"> </w:t>
            </w:r>
          </w:p>
          <w:p w14:paraId="4EDF07C9" w14:textId="6D48CCF2" w:rsidR="00FA7E97" w:rsidRDefault="00FA7E97" w:rsidP="00007585">
            <w:pPr>
              <w:spacing w:before="0" w:after="200" w:line="276" w:lineRule="auto"/>
              <w:jc w:val="both"/>
            </w:pPr>
            <w:r>
              <w:t xml:space="preserve">The </w:t>
            </w:r>
            <w:r w:rsidR="004D6BF7">
              <w:t xml:space="preserve">Board’s lunch </w:t>
            </w:r>
            <w:r>
              <w:t>meeting was hosted by KPMG and included an information session and discussion with stakeholders. Thank you to everyone for attending and contributing your ideas and observations on how we can improve the tax system.</w:t>
            </w:r>
          </w:p>
          <w:p w14:paraId="7618245B" w14:textId="424AF8BE" w:rsidR="00DE77A2" w:rsidRPr="00BD2FF3" w:rsidRDefault="0096275B" w:rsidP="00007585">
            <w:pPr>
              <w:spacing w:before="0" w:after="200" w:line="276" w:lineRule="auto"/>
              <w:jc w:val="both"/>
            </w:pPr>
            <w:r>
              <w:t>Some additional detail on the progress of the Board’s work is set out below.</w:t>
            </w:r>
          </w:p>
        </w:tc>
        <w:tc>
          <w:tcPr>
            <w:tcW w:w="590" w:type="dxa"/>
          </w:tcPr>
          <w:p w14:paraId="1737BFF5" w14:textId="77777777" w:rsidR="00DE77A2" w:rsidRPr="00BD2FF3" w:rsidRDefault="00DE77A2" w:rsidP="002256FA"/>
        </w:tc>
      </w:tr>
      <w:tr w:rsidR="00B73C7A" w:rsidRPr="006B1E71" w14:paraId="6A53CCAA" w14:textId="77777777" w:rsidTr="00962E16">
        <w:trPr>
          <w:jc w:val="center"/>
        </w:trPr>
        <w:tc>
          <w:tcPr>
            <w:tcW w:w="625" w:type="dxa"/>
            <w:shd w:val="clear" w:color="auto" w:fill="auto"/>
          </w:tcPr>
          <w:p w14:paraId="2275E778" w14:textId="77777777" w:rsidR="00B73C7A" w:rsidRPr="006B1E71" w:rsidRDefault="00B73C7A" w:rsidP="00F45150">
            <w:pPr>
              <w:rPr>
                <w:sz w:val="36"/>
                <w:szCs w:val="36"/>
              </w:rPr>
            </w:pPr>
          </w:p>
        </w:tc>
        <w:tc>
          <w:tcPr>
            <w:tcW w:w="9225" w:type="dxa"/>
            <w:shd w:val="clear" w:color="auto" w:fill="auto"/>
          </w:tcPr>
          <w:p w14:paraId="203D9E6B" w14:textId="77777777" w:rsidR="00B73C7A" w:rsidRPr="006B1E71" w:rsidRDefault="00B73C7A" w:rsidP="00F45150">
            <w:pPr>
              <w:pStyle w:val="Heading2"/>
              <w:outlineLvl w:val="1"/>
              <w:rPr>
                <w:sz w:val="36"/>
                <w:szCs w:val="36"/>
              </w:rPr>
            </w:pPr>
            <w:r w:rsidRPr="006B1E71">
              <w:rPr>
                <w:sz w:val="36"/>
                <w:szCs w:val="36"/>
              </w:rPr>
              <w:t>Tax Transparency Code</w:t>
            </w:r>
          </w:p>
        </w:tc>
        <w:tc>
          <w:tcPr>
            <w:tcW w:w="590" w:type="dxa"/>
            <w:shd w:val="clear" w:color="auto" w:fill="auto"/>
          </w:tcPr>
          <w:p w14:paraId="76F32EB5" w14:textId="77777777" w:rsidR="00B73C7A" w:rsidRPr="006B1E71" w:rsidRDefault="00B73C7A" w:rsidP="00F45150">
            <w:pPr>
              <w:rPr>
                <w:sz w:val="36"/>
                <w:szCs w:val="36"/>
              </w:rPr>
            </w:pPr>
          </w:p>
        </w:tc>
      </w:tr>
      <w:tr w:rsidR="00B73C7A" w:rsidRPr="00BD2FF3" w14:paraId="50442027" w14:textId="77777777" w:rsidTr="00962E16">
        <w:trPr>
          <w:jc w:val="center"/>
        </w:trPr>
        <w:tc>
          <w:tcPr>
            <w:tcW w:w="625" w:type="dxa"/>
          </w:tcPr>
          <w:p w14:paraId="2BDF79CA" w14:textId="77777777" w:rsidR="00B73C7A" w:rsidRPr="00BD2FF3" w:rsidRDefault="00B73C7A" w:rsidP="00F45150"/>
        </w:tc>
        <w:tc>
          <w:tcPr>
            <w:tcW w:w="9225" w:type="dxa"/>
          </w:tcPr>
          <w:p w14:paraId="375000AB" w14:textId="411F6FBC" w:rsidR="00B73C7A" w:rsidRDefault="00B73C7A" w:rsidP="00007585">
            <w:pPr>
              <w:spacing w:before="0" w:after="200" w:line="276" w:lineRule="auto"/>
              <w:jc w:val="both"/>
            </w:pPr>
            <w:r>
              <w:t xml:space="preserve">The Board noted that </w:t>
            </w:r>
            <w:r w:rsidRPr="00007585">
              <w:t>over 100</w:t>
            </w:r>
            <w:r>
              <w:t xml:space="preserve"> organisations (including </w:t>
            </w:r>
            <w:r w:rsidR="0096485E">
              <w:t>Government Business Ente</w:t>
            </w:r>
            <w:r w:rsidR="00F57C7C">
              <w:t>r</w:t>
            </w:r>
            <w:r w:rsidR="0096485E">
              <w:t>prises</w:t>
            </w:r>
            <w:r>
              <w:t xml:space="preserve"> and foreign companies) have now indicated their intention to adopt the Code – the set of principles and minimum standards to guide the disclosure of tax information by businesses. </w:t>
            </w:r>
          </w:p>
          <w:p w14:paraId="285F8D2B" w14:textId="38B87916" w:rsidR="00B73C7A" w:rsidRDefault="00B73C7A" w:rsidP="00007585">
            <w:pPr>
              <w:spacing w:before="0" w:after="200" w:line="276" w:lineRule="auto"/>
              <w:jc w:val="both"/>
            </w:pPr>
            <w:r>
              <w:t xml:space="preserve">The Board notes that </w:t>
            </w:r>
            <w:r w:rsidRPr="00F46FB9">
              <w:t xml:space="preserve">more than 40 signatories </w:t>
            </w:r>
            <w:r w:rsidRPr="00775577">
              <w:t xml:space="preserve">have </w:t>
            </w:r>
            <w:r>
              <w:t xml:space="preserve">signed up for the Code this year. </w:t>
            </w:r>
          </w:p>
          <w:p w14:paraId="74B763CA" w14:textId="368B4625" w:rsidR="00B73C7A" w:rsidRDefault="00B73C7A" w:rsidP="00007585">
            <w:pPr>
              <w:spacing w:before="0" w:after="200" w:line="276" w:lineRule="auto"/>
              <w:jc w:val="both"/>
            </w:pPr>
            <w:r>
              <w:t xml:space="preserve">A register of these organisations can be found at: </w:t>
            </w:r>
            <w:hyperlink r:id="rId14" w:history="1">
              <w:r w:rsidRPr="00BF22B3">
                <w:rPr>
                  <w:rStyle w:val="Hyperlink"/>
                </w:rPr>
                <w:t>http://taxboard.gov.au/current-activities/transparency-code-register/</w:t>
              </w:r>
            </w:hyperlink>
            <w:r>
              <w:t xml:space="preserve">. </w:t>
            </w:r>
          </w:p>
          <w:p w14:paraId="3A7C2CED" w14:textId="77777777" w:rsidR="00B73C7A" w:rsidRDefault="00B73C7A" w:rsidP="00007585">
            <w:pPr>
              <w:spacing w:before="0" w:after="200" w:line="276" w:lineRule="auto"/>
              <w:jc w:val="both"/>
            </w:pPr>
            <w:r>
              <w:t xml:space="preserve">The Board continues to work with the AASB on material to guide organisations seeking to comply with the obligations they have taken on under the Code. </w:t>
            </w:r>
          </w:p>
          <w:p w14:paraId="48D45331" w14:textId="2D4A9656" w:rsidR="00B73C7A" w:rsidRPr="00BD2FF3" w:rsidRDefault="00B73C7A" w:rsidP="00007585">
            <w:pPr>
              <w:spacing w:before="0" w:after="200" w:line="276" w:lineRule="auto"/>
              <w:jc w:val="both"/>
            </w:pPr>
            <w:r>
              <w:t xml:space="preserve">The Board encourages you to adopt the Code and support and assist your clients to adopt it. </w:t>
            </w:r>
            <w:r w:rsidR="00E63ED6">
              <w:t>It is as simple as sending us an email</w:t>
            </w:r>
            <w:r w:rsidR="00882BE7">
              <w:t xml:space="preserve"> setting out your </w:t>
            </w:r>
            <w:r w:rsidR="001D4435">
              <w:t xml:space="preserve">groups’ </w:t>
            </w:r>
            <w:r w:rsidR="00882BE7">
              <w:t>intentions</w:t>
            </w:r>
            <w:r w:rsidR="00E63ED6">
              <w:t xml:space="preserve">!  </w:t>
            </w:r>
            <w:r>
              <w:t xml:space="preserve">For further information on the Code or to register your intention to adopt it, please contact the Board at </w:t>
            </w:r>
            <w:hyperlink r:id="rId15" w:history="1">
              <w:r w:rsidRPr="00BF22B3">
                <w:rPr>
                  <w:rStyle w:val="Hyperlink"/>
                </w:rPr>
                <w:t>taxboard@treasury.gov.au</w:t>
              </w:r>
            </w:hyperlink>
            <w:r>
              <w:t>.</w:t>
            </w:r>
          </w:p>
        </w:tc>
        <w:tc>
          <w:tcPr>
            <w:tcW w:w="590" w:type="dxa"/>
          </w:tcPr>
          <w:p w14:paraId="14886980" w14:textId="77777777" w:rsidR="00B73C7A" w:rsidRPr="00BD2FF3" w:rsidRDefault="00B73C7A" w:rsidP="00F45150"/>
        </w:tc>
      </w:tr>
      <w:tr w:rsidR="005B32D7" w:rsidRPr="006B1E71" w14:paraId="6712C915" w14:textId="77777777" w:rsidTr="00962E16">
        <w:trPr>
          <w:jc w:val="center"/>
        </w:trPr>
        <w:tc>
          <w:tcPr>
            <w:tcW w:w="625" w:type="dxa"/>
            <w:shd w:val="clear" w:color="auto" w:fill="auto"/>
          </w:tcPr>
          <w:p w14:paraId="33BE3A34" w14:textId="77777777" w:rsidR="00DE77A2" w:rsidRPr="006B1E71" w:rsidRDefault="00DE77A2" w:rsidP="002256FA">
            <w:pPr>
              <w:rPr>
                <w:sz w:val="36"/>
                <w:szCs w:val="36"/>
              </w:rPr>
            </w:pPr>
          </w:p>
        </w:tc>
        <w:tc>
          <w:tcPr>
            <w:tcW w:w="9225" w:type="dxa"/>
            <w:shd w:val="clear" w:color="auto" w:fill="auto"/>
          </w:tcPr>
          <w:p w14:paraId="23CBAF9D" w14:textId="4A011FBA" w:rsidR="00DE77A2" w:rsidRPr="006B1E71" w:rsidRDefault="0096275B" w:rsidP="0050320F">
            <w:pPr>
              <w:pStyle w:val="Heading2"/>
              <w:outlineLvl w:val="1"/>
              <w:rPr>
                <w:sz w:val="36"/>
                <w:szCs w:val="36"/>
              </w:rPr>
            </w:pPr>
            <w:r w:rsidRPr="006B1E71">
              <w:rPr>
                <w:sz w:val="36"/>
                <w:szCs w:val="36"/>
              </w:rPr>
              <w:t xml:space="preserve">Our </w:t>
            </w:r>
            <w:r w:rsidR="00D52A49" w:rsidRPr="006B1E71">
              <w:rPr>
                <w:sz w:val="36"/>
                <w:szCs w:val="36"/>
              </w:rPr>
              <w:t>C</w:t>
            </w:r>
            <w:r w:rsidR="0050320F">
              <w:rPr>
                <w:sz w:val="36"/>
                <w:szCs w:val="36"/>
              </w:rPr>
              <w:t>urrent Projects</w:t>
            </w:r>
          </w:p>
        </w:tc>
        <w:tc>
          <w:tcPr>
            <w:tcW w:w="590" w:type="dxa"/>
            <w:shd w:val="clear" w:color="auto" w:fill="auto"/>
          </w:tcPr>
          <w:p w14:paraId="581CE1E4" w14:textId="77777777" w:rsidR="00DE77A2" w:rsidRPr="006B1E71" w:rsidRDefault="00DE77A2" w:rsidP="002256FA">
            <w:pPr>
              <w:rPr>
                <w:sz w:val="36"/>
                <w:szCs w:val="36"/>
              </w:rPr>
            </w:pPr>
          </w:p>
        </w:tc>
      </w:tr>
      <w:tr w:rsidR="00DE77A2" w:rsidRPr="00BD2FF3" w14:paraId="1A714762" w14:textId="77777777" w:rsidTr="00962E16">
        <w:trPr>
          <w:jc w:val="center"/>
        </w:trPr>
        <w:tc>
          <w:tcPr>
            <w:tcW w:w="625" w:type="dxa"/>
          </w:tcPr>
          <w:p w14:paraId="56B921FD" w14:textId="77777777" w:rsidR="00DE77A2" w:rsidRPr="00BD2FF3" w:rsidRDefault="00DE77A2" w:rsidP="0096275B">
            <w:pPr>
              <w:jc w:val="both"/>
            </w:pPr>
          </w:p>
        </w:tc>
        <w:tc>
          <w:tcPr>
            <w:tcW w:w="9225" w:type="dxa"/>
          </w:tcPr>
          <w:p w14:paraId="6B4CA003" w14:textId="4E985ED8" w:rsidR="0096275B" w:rsidRDefault="0096275B" w:rsidP="00007585">
            <w:pPr>
              <w:spacing w:before="0" w:after="200" w:line="276" w:lineRule="auto"/>
              <w:jc w:val="both"/>
            </w:pPr>
            <w:r>
              <w:t>The Board continues to be involved with the Government’s Black Economy Taskforce</w:t>
            </w:r>
            <w:r w:rsidR="004501CF">
              <w:t xml:space="preserve"> and is </w:t>
            </w:r>
            <w:proofErr w:type="gramStart"/>
            <w:r>
              <w:t>progress</w:t>
            </w:r>
            <w:r w:rsidR="007A580E">
              <w:t>ing</w:t>
            </w:r>
            <w:proofErr w:type="gramEnd"/>
            <w:r w:rsidR="007A580E">
              <w:t xml:space="preserve"> </w:t>
            </w:r>
            <w:r>
              <w:t>several</w:t>
            </w:r>
            <w:r w:rsidR="007A580E">
              <w:t xml:space="preserve"> other</w:t>
            </w:r>
            <w:r>
              <w:t xml:space="preserve"> projects towards completion. </w:t>
            </w:r>
            <w:r w:rsidR="0096485E">
              <w:t xml:space="preserve"> </w:t>
            </w:r>
            <w:r>
              <w:t>Work continues to progress on the following projects:</w:t>
            </w:r>
          </w:p>
          <w:p w14:paraId="6650B98B" w14:textId="743B326E" w:rsidR="00617495" w:rsidRDefault="00617495" w:rsidP="00007585">
            <w:pPr>
              <w:pStyle w:val="Bullet"/>
              <w:keepLines/>
              <w:numPr>
                <w:ilvl w:val="0"/>
                <w:numId w:val="20"/>
              </w:numPr>
              <w:spacing w:before="0" w:after="200" w:line="276" w:lineRule="auto"/>
              <w:jc w:val="both"/>
            </w:pPr>
            <w:r>
              <w:t>tax and the sharing economy</w:t>
            </w:r>
            <w:r w:rsidR="0050320F">
              <w:t>;</w:t>
            </w:r>
          </w:p>
          <w:p w14:paraId="3FBA540C" w14:textId="4771A107" w:rsidR="003044CD" w:rsidRDefault="003044CD" w:rsidP="00007585">
            <w:pPr>
              <w:pStyle w:val="Bullet"/>
              <w:numPr>
                <w:ilvl w:val="0"/>
                <w:numId w:val="20"/>
              </w:numPr>
              <w:spacing w:before="0" w:after="200" w:line="276" w:lineRule="auto"/>
              <w:jc w:val="both"/>
            </w:pPr>
            <w:r>
              <w:t>high wealth individuals and residency;</w:t>
            </w:r>
          </w:p>
          <w:p w14:paraId="6D3B585D" w14:textId="77777777" w:rsidR="003044CD" w:rsidRDefault="003044CD" w:rsidP="00007585">
            <w:pPr>
              <w:pStyle w:val="Bullet"/>
              <w:numPr>
                <w:ilvl w:val="0"/>
                <w:numId w:val="20"/>
              </w:numPr>
              <w:spacing w:before="0" w:after="200" w:line="276" w:lineRule="auto"/>
              <w:jc w:val="both"/>
            </w:pPr>
            <w:r>
              <w:t>alignment of tax and accounting concepts;</w:t>
            </w:r>
          </w:p>
          <w:p w14:paraId="065DC911" w14:textId="77777777" w:rsidR="003044CD" w:rsidRDefault="003044CD" w:rsidP="00007585">
            <w:pPr>
              <w:pStyle w:val="Bullet"/>
              <w:numPr>
                <w:ilvl w:val="0"/>
                <w:numId w:val="20"/>
              </w:numPr>
              <w:spacing w:before="0" w:after="200" w:line="276" w:lineRule="auto"/>
              <w:jc w:val="both"/>
            </w:pPr>
            <w:r>
              <w:t>definitions under State and Federal Laws;</w:t>
            </w:r>
            <w:r w:rsidDel="00617495">
              <w:t xml:space="preserve"> </w:t>
            </w:r>
          </w:p>
          <w:p w14:paraId="401F6CFA" w14:textId="68703C8F" w:rsidR="0050320F" w:rsidRDefault="0050320F" w:rsidP="00007585">
            <w:pPr>
              <w:pStyle w:val="Bullet"/>
              <w:numPr>
                <w:ilvl w:val="0"/>
                <w:numId w:val="20"/>
              </w:numPr>
              <w:spacing w:before="0" w:after="200" w:line="276" w:lineRule="auto"/>
              <w:jc w:val="both"/>
            </w:pPr>
            <w:proofErr w:type="gramStart"/>
            <w:r>
              <w:t>contingent</w:t>
            </w:r>
            <w:proofErr w:type="gramEnd"/>
            <w:r>
              <w:t xml:space="preserve"> consideration.</w:t>
            </w:r>
          </w:p>
          <w:p w14:paraId="4F2A9593" w14:textId="6FFAF5D7" w:rsidR="0078121B" w:rsidRDefault="007A580E" w:rsidP="00007585">
            <w:pPr>
              <w:spacing w:before="0" w:after="200" w:line="276" w:lineRule="auto"/>
              <w:jc w:val="both"/>
            </w:pPr>
            <w:r>
              <w:t xml:space="preserve">The Board </w:t>
            </w:r>
            <w:r w:rsidR="00EE2EC2">
              <w:t xml:space="preserve">provided an outline of </w:t>
            </w:r>
            <w:r>
              <w:t xml:space="preserve">its </w:t>
            </w:r>
            <w:r w:rsidR="0096485E">
              <w:t xml:space="preserve">consultations regarding the </w:t>
            </w:r>
            <w:r w:rsidR="00E63ED6">
              <w:t xml:space="preserve">implementation of </w:t>
            </w:r>
            <w:r w:rsidR="0096485E">
              <w:t xml:space="preserve">the </w:t>
            </w:r>
            <w:r w:rsidR="0096275B">
              <w:t>OECD proposal for Mandatory Disclosure Rules.</w:t>
            </w:r>
            <w:r w:rsidR="00617495">
              <w:t xml:space="preserve"> </w:t>
            </w:r>
          </w:p>
          <w:p w14:paraId="5BCBA897" w14:textId="53D8663B" w:rsidR="00A23911" w:rsidRDefault="00A23911" w:rsidP="00007585">
            <w:pPr>
              <w:spacing w:before="0" w:after="200" w:line="276" w:lineRule="auto"/>
              <w:jc w:val="both"/>
            </w:pPr>
            <w:r>
              <w:t xml:space="preserve">The Minister encouraged the Board to consider ways to improve </w:t>
            </w:r>
            <w:r w:rsidR="008F243F">
              <w:t xml:space="preserve">the experience of </w:t>
            </w:r>
            <w:r w:rsidR="00882BE7">
              <w:t>business interacti</w:t>
            </w:r>
            <w:r>
              <w:t>n</w:t>
            </w:r>
            <w:r w:rsidR="00882BE7">
              <w:t>g</w:t>
            </w:r>
            <w:r>
              <w:t xml:space="preserve"> with Government</w:t>
            </w:r>
            <w:r w:rsidR="008F243F">
              <w:t xml:space="preserve"> through the</w:t>
            </w:r>
            <w:r>
              <w:t xml:space="preserve"> tax system by identifying holistic solutions (not a silo, single </w:t>
            </w:r>
            <w:r w:rsidR="008F243F">
              <w:t xml:space="preserve">issue </w:t>
            </w:r>
            <w:r>
              <w:t>approach</w:t>
            </w:r>
            <w:r w:rsidR="008F243F">
              <w:t>).</w:t>
            </w:r>
          </w:p>
          <w:p w14:paraId="2C29D071" w14:textId="2FB8F535" w:rsidR="00DE77A2" w:rsidRPr="00BD2FF3" w:rsidRDefault="00617495" w:rsidP="00007585">
            <w:pPr>
              <w:spacing w:before="0" w:after="200" w:line="276" w:lineRule="auto"/>
              <w:jc w:val="both"/>
            </w:pPr>
            <w:r>
              <w:t>Some of our current projects are expanded upon below.</w:t>
            </w:r>
          </w:p>
        </w:tc>
        <w:tc>
          <w:tcPr>
            <w:tcW w:w="590" w:type="dxa"/>
          </w:tcPr>
          <w:p w14:paraId="5B2E4DF3" w14:textId="77777777" w:rsidR="008867E3" w:rsidRPr="00BD2FF3" w:rsidRDefault="008867E3" w:rsidP="002256FA"/>
        </w:tc>
      </w:tr>
      <w:tr w:rsidR="008867E3" w:rsidRPr="00BD2FF3" w14:paraId="27C036E6" w14:textId="77777777" w:rsidTr="00962E16">
        <w:trPr>
          <w:jc w:val="center"/>
        </w:trPr>
        <w:tc>
          <w:tcPr>
            <w:tcW w:w="625" w:type="dxa"/>
          </w:tcPr>
          <w:p w14:paraId="72399309" w14:textId="10A4858B" w:rsidR="008867E3" w:rsidRPr="00BD2FF3" w:rsidRDefault="008867E3" w:rsidP="0096275B">
            <w:pPr>
              <w:jc w:val="both"/>
            </w:pPr>
          </w:p>
        </w:tc>
        <w:tc>
          <w:tcPr>
            <w:tcW w:w="9225" w:type="dxa"/>
          </w:tcPr>
          <w:p w14:paraId="25CAB409" w14:textId="212589EF" w:rsidR="008867E3" w:rsidRPr="008867E3" w:rsidRDefault="008867E3" w:rsidP="008867E3">
            <w:pPr>
              <w:pStyle w:val="Heading2"/>
              <w:outlineLvl w:val="1"/>
              <w:rPr>
                <w:sz w:val="36"/>
                <w:szCs w:val="36"/>
              </w:rPr>
            </w:pPr>
            <w:r w:rsidRPr="008867E3">
              <w:rPr>
                <w:sz w:val="36"/>
                <w:szCs w:val="36"/>
              </w:rPr>
              <w:t>Black Economy Taskforce</w:t>
            </w:r>
          </w:p>
        </w:tc>
        <w:tc>
          <w:tcPr>
            <w:tcW w:w="590" w:type="dxa"/>
          </w:tcPr>
          <w:p w14:paraId="6C69892B" w14:textId="77777777" w:rsidR="008867E3" w:rsidRDefault="008867E3" w:rsidP="002256FA"/>
        </w:tc>
      </w:tr>
      <w:tr w:rsidR="008867E3" w:rsidRPr="00BD2FF3" w14:paraId="4145E846" w14:textId="77777777" w:rsidTr="00962E16">
        <w:trPr>
          <w:jc w:val="center"/>
        </w:trPr>
        <w:tc>
          <w:tcPr>
            <w:tcW w:w="625" w:type="dxa"/>
          </w:tcPr>
          <w:p w14:paraId="54D79314" w14:textId="77777777" w:rsidR="008867E3" w:rsidRDefault="008867E3" w:rsidP="0096275B">
            <w:pPr>
              <w:jc w:val="both"/>
            </w:pPr>
          </w:p>
        </w:tc>
        <w:tc>
          <w:tcPr>
            <w:tcW w:w="9225" w:type="dxa"/>
          </w:tcPr>
          <w:p w14:paraId="6D325695" w14:textId="565C5AC2" w:rsidR="008867E3" w:rsidRDefault="008867E3" w:rsidP="00007585">
            <w:pPr>
              <w:spacing w:before="0" w:after="200" w:line="276" w:lineRule="auto"/>
              <w:jc w:val="both"/>
            </w:pPr>
            <w:r>
              <w:t>The Board received an update from the Chair on the work to date of the Black Economy Taskforce</w:t>
            </w:r>
            <w:r w:rsidR="0096485E">
              <w:t xml:space="preserve"> (</w:t>
            </w:r>
            <w:r w:rsidR="0096485E" w:rsidRPr="00F46FB9">
              <w:rPr>
                <w:b/>
              </w:rPr>
              <w:t>the Taskforce</w:t>
            </w:r>
            <w:r w:rsidR="0096485E">
              <w:t>)</w:t>
            </w:r>
            <w:r>
              <w:t xml:space="preserve">.  </w:t>
            </w:r>
            <w:r w:rsidR="00FA7E97">
              <w:t xml:space="preserve">The Board discussed the recently concluded national roadshow of the Taskforce, the previously announced </w:t>
            </w:r>
            <w:r>
              <w:t xml:space="preserve">interim recommendations and longer term issues </w:t>
            </w:r>
            <w:r w:rsidR="00FA7E97">
              <w:t xml:space="preserve">still under consideration. </w:t>
            </w:r>
            <w:r w:rsidR="0096485E">
              <w:t xml:space="preserve"> A number of the Taskforce themes have overlap with the work of the Board.</w:t>
            </w:r>
          </w:p>
        </w:tc>
        <w:tc>
          <w:tcPr>
            <w:tcW w:w="590" w:type="dxa"/>
          </w:tcPr>
          <w:p w14:paraId="3F3076AF" w14:textId="77777777" w:rsidR="008867E3" w:rsidRDefault="008867E3" w:rsidP="002256FA"/>
        </w:tc>
      </w:tr>
      <w:tr w:rsidR="003044CD" w:rsidRPr="00BD2FF3" w14:paraId="652CC330" w14:textId="77777777" w:rsidTr="00962E16">
        <w:trPr>
          <w:jc w:val="center"/>
        </w:trPr>
        <w:tc>
          <w:tcPr>
            <w:tcW w:w="625" w:type="dxa"/>
          </w:tcPr>
          <w:p w14:paraId="2133CC79" w14:textId="77777777" w:rsidR="003044CD" w:rsidRPr="00BD2FF3" w:rsidRDefault="003044CD" w:rsidP="00F45150"/>
        </w:tc>
        <w:tc>
          <w:tcPr>
            <w:tcW w:w="9225" w:type="dxa"/>
          </w:tcPr>
          <w:p w14:paraId="5B37FCF8" w14:textId="17E6EABC" w:rsidR="003044CD" w:rsidRDefault="003044CD" w:rsidP="00F45150">
            <w:pPr>
              <w:pStyle w:val="Bullet"/>
              <w:numPr>
                <w:ilvl w:val="0"/>
                <w:numId w:val="0"/>
              </w:numPr>
              <w:tabs>
                <w:tab w:val="left" w:pos="720"/>
                <w:tab w:val="left" w:pos="6550"/>
              </w:tabs>
              <w:jc w:val="both"/>
            </w:pPr>
            <w:r>
              <w:rPr>
                <w:rFonts w:ascii="Segoe UI Light" w:hAnsi="Segoe UI Light"/>
                <w:b/>
                <w:color w:val="1F497D" w:themeColor="text2"/>
                <w:sz w:val="36"/>
                <w:szCs w:val="36"/>
              </w:rPr>
              <w:t>Tax and the Sharing Economy</w:t>
            </w:r>
          </w:p>
        </w:tc>
        <w:tc>
          <w:tcPr>
            <w:tcW w:w="590" w:type="dxa"/>
          </w:tcPr>
          <w:p w14:paraId="0DF0AD15" w14:textId="77777777" w:rsidR="003044CD" w:rsidRPr="00BD2FF3" w:rsidRDefault="003044CD" w:rsidP="00F45150"/>
        </w:tc>
      </w:tr>
      <w:tr w:rsidR="003044CD" w:rsidRPr="00BD2FF3" w14:paraId="759A6F55" w14:textId="77777777" w:rsidTr="00962E16">
        <w:trPr>
          <w:jc w:val="center"/>
        </w:trPr>
        <w:tc>
          <w:tcPr>
            <w:tcW w:w="625" w:type="dxa"/>
          </w:tcPr>
          <w:p w14:paraId="0148EA00" w14:textId="77777777" w:rsidR="003044CD" w:rsidRDefault="003044CD" w:rsidP="00F45150"/>
        </w:tc>
        <w:tc>
          <w:tcPr>
            <w:tcW w:w="9225" w:type="dxa"/>
          </w:tcPr>
          <w:p w14:paraId="6545A224" w14:textId="74E566AF" w:rsidR="003044CD" w:rsidRDefault="003044CD" w:rsidP="00007585">
            <w:pPr>
              <w:pStyle w:val="Bullet"/>
              <w:numPr>
                <w:ilvl w:val="0"/>
                <w:numId w:val="0"/>
              </w:numPr>
              <w:tabs>
                <w:tab w:val="left" w:pos="720"/>
              </w:tabs>
              <w:spacing w:before="0" w:after="200" w:line="276" w:lineRule="auto"/>
              <w:jc w:val="both"/>
            </w:pPr>
            <w:r>
              <w:t xml:space="preserve">The Board discussed a draft report of the working group led by Neville Mitchell in relation to income tax and the Sharing Economy.  The Board provided some observations </w:t>
            </w:r>
            <w:r w:rsidRPr="00F46FB9">
              <w:t>and is now in a posi</w:t>
            </w:r>
            <w:r w:rsidRPr="006000E2">
              <w:t>tion to finalise this report.</w:t>
            </w:r>
            <w:r w:rsidR="0096485E">
              <w:t xml:space="preserve">  The report will be made available to the </w:t>
            </w:r>
            <w:r w:rsidR="00E63ED6">
              <w:t xml:space="preserve">Taskforce </w:t>
            </w:r>
            <w:proofErr w:type="spellStart"/>
            <w:r w:rsidR="0096485E">
              <w:t>workstream</w:t>
            </w:r>
            <w:proofErr w:type="spellEnd"/>
            <w:r w:rsidR="00007585">
              <w:t xml:space="preserve"> group</w:t>
            </w:r>
            <w:r w:rsidR="0096485E">
              <w:t xml:space="preserve">s </w:t>
            </w:r>
            <w:r w:rsidR="00E63ED6">
              <w:t xml:space="preserve">that are </w:t>
            </w:r>
            <w:r w:rsidR="0096485E">
              <w:t>considering sharing economy issues.</w:t>
            </w:r>
          </w:p>
        </w:tc>
        <w:tc>
          <w:tcPr>
            <w:tcW w:w="590" w:type="dxa"/>
          </w:tcPr>
          <w:p w14:paraId="3B6A3C5C" w14:textId="77777777" w:rsidR="003044CD" w:rsidRDefault="003044CD" w:rsidP="00F45150"/>
        </w:tc>
      </w:tr>
      <w:tr w:rsidR="008867E3" w:rsidRPr="00BD2FF3" w14:paraId="6F363BB9" w14:textId="77777777" w:rsidTr="00962E16">
        <w:trPr>
          <w:jc w:val="center"/>
        </w:trPr>
        <w:tc>
          <w:tcPr>
            <w:tcW w:w="625" w:type="dxa"/>
          </w:tcPr>
          <w:p w14:paraId="06EAB370" w14:textId="77777777" w:rsidR="008867E3" w:rsidRPr="00BD2FF3" w:rsidRDefault="008867E3" w:rsidP="00F45150"/>
        </w:tc>
        <w:tc>
          <w:tcPr>
            <w:tcW w:w="9225" w:type="dxa"/>
          </w:tcPr>
          <w:p w14:paraId="74F28290" w14:textId="3150C664" w:rsidR="008867E3" w:rsidRDefault="008867E3" w:rsidP="00FA7E97">
            <w:pPr>
              <w:pStyle w:val="Bullet"/>
              <w:numPr>
                <w:ilvl w:val="0"/>
                <w:numId w:val="0"/>
              </w:numPr>
              <w:tabs>
                <w:tab w:val="left" w:pos="720"/>
                <w:tab w:val="left" w:pos="6550"/>
              </w:tabs>
              <w:jc w:val="both"/>
            </w:pPr>
            <w:r>
              <w:rPr>
                <w:rFonts w:ascii="Segoe UI Light" w:hAnsi="Segoe UI Light"/>
                <w:b/>
                <w:color w:val="1F497D" w:themeColor="text2"/>
                <w:sz w:val="36"/>
                <w:szCs w:val="36"/>
              </w:rPr>
              <w:t>H</w:t>
            </w:r>
            <w:r w:rsidRPr="008867E3">
              <w:rPr>
                <w:rFonts w:ascii="Segoe UI Light" w:hAnsi="Segoe UI Light"/>
                <w:b/>
                <w:color w:val="1F497D" w:themeColor="text2"/>
                <w:sz w:val="36"/>
                <w:szCs w:val="36"/>
              </w:rPr>
              <w:t xml:space="preserve">igh </w:t>
            </w:r>
            <w:r w:rsidR="00617495">
              <w:rPr>
                <w:rFonts w:ascii="Segoe UI Light" w:hAnsi="Segoe UI Light"/>
                <w:b/>
                <w:color w:val="1F497D" w:themeColor="text2"/>
                <w:sz w:val="36"/>
                <w:szCs w:val="36"/>
              </w:rPr>
              <w:t>Wealth Individuals a</w:t>
            </w:r>
            <w:r w:rsidR="00617495" w:rsidRPr="008867E3">
              <w:rPr>
                <w:rFonts w:ascii="Segoe UI Light" w:hAnsi="Segoe UI Light"/>
                <w:b/>
                <w:color w:val="1F497D" w:themeColor="text2"/>
                <w:sz w:val="36"/>
                <w:szCs w:val="36"/>
              </w:rPr>
              <w:t>nd Residency</w:t>
            </w:r>
            <w:r w:rsidR="00FA7E97">
              <w:rPr>
                <w:rFonts w:ascii="Segoe UI Light" w:hAnsi="Segoe UI Light"/>
                <w:b/>
                <w:color w:val="1F497D" w:themeColor="text2"/>
                <w:sz w:val="36"/>
                <w:szCs w:val="36"/>
              </w:rPr>
              <w:tab/>
            </w:r>
          </w:p>
        </w:tc>
        <w:tc>
          <w:tcPr>
            <w:tcW w:w="590" w:type="dxa"/>
          </w:tcPr>
          <w:p w14:paraId="1687B4F8" w14:textId="77777777" w:rsidR="008867E3" w:rsidRPr="00BD2FF3" w:rsidRDefault="008867E3" w:rsidP="00F45150"/>
        </w:tc>
      </w:tr>
      <w:tr w:rsidR="008867E3" w:rsidRPr="00BD2FF3" w14:paraId="4658BBE2" w14:textId="77777777" w:rsidTr="00962E16">
        <w:trPr>
          <w:jc w:val="center"/>
        </w:trPr>
        <w:tc>
          <w:tcPr>
            <w:tcW w:w="625" w:type="dxa"/>
          </w:tcPr>
          <w:p w14:paraId="05ED8376" w14:textId="77777777" w:rsidR="008867E3" w:rsidRDefault="008867E3" w:rsidP="00F45150"/>
        </w:tc>
        <w:tc>
          <w:tcPr>
            <w:tcW w:w="9225" w:type="dxa"/>
          </w:tcPr>
          <w:p w14:paraId="7C493E30" w14:textId="0F3DA640" w:rsidR="008867E3" w:rsidRDefault="008867E3" w:rsidP="00007585">
            <w:pPr>
              <w:pStyle w:val="Bullet"/>
              <w:numPr>
                <w:ilvl w:val="0"/>
                <w:numId w:val="0"/>
              </w:numPr>
              <w:tabs>
                <w:tab w:val="left" w:pos="720"/>
              </w:tabs>
              <w:spacing w:before="0" w:after="200" w:line="276" w:lineRule="auto"/>
              <w:jc w:val="both"/>
            </w:pPr>
            <w:r>
              <w:t xml:space="preserve">The Board discussed a draft working paper of the working group led by Mark </w:t>
            </w:r>
            <w:proofErr w:type="spellStart"/>
            <w:r>
              <w:t>Pizzacalla</w:t>
            </w:r>
            <w:proofErr w:type="spellEnd"/>
            <w:r>
              <w:t xml:space="preserve"> in relation to residency and high wealth individuals.  </w:t>
            </w:r>
            <w:r w:rsidR="00C96E51">
              <w:t xml:space="preserve">The Board provided observations and comments in relation to </w:t>
            </w:r>
            <w:r w:rsidR="00FA7E97">
              <w:t xml:space="preserve">some </w:t>
            </w:r>
            <w:r w:rsidR="00C96E51">
              <w:t>matters still under consideration by the working group</w:t>
            </w:r>
            <w:r w:rsidR="001A0BA9">
              <w:t xml:space="preserve"> including the interactions between other tax and visa policies relating to inbound and outbound individuals. </w:t>
            </w:r>
            <w:r w:rsidR="005B469A">
              <w:t xml:space="preserve"> </w:t>
            </w:r>
            <w:r w:rsidR="001A0BA9">
              <w:t>The Board</w:t>
            </w:r>
            <w:r w:rsidR="00FA7E97">
              <w:t xml:space="preserve"> </w:t>
            </w:r>
            <w:r w:rsidR="001A0BA9" w:rsidRPr="00F46FB9">
              <w:t xml:space="preserve">intends </w:t>
            </w:r>
            <w:r w:rsidR="00FA7E97" w:rsidRPr="006000E2">
              <w:t>to conclude this project</w:t>
            </w:r>
            <w:r w:rsidR="003044CD" w:rsidRPr="006000E2">
              <w:t xml:space="preserve"> at the next Board meeting</w:t>
            </w:r>
            <w:r w:rsidR="00C96E51">
              <w:t>.</w:t>
            </w:r>
          </w:p>
          <w:p w14:paraId="20E3A536" w14:textId="77777777" w:rsidR="00007585" w:rsidRDefault="00007585" w:rsidP="00007585">
            <w:pPr>
              <w:pStyle w:val="Bullet"/>
              <w:numPr>
                <w:ilvl w:val="0"/>
                <w:numId w:val="0"/>
              </w:numPr>
              <w:tabs>
                <w:tab w:val="left" w:pos="720"/>
              </w:tabs>
              <w:spacing w:before="0" w:after="200" w:line="276" w:lineRule="auto"/>
              <w:jc w:val="both"/>
            </w:pPr>
          </w:p>
          <w:p w14:paraId="74DDF437" w14:textId="77777777" w:rsidR="00007585" w:rsidRDefault="00007585" w:rsidP="00007585">
            <w:pPr>
              <w:pStyle w:val="Bullet"/>
              <w:numPr>
                <w:ilvl w:val="0"/>
                <w:numId w:val="0"/>
              </w:numPr>
              <w:tabs>
                <w:tab w:val="left" w:pos="720"/>
              </w:tabs>
              <w:spacing w:before="0" w:after="200" w:line="276" w:lineRule="auto"/>
              <w:jc w:val="both"/>
            </w:pPr>
          </w:p>
          <w:p w14:paraId="03D8EC62" w14:textId="01EED42D" w:rsidR="008867E3" w:rsidRDefault="008867E3" w:rsidP="00007585">
            <w:pPr>
              <w:pStyle w:val="Bullet"/>
              <w:numPr>
                <w:ilvl w:val="0"/>
                <w:numId w:val="0"/>
              </w:numPr>
              <w:tabs>
                <w:tab w:val="left" w:pos="720"/>
              </w:tabs>
              <w:spacing w:before="0" w:after="200" w:line="276" w:lineRule="auto"/>
              <w:jc w:val="both"/>
            </w:pPr>
          </w:p>
        </w:tc>
        <w:tc>
          <w:tcPr>
            <w:tcW w:w="590" w:type="dxa"/>
          </w:tcPr>
          <w:p w14:paraId="33F12D04" w14:textId="77777777" w:rsidR="008867E3" w:rsidRDefault="008867E3" w:rsidP="00F45150"/>
        </w:tc>
      </w:tr>
      <w:tr w:rsidR="00E3161A" w:rsidRPr="006B1E71" w14:paraId="627E7020" w14:textId="77777777" w:rsidTr="00962E16">
        <w:trPr>
          <w:jc w:val="center"/>
        </w:trPr>
        <w:tc>
          <w:tcPr>
            <w:tcW w:w="625" w:type="dxa"/>
          </w:tcPr>
          <w:p w14:paraId="395E435A" w14:textId="77777777" w:rsidR="00E3161A" w:rsidRPr="006B1E71" w:rsidRDefault="00E3161A" w:rsidP="00F45150">
            <w:pPr>
              <w:rPr>
                <w:sz w:val="36"/>
                <w:szCs w:val="36"/>
              </w:rPr>
            </w:pPr>
          </w:p>
        </w:tc>
        <w:tc>
          <w:tcPr>
            <w:tcW w:w="9225" w:type="dxa"/>
          </w:tcPr>
          <w:p w14:paraId="704AA9A3" w14:textId="1970F4F1" w:rsidR="00E3161A" w:rsidRPr="006B1E71" w:rsidRDefault="00E3161A" w:rsidP="00A62217">
            <w:pPr>
              <w:pStyle w:val="Heading2"/>
              <w:outlineLvl w:val="1"/>
              <w:rPr>
                <w:sz w:val="36"/>
                <w:szCs w:val="36"/>
              </w:rPr>
            </w:pPr>
            <w:r w:rsidRPr="006B1E71">
              <w:rPr>
                <w:sz w:val="36"/>
                <w:szCs w:val="36"/>
              </w:rPr>
              <w:t>Definitions under State and Federal Laws</w:t>
            </w:r>
          </w:p>
        </w:tc>
        <w:tc>
          <w:tcPr>
            <w:tcW w:w="590" w:type="dxa"/>
          </w:tcPr>
          <w:p w14:paraId="7B5AB92A" w14:textId="77777777" w:rsidR="00E3161A" w:rsidRPr="006B1E71" w:rsidRDefault="00E3161A" w:rsidP="00F45150">
            <w:pPr>
              <w:rPr>
                <w:sz w:val="36"/>
                <w:szCs w:val="36"/>
              </w:rPr>
            </w:pPr>
          </w:p>
        </w:tc>
      </w:tr>
      <w:tr w:rsidR="00E3161A" w:rsidRPr="00BD2FF3" w14:paraId="275F92CC" w14:textId="77777777" w:rsidTr="00962E16">
        <w:trPr>
          <w:jc w:val="center"/>
        </w:trPr>
        <w:tc>
          <w:tcPr>
            <w:tcW w:w="625" w:type="dxa"/>
          </w:tcPr>
          <w:p w14:paraId="27A05CCF" w14:textId="77777777" w:rsidR="00E3161A" w:rsidRDefault="00E3161A" w:rsidP="00F45150"/>
        </w:tc>
        <w:tc>
          <w:tcPr>
            <w:tcW w:w="9225" w:type="dxa"/>
          </w:tcPr>
          <w:p w14:paraId="4E153B3A" w14:textId="23F135CB" w:rsidR="00E3161A" w:rsidRDefault="00FA7E97" w:rsidP="00DC7F55">
            <w:pPr>
              <w:pStyle w:val="Bullet"/>
              <w:numPr>
                <w:ilvl w:val="0"/>
                <w:numId w:val="0"/>
              </w:numPr>
              <w:tabs>
                <w:tab w:val="left" w:pos="720"/>
              </w:tabs>
              <w:spacing w:before="0" w:after="200" w:line="276" w:lineRule="auto"/>
              <w:jc w:val="both"/>
            </w:pPr>
            <w:r>
              <w:t xml:space="preserve">The Board </w:t>
            </w:r>
            <w:r w:rsidR="003044CD">
              <w:t xml:space="preserve">received an update on the working group’s </w:t>
            </w:r>
            <w:r w:rsidR="001A0BA9">
              <w:t>review</w:t>
            </w:r>
            <w:r w:rsidR="003044CD">
              <w:t xml:space="preserve"> </w:t>
            </w:r>
            <w:r w:rsidR="001A0BA9">
              <w:t xml:space="preserve">of inconsistencies between core definitions and concepts relating to the state and territory payroll taxes, land tax and duties. </w:t>
            </w:r>
            <w:r w:rsidR="005B469A">
              <w:t xml:space="preserve"> </w:t>
            </w:r>
            <w:r w:rsidR="001A0BA9">
              <w:t xml:space="preserve">This work, based on a report provided to the Board by Deloitte, notes a number of significant differences.  </w:t>
            </w:r>
            <w:r w:rsidR="009F1E27">
              <w:t xml:space="preserve">The Board would like to include in its report some feedback from stakeholders on the likely </w:t>
            </w:r>
            <w:r w:rsidR="00882BE7">
              <w:t xml:space="preserve">impact and </w:t>
            </w:r>
            <w:r w:rsidR="009F1E27">
              <w:t>consequences</w:t>
            </w:r>
            <w:r w:rsidR="00E63ED6">
              <w:t xml:space="preserve"> of the variations and</w:t>
            </w:r>
            <w:r w:rsidR="009F1E27">
              <w:t xml:space="preserve"> differences</w:t>
            </w:r>
            <w:r w:rsidR="0001687B">
              <w:t xml:space="preserve"> </w:t>
            </w:r>
            <w:r w:rsidR="0001687B" w:rsidRPr="0001687B">
              <w:t>relating to the state and territory payroll taxes, land tax and duties</w:t>
            </w:r>
            <w:r w:rsidR="00E63ED6">
              <w:t xml:space="preserve">.  The report, once completed, will be made available to Federal and State Ministers for their information.  </w:t>
            </w:r>
            <w:r w:rsidR="009F1E27">
              <w:t xml:space="preserve">Please contact us at </w:t>
            </w:r>
            <w:hyperlink r:id="rId16" w:history="1">
              <w:r w:rsidR="00DC7F55" w:rsidRPr="00C7693B">
                <w:rPr>
                  <w:rStyle w:val="Hyperlink"/>
                </w:rPr>
                <w:t>taxboard@treasury.gov.au</w:t>
              </w:r>
            </w:hyperlink>
            <w:r w:rsidR="009F1E27" w:rsidRPr="009F1E27">
              <w:t xml:space="preserve"> </w:t>
            </w:r>
            <w:r w:rsidR="009F1E27">
              <w:t xml:space="preserve">if you </w:t>
            </w:r>
            <w:r w:rsidR="00E63ED6">
              <w:t xml:space="preserve">have any </w:t>
            </w:r>
            <w:r w:rsidR="009F1E27">
              <w:t xml:space="preserve">comments, observations and </w:t>
            </w:r>
            <w:r w:rsidR="00E63ED6">
              <w:t xml:space="preserve">feedback to share in relation to this issue.  </w:t>
            </w:r>
            <w:r w:rsidR="001A0BA9">
              <w:t xml:space="preserve">Stakeholders that would like </w:t>
            </w:r>
            <w:r w:rsidR="00E63ED6">
              <w:t xml:space="preserve">to receive </w:t>
            </w:r>
            <w:r w:rsidR="001A0BA9">
              <w:t>a copy of th</w:t>
            </w:r>
            <w:r w:rsidR="00E63ED6">
              <w:t>e</w:t>
            </w:r>
            <w:r w:rsidR="001A0BA9">
              <w:t xml:space="preserve"> report, </w:t>
            </w:r>
            <w:r w:rsidR="00E63ED6">
              <w:t>once completed (</w:t>
            </w:r>
            <w:r w:rsidR="001A0BA9">
              <w:t>and have not previously asked for a copy</w:t>
            </w:r>
            <w:r w:rsidR="00E63ED6">
              <w:t>)</w:t>
            </w:r>
            <w:r w:rsidR="001A0BA9">
              <w:t>, should contact us.</w:t>
            </w:r>
          </w:p>
        </w:tc>
        <w:tc>
          <w:tcPr>
            <w:tcW w:w="590" w:type="dxa"/>
          </w:tcPr>
          <w:p w14:paraId="1F8E0B98" w14:textId="77777777" w:rsidR="00E3161A" w:rsidRDefault="00E3161A" w:rsidP="00F45150"/>
        </w:tc>
      </w:tr>
      <w:tr w:rsidR="00D52A49" w:rsidRPr="006B1E71" w14:paraId="759B1692" w14:textId="77777777" w:rsidTr="00962E16">
        <w:trPr>
          <w:jc w:val="center"/>
        </w:trPr>
        <w:tc>
          <w:tcPr>
            <w:tcW w:w="625" w:type="dxa"/>
            <w:shd w:val="clear" w:color="auto" w:fill="auto"/>
          </w:tcPr>
          <w:p w14:paraId="2093717C" w14:textId="77777777" w:rsidR="00D52A49" w:rsidRPr="006B1E71" w:rsidRDefault="00D52A49" w:rsidP="00F45150">
            <w:pPr>
              <w:rPr>
                <w:sz w:val="36"/>
                <w:szCs w:val="36"/>
              </w:rPr>
            </w:pPr>
          </w:p>
        </w:tc>
        <w:tc>
          <w:tcPr>
            <w:tcW w:w="9225" w:type="dxa"/>
            <w:shd w:val="clear" w:color="auto" w:fill="auto"/>
          </w:tcPr>
          <w:p w14:paraId="537560D6" w14:textId="40999785" w:rsidR="00D52A49" w:rsidRPr="006B1E71" w:rsidRDefault="00287410" w:rsidP="0050320F">
            <w:pPr>
              <w:pStyle w:val="Heading2"/>
              <w:outlineLvl w:val="1"/>
              <w:rPr>
                <w:sz w:val="36"/>
                <w:szCs w:val="36"/>
              </w:rPr>
            </w:pPr>
            <w:r>
              <w:rPr>
                <w:sz w:val="36"/>
                <w:szCs w:val="36"/>
              </w:rPr>
              <w:t xml:space="preserve">Stakeholder </w:t>
            </w:r>
            <w:r w:rsidR="0050320F">
              <w:rPr>
                <w:sz w:val="36"/>
                <w:szCs w:val="36"/>
              </w:rPr>
              <w:t>Information Discussion</w:t>
            </w:r>
          </w:p>
        </w:tc>
        <w:tc>
          <w:tcPr>
            <w:tcW w:w="590" w:type="dxa"/>
            <w:shd w:val="clear" w:color="auto" w:fill="auto"/>
          </w:tcPr>
          <w:p w14:paraId="5910D3D2" w14:textId="77777777" w:rsidR="00D52A49" w:rsidRPr="006B1E71" w:rsidRDefault="00D52A49" w:rsidP="00F45150">
            <w:pPr>
              <w:rPr>
                <w:sz w:val="36"/>
                <w:szCs w:val="36"/>
              </w:rPr>
            </w:pPr>
          </w:p>
        </w:tc>
      </w:tr>
      <w:tr w:rsidR="00D52A49" w:rsidRPr="00BD2FF3" w14:paraId="6AEBC6BD" w14:textId="77777777" w:rsidTr="00962E16">
        <w:trPr>
          <w:jc w:val="center"/>
        </w:trPr>
        <w:tc>
          <w:tcPr>
            <w:tcW w:w="625" w:type="dxa"/>
          </w:tcPr>
          <w:p w14:paraId="1775A53C" w14:textId="77777777" w:rsidR="00D52A49" w:rsidRDefault="00D52A49" w:rsidP="0096275B">
            <w:pPr>
              <w:jc w:val="both"/>
            </w:pPr>
          </w:p>
        </w:tc>
        <w:tc>
          <w:tcPr>
            <w:tcW w:w="9225" w:type="dxa"/>
          </w:tcPr>
          <w:p w14:paraId="2FE05447" w14:textId="3CE555DE" w:rsidR="00D52A49" w:rsidRDefault="00287410" w:rsidP="00007585">
            <w:pPr>
              <w:spacing w:before="0" w:after="200" w:line="276" w:lineRule="auto"/>
              <w:jc w:val="both"/>
            </w:pPr>
            <w:r>
              <w:t xml:space="preserve">During the Board’s information session with stakeholders and the Board’s Advisory Panel, </w:t>
            </w:r>
            <w:r w:rsidR="001D4435">
              <w:t>there was an update on a number of projects of interest to participants.  A</w:t>
            </w:r>
            <w:r>
              <w:t xml:space="preserve"> number of ideas were </w:t>
            </w:r>
            <w:r w:rsidR="001D4435">
              <w:t xml:space="preserve">also </w:t>
            </w:r>
            <w:r>
              <w:t xml:space="preserve">raised </w:t>
            </w:r>
            <w:r w:rsidR="001D4435">
              <w:t xml:space="preserve">by Stakeholders </w:t>
            </w:r>
            <w:r>
              <w:t>for future analysis by the Board. Some of these ideas include the following</w:t>
            </w:r>
            <w:r w:rsidR="00D52A49">
              <w:t>:</w:t>
            </w:r>
          </w:p>
          <w:p w14:paraId="4D4D77EA" w14:textId="0FB86634" w:rsidR="00007585" w:rsidRPr="00E43456" w:rsidRDefault="00287410" w:rsidP="005B469A">
            <w:pPr>
              <w:pStyle w:val="ListParagraph"/>
              <w:numPr>
                <w:ilvl w:val="0"/>
                <w:numId w:val="18"/>
              </w:numPr>
              <w:spacing w:before="0" w:after="200" w:line="276" w:lineRule="auto"/>
              <w:jc w:val="both"/>
            </w:pPr>
            <w:r w:rsidRPr="00E43456">
              <w:t>Improved operation of</w:t>
            </w:r>
            <w:r w:rsidR="005B469A">
              <w:t xml:space="preserve"> </w:t>
            </w:r>
            <w:r w:rsidRPr="00E43456">
              <w:t>the</w:t>
            </w:r>
            <w:r w:rsidR="005B469A">
              <w:t xml:space="preserve"> </w:t>
            </w:r>
            <w:r w:rsidRPr="00E43456">
              <w:t>Employee Share</w:t>
            </w:r>
            <w:r w:rsidR="005B469A">
              <w:t xml:space="preserve"> </w:t>
            </w:r>
            <w:r w:rsidRPr="00E43456">
              <w:t>Scheme</w:t>
            </w:r>
            <w:r w:rsidR="005B469A">
              <w:t xml:space="preserve"> </w:t>
            </w:r>
            <w:r w:rsidRPr="00E43456">
              <w:t>rules</w:t>
            </w:r>
            <w:r w:rsidR="005B469A">
              <w:t xml:space="preserve"> </w:t>
            </w:r>
            <w:r w:rsidRPr="00E43456">
              <w:t>for</w:t>
            </w:r>
            <w:r w:rsidR="005B469A">
              <w:t xml:space="preserve"> </w:t>
            </w:r>
            <w:r w:rsidRPr="00E43456">
              <w:t>private companies</w:t>
            </w:r>
            <w:r w:rsidR="005B469A">
              <w:t xml:space="preserve">.  </w:t>
            </w:r>
            <w:proofErr w:type="spellStart"/>
            <w:r w:rsidR="005B469A">
              <w:t>Reynah</w:t>
            </w:r>
            <w:proofErr w:type="spellEnd"/>
            <w:r w:rsidR="005B469A">
              <w:t> </w:t>
            </w:r>
            <w:r w:rsidR="00A23911" w:rsidRPr="00E43456">
              <w:t>Tang from Johnson, Winter</w:t>
            </w:r>
            <w:r w:rsidR="00E43456">
              <w:t xml:space="preserve"> &amp;</w:t>
            </w:r>
            <w:r w:rsidR="00A23911" w:rsidRPr="00E43456">
              <w:t xml:space="preserve"> Slattery provided the Board with a submission prepared by the Law Council of Australia </w:t>
            </w:r>
            <w:r w:rsidR="00E43456">
              <w:t>to the ATO April 2017 Consultation Paper on Division 83A</w:t>
            </w:r>
            <w:r w:rsidR="00007585" w:rsidRPr="00E43456">
              <w:t>.  The submission identified ten areas that would deliver tax system improvement</w:t>
            </w:r>
            <w:r w:rsidR="0095220F">
              <w:t>, including</w:t>
            </w:r>
            <w:r w:rsidR="004B3E2E">
              <w:t xml:space="preserve"> matters of administration, the exercise of the Commissioner’s remedial power and legislative reform.  This includes:</w:t>
            </w:r>
          </w:p>
          <w:p w14:paraId="60BEEE18" w14:textId="09B63411" w:rsidR="004B3E2E" w:rsidRDefault="004B3E2E" w:rsidP="00007585">
            <w:pPr>
              <w:pStyle w:val="Default"/>
              <w:numPr>
                <w:ilvl w:val="0"/>
                <w:numId w:val="21"/>
              </w:numPr>
              <w:spacing w:after="200" w:line="276" w:lineRule="auto"/>
              <w:rPr>
                <w:rFonts w:ascii="Calibri Light" w:hAnsi="Calibri Light"/>
                <w:sz w:val="22"/>
                <w:szCs w:val="22"/>
              </w:rPr>
            </w:pPr>
            <w:r>
              <w:rPr>
                <w:rFonts w:ascii="Calibri Light" w:hAnsi="Calibri Light"/>
                <w:sz w:val="22"/>
                <w:szCs w:val="22"/>
              </w:rPr>
              <w:t>the interaction with value shifting, fringe ben</w:t>
            </w:r>
            <w:r w:rsidR="00EE2EC2">
              <w:rPr>
                <w:rFonts w:ascii="Calibri Light" w:hAnsi="Calibri Light"/>
                <w:sz w:val="22"/>
                <w:szCs w:val="22"/>
              </w:rPr>
              <w:t>e</w:t>
            </w:r>
            <w:r>
              <w:rPr>
                <w:rFonts w:ascii="Calibri Light" w:hAnsi="Calibri Light"/>
                <w:sz w:val="22"/>
                <w:szCs w:val="22"/>
              </w:rPr>
              <w:t>fits tax and Division 7A;</w:t>
            </w:r>
          </w:p>
          <w:p w14:paraId="2FFE2CBE" w14:textId="4324A3EF" w:rsidR="00007585" w:rsidRPr="00E43456" w:rsidRDefault="00007585" w:rsidP="00007585">
            <w:pPr>
              <w:pStyle w:val="Default"/>
              <w:numPr>
                <w:ilvl w:val="0"/>
                <w:numId w:val="21"/>
              </w:numPr>
              <w:spacing w:after="200" w:line="276" w:lineRule="auto"/>
              <w:rPr>
                <w:rFonts w:ascii="Calibri Light" w:hAnsi="Calibri Light"/>
                <w:sz w:val="22"/>
                <w:szCs w:val="22"/>
              </w:rPr>
            </w:pPr>
            <w:r w:rsidRPr="00E43456">
              <w:rPr>
                <w:rFonts w:ascii="Calibri Light" w:hAnsi="Calibri Light"/>
                <w:sz w:val="22"/>
                <w:szCs w:val="22"/>
              </w:rPr>
              <w:t xml:space="preserve">the application of </w:t>
            </w:r>
            <w:r w:rsidR="0095220F">
              <w:rPr>
                <w:rFonts w:ascii="Calibri Light" w:hAnsi="Calibri Light"/>
                <w:sz w:val="22"/>
                <w:szCs w:val="22"/>
              </w:rPr>
              <w:t xml:space="preserve">the share </w:t>
            </w:r>
            <w:proofErr w:type="spellStart"/>
            <w:r w:rsidR="0095220F">
              <w:rPr>
                <w:rFonts w:ascii="Calibri Light" w:hAnsi="Calibri Light"/>
                <w:sz w:val="22"/>
                <w:szCs w:val="22"/>
              </w:rPr>
              <w:t>buy back</w:t>
            </w:r>
            <w:proofErr w:type="spellEnd"/>
            <w:r w:rsidR="0095220F">
              <w:rPr>
                <w:rFonts w:ascii="Calibri Light" w:hAnsi="Calibri Light"/>
                <w:sz w:val="22"/>
                <w:szCs w:val="22"/>
              </w:rPr>
              <w:t xml:space="preserve"> </w:t>
            </w:r>
            <w:r w:rsidRPr="00E43456">
              <w:rPr>
                <w:rFonts w:ascii="Calibri Light" w:hAnsi="Calibri Light"/>
                <w:sz w:val="22"/>
                <w:szCs w:val="22"/>
              </w:rPr>
              <w:t xml:space="preserve">and the franking regime in the context of </w:t>
            </w:r>
            <w:r w:rsidR="0095220F">
              <w:rPr>
                <w:rFonts w:ascii="Calibri Light" w:hAnsi="Calibri Light"/>
                <w:sz w:val="22"/>
                <w:szCs w:val="22"/>
              </w:rPr>
              <w:t xml:space="preserve">private company </w:t>
            </w:r>
            <w:r w:rsidRPr="00E43456">
              <w:rPr>
                <w:rFonts w:ascii="Calibri Light" w:hAnsi="Calibri Light"/>
                <w:sz w:val="22"/>
                <w:szCs w:val="22"/>
              </w:rPr>
              <w:t xml:space="preserve">employee share scheme buy-backs; </w:t>
            </w:r>
          </w:p>
          <w:p w14:paraId="60FD537E" w14:textId="3F76905A" w:rsidR="00007585" w:rsidRPr="007725D6" w:rsidRDefault="00007585" w:rsidP="00007585">
            <w:pPr>
              <w:pStyle w:val="Default"/>
              <w:numPr>
                <w:ilvl w:val="0"/>
                <w:numId w:val="21"/>
              </w:numPr>
              <w:spacing w:after="200" w:line="276" w:lineRule="auto"/>
              <w:rPr>
                <w:rFonts w:ascii="Calibri Light" w:hAnsi="Calibri Light"/>
                <w:sz w:val="22"/>
                <w:szCs w:val="22"/>
              </w:rPr>
            </w:pPr>
            <w:r w:rsidRPr="00E43456">
              <w:rPr>
                <w:rFonts w:ascii="Calibri Light" w:hAnsi="Calibri Light"/>
                <w:sz w:val="22"/>
                <w:szCs w:val="22"/>
              </w:rPr>
              <w:t xml:space="preserve">the meaning of “ESS interest” and related issues; </w:t>
            </w:r>
          </w:p>
          <w:p w14:paraId="405DED61" w14:textId="3D3828B7" w:rsidR="004B3E2E" w:rsidRDefault="004B3E2E" w:rsidP="00007585">
            <w:pPr>
              <w:pStyle w:val="Default"/>
              <w:pageBreakBefore/>
              <w:numPr>
                <w:ilvl w:val="0"/>
                <w:numId w:val="21"/>
              </w:numPr>
              <w:spacing w:after="200" w:line="276" w:lineRule="auto"/>
              <w:rPr>
                <w:rFonts w:ascii="Calibri Light" w:hAnsi="Calibri Light"/>
                <w:color w:val="auto"/>
                <w:sz w:val="22"/>
                <w:szCs w:val="22"/>
              </w:rPr>
            </w:pPr>
            <w:r>
              <w:rPr>
                <w:rFonts w:ascii="Calibri Light" w:hAnsi="Calibri Light"/>
                <w:color w:val="auto"/>
                <w:sz w:val="22"/>
                <w:szCs w:val="22"/>
              </w:rPr>
              <w:t>indeterminate rights;</w:t>
            </w:r>
          </w:p>
          <w:p w14:paraId="3AC0235F" w14:textId="5414FC91" w:rsidR="00007585" w:rsidRPr="00E43456" w:rsidRDefault="004B3E2E" w:rsidP="004B3E2E">
            <w:pPr>
              <w:pStyle w:val="Default"/>
              <w:pageBreakBefore/>
              <w:numPr>
                <w:ilvl w:val="0"/>
                <w:numId w:val="21"/>
              </w:numPr>
              <w:spacing w:after="200" w:line="276" w:lineRule="auto"/>
              <w:rPr>
                <w:rFonts w:ascii="Calibri Light" w:hAnsi="Calibri Light"/>
                <w:color w:val="auto"/>
                <w:sz w:val="22"/>
                <w:szCs w:val="22"/>
              </w:rPr>
            </w:pPr>
            <w:r>
              <w:rPr>
                <w:rFonts w:ascii="Calibri Light" w:hAnsi="Calibri Light"/>
                <w:color w:val="auto"/>
                <w:sz w:val="22"/>
                <w:szCs w:val="22"/>
              </w:rPr>
              <w:t xml:space="preserve">deferral conditions; </w:t>
            </w:r>
            <w:r w:rsidR="00007585" w:rsidRPr="00E43456">
              <w:rPr>
                <w:rFonts w:ascii="Calibri Light" w:hAnsi="Calibri Light"/>
                <w:color w:val="auto"/>
                <w:sz w:val="22"/>
                <w:szCs w:val="22"/>
              </w:rPr>
              <w:t xml:space="preserve">and </w:t>
            </w:r>
          </w:p>
          <w:p w14:paraId="05437D66" w14:textId="3B9B925D" w:rsidR="00007585" w:rsidRPr="00E43456" w:rsidRDefault="00007585" w:rsidP="00007585">
            <w:pPr>
              <w:pStyle w:val="ListParagraph"/>
              <w:numPr>
                <w:ilvl w:val="0"/>
                <w:numId w:val="21"/>
              </w:numPr>
              <w:spacing w:before="0" w:after="200" w:line="276" w:lineRule="auto"/>
            </w:pPr>
            <w:proofErr w:type="gramStart"/>
            <w:r w:rsidRPr="00E43456">
              <w:t>cross-border</w:t>
            </w:r>
            <w:proofErr w:type="gramEnd"/>
            <w:r w:rsidRPr="00E43456">
              <w:t xml:space="preserve"> schemes.</w:t>
            </w:r>
          </w:p>
          <w:p w14:paraId="1BDA8544" w14:textId="023B6E6C" w:rsidR="00E43456" w:rsidRPr="007725D6" w:rsidRDefault="00E43456" w:rsidP="007725D6">
            <w:pPr>
              <w:ind w:left="720"/>
              <w:jc w:val="both"/>
            </w:pPr>
            <w:r w:rsidRPr="007725D6">
              <w:t xml:space="preserve">The ATO </w:t>
            </w:r>
            <w:r w:rsidR="004B3E2E">
              <w:t>is</w:t>
            </w:r>
            <w:r w:rsidRPr="007725D6">
              <w:t xml:space="preserve"> currently considering stakeholder feedback to design and develop public advice and guidance </w:t>
            </w:r>
            <w:r w:rsidR="0095220F" w:rsidRPr="007725D6">
              <w:t xml:space="preserve">in </w:t>
            </w:r>
            <w:r w:rsidR="007725D6">
              <w:t>this area.</w:t>
            </w:r>
            <w:r w:rsidR="004B3E2E">
              <w:t xml:space="preserve">  Some of the issues raised may extend beyond tax administration.</w:t>
            </w:r>
          </w:p>
          <w:p w14:paraId="2031F59C" w14:textId="4D651549" w:rsidR="007A580E" w:rsidRDefault="00287410" w:rsidP="006B1E71">
            <w:pPr>
              <w:pStyle w:val="ListParagraph"/>
              <w:numPr>
                <w:ilvl w:val="0"/>
                <w:numId w:val="18"/>
              </w:numPr>
              <w:jc w:val="both"/>
            </w:pPr>
            <w:r>
              <w:t>Post-implementation reviews in the coming years on the Diverted Profits Tax and the GST on low value goods</w:t>
            </w:r>
            <w:r w:rsidR="00A23911">
              <w:t xml:space="preserve"> (these ideas were raised by Tony </w:t>
            </w:r>
            <w:proofErr w:type="spellStart"/>
            <w:r w:rsidR="00A23911">
              <w:t>Stol</w:t>
            </w:r>
            <w:r w:rsidR="00815483">
              <w:t>a</w:t>
            </w:r>
            <w:r w:rsidR="00A23911">
              <w:t>r</w:t>
            </w:r>
            <w:r w:rsidR="00815483">
              <w:t>e</w:t>
            </w:r>
            <w:r w:rsidR="00A23911">
              <w:t>k</w:t>
            </w:r>
            <w:proofErr w:type="spellEnd"/>
            <w:r w:rsidR="008F243F">
              <w:t xml:space="preserve"> from EY</w:t>
            </w:r>
            <w:r w:rsidR="00962E16">
              <w:t xml:space="preserve"> and Paul Drum from CPA Australia respectively</w:t>
            </w:r>
            <w:r w:rsidR="00A23911">
              <w:t>)</w:t>
            </w:r>
            <w:r>
              <w:t>.</w:t>
            </w:r>
          </w:p>
          <w:p w14:paraId="1750A306" w14:textId="211A804D" w:rsidR="001A0BA9" w:rsidRDefault="007907B9" w:rsidP="007907B9">
            <w:pPr>
              <w:jc w:val="both"/>
            </w:pPr>
            <w:r>
              <w:t>We welcome your feedback on any of the ideas and other areas that you consider should be considered in our potential pipeline of work.</w:t>
            </w:r>
          </w:p>
        </w:tc>
        <w:tc>
          <w:tcPr>
            <w:tcW w:w="590" w:type="dxa"/>
          </w:tcPr>
          <w:p w14:paraId="0B8AE7D0" w14:textId="77777777" w:rsidR="00D52A49" w:rsidRDefault="00D52A49" w:rsidP="002256FA"/>
        </w:tc>
      </w:tr>
    </w:tbl>
    <w:p w14:paraId="123B48A6" w14:textId="77777777" w:rsidR="00962E16" w:rsidRDefault="00962E16">
      <w:r>
        <w:br w:type="page"/>
      </w:r>
    </w:p>
    <w:tbl>
      <w:tblPr>
        <w:tblStyle w:val="TableGrid"/>
        <w:tblW w:w="10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
        <w:gridCol w:w="613"/>
        <w:gridCol w:w="12"/>
        <w:gridCol w:w="4524"/>
        <w:gridCol w:w="4536"/>
        <w:gridCol w:w="165"/>
        <w:gridCol w:w="544"/>
        <w:gridCol w:w="46"/>
      </w:tblGrid>
      <w:tr w:rsidR="0096275B" w:rsidRPr="005158CD" w14:paraId="10FD373F" w14:textId="77777777" w:rsidTr="00962E16">
        <w:trPr>
          <w:gridBefore w:val="1"/>
          <w:wBefore w:w="96" w:type="dxa"/>
          <w:jc w:val="center"/>
        </w:trPr>
        <w:tc>
          <w:tcPr>
            <w:tcW w:w="625" w:type="dxa"/>
            <w:gridSpan w:val="2"/>
            <w:shd w:val="clear" w:color="auto" w:fill="auto"/>
          </w:tcPr>
          <w:p w14:paraId="4953D655" w14:textId="70F8C21A" w:rsidR="0096275B" w:rsidRPr="005158CD" w:rsidRDefault="0096275B" w:rsidP="00F45150">
            <w:pPr>
              <w:rPr>
                <w:sz w:val="36"/>
                <w:szCs w:val="36"/>
              </w:rPr>
            </w:pPr>
          </w:p>
        </w:tc>
        <w:tc>
          <w:tcPr>
            <w:tcW w:w="9225" w:type="dxa"/>
            <w:gridSpan w:val="3"/>
            <w:shd w:val="clear" w:color="auto" w:fill="auto"/>
          </w:tcPr>
          <w:p w14:paraId="305267FA" w14:textId="4986C926" w:rsidR="0096275B" w:rsidRPr="005158CD" w:rsidRDefault="0096275B" w:rsidP="00962E16">
            <w:pPr>
              <w:pStyle w:val="Heading2"/>
              <w:keepNext/>
              <w:keepLines/>
              <w:outlineLvl w:val="1"/>
              <w:rPr>
                <w:sz w:val="36"/>
                <w:szCs w:val="36"/>
              </w:rPr>
            </w:pPr>
            <w:r w:rsidRPr="005158CD">
              <w:rPr>
                <w:sz w:val="36"/>
                <w:szCs w:val="36"/>
              </w:rPr>
              <w:t>Thank You</w:t>
            </w:r>
          </w:p>
        </w:tc>
        <w:tc>
          <w:tcPr>
            <w:tcW w:w="590" w:type="dxa"/>
            <w:gridSpan w:val="2"/>
            <w:shd w:val="clear" w:color="auto" w:fill="auto"/>
          </w:tcPr>
          <w:p w14:paraId="646BA747" w14:textId="77777777" w:rsidR="0096275B" w:rsidRPr="005158CD" w:rsidRDefault="0096275B" w:rsidP="00F45150">
            <w:pPr>
              <w:rPr>
                <w:sz w:val="36"/>
                <w:szCs w:val="36"/>
              </w:rPr>
            </w:pPr>
          </w:p>
        </w:tc>
      </w:tr>
      <w:tr w:rsidR="0096275B" w:rsidRPr="00BD2FF3" w14:paraId="679281BC" w14:textId="77777777" w:rsidTr="00962E16">
        <w:trPr>
          <w:gridBefore w:val="1"/>
          <w:wBefore w:w="96" w:type="dxa"/>
          <w:jc w:val="center"/>
        </w:trPr>
        <w:tc>
          <w:tcPr>
            <w:tcW w:w="625" w:type="dxa"/>
            <w:gridSpan w:val="2"/>
          </w:tcPr>
          <w:p w14:paraId="5D3D274E" w14:textId="77777777" w:rsidR="0096275B" w:rsidRPr="00BD2FF3" w:rsidRDefault="0096275B" w:rsidP="00F45150"/>
        </w:tc>
        <w:tc>
          <w:tcPr>
            <w:tcW w:w="9225" w:type="dxa"/>
            <w:gridSpan w:val="3"/>
          </w:tcPr>
          <w:p w14:paraId="0B84AE4F" w14:textId="650AEDF8" w:rsidR="0096275B" w:rsidRPr="00BD2FF3" w:rsidRDefault="0096275B" w:rsidP="005B469A">
            <w:pPr>
              <w:keepNext/>
              <w:keepLines/>
              <w:spacing w:before="0" w:after="200" w:line="276" w:lineRule="auto"/>
              <w:jc w:val="both"/>
            </w:pPr>
            <w:r w:rsidRPr="00392A88">
              <w:t xml:space="preserve">The Board would also like to thank </w:t>
            </w:r>
            <w:r w:rsidR="003044CD">
              <w:t xml:space="preserve">KPMG </w:t>
            </w:r>
            <w:r w:rsidRPr="00392A88">
              <w:t>for host</w:t>
            </w:r>
            <w:r w:rsidR="00392A88">
              <w:t>ing</w:t>
            </w:r>
            <w:r w:rsidRPr="00392A88">
              <w:t xml:space="preserve"> the Board in Melbourne – the Board is most grateful.</w:t>
            </w:r>
            <w:r w:rsidR="00392A88">
              <w:t xml:space="preserve">  </w:t>
            </w:r>
            <w:r>
              <w:t xml:space="preserve">The Board would like to thank all those who participated in the discussions over lunch. </w:t>
            </w:r>
            <w:r w:rsidR="006D5EE8">
              <w:t xml:space="preserve"> </w:t>
            </w:r>
            <w:r>
              <w:t xml:space="preserve">We remind you that you can contact us at any time – refer to my contact details below or please email </w:t>
            </w:r>
            <w:hyperlink r:id="rId17" w:history="1">
              <w:r w:rsidRPr="00BF22B3">
                <w:rPr>
                  <w:rStyle w:val="Hyperlink"/>
                </w:rPr>
                <w:t>taxboard@treasury.gov.au</w:t>
              </w:r>
            </w:hyperlink>
            <w:r>
              <w:t>.</w:t>
            </w:r>
          </w:p>
        </w:tc>
        <w:tc>
          <w:tcPr>
            <w:tcW w:w="590" w:type="dxa"/>
            <w:gridSpan w:val="2"/>
          </w:tcPr>
          <w:p w14:paraId="7C1FB5E8" w14:textId="77777777" w:rsidR="0096275B" w:rsidRPr="00BD2FF3" w:rsidRDefault="0096275B" w:rsidP="00F45150"/>
        </w:tc>
      </w:tr>
      <w:tr w:rsidR="003044CD" w:rsidRPr="005158CD" w14:paraId="2C67518F" w14:textId="77777777" w:rsidTr="00962E16">
        <w:trPr>
          <w:gridBefore w:val="1"/>
          <w:wBefore w:w="96" w:type="dxa"/>
          <w:jc w:val="center"/>
        </w:trPr>
        <w:tc>
          <w:tcPr>
            <w:tcW w:w="625" w:type="dxa"/>
            <w:gridSpan w:val="2"/>
            <w:shd w:val="clear" w:color="auto" w:fill="auto"/>
          </w:tcPr>
          <w:p w14:paraId="165F188E" w14:textId="77777777" w:rsidR="003044CD" w:rsidRPr="005158CD" w:rsidRDefault="003044CD" w:rsidP="00F45150">
            <w:pPr>
              <w:rPr>
                <w:sz w:val="36"/>
                <w:szCs w:val="36"/>
              </w:rPr>
            </w:pPr>
          </w:p>
        </w:tc>
        <w:tc>
          <w:tcPr>
            <w:tcW w:w="9225" w:type="dxa"/>
            <w:gridSpan w:val="3"/>
            <w:shd w:val="clear" w:color="auto" w:fill="auto"/>
          </w:tcPr>
          <w:p w14:paraId="593DAA12" w14:textId="77777777" w:rsidR="003044CD" w:rsidRPr="005158CD" w:rsidRDefault="003044CD" w:rsidP="00F45150">
            <w:pPr>
              <w:pStyle w:val="Heading2"/>
              <w:outlineLvl w:val="1"/>
              <w:rPr>
                <w:sz w:val="36"/>
                <w:szCs w:val="36"/>
              </w:rPr>
            </w:pPr>
            <w:r w:rsidRPr="005158CD">
              <w:rPr>
                <w:sz w:val="36"/>
                <w:szCs w:val="36"/>
              </w:rPr>
              <w:t>Sounding Board</w:t>
            </w:r>
          </w:p>
        </w:tc>
        <w:tc>
          <w:tcPr>
            <w:tcW w:w="590" w:type="dxa"/>
            <w:gridSpan w:val="2"/>
            <w:shd w:val="clear" w:color="auto" w:fill="auto"/>
          </w:tcPr>
          <w:p w14:paraId="2DB24E01" w14:textId="77777777" w:rsidR="003044CD" w:rsidRPr="005158CD" w:rsidRDefault="003044CD" w:rsidP="00F45150">
            <w:pPr>
              <w:rPr>
                <w:sz w:val="36"/>
                <w:szCs w:val="36"/>
              </w:rPr>
            </w:pPr>
          </w:p>
        </w:tc>
      </w:tr>
      <w:tr w:rsidR="003044CD" w:rsidRPr="00BD2FF3" w14:paraId="19EC7247" w14:textId="77777777" w:rsidTr="00962E16">
        <w:trPr>
          <w:gridBefore w:val="1"/>
          <w:wBefore w:w="96" w:type="dxa"/>
          <w:jc w:val="center"/>
        </w:trPr>
        <w:tc>
          <w:tcPr>
            <w:tcW w:w="625" w:type="dxa"/>
            <w:gridSpan w:val="2"/>
          </w:tcPr>
          <w:p w14:paraId="12B0A295" w14:textId="77777777" w:rsidR="003044CD" w:rsidRPr="00BD2FF3" w:rsidRDefault="003044CD" w:rsidP="00F45150"/>
        </w:tc>
        <w:tc>
          <w:tcPr>
            <w:tcW w:w="9225" w:type="dxa"/>
            <w:gridSpan w:val="3"/>
          </w:tcPr>
          <w:p w14:paraId="1D59FA7C" w14:textId="303623B8" w:rsidR="003044CD" w:rsidRPr="00BD2FF3" w:rsidRDefault="003044CD" w:rsidP="00DC7F55">
            <w:pPr>
              <w:spacing w:before="0" w:after="200" w:line="276" w:lineRule="auto"/>
            </w:pPr>
            <w:r>
              <w:t xml:space="preserve">The Board continues to monitor and review activity on Sounding Board, which is a standing item on the Board’s agenda.  If you would like to comment, vote or post your own suggestion, you can do so by registering with Sounding Board. Please visit Sounding Board for more information – </w:t>
            </w:r>
            <w:hyperlink r:id="rId18" w:history="1">
              <w:r w:rsidR="00DC7F55" w:rsidRPr="00C7693B">
                <w:rPr>
                  <w:rStyle w:val="Hyperlink"/>
                </w:rPr>
                <w:t>https://taxboard.ideascale.com/</w:t>
              </w:r>
            </w:hyperlink>
            <w:r>
              <w:t>.</w:t>
            </w:r>
          </w:p>
        </w:tc>
        <w:tc>
          <w:tcPr>
            <w:tcW w:w="590" w:type="dxa"/>
            <w:gridSpan w:val="2"/>
          </w:tcPr>
          <w:p w14:paraId="1FEB1E0C" w14:textId="77777777" w:rsidR="003044CD" w:rsidRPr="00BD2FF3" w:rsidRDefault="003044CD" w:rsidP="00F45150"/>
        </w:tc>
      </w:tr>
      <w:tr w:rsidR="005B32D7" w:rsidRPr="005158CD" w14:paraId="680A6CAF" w14:textId="77777777" w:rsidTr="00962E16">
        <w:trPr>
          <w:gridBefore w:val="1"/>
          <w:wBefore w:w="96" w:type="dxa"/>
          <w:jc w:val="center"/>
        </w:trPr>
        <w:tc>
          <w:tcPr>
            <w:tcW w:w="625" w:type="dxa"/>
            <w:gridSpan w:val="2"/>
            <w:shd w:val="clear" w:color="auto" w:fill="auto"/>
          </w:tcPr>
          <w:p w14:paraId="7A87FE42" w14:textId="249ECFB1" w:rsidR="00DE77A2" w:rsidRPr="005158CD" w:rsidRDefault="00DE77A2" w:rsidP="002256FA">
            <w:pPr>
              <w:rPr>
                <w:sz w:val="36"/>
                <w:szCs w:val="36"/>
              </w:rPr>
            </w:pPr>
          </w:p>
        </w:tc>
        <w:tc>
          <w:tcPr>
            <w:tcW w:w="9225" w:type="dxa"/>
            <w:gridSpan w:val="3"/>
            <w:shd w:val="clear" w:color="auto" w:fill="auto"/>
          </w:tcPr>
          <w:p w14:paraId="4E321892" w14:textId="77777777" w:rsidR="00DE77A2" w:rsidRPr="005158CD" w:rsidRDefault="0096275B" w:rsidP="002256FA">
            <w:pPr>
              <w:pStyle w:val="Heading2"/>
              <w:outlineLvl w:val="1"/>
              <w:rPr>
                <w:sz w:val="36"/>
                <w:szCs w:val="36"/>
              </w:rPr>
            </w:pPr>
            <w:r w:rsidRPr="005158CD">
              <w:rPr>
                <w:sz w:val="36"/>
                <w:szCs w:val="36"/>
              </w:rPr>
              <w:t>Upcoming 2017 Board Meetings</w:t>
            </w:r>
          </w:p>
        </w:tc>
        <w:tc>
          <w:tcPr>
            <w:tcW w:w="590" w:type="dxa"/>
            <w:gridSpan w:val="2"/>
            <w:shd w:val="clear" w:color="auto" w:fill="auto"/>
          </w:tcPr>
          <w:p w14:paraId="72E576C6" w14:textId="77777777" w:rsidR="00DE77A2" w:rsidRPr="005158CD" w:rsidRDefault="00DE77A2" w:rsidP="002256FA">
            <w:pPr>
              <w:rPr>
                <w:sz w:val="36"/>
                <w:szCs w:val="36"/>
              </w:rPr>
            </w:pPr>
          </w:p>
        </w:tc>
      </w:tr>
      <w:tr w:rsidR="00DE77A2" w:rsidRPr="00BD2FF3" w14:paraId="4DE528DD" w14:textId="77777777" w:rsidTr="00962E16">
        <w:trPr>
          <w:gridBefore w:val="1"/>
          <w:wBefore w:w="96" w:type="dxa"/>
          <w:jc w:val="center"/>
        </w:trPr>
        <w:tc>
          <w:tcPr>
            <w:tcW w:w="625" w:type="dxa"/>
            <w:gridSpan w:val="2"/>
          </w:tcPr>
          <w:p w14:paraId="72F85ED8" w14:textId="77777777" w:rsidR="00DE77A2" w:rsidRPr="00BD2FF3" w:rsidRDefault="00DE77A2" w:rsidP="002256FA"/>
        </w:tc>
        <w:tc>
          <w:tcPr>
            <w:tcW w:w="9225" w:type="dxa"/>
            <w:gridSpan w:val="3"/>
          </w:tcPr>
          <w:p w14:paraId="26D82271" w14:textId="026E0B49" w:rsidR="00DE77A2" w:rsidRPr="00BD2FF3" w:rsidRDefault="0096275B" w:rsidP="00007585">
            <w:pPr>
              <w:spacing w:before="0" w:after="200" w:line="276" w:lineRule="auto"/>
            </w:pPr>
            <w:r>
              <w:t xml:space="preserve">The next Board meeting will be held in </w:t>
            </w:r>
            <w:r w:rsidR="0050320F">
              <w:t>Adelaide</w:t>
            </w:r>
            <w:r>
              <w:t xml:space="preserve"> on </w:t>
            </w:r>
            <w:r w:rsidR="0050320F">
              <w:t xml:space="preserve">10 August </w:t>
            </w:r>
            <w:r>
              <w:t xml:space="preserve">2017. </w:t>
            </w:r>
            <w:r w:rsidR="006B1E71">
              <w:t xml:space="preserve"> </w:t>
            </w:r>
            <w:r>
              <w:t>Please do not hesitate to contact the Board of Taxation on 02 6263 4366 should you wish to discuss any of the above matters further.</w:t>
            </w:r>
          </w:p>
        </w:tc>
        <w:tc>
          <w:tcPr>
            <w:tcW w:w="590" w:type="dxa"/>
            <w:gridSpan w:val="2"/>
          </w:tcPr>
          <w:p w14:paraId="4CAE1840" w14:textId="77777777" w:rsidR="00DE77A2" w:rsidRPr="00BD2FF3" w:rsidRDefault="00DE77A2" w:rsidP="002256FA"/>
        </w:tc>
      </w:tr>
      <w:tr w:rsidR="00DE77A2" w:rsidRPr="00BD2FF3" w14:paraId="3021FA73" w14:textId="77777777" w:rsidTr="00962E16">
        <w:trPr>
          <w:gridBefore w:val="1"/>
          <w:wBefore w:w="96" w:type="dxa"/>
          <w:jc w:val="center"/>
        </w:trPr>
        <w:tc>
          <w:tcPr>
            <w:tcW w:w="625" w:type="dxa"/>
            <w:gridSpan w:val="2"/>
          </w:tcPr>
          <w:p w14:paraId="6B5D896A" w14:textId="77777777" w:rsidR="00DE77A2" w:rsidRPr="00BD2FF3" w:rsidRDefault="00DE77A2" w:rsidP="002256FA"/>
        </w:tc>
        <w:tc>
          <w:tcPr>
            <w:tcW w:w="9225" w:type="dxa"/>
            <w:gridSpan w:val="3"/>
          </w:tcPr>
          <w:p w14:paraId="4BD11071" w14:textId="304616F8" w:rsidR="00DE77A2" w:rsidRPr="00BD2FF3" w:rsidRDefault="00DE77A2" w:rsidP="00007585">
            <w:pPr>
              <w:spacing w:before="0" w:after="200" w:line="276" w:lineRule="auto"/>
            </w:pPr>
            <w:r w:rsidRPr="00BD2FF3">
              <w:t>Kind regards</w:t>
            </w:r>
            <w:r w:rsidR="005158CD">
              <w:br/>
            </w:r>
            <w:r w:rsidRPr="00BD2FF3">
              <w:t>Karen Payne</w:t>
            </w:r>
          </w:p>
        </w:tc>
        <w:tc>
          <w:tcPr>
            <w:tcW w:w="590" w:type="dxa"/>
            <w:gridSpan w:val="2"/>
          </w:tcPr>
          <w:p w14:paraId="2E709572" w14:textId="77777777" w:rsidR="00DE77A2" w:rsidRPr="00BD2FF3" w:rsidRDefault="00DE77A2" w:rsidP="002256FA"/>
        </w:tc>
      </w:tr>
      <w:tr w:rsidR="00BD2FF3" w:rsidRPr="00BD2FF3" w14:paraId="7E437BB5" w14:textId="77777777" w:rsidTr="00962E16">
        <w:tblPrEx>
          <w:tblBorders>
            <w:bottom w:val="single" w:sz="4" w:space="0" w:color="BFBFBF" w:themeColor="background1" w:themeShade="BF"/>
          </w:tblBorders>
          <w:shd w:val="clear" w:color="auto" w:fill="CCDDF1"/>
        </w:tblPrEx>
        <w:trPr>
          <w:gridAfter w:val="1"/>
          <w:wAfter w:w="46" w:type="dxa"/>
          <w:jc w:val="center"/>
        </w:trPr>
        <w:tc>
          <w:tcPr>
            <w:tcW w:w="709" w:type="dxa"/>
            <w:gridSpan w:val="2"/>
            <w:tcBorders>
              <w:bottom w:val="single" w:sz="4" w:space="0" w:color="BFBFBF" w:themeColor="background1" w:themeShade="BF"/>
            </w:tcBorders>
            <w:shd w:val="clear" w:color="auto" w:fill="1F497D" w:themeFill="text2"/>
          </w:tcPr>
          <w:p w14:paraId="5207EEBA" w14:textId="77777777" w:rsidR="00B85592" w:rsidRPr="00BD2FF3" w:rsidRDefault="00B85592" w:rsidP="002256FA"/>
        </w:tc>
        <w:tc>
          <w:tcPr>
            <w:tcW w:w="4536" w:type="dxa"/>
            <w:gridSpan w:val="2"/>
            <w:tcBorders>
              <w:bottom w:val="single" w:sz="4" w:space="0" w:color="BFBFBF" w:themeColor="background1" w:themeShade="BF"/>
            </w:tcBorders>
            <w:shd w:val="clear" w:color="auto" w:fill="1F497D" w:themeFill="text2"/>
          </w:tcPr>
          <w:p w14:paraId="155E29DE" w14:textId="77777777" w:rsidR="00B85592" w:rsidRPr="002256FA" w:rsidRDefault="00B85592" w:rsidP="002256FA">
            <w:pPr>
              <w:rPr>
                <w:color w:val="FFFFFF" w:themeColor="background1"/>
                <w:lang w:eastAsia="en-AU"/>
              </w:rPr>
            </w:pPr>
            <w:r w:rsidRPr="002256FA">
              <w:rPr>
                <w:color w:val="FFFFFF" w:themeColor="background1"/>
                <w:lang w:eastAsia="en-AU"/>
              </w:rPr>
              <w:t>Karen Payne</w:t>
            </w:r>
          </w:p>
          <w:p w14:paraId="5878EA63" w14:textId="77777777" w:rsidR="00B85592" w:rsidRPr="002256FA" w:rsidRDefault="00B85592" w:rsidP="002256FA">
            <w:pPr>
              <w:rPr>
                <w:color w:val="FFFFFF" w:themeColor="background1"/>
              </w:rPr>
            </w:pPr>
            <w:r w:rsidRPr="002256FA">
              <w:rPr>
                <w:color w:val="FFFFFF" w:themeColor="background1"/>
                <w:lang w:eastAsia="en-AU"/>
              </w:rPr>
              <w:t>Chief Executive Officer</w:t>
            </w:r>
            <w:r w:rsidRPr="002256FA">
              <w:rPr>
                <w:color w:val="FFFFFF" w:themeColor="background1"/>
                <w:lang w:eastAsia="en-AU"/>
              </w:rPr>
              <w:br/>
              <w:t>Board of Taxation</w:t>
            </w:r>
          </w:p>
        </w:tc>
        <w:tc>
          <w:tcPr>
            <w:tcW w:w="4536" w:type="dxa"/>
            <w:tcBorders>
              <w:bottom w:val="single" w:sz="4" w:space="0" w:color="BFBFBF" w:themeColor="background1" w:themeShade="BF"/>
            </w:tcBorders>
            <w:shd w:val="clear" w:color="auto" w:fill="1F497D" w:themeFill="text2"/>
          </w:tcPr>
          <w:p w14:paraId="31C4AF68" w14:textId="77777777" w:rsidR="00BD2FF3" w:rsidRPr="002256FA" w:rsidRDefault="00BD2FF3" w:rsidP="002256FA">
            <w:pPr>
              <w:rPr>
                <w:color w:val="FFFFFF" w:themeColor="background1"/>
                <w:lang w:eastAsia="en-AU"/>
              </w:rPr>
            </w:pPr>
            <w:r w:rsidRPr="002256FA">
              <w:rPr>
                <w:color w:val="FFFFFF" w:themeColor="background1"/>
                <w:lang w:eastAsia="en-AU"/>
              </w:rPr>
              <w:t>phone:  +61 2 6263 2122</w:t>
            </w:r>
          </w:p>
          <w:p w14:paraId="618A01A5" w14:textId="77777777" w:rsidR="00BD2FF3" w:rsidRPr="002256FA" w:rsidRDefault="00BD2FF3" w:rsidP="002256FA">
            <w:pPr>
              <w:rPr>
                <w:color w:val="FFFFFF" w:themeColor="background1"/>
                <w:lang w:eastAsia="en-AU"/>
              </w:rPr>
            </w:pPr>
            <w:r w:rsidRPr="002256FA">
              <w:rPr>
                <w:color w:val="FFFFFF" w:themeColor="background1"/>
                <w:lang w:eastAsia="en-AU"/>
              </w:rPr>
              <w:t>mobile: 0405 843 880</w:t>
            </w:r>
          </w:p>
          <w:p w14:paraId="452D9E23" w14:textId="77777777" w:rsidR="00B85592" w:rsidRPr="002256FA" w:rsidRDefault="00BD2FF3" w:rsidP="002256FA">
            <w:pPr>
              <w:rPr>
                <w:color w:val="FFFFFF" w:themeColor="background1"/>
                <w:lang w:eastAsia="en-AU"/>
              </w:rPr>
            </w:pPr>
            <w:r w:rsidRPr="002256FA">
              <w:rPr>
                <w:color w:val="FFFFFF" w:themeColor="background1"/>
                <w:lang w:eastAsia="en-AU"/>
              </w:rPr>
              <w:t xml:space="preserve">email: </w:t>
            </w:r>
            <w:hyperlink r:id="rId19" w:history="1">
              <w:r w:rsidRPr="002256FA">
                <w:rPr>
                  <w:rStyle w:val="Hyperlink"/>
                  <w:color w:val="FFFFFF" w:themeColor="background1"/>
                  <w:lang w:eastAsia="en-AU"/>
                </w:rPr>
                <w:t>karen.payne@treasury.gov.au</w:t>
              </w:r>
            </w:hyperlink>
          </w:p>
        </w:tc>
        <w:tc>
          <w:tcPr>
            <w:tcW w:w="709" w:type="dxa"/>
            <w:gridSpan w:val="2"/>
            <w:tcBorders>
              <w:bottom w:val="single" w:sz="4" w:space="0" w:color="BFBFBF" w:themeColor="background1" w:themeShade="BF"/>
            </w:tcBorders>
            <w:shd w:val="clear" w:color="auto" w:fill="1F497D" w:themeFill="text2"/>
          </w:tcPr>
          <w:p w14:paraId="02186E13" w14:textId="77777777" w:rsidR="00B85592" w:rsidRPr="00BD2FF3" w:rsidRDefault="00B85592" w:rsidP="002256FA"/>
        </w:tc>
      </w:tr>
      <w:tr w:rsidR="00BD2FF3" w:rsidRPr="00BD2FF3" w14:paraId="493769BF" w14:textId="77777777" w:rsidTr="00962E16">
        <w:tblPrEx>
          <w:tblBorders>
            <w:bottom w:val="single" w:sz="4" w:space="0" w:color="BFBFBF" w:themeColor="background1" w:themeShade="BF"/>
          </w:tblBorders>
          <w:shd w:val="clear" w:color="auto" w:fill="CCDDF1"/>
        </w:tblPrEx>
        <w:trPr>
          <w:gridAfter w:val="1"/>
          <w:wAfter w:w="46" w:type="dxa"/>
          <w:jc w:val="center"/>
        </w:trPr>
        <w:tc>
          <w:tcPr>
            <w:tcW w:w="709" w:type="dxa"/>
            <w:gridSpan w:val="2"/>
            <w:tcBorders>
              <w:top w:val="single" w:sz="4" w:space="0" w:color="BFBFBF" w:themeColor="background1" w:themeShade="BF"/>
              <w:bottom w:val="nil"/>
            </w:tcBorders>
            <w:shd w:val="clear" w:color="auto" w:fill="1F497D" w:themeFill="text2"/>
          </w:tcPr>
          <w:p w14:paraId="7DEDC06B" w14:textId="77777777" w:rsidR="00B85592" w:rsidRPr="00BD2FF3" w:rsidRDefault="00B85592" w:rsidP="002256FA"/>
        </w:tc>
        <w:tc>
          <w:tcPr>
            <w:tcW w:w="4536" w:type="dxa"/>
            <w:gridSpan w:val="2"/>
            <w:tcBorders>
              <w:top w:val="single" w:sz="4" w:space="0" w:color="BFBFBF" w:themeColor="background1" w:themeShade="BF"/>
              <w:bottom w:val="nil"/>
            </w:tcBorders>
            <w:shd w:val="clear" w:color="auto" w:fill="1F497D" w:themeFill="text2"/>
          </w:tcPr>
          <w:p w14:paraId="24FBCEC5" w14:textId="77777777" w:rsidR="005B32D7" w:rsidRPr="002256FA" w:rsidRDefault="005B32D7" w:rsidP="002256FA">
            <w:pPr>
              <w:rPr>
                <w:color w:val="FFFFFF" w:themeColor="background1"/>
                <w:lang w:eastAsia="en-AU"/>
              </w:rPr>
            </w:pPr>
            <w:r w:rsidRPr="002256FA">
              <w:rPr>
                <w:color w:val="FFFFFF" w:themeColor="background1"/>
              </w:rPr>
              <w:t xml:space="preserve">C/- </w:t>
            </w:r>
            <w:r w:rsidRPr="002256FA">
              <w:rPr>
                <w:color w:val="FFFFFF" w:themeColor="background1"/>
                <w:lang w:eastAsia="en-AU"/>
              </w:rPr>
              <w:t>The Treasury</w:t>
            </w:r>
          </w:p>
          <w:p w14:paraId="6B3825D1" w14:textId="77777777" w:rsidR="00B85592" w:rsidRPr="002256FA" w:rsidRDefault="005B32D7" w:rsidP="002256FA">
            <w:pPr>
              <w:rPr>
                <w:color w:val="FFFFFF" w:themeColor="background1"/>
                <w:lang w:eastAsia="en-AU"/>
              </w:rPr>
            </w:pPr>
            <w:r w:rsidRPr="002256FA">
              <w:rPr>
                <w:color w:val="FFFFFF" w:themeColor="background1"/>
                <w:lang w:eastAsia="en-AU"/>
              </w:rPr>
              <w:t>100 Market Street, Sydney NSW 2000</w:t>
            </w:r>
          </w:p>
        </w:tc>
        <w:tc>
          <w:tcPr>
            <w:tcW w:w="4536" w:type="dxa"/>
            <w:tcBorders>
              <w:top w:val="single" w:sz="4" w:space="0" w:color="BFBFBF" w:themeColor="background1" w:themeShade="BF"/>
              <w:bottom w:val="nil"/>
            </w:tcBorders>
            <w:shd w:val="clear" w:color="auto" w:fill="1F497D" w:themeFill="text2"/>
          </w:tcPr>
          <w:p w14:paraId="640FC35A" w14:textId="77777777" w:rsidR="00BD2FF3" w:rsidRPr="002256FA" w:rsidRDefault="00BD2FF3" w:rsidP="002256FA">
            <w:pPr>
              <w:rPr>
                <w:rStyle w:val="Hyperlink"/>
                <w:color w:val="FFFFFF" w:themeColor="background1"/>
                <w:lang w:eastAsia="en-AU"/>
              </w:rPr>
            </w:pPr>
            <w:r w:rsidRPr="002256FA">
              <w:rPr>
                <w:color w:val="FFFFFF" w:themeColor="background1"/>
                <w:lang w:eastAsia="en-AU"/>
              </w:rPr>
              <w:t xml:space="preserve">website: </w:t>
            </w:r>
            <w:hyperlink r:id="rId20" w:history="1">
              <w:r w:rsidRPr="002256FA">
                <w:rPr>
                  <w:rStyle w:val="Hyperlink"/>
                  <w:color w:val="FFFFFF" w:themeColor="background1"/>
                  <w:lang w:eastAsia="en-AU"/>
                </w:rPr>
                <w:t>www.taxboard.gov.au</w:t>
              </w:r>
            </w:hyperlink>
          </w:p>
          <w:p w14:paraId="4BC63A46" w14:textId="77777777" w:rsidR="005B32D7" w:rsidRPr="002256FA" w:rsidRDefault="005B32D7" w:rsidP="002256FA">
            <w:pPr>
              <w:rPr>
                <w:color w:val="FFFFFF" w:themeColor="background1"/>
                <w:lang w:eastAsia="en-AU"/>
              </w:rPr>
            </w:pPr>
            <w:r w:rsidRPr="002256FA">
              <w:rPr>
                <w:color w:val="FFFFFF" w:themeColor="background1"/>
                <w:lang w:eastAsia="en-AU"/>
              </w:rPr>
              <w:t>The Board of Taxation Secretariat</w:t>
            </w:r>
          </w:p>
          <w:p w14:paraId="0EB65C76" w14:textId="77777777" w:rsidR="005B32D7" w:rsidRPr="002256FA" w:rsidRDefault="005B32D7" w:rsidP="002256FA">
            <w:pPr>
              <w:rPr>
                <w:color w:val="FFFFFF" w:themeColor="background1"/>
              </w:rPr>
            </w:pPr>
            <w:r w:rsidRPr="002256FA">
              <w:rPr>
                <w:color w:val="FFFFFF" w:themeColor="background1"/>
                <w:lang w:eastAsia="en-AU"/>
              </w:rPr>
              <w:t>Langton Crescent, Parkes ACT 2600 Australia</w:t>
            </w:r>
          </w:p>
        </w:tc>
        <w:tc>
          <w:tcPr>
            <w:tcW w:w="709" w:type="dxa"/>
            <w:gridSpan w:val="2"/>
            <w:tcBorders>
              <w:top w:val="single" w:sz="4" w:space="0" w:color="BFBFBF" w:themeColor="background1" w:themeShade="BF"/>
              <w:bottom w:val="nil"/>
            </w:tcBorders>
            <w:shd w:val="clear" w:color="auto" w:fill="1F497D" w:themeFill="text2"/>
          </w:tcPr>
          <w:p w14:paraId="0505C3DB" w14:textId="77777777" w:rsidR="00B85592" w:rsidRPr="00BD2FF3" w:rsidRDefault="00B85592" w:rsidP="002256FA"/>
        </w:tc>
      </w:tr>
      <w:tr w:rsidR="00B85592" w14:paraId="5D4B26EE" w14:textId="77777777" w:rsidTr="00962E16">
        <w:tblPrEx>
          <w:tblBorders>
            <w:bottom w:val="single" w:sz="4" w:space="0" w:color="BFBFBF" w:themeColor="background1" w:themeShade="BF"/>
          </w:tblBorders>
          <w:shd w:val="clear" w:color="auto" w:fill="CCDDF1"/>
        </w:tblPrEx>
        <w:trPr>
          <w:gridAfter w:val="1"/>
          <w:wAfter w:w="46" w:type="dxa"/>
          <w:jc w:val="center"/>
        </w:trPr>
        <w:tc>
          <w:tcPr>
            <w:tcW w:w="10490" w:type="dxa"/>
            <w:gridSpan w:val="7"/>
            <w:tcBorders>
              <w:bottom w:val="nil"/>
            </w:tcBorders>
            <w:shd w:val="clear" w:color="auto" w:fill="auto"/>
            <w:tcMar>
              <w:left w:w="0" w:type="dxa"/>
              <w:right w:w="0" w:type="dxa"/>
            </w:tcMar>
          </w:tcPr>
          <w:p w14:paraId="6DE09F46" w14:textId="77777777" w:rsidR="00B85592" w:rsidRDefault="00B85592" w:rsidP="002256FA">
            <w:r>
              <w:rPr>
                <w:noProof/>
                <w:lang w:eastAsia="en-AU"/>
              </w:rPr>
              <w:drawing>
                <wp:inline distT="0" distB="0" distL="0" distR="0" wp14:anchorId="4584B164" wp14:editId="0E961E13">
                  <wp:extent cx="6624000" cy="313200"/>
                  <wp:effectExtent l="0" t="0" r="571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1">
                            <a:extLst>
                              <a:ext uri="{28A0092B-C50C-407E-A947-70E740481C1C}">
                                <a14:useLocalDpi xmlns:a14="http://schemas.microsoft.com/office/drawing/2010/main" val="0"/>
                              </a:ext>
                            </a:extLst>
                          </a:blip>
                          <a:stretch>
                            <a:fillRect/>
                          </a:stretch>
                        </pic:blipFill>
                        <pic:spPr>
                          <a:xfrm>
                            <a:off x="0" y="0"/>
                            <a:ext cx="6624000" cy="313200"/>
                          </a:xfrm>
                          <a:prstGeom prst="rect">
                            <a:avLst/>
                          </a:prstGeom>
                        </pic:spPr>
                      </pic:pic>
                    </a:graphicData>
                  </a:graphic>
                </wp:inline>
              </w:drawing>
            </w:r>
          </w:p>
        </w:tc>
      </w:tr>
    </w:tbl>
    <w:p w14:paraId="272164E2" w14:textId="77777777" w:rsidR="001010C1" w:rsidRPr="0098345D" w:rsidRDefault="001010C1" w:rsidP="005158CD"/>
    <w:sectPr w:rsidR="001010C1" w:rsidRPr="0098345D" w:rsidSect="00BD2FF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5005D" w14:textId="77777777" w:rsidR="00F57C7C" w:rsidRDefault="00F57C7C" w:rsidP="002256FA">
      <w:r>
        <w:separator/>
      </w:r>
    </w:p>
  </w:endnote>
  <w:endnote w:type="continuationSeparator" w:id="0">
    <w:p w14:paraId="658A3755" w14:textId="77777777" w:rsidR="00F57C7C" w:rsidRDefault="00F57C7C" w:rsidP="002256FA">
      <w:r>
        <w:continuationSeparator/>
      </w:r>
    </w:p>
  </w:endnote>
  <w:endnote w:type="continuationNotice" w:id="1">
    <w:p w14:paraId="1297CF4E" w14:textId="77777777" w:rsidR="00F57C7C" w:rsidRDefault="00F57C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A8334" w14:textId="77777777" w:rsidR="00F57C7C" w:rsidRDefault="00F57C7C" w:rsidP="002256FA">
      <w:r>
        <w:separator/>
      </w:r>
    </w:p>
  </w:footnote>
  <w:footnote w:type="continuationSeparator" w:id="0">
    <w:p w14:paraId="538D901E" w14:textId="77777777" w:rsidR="00F57C7C" w:rsidRDefault="00F57C7C" w:rsidP="002256FA">
      <w:r>
        <w:continuationSeparator/>
      </w:r>
    </w:p>
  </w:footnote>
  <w:footnote w:type="continuationNotice" w:id="1">
    <w:p w14:paraId="13B3CD0A" w14:textId="77777777" w:rsidR="00F57C7C" w:rsidRDefault="00F57C7C">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447"/>
    <w:multiLevelType w:val="hybridMultilevel"/>
    <w:tmpl w:val="3D16FC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7E01041"/>
    <w:multiLevelType w:val="hybridMultilevel"/>
    <w:tmpl w:val="D61219B4"/>
    <w:lvl w:ilvl="0" w:tplc="73143E0C">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4F1F88"/>
    <w:multiLevelType w:val="multilevel"/>
    <w:tmpl w:val="B1A48B7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E207AC"/>
    <w:multiLevelType w:val="hybridMultilevel"/>
    <w:tmpl w:val="03C041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F831CA"/>
    <w:multiLevelType w:val="hybridMultilevel"/>
    <w:tmpl w:val="ABCADC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80F1A07"/>
    <w:multiLevelType w:val="hybridMultilevel"/>
    <w:tmpl w:val="3FACFA38"/>
    <w:lvl w:ilvl="0" w:tplc="69EAD6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C923A43"/>
    <w:multiLevelType w:val="hybridMultilevel"/>
    <w:tmpl w:val="DF22C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C94C4D"/>
    <w:multiLevelType w:val="multilevel"/>
    <w:tmpl w:val="9E58112C"/>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3E71741"/>
    <w:multiLevelType w:val="hybridMultilevel"/>
    <w:tmpl w:val="99B66E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57A75847"/>
    <w:multiLevelType w:val="hybridMultilevel"/>
    <w:tmpl w:val="EDFA3F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724B97"/>
    <w:multiLevelType w:val="hybridMultilevel"/>
    <w:tmpl w:val="4B1E0D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2"/>
  </w:num>
  <w:num w:numId="12">
    <w:abstractNumId w:val="11"/>
  </w:num>
  <w:num w:numId="13">
    <w:abstractNumId w:val="3"/>
  </w:num>
  <w:num w:numId="14">
    <w:abstractNumId w:val="3"/>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5"/>
  </w:num>
  <w:num w:numId="19">
    <w:abstractNumId w:val="14"/>
  </w:num>
  <w:num w:numId="20">
    <w:abstractNumId w:val="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revisionView w:markup="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5B"/>
    <w:rsid w:val="00007585"/>
    <w:rsid w:val="0001687B"/>
    <w:rsid w:val="00071C97"/>
    <w:rsid w:val="000E07A0"/>
    <w:rsid w:val="001010C1"/>
    <w:rsid w:val="00134409"/>
    <w:rsid w:val="00161DBC"/>
    <w:rsid w:val="001921CA"/>
    <w:rsid w:val="001A0BA9"/>
    <w:rsid w:val="001A46D9"/>
    <w:rsid w:val="001C597B"/>
    <w:rsid w:val="001D26C7"/>
    <w:rsid w:val="001D4435"/>
    <w:rsid w:val="00201B0A"/>
    <w:rsid w:val="002256FA"/>
    <w:rsid w:val="002467EB"/>
    <w:rsid w:val="002826A4"/>
    <w:rsid w:val="00287410"/>
    <w:rsid w:val="002D1967"/>
    <w:rsid w:val="003044CD"/>
    <w:rsid w:val="00315E92"/>
    <w:rsid w:val="0035507D"/>
    <w:rsid w:val="00355336"/>
    <w:rsid w:val="0036272E"/>
    <w:rsid w:val="00390D9D"/>
    <w:rsid w:val="00392A88"/>
    <w:rsid w:val="003A2D24"/>
    <w:rsid w:val="003B2CA9"/>
    <w:rsid w:val="003B383C"/>
    <w:rsid w:val="0043294F"/>
    <w:rsid w:val="004501CF"/>
    <w:rsid w:val="0046226A"/>
    <w:rsid w:val="004A7EC7"/>
    <w:rsid w:val="004B3E2E"/>
    <w:rsid w:val="004B738A"/>
    <w:rsid w:val="004D6BF7"/>
    <w:rsid w:val="0050320F"/>
    <w:rsid w:val="005158CD"/>
    <w:rsid w:val="00541CD2"/>
    <w:rsid w:val="00571D7D"/>
    <w:rsid w:val="00573295"/>
    <w:rsid w:val="005953F0"/>
    <w:rsid w:val="005A3E01"/>
    <w:rsid w:val="005A4C86"/>
    <w:rsid w:val="005A720B"/>
    <w:rsid w:val="005B32D7"/>
    <w:rsid w:val="005B469A"/>
    <w:rsid w:val="006000E2"/>
    <w:rsid w:val="006075E6"/>
    <w:rsid w:val="00617495"/>
    <w:rsid w:val="00625DFC"/>
    <w:rsid w:val="00656D54"/>
    <w:rsid w:val="00685836"/>
    <w:rsid w:val="006B1E71"/>
    <w:rsid w:val="006D5EE8"/>
    <w:rsid w:val="00704189"/>
    <w:rsid w:val="007725D6"/>
    <w:rsid w:val="00775577"/>
    <w:rsid w:val="0077606D"/>
    <w:rsid w:val="0078121B"/>
    <w:rsid w:val="007907B9"/>
    <w:rsid w:val="007A580E"/>
    <w:rsid w:val="00815483"/>
    <w:rsid w:val="00882BE7"/>
    <w:rsid w:val="008867E3"/>
    <w:rsid w:val="008F243F"/>
    <w:rsid w:val="008F5C3B"/>
    <w:rsid w:val="009152FA"/>
    <w:rsid w:val="0095220F"/>
    <w:rsid w:val="0096275B"/>
    <w:rsid w:val="00962E16"/>
    <w:rsid w:val="0096485E"/>
    <w:rsid w:val="00971041"/>
    <w:rsid w:val="0098345D"/>
    <w:rsid w:val="009B1DC8"/>
    <w:rsid w:val="009F156E"/>
    <w:rsid w:val="009F1E27"/>
    <w:rsid w:val="00A23911"/>
    <w:rsid w:val="00A62217"/>
    <w:rsid w:val="00A93BBA"/>
    <w:rsid w:val="00AA109D"/>
    <w:rsid w:val="00AC6C19"/>
    <w:rsid w:val="00AD13C5"/>
    <w:rsid w:val="00AE5AAB"/>
    <w:rsid w:val="00B0277A"/>
    <w:rsid w:val="00B5400D"/>
    <w:rsid w:val="00B73C7A"/>
    <w:rsid w:val="00B85592"/>
    <w:rsid w:val="00BD2FF3"/>
    <w:rsid w:val="00C01469"/>
    <w:rsid w:val="00C274F4"/>
    <w:rsid w:val="00C96E51"/>
    <w:rsid w:val="00CA7CD1"/>
    <w:rsid w:val="00D12DCE"/>
    <w:rsid w:val="00D340F9"/>
    <w:rsid w:val="00D52A49"/>
    <w:rsid w:val="00D72E96"/>
    <w:rsid w:val="00D81D9D"/>
    <w:rsid w:val="00D84C4E"/>
    <w:rsid w:val="00DC7F55"/>
    <w:rsid w:val="00DE77A2"/>
    <w:rsid w:val="00E3161A"/>
    <w:rsid w:val="00E43456"/>
    <w:rsid w:val="00E55A44"/>
    <w:rsid w:val="00E63ED6"/>
    <w:rsid w:val="00EA2BF0"/>
    <w:rsid w:val="00ED264B"/>
    <w:rsid w:val="00ED4561"/>
    <w:rsid w:val="00EE2EC2"/>
    <w:rsid w:val="00EF21EE"/>
    <w:rsid w:val="00EF71F5"/>
    <w:rsid w:val="00F45150"/>
    <w:rsid w:val="00F46FB9"/>
    <w:rsid w:val="00F57C7C"/>
    <w:rsid w:val="00F863AC"/>
    <w:rsid w:val="00FA777B"/>
    <w:rsid w:val="00FA7E97"/>
    <w:rsid w:val="00FB34C5"/>
    <w:rsid w:val="00FF3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A2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Calibri Light" w:hAnsi="Calibri Light"/>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96275B"/>
    <w:pPr>
      <w:numPr>
        <w:numId w:val="11"/>
      </w:numPr>
    </w:pPr>
    <w:rPr>
      <w:sz w:val="20"/>
      <w:szCs w:val="20"/>
    </w:rPr>
  </w:style>
  <w:style w:type="character" w:customStyle="1" w:styleId="OutlineNumbered1Char">
    <w:name w:val="Outline Numbered 1 Char"/>
    <w:basedOn w:val="BulletChar"/>
    <w:link w:val="OutlineNumbered1"/>
    <w:rsid w:val="0096275B"/>
    <w:rPr>
      <w:rFonts w:ascii="Calibri Light" w:hAnsi="Calibri Light"/>
    </w:rPr>
  </w:style>
  <w:style w:type="paragraph" w:customStyle="1" w:styleId="OutlineNumbered2">
    <w:name w:val="Outline Numbered 2"/>
    <w:basedOn w:val="Normal"/>
    <w:link w:val="OutlineNumbered2Char"/>
    <w:rsid w:val="0096275B"/>
    <w:pPr>
      <w:numPr>
        <w:ilvl w:val="1"/>
        <w:numId w:val="11"/>
      </w:numPr>
    </w:pPr>
    <w:rPr>
      <w:sz w:val="20"/>
      <w:szCs w:val="20"/>
    </w:rPr>
  </w:style>
  <w:style w:type="character" w:customStyle="1" w:styleId="OutlineNumbered2Char">
    <w:name w:val="Outline Numbered 2 Char"/>
    <w:basedOn w:val="BulletChar"/>
    <w:link w:val="OutlineNumbered2"/>
    <w:rsid w:val="0096275B"/>
    <w:rPr>
      <w:rFonts w:ascii="Calibri Light" w:hAnsi="Calibri Light"/>
    </w:rPr>
  </w:style>
  <w:style w:type="paragraph" w:customStyle="1" w:styleId="OutlineNumbered3">
    <w:name w:val="Outline Numbered 3"/>
    <w:basedOn w:val="Normal"/>
    <w:link w:val="OutlineNumbered3Char"/>
    <w:rsid w:val="0096275B"/>
    <w:pPr>
      <w:numPr>
        <w:ilvl w:val="2"/>
        <w:numId w:val="11"/>
      </w:numPr>
    </w:pPr>
    <w:rPr>
      <w:sz w:val="20"/>
      <w:szCs w:val="20"/>
    </w:rPr>
  </w:style>
  <w:style w:type="character" w:customStyle="1" w:styleId="OutlineNumbered3Char">
    <w:name w:val="Outline Numbered 3 Char"/>
    <w:basedOn w:val="BulletChar"/>
    <w:link w:val="OutlineNumbered3"/>
    <w:rsid w:val="0096275B"/>
    <w:rPr>
      <w:rFonts w:ascii="Calibri Light" w:hAnsi="Calibri Light"/>
    </w:rPr>
  </w:style>
  <w:style w:type="character" w:styleId="CommentReference">
    <w:name w:val="annotation reference"/>
    <w:basedOn w:val="DefaultParagraphFont"/>
    <w:uiPriority w:val="99"/>
    <w:semiHidden/>
    <w:unhideWhenUsed/>
    <w:rsid w:val="00617495"/>
    <w:rPr>
      <w:sz w:val="16"/>
      <w:szCs w:val="16"/>
    </w:rPr>
  </w:style>
  <w:style w:type="paragraph" w:styleId="CommentText">
    <w:name w:val="annotation text"/>
    <w:basedOn w:val="Normal"/>
    <w:link w:val="CommentTextChar"/>
    <w:uiPriority w:val="99"/>
    <w:semiHidden/>
    <w:unhideWhenUsed/>
    <w:rsid w:val="00617495"/>
    <w:rPr>
      <w:sz w:val="20"/>
      <w:szCs w:val="20"/>
    </w:rPr>
  </w:style>
  <w:style w:type="character" w:customStyle="1" w:styleId="CommentTextChar">
    <w:name w:val="Comment Text Char"/>
    <w:basedOn w:val="DefaultParagraphFont"/>
    <w:link w:val="CommentText"/>
    <w:uiPriority w:val="99"/>
    <w:semiHidden/>
    <w:rsid w:val="0061749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17495"/>
    <w:rPr>
      <w:b/>
      <w:bCs/>
    </w:rPr>
  </w:style>
  <w:style w:type="character" w:customStyle="1" w:styleId="CommentSubjectChar">
    <w:name w:val="Comment Subject Char"/>
    <w:basedOn w:val="CommentTextChar"/>
    <w:link w:val="CommentSubject"/>
    <w:uiPriority w:val="99"/>
    <w:semiHidden/>
    <w:rsid w:val="00617495"/>
    <w:rPr>
      <w:rFonts w:ascii="Calibri Light" w:hAnsi="Calibri Light"/>
      <w:b/>
      <w:bCs/>
      <w:sz w:val="20"/>
      <w:szCs w:val="20"/>
    </w:rPr>
  </w:style>
  <w:style w:type="paragraph" w:customStyle="1" w:styleId="Default">
    <w:name w:val="Default"/>
    <w:rsid w:val="00AA109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F156E"/>
    <w:pPr>
      <w:spacing w:after="0" w:line="240" w:lineRule="auto"/>
    </w:pPr>
    <w:rPr>
      <w:rFonts w:ascii="Calibri Light" w:hAnsi="Calibri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Calibri Light" w:hAnsi="Calibri Light"/>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96275B"/>
    <w:pPr>
      <w:numPr>
        <w:numId w:val="11"/>
      </w:numPr>
    </w:pPr>
    <w:rPr>
      <w:sz w:val="20"/>
      <w:szCs w:val="20"/>
    </w:rPr>
  </w:style>
  <w:style w:type="character" w:customStyle="1" w:styleId="OutlineNumbered1Char">
    <w:name w:val="Outline Numbered 1 Char"/>
    <w:basedOn w:val="BulletChar"/>
    <w:link w:val="OutlineNumbered1"/>
    <w:rsid w:val="0096275B"/>
    <w:rPr>
      <w:rFonts w:ascii="Calibri Light" w:hAnsi="Calibri Light"/>
    </w:rPr>
  </w:style>
  <w:style w:type="paragraph" w:customStyle="1" w:styleId="OutlineNumbered2">
    <w:name w:val="Outline Numbered 2"/>
    <w:basedOn w:val="Normal"/>
    <w:link w:val="OutlineNumbered2Char"/>
    <w:rsid w:val="0096275B"/>
    <w:pPr>
      <w:numPr>
        <w:ilvl w:val="1"/>
        <w:numId w:val="11"/>
      </w:numPr>
    </w:pPr>
    <w:rPr>
      <w:sz w:val="20"/>
      <w:szCs w:val="20"/>
    </w:rPr>
  </w:style>
  <w:style w:type="character" w:customStyle="1" w:styleId="OutlineNumbered2Char">
    <w:name w:val="Outline Numbered 2 Char"/>
    <w:basedOn w:val="BulletChar"/>
    <w:link w:val="OutlineNumbered2"/>
    <w:rsid w:val="0096275B"/>
    <w:rPr>
      <w:rFonts w:ascii="Calibri Light" w:hAnsi="Calibri Light"/>
    </w:rPr>
  </w:style>
  <w:style w:type="paragraph" w:customStyle="1" w:styleId="OutlineNumbered3">
    <w:name w:val="Outline Numbered 3"/>
    <w:basedOn w:val="Normal"/>
    <w:link w:val="OutlineNumbered3Char"/>
    <w:rsid w:val="0096275B"/>
    <w:pPr>
      <w:numPr>
        <w:ilvl w:val="2"/>
        <w:numId w:val="11"/>
      </w:numPr>
    </w:pPr>
    <w:rPr>
      <w:sz w:val="20"/>
      <w:szCs w:val="20"/>
    </w:rPr>
  </w:style>
  <w:style w:type="character" w:customStyle="1" w:styleId="OutlineNumbered3Char">
    <w:name w:val="Outline Numbered 3 Char"/>
    <w:basedOn w:val="BulletChar"/>
    <w:link w:val="OutlineNumbered3"/>
    <w:rsid w:val="0096275B"/>
    <w:rPr>
      <w:rFonts w:ascii="Calibri Light" w:hAnsi="Calibri Light"/>
    </w:rPr>
  </w:style>
  <w:style w:type="character" w:styleId="CommentReference">
    <w:name w:val="annotation reference"/>
    <w:basedOn w:val="DefaultParagraphFont"/>
    <w:uiPriority w:val="99"/>
    <w:semiHidden/>
    <w:unhideWhenUsed/>
    <w:rsid w:val="00617495"/>
    <w:rPr>
      <w:sz w:val="16"/>
      <w:szCs w:val="16"/>
    </w:rPr>
  </w:style>
  <w:style w:type="paragraph" w:styleId="CommentText">
    <w:name w:val="annotation text"/>
    <w:basedOn w:val="Normal"/>
    <w:link w:val="CommentTextChar"/>
    <w:uiPriority w:val="99"/>
    <w:semiHidden/>
    <w:unhideWhenUsed/>
    <w:rsid w:val="00617495"/>
    <w:rPr>
      <w:sz w:val="20"/>
      <w:szCs w:val="20"/>
    </w:rPr>
  </w:style>
  <w:style w:type="character" w:customStyle="1" w:styleId="CommentTextChar">
    <w:name w:val="Comment Text Char"/>
    <w:basedOn w:val="DefaultParagraphFont"/>
    <w:link w:val="CommentText"/>
    <w:uiPriority w:val="99"/>
    <w:semiHidden/>
    <w:rsid w:val="0061749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17495"/>
    <w:rPr>
      <w:b/>
      <w:bCs/>
    </w:rPr>
  </w:style>
  <w:style w:type="character" w:customStyle="1" w:styleId="CommentSubjectChar">
    <w:name w:val="Comment Subject Char"/>
    <w:basedOn w:val="CommentTextChar"/>
    <w:link w:val="CommentSubject"/>
    <w:uiPriority w:val="99"/>
    <w:semiHidden/>
    <w:rsid w:val="00617495"/>
    <w:rPr>
      <w:rFonts w:ascii="Calibri Light" w:hAnsi="Calibri Light"/>
      <w:b/>
      <w:bCs/>
      <w:sz w:val="20"/>
      <w:szCs w:val="20"/>
    </w:rPr>
  </w:style>
  <w:style w:type="paragraph" w:customStyle="1" w:styleId="Default">
    <w:name w:val="Default"/>
    <w:rsid w:val="00AA109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F156E"/>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1390">
      <w:bodyDiv w:val="1"/>
      <w:marLeft w:val="0"/>
      <w:marRight w:val="0"/>
      <w:marTop w:val="0"/>
      <w:marBottom w:val="0"/>
      <w:divBdr>
        <w:top w:val="none" w:sz="0" w:space="0" w:color="auto"/>
        <w:left w:val="none" w:sz="0" w:space="0" w:color="auto"/>
        <w:bottom w:val="none" w:sz="0" w:space="0" w:color="auto"/>
        <w:right w:val="none" w:sz="0" w:space="0" w:color="auto"/>
      </w:divBdr>
    </w:div>
    <w:div w:id="421802283">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693924939">
      <w:bodyDiv w:val="1"/>
      <w:marLeft w:val="0"/>
      <w:marRight w:val="0"/>
      <w:marTop w:val="0"/>
      <w:marBottom w:val="0"/>
      <w:divBdr>
        <w:top w:val="none" w:sz="0" w:space="0" w:color="auto"/>
        <w:left w:val="none" w:sz="0" w:space="0" w:color="auto"/>
        <w:bottom w:val="none" w:sz="0" w:space="0" w:color="auto"/>
        <w:right w:val="none" w:sz="0" w:space="0" w:color="auto"/>
      </w:divBdr>
    </w:div>
    <w:div w:id="1021972806">
      <w:bodyDiv w:val="1"/>
      <w:marLeft w:val="0"/>
      <w:marRight w:val="0"/>
      <w:marTop w:val="0"/>
      <w:marBottom w:val="0"/>
      <w:divBdr>
        <w:top w:val="none" w:sz="0" w:space="0" w:color="auto"/>
        <w:left w:val="none" w:sz="0" w:space="0" w:color="auto"/>
        <w:bottom w:val="none" w:sz="0" w:space="0" w:color="auto"/>
        <w:right w:val="none" w:sz="0" w:space="0" w:color="auto"/>
      </w:divBdr>
    </w:div>
    <w:div w:id="1270697531">
      <w:bodyDiv w:val="1"/>
      <w:marLeft w:val="0"/>
      <w:marRight w:val="0"/>
      <w:marTop w:val="0"/>
      <w:marBottom w:val="0"/>
      <w:divBdr>
        <w:top w:val="none" w:sz="0" w:space="0" w:color="auto"/>
        <w:left w:val="none" w:sz="0" w:space="0" w:color="auto"/>
        <w:bottom w:val="none" w:sz="0" w:space="0" w:color="auto"/>
        <w:right w:val="none" w:sz="0" w:space="0" w:color="auto"/>
      </w:divBdr>
    </w:div>
    <w:div w:id="1423840169">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49193919">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1993412319">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47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s://taxboard.ideascale.com/" TargetMode="Externa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taxboard@treasury.gov.au" TargetMode="External"/><Relationship Id="rId2" Type="http://schemas.openxmlformats.org/officeDocument/2006/relationships/customXml" Target="../customXml/item2.xml"/><Relationship Id="rId16" Type="http://schemas.openxmlformats.org/officeDocument/2006/relationships/hyperlink" Target="mailto:taxboard@treasury.gov.au" TargetMode="External"/><Relationship Id="rId20" Type="http://schemas.openxmlformats.org/officeDocument/2006/relationships/hyperlink" Target="http://www.taxboar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axboard@treasury.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karen.payne@treasury.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axboard.gov.au/current-activities/transparency-code-registe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9f7bc583-7cbe-45b9-a2bd-8bbb6543b37e">
      <Value>18</Value>
    </TaxCatchAll>
    <_dlc_DocId xmlns="9f7bc583-7cbe-45b9-a2bd-8bbb6543b37e">2017RG-356-5479</_dlc_DocId>
    <_dlc_DocIdUrl xmlns="9f7bc583-7cbe-45b9-a2bd-8bbb6543b37e">
      <Url>http://tweb/sites/rg/bots/boards/_layouts/15/DocIdRedir.aspx?ID=2017RG-356-5479</Url>
      <Description>2017RG-356-5479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3998" ma:contentTypeDescription="" ma:contentTypeScope="" ma:versionID="57a68b4a0bd3fe0158e59d7bfa9aff2d">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48ff628207e125b56f0638089dec2023"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04F58-9936-43C8-BCA0-589AD3836680}">
  <ds:schemaRefs>
    <ds:schemaRef ds:uri="http://schemas.microsoft.com/office/infopath/2007/PartnerControls"/>
    <ds:schemaRef ds:uri="http://purl.org/dc/terms/"/>
    <ds:schemaRef ds:uri="http://schemas.microsoft.com/office/2006/documentManagement/types"/>
    <ds:schemaRef ds:uri="http://schemas.microsoft.com/sharepoint/v4"/>
    <ds:schemaRef ds:uri="9f7bc583-7cbe-45b9-a2bd-8bbb6543b37e"/>
    <ds:schemaRef ds:uri="http://www.w3.org/XML/1998/namespace"/>
    <ds:schemaRef ds:uri="http://purl.org/dc/elements/1.1/"/>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3.xml><?xml version="1.0" encoding="utf-8"?>
<ds:datastoreItem xmlns:ds="http://schemas.openxmlformats.org/officeDocument/2006/customXml" ds:itemID="{2F5B7620-A9EE-4AD1-BDAD-72BBF0826AE5}">
  <ds:schemaRefs>
    <ds:schemaRef ds:uri="office.server.policy"/>
  </ds:schemaRefs>
</ds:datastoreItem>
</file>

<file path=customXml/itemProps4.xml><?xml version="1.0" encoding="utf-8"?>
<ds:datastoreItem xmlns:ds="http://schemas.openxmlformats.org/officeDocument/2006/customXml" ds:itemID="{928E1979-9325-40C5-B8F6-129533A32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9142C4-C99B-4080-9FEB-79A50F79C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2551</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Dodshon</dc:creator>
  <cp:lastModifiedBy>Tsikleas, Jean</cp:lastModifiedBy>
  <cp:revision>30</cp:revision>
  <cp:lastPrinted>2017-05-01T07:10:00Z</cp:lastPrinted>
  <dcterms:created xsi:type="dcterms:W3CDTF">2017-05-02T02:50:00Z</dcterms:created>
  <dcterms:modified xsi:type="dcterms:W3CDTF">2017-07-17T03:45:00Z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84649d11-f88e-486e-8a8c-178a6e7fc12b</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UniqueId">
    <vt:lpwstr>{84649d11-f88e-486e-8a8c-178a6e7fc12b}</vt:lpwstr>
  </property>
  <property fmtid="{D5CDD505-2E9C-101B-9397-08002B2CF9AE}" pid="8" name="RecordPoint_ActiveItemWebId">
    <vt:lpwstr>{cebcee45-40e2-45ca-9d22-89ff5bfe4e7b}</vt:lpwstr>
  </property>
  <property fmtid="{D5CDD505-2E9C-101B-9397-08002B2CF9AE}" pid="9" name="RecordPoint_ActiveItemSiteId">
    <vt:lpwstr>{5b52b9a5-e5b2-4521-8814-a1e24ca2869d}</vt:lpwstr>
  </property>
  <property fmtid="{D5CDD505-2E9C-101B-9397-08002B2CF9AE}" pid="10" name="RecordPoint_RecordNumberSubmitted">
    <vt:lpwstr>R0001368265</vt:lpwstr>
  </property>
  <property fmtid="{D5CDD505-2E9C-101B-9397-08002B2CF9AE}" pid="11" name="_AdHocReviewCycleID">
    <vt:i4>697348249</vt:i4>
  </property>
  <property fmtid="{D5CDD505-2E9C-101B-9397-08002B2CF9AE}" pid="12" name="_NewReviewCycle">
    <vt:lpwstr/>
  </property>
  <property fmtid="{D5CDD505-2E9C-101B-9397-08002B2CF9AE}" pid="13" name="_EmailSubject">
    <vt:lpwstr>CEO Update and covering email</vt:lpwstr>
  </property>
  <property fmtid="{D5CDD505-2E9C-101B-9397-08002B2CF9AE}" pid="14" name="_AuthorEmail">
    <vt:lpwstr>Karen.Payne@TREASURY.GOV.AU</vt:lpwstr>
  </property>
  <property fmtid="{D5CDD505-2E9C-101B-9397-08002B2CF9AE}" pid="15" name="_AuthorEmailDisplayName">
    <vt:lpwstr>Payne, Karen</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_PreviousAdHocReviewCycleID">
    <vt:i4>2100197868</vt:i4>
  </property>
  <property fmtid="{D5CDD505-2E9C-101B-9397-08002B2CF9AE}" pid="20" name="_ReviewingToolsShownOnce">
    <vt:lpwstr/>
  </property>
  <property fmtid="{D5CDD505-2E9C-101B-9397-08002B2CF9AE}" pid="21" name="RecordPoint_SubmissionCompleted">
    <vt:lpwstr>2017-07-13T11:38:33.2909892+10:00</vt:lpwstr>
  </property>
</Properties>
</file>