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9789"/>
        <w:gridCol w:w="452"/>
      </w:tblGrid>
      <w:tr w:rsidR="00DE77A2" w14:paraId="2D29DC04" w14:textId="77777777" w:rsidTr="009A22E1">
        <w:trPr>
          <w:jc w:val="center"/>
        </w:trPr>
        <w:tc>
          <w:tcPr>
            <w:tcW w:w="10580" w:type="dxa"/>
            <w:gridSpan w:val="3"/>
            <w:tcMar>
              <w:left w:w="0" w:type="dxa"/>
              <w:right w:w="0" w:type="dxa"/>
            </w:tcMar>
          </w:tcPr>
          <w:p w14:paraId="2658866D" w14:textId="77777777" w:rsidR="00DE77A2" w:rsidRDefault="00DE77A2" w:rsidP="002256FA">
            <w:r>
              <w:rPr>
                <w:noProof/>
                <w:lang w:eastAsia="en-AU"/>
              </w:rPr>
              <w:drawing>
                <wp:inline distT="0" distB="0" distL="0" distR="0" wp14:anchorId="4E8C267F" wp14:editId="4D1715C1">
                  <wp:extent cx="6828312" cy="151681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4">
                            <a:extLst>
                              <a:ext uri="{28A0092B-C50C-407E-A947-70E740481C1C}">
                                <a14:useLocalDpi xmlns:a14="http://schemas.microsoft.com/office/drawing/2010/main" val="0"/>
                              </a:ext>
                            </a:extLst>
                          </a:blip>
                          <a:stretch>
                            <a:fillRect/>
                          </a:stretch>
                        </pic:blipFill>
                        <pic:spPr>
                          <a:xfrm>
                            <a:off x="0" y="0"/>
                            <a:ext cx="6830049" cy="1517204"/>
                          </a:xfrm>
                          <a:prstGeom prst="rect">
                            <a:avLst/>
                          </a:prstGeom>
                        </pic:spPr>
                      </pic:pic>
                    </a:graphicData>
                  </a:graphic>
                </wp:inline>
              </w:drawing>
            </w:r>
          </w:p>
        </w:tc>
      </w:tr>
      <w:tr w:rsidR="00DE77A2" w:rsidRPr="00BD2FF3" w14:paraId="3FAA2B33" w14:textId="77777777" w:rsidTr="009A22E1">
        <w:trPr>
          <w:jc w:val="center"/>
        </w:trPr>
        <w:tc>
          <w:tcPr>
            <w:tcW w:w="421" w:type="dxa"/>
            <w:shd w:val="clear" w:color="auto" w:fill="1F497D" w:themeFill="text2"/>
          </w:tcPr>
          <w:p w14:paraId="39EA45D1" w14:textId="77777777" w:rsidR="00DE77A2" w:rsidRPr="00BD2FF3" w:rsidRDefault="00DE77A2" w:rsidP="002256FA"/>
        </w:tc>
        <w:tc>
          <w:tcPr>
            <w:tcW w:w="9814" w:type="dxa"/>
            <w:shd w:val="clear" w:color="auto" w:fill="1F497D" w:themeFill="text2"/>
          </w:tcPr>
          <w:p w14:paraId="6B853DE3" w14:textId="593849FC" w:rsidR="00DE77A2" w:rsidRPr="002256FA" w:rsidRDefault="00DE77A2" w:rsidP="0075336F">
            <w:pPr>
              <w:pStyle w:val="Heading1"/>
              <w:outlineLvl w:val="0"/>
            </w:pPr>
            <w:r w:rsidRPr="002256FA">
              <w:t>CEO Update –</w:t>
            </w:r>
            <w:r w:rsidR="0075336F">
              <w:t>December</w:t>
            </w:r>
            <w:r w:rsidR="009D6265">
              <w:t xml:space="preserve"> 2</w:t>
            </w:r>
            <w:bookmarkStart w:id="0" w:name="_GoBack"/>
            <w:bookmarkEnd w:id="0"/>
            <w:r w:rsidR="009D6265">
              <w:t>01</w:t>
            </w:r>
            <w:r w:rsidR="008E01F0">
              <w:t>7</w:t>
            </w:r>
          </w:p>
        </w:tc>
        <w:tc>
          <w:tcPr>
            <w:tcW w:w="345" w:type="dxa"/>
            <w:shd w:val="clear" w:color="auto" w:fill="1F497D" w:themeFill="text2"/>
          </w:tcPr>
          <w:p w14:paraId="71A41AEF" w14:textId="77777777" w:rsidR="00DE77A2" w:rsidRPr="00BD2FF3" w:rsidRDefault="00DE77A2" w:rsidP="002256FA"/>
        </w:tc>
      </w:tr>
      <w:tr w:rsidR="00DE77A2" w:rsidRPr="00BD2FF3" w14:paraId="7F6A94CC" w14:textId="77777777" w:rsidTr="009A22E1">
        <w:trPr>
          <w:jc w:val="center"/>
        </w:trPr>
        <w:tc>
          <w:tcPr>
            <w:tcW w:w="421" w:type="dxa"/>
          </w:tcPr>
          <w:p w14:paraId="7E481E69" w14:textId="77777777" w:rsidR="00DE77A2" w:rsidRPr="00BD2FF3" w:rsidRDefault="00DE77A2" w:rsidP="002256FA"/>
        </w:tc>
        <w:tc>
          <w:tcPr>
            <w:tcW w:w="9814" w:type="dxa"/>
          </w:tcPr>
          <w:p w14:paraId="2FC3AF03" w14:textId="3D0AF8C3" w:rsidR="00DE77A2" w:rsidRPr="00BD2FF3" w:rsidRDefault="00DD348D" w:rsidP="002B61FE">
            <w:pPr>
              <w:spacing w:before="0" w:line="300" w:lineRule="exact"/>
            </w:pPr>
            <w:r>
              <w:br/>
            </w:r>
            <w:r w:rsidR="00DE77A2" w:rsidRPr="00BD2FF3">
              <w:t xml:space="preserve">Dear </w:t>
            </w:r>
            <w:r w:rsidR="005B32D7" w:rsidRPr="002256FA">
              <w:t>Stakeholders</w:t>
            </w:r>
            <w:r w:rsidR="00DE77A2" w:rsidRPr="00BD2FF3">
              <w:t>,</w:t>
            </w:r>
          </w:p>
          <w:p w14:paraId="6F747288" w14:textId="26498046" w:rsidR="00F8521D" w:rsidRDefault="00BE3509" w:rsidP="002B61FE">
            <w:pPr>
              <w:spacing w:before="0" w:line="300" w:lineRule="exact"/>
            </w:pPr>
            <w:r>
              <w:t>T</w:t>
            </w:r>
            <w:r w:rsidR="00546C73">
              <w:t xml:space="preserve">he </w:t>
            </w:r>
            <w:r w:rsidR="00B0301E">
              <w:t>B</w:t>
            </w:r>
            <w:r w:rsidR="00546C73">
              <w:t xml:space="preserve">oard of Taxation </w:t>
            </w:r>
            <w:r w:rsidR="000735E9">
              <w:t xml:space="preserve">met on Thursday 7 December for </w:t>
            </w:r>
            <w:r w:rsidR="00546C73">
              <w:t xml:space="preserve">its </w:t>
            </w:r>
            <w:r w:rsidR="00094214">
              <w:t xml:space="preserve">final </w:t>
            </w:r>
            <w:r w:rsidR="00546C73">
              <w:t>meeting for 2017</w:t>
            </w:r>
            <w:r w:rsidR="000735E9">
              <w:t xml:space="preserve">. BDO </w:t>
            </w:r>
            <w:r w:rsidR="00094214">
              <w:t xml:space="preserve">Melbourne </w:t>
            </w:r>
            <w:r w:rsidR="000735E9">
              <w:t xml:space="preserve">hosted the meeting and the </w:t>
            </w:r>
            <w:r w:rsidR="00F8521D">
              <w:t xml:space="preserve">Board thanks BDO for their hospitality. </w:t>
            </w:r>
          </w:p>
          <w:p w14:paraId="011DCC27" w14:textId="543307FC" w:rsidR="00DE77A2" w:rsidRDefault="00F8521D" w:rsidP="002B61FE">
            <w:pPr>
              <w:spacing w:before="0" w:line="300" w:lineRule="exact"/>
            </w:pPr>
            <w:r>
              <w:t xml:space="preserve">The December meeting continued our discussion of the </w:t>
            </w:r>
            <w:r w:rsidR="00546C73">
              <w:t xml:space="preserve">Board’s </w:t>
            </w:r>
            <w:r w:rsidR="004A55E2">
              <w:t xml:space="preserve">stocktake of reports, </w:t>
            </w:r>
            <w:r>
              <w:t>S</w:t>
            </w:r>
            <w:r w:rsidR="004A55E2">
              <w:t>ounding Board</w:t>
            </w:r>
            <w:r w:rsidR="00181BBB">
              <w:t xml:space="preserve"> ideas</w:t>
            </w:r>
            <w:r>
              <w:t xml:space="preserve">, and the </w:t>
            </w:r>
            <w:r w:rsidR="00546C73">
              <w:t>future pipeline of projects.</w:t>
            </w:r>
            <w:r>
              <w:t xml:space="preserve"> The Board also reviewed the ATO’s self-assessment regulator performance framework report which is an annual process undertaken by many federal government regulators </w:t>
            </w:r>
            <w:r w:rsidR="000735E9">
              <w:t xml:space="preserve">to ensure there remains a focus on reducing red tape. </w:t>
            </w:r>
          </w:p>
          <w:p w14:paraId="3FF1D607" w14:textId="72972EBA" w:rsidR="000735E9" w:rsidRDefault="002C7DA6" w:rsidP="002B61FE">
            <w:pPr>
              <w:spacing w:before="0" w:line="300" w:lineRule="exact"/>
            </w:pPr>
            <w:r>
              <w:t>O</w:t>
            </w:r>
            <w:r w:rsidR="000735E9">
              <w:t xml:space="preserve">ur December meeting </w:t>
            </w:r>
            <w:r>
              <w:t>also c</w:t>
            </w:r>
            <w:r w:rsidR="000735E9">
              <w:t>onsider</w:t>
            </w:r>
            <w:r>
              <w:t>ed</w:t>
            </w:r>
            <w:r w:rsidR="000735E9">
              <w:t xml:space="preserve"> </w:t>
            </w:r>
            <w:r w:rsidR="00CC34BD">
              <w:t>some</w:t>
            </w:r>
            <w:r w:rsidR="000735E9">
              <w:t xml:space="preserve"> preliminary findings of our review of </w:t>
            </w:r>
            <w:r w:rsidR="00CC34BD">
              <w:t xml:space="preserve">a sample of </w:t>
            </w:r>
            <w:r>
              <w:t xml:space="preserve">published </w:t>
            </w:r>
            <w:r w:rsidR="00CC34BD">
              <w:t xml:space="preserve">tax </w:t>
            </w:r>
            <w:r>
              <w:t>transparency reports</w:t>
            </w:r>
            <w:r w:rsidR="00CC34BD">
              <w:t xml:space="preserve">. Some key lessons and observations are </w:t>
            </w:r>
            <w:r w:rsidR="000735E9">
              <w:t xml:space="preserve">set out below.  </w:t>
            </w:r>
          </w:p>
          <w:p w14:paraId="4490E19B" w14:textId="56BBA6FD" w:rsidR="00546C73" w:rsidRPr="00BD2FF3" w:rsidRDefault="002C7DA6" w:rsidP="002B61FE">
            <w:pPr>
              <w:spacing w:before="0" w:line="300" w:lineRule="exact"/>
            </w:pPr>
            <w:r>
              <w:t xml:space="preserve">On reflecting on the Board’s 2017 achievements the Board noted that none of this would have been possible without the contributions from our stakeholders including </w:t>
            </w:r>
            <w:r w:rsidR="00CC34BD">
              <w:t xml:space="preserve">our </w:t>
            </w:r>
            <w:r>
              <w:t>Advisory Panel members</w:t>
            </w:r>
            <w:r w:rsidR="00CC34BD">
              <w:t>.  O</w:t>
            </w:r>
            <w:r w:rsidR="00AE6AF4">
              <w:t>n behalf of the Board I would like to thank you for your continuing support</w:t>
            </w:r>
            <w:r w:rsidR="00CC34BD">
              <w:t>.   We</w:t>
            </w:r>
            <w:r w:rsidR="002B3B38">
              <w:t xml:space="preserve"> look forward to </w:t>
            </w:r>
            <w:r w:rsidR="00CC34BD">
              <w:t xml:space="preserve">working with you </w:t>
            </w:r>
            <w:r w:rsidR="002B3B38">
              <w:t>in 2018</w:t>
            </w:r>
            <w:r>
              <w:t xml:space="preserve">. </w:t>
            </w:r>
          </w:p>
        </w:tc>
        <w:tc>
          <w:tcPr>
            <w:tcW w:w="345" w:type="dxa"/>
          </w:tcPr>
          <w:p w14:paraId="052BE130" w14:textId="77777777" w:rsidR="00DE77A2" w:rsidRPr="00BD2FF3" w:rsidRDefault="00DE77A2" w:rsidP="002256FA"/>
        </w:tc>
      </w:tr>
      <w:tr w:rsidR="005B32D7" w:rsidRPr="005B32D7" w14:paraId="6B5FE549" w14:textId="77777777" w:rsidTr="009A22E1">
        <w:trPr>
          <w:jc w:val="center"/>
        </w:trPr>
        <w:tc>
          <w:tcPr>
            <w:tcW w:w="421" w:type="dxa"/>
            <w:shd w:val="clear" w:color="auto" w:fill="auto"/>
          </w:tcPr>
          <w:p w14:paraId="0A0775CB" w14:textId="4F6582CC" w:rsidR="00DE77A2" w:rsidRPr="005B32D7" w:rsidRDefault="00DE77A2" w:rsidP="002256FA"/>
        </w:tc>
        <w:tc>
          <w:tcPr>
            <w:tcW w:w="9814" w:type="dxa"/>
            <w:shd w:val="clear" w:color="auto" w:fill="auto"/>
          </w:tcPr>
          <w:p w14:paraId="5B3EA95D" w14:textId="77777777" w:rsidR="00DE77A2" w:rsidRPr="005B32D7" w:rsidRDefault="00546C73" w:rsidP="00EF48F9">
            <w:pPr>
              <w:pStyle w:val="Heading2"/>
              <w:spacing w:after="0"/>
              <w:outlineLvl w:val="1"/>
            </w:pPr>
            <w:r>
              <w:t>Pipeline of possible projects</w:t>
            </w:r>
          </w:p>
        </w:tc>
        <w:tc>
          <w:tcPr>
            <w:tcW w:w="345" w:type="dxa"/>
            <w:shd w:val="clear" w:color="auto" w:fill="auto"/>
          </w:tcPr>
          <w:p w14:paraId="0DF42C9B" w14:textId="77777777" w:rsidR="00DE77A2" w:rsidRPr="005B32D7" w:rsidRDefault="00DE77A2" w:rsidP="002256FA"/>
        </w:tc>
      </w:tr>
      <w:tr w:rsidR="00DE77A2" w:rsidRPr="00BD2FF3" w14:paraId="194D8302" w14:textId="77777777" w:rsidTr="009A22E1">
        <w:trPr>
          <w:jc w:val="center"/>
        </w:trPr>
        <w:tc>
          <w:tcPr>
            <w:tcW w:w="421" w:type="dxa"/>
          </w:tcPr>
          <w:p w14:paraId="58EC1D73" w14:textId="77777777" w:rsidR="00DE77A2" w:rsidRPr="00BD2FF3" w:rsidRDefault="00DE77A2" w:rsidP="002256FA"/>
        </w:tc>
        <w:tc>
          <w:tcPr>
            <w:tcW w:w="9814" w:type="dxa"/>
          </w:tcPr>
          <w:p w14:paraId="6C0B10CD" w14:textId="46267F19" w:rsidR="001A5F7D" w:rsidRDefault="002A2827" w:rsidP="002B61FE">
            <w:pPr>
              <w:spacing w:before="0" w:line="300" w:lineRule="exact"/>
            </w:pPr>
            <w:r>
              <w:t xml:space="preserve">The Board </w:t>
            </w:r>
            <w:r w:rsidR="000735E9">
              <w:t xml:space="preserve">continued to </w:t>
            </w:r>
            <w:r>
              <w:t>discuss</w:t>
            </w:r>
            <w:r w:rsidR="000735E9">
              <w:t xml:space="preserve"> </w:t>
            </w:r>
            <w:r w:rsidR="001A5F7D">
              <w:t>the scop</w:t>
            </w:r>
            <w:r w:rsidR="00BE3509">
              <w:t xml:space="preserve">e and content </w:t>
            </w:r>
            <w:r w:rsidR="00311917">
              <w:t xml:space="preserve">of </w:t>
            </w:r>
            <w:r w:rsidR="00BE3509">
              <w:t>a number of possible projects, including</w:t>
            </w:r>
            <w:r w:rsidR="00311917">
              <w:t>:</w:t>
            </w:r>
            <w:r w:rsidR="001A5F7D">
              <w:t xml:space="preserve"> </w:t>
            </w:r>
          </w:p>
          <w:p w14:paraId="3E6F4EBC" w14:textId="5BAC30C6" w:rsidR="001A5F7D" w:rsidRPr="000C1DB1" w:rsidRDefault="001A5F7D" w:rsidP="002B61FE">
            <w:pPr>
              <w:pStyle w:val="Bullet"/>
              <w:numPr>
                <w:ilvl w:val="0"/>
                <w:numId w:val="13"/>
              </w:numPr>
              <w:spacing w:before="0" w:line="300" w:lineRule="exact"/>
            </w:pPr>
            <w:r>
              <w:t xml:space="preserve">A review of </w:t>
            </w:r>
            <w:r w:rsidR="00311917">
              <w:t>s</w:t>
            </w:r>
            <w:r>
              <w:t xml:space="preserve">mall </w:t>
            </w:r>
            <w:r w:rsidR="00311917">
              <w:t>b</w:t>
            </w:r>
            <w:r>
              <w:t>usiness tax concessions;</w:t>
            </w:r>
          </w:p>
          <w:p w14:paraId="2AD0315B" w14:textId="77D7FFE2" w:rsidR="001A5F7D" w:rsidRDefault="001A5F7D" w:rsidP="002B61FE">
            <w:pPr>
              <w:pStyle w:val="Bullet"/>
              <w:numPr>
                <w:ilvl w:val="0"/>
                <w:numId w:val="13"/>
              </w:numPr>
              <w:spacing w:before="0" w:line="300" w:lineRule="exact"/>
            </w:pPr>
            <w:r>
              <w:t>A comparison of the taxing rights for real property under Australia’s double tax agreements and domestic laws</w:t>
            </w:r>
            <w:r w:rsidR="00311917">
              <w:t>;</w:t>
            </w:r>
          </w:p>
          <w:p w14:paraId="347A085C" w14:textId="78022321" w:rsidR="002A2827" w:rsidRDefault="001F55B5" w:rsidP="002B61FE">
            <w:pPr>
              <w:pStyle w:val="ListParagraph"/>
              <w:numPr>
                <w:ilvl w:val="0"/>
                <w:numId w:val="13"/>
              </w:numPr>
              <w:spacing w:before="0" w:after="120" w:line="300" w:lineRule="exact"/>
            </w:pPr>
            <w:r>
              <w:t>Certain issues relating to t</w:t>
            </w:r>
            <w:r w:rsidR="00D9250B">
              <w:t>ax</w:t>
            </w:r>
            <w:r>
              <w:t>ation</w:t>
            </w:r>
            <w:r w:rsidR="00D9250B">
              <w:t xml:space="preserve"> in </w:t>
            </w:r>
            <w:r w:rsidR="00181BBB">
              <w:t>a</w:t>
            </w:r>
            <w:r w:rsidR="00D9250B">
              <w:t>griculture</w:t>
            </w:r>
            <w:r w:rsidR="004B43F2">
              <w:t>;</w:t>
            </w:r>
          </w:p>
          <w:p w14:paraId="489F90A8" w14:textId="00BDBDF6" w:rsidR="002A2827" w:rsidRDefault="001F55B5" w:rsidP="002B61FE">
            <w:pPr>
              <w:pStyle w:val="Bullet"/>
              <w:numPr>
                <w:ilvl w:val="0"/>
                <w:numId w:val="13"/>
              </w:numPr>
              <w:spacing w:before="0" w:line="300" w:lineRule="exact"/>
            </w:pPr>
            <w:r>
              <w:t xml:space="preserve">New tax measures to promote </w:t>
            </w:r>
            <w:r w:rsidR="002A2827">
              <w:t>innovation</w:t>
            </w:r>
            <w:r w:rsidR="004B43F2">
              <w:t>;</w:t>
            </w:r>
            <w:r w:rsidR="001A5F7D">
              <w:t xml:space="preserve"> </w:t>
            </w:r>
            <w:r w:rsidR="00E055F3">
              <w:t xml:space="preserve"> and</w:t>
            </w:r>
          </w:p>
          <w:p w14:paraId="4AB987F7" w14:textId="5FCBE5FD" w:rsidR="00D9250B" w:rsidRDefault="00D9250B" w:rsidP="002B61FE">
            <w:pPr>
              <w:pStyle w:val="Bullet"/>
              <w:numPr>
                <w:ilvl w:val="0"/>
                <w:numId w:val="13"/>
              </w:numPr>
              <w:spacing w:before="0" w:line="300" w:lineRule="exact"/>
            </w:pPr>
            <w:r>
              <w:t>Tax settings and digital disruption</w:t>
            </w:r>
            <w:r w:rsidR="00E055F3">
              <w:t>.</w:t>
            </w:r>
          </w:p>
          <w:p w14:paraId="40331CE9" w14:textId="1D0947A6" w:rsidR="003A3ECE" w:rsidRPr="00BD2FF3" w:rsidRDefault="00B95A8D" w:rsidP="002B61FE">
            <w:pPr>
              <w:pStyle w:val="Bullet"/>
              <w:numPr>
                <w:ilvl w:val="0"/>
                <w:numId w:val="0"/>
              </w:numPr>
              <w:spacing w:before="0" w:line="300" w:lineRule="exact"/>
            </w:pPr>
            <w:r>
              <w:t>Please contact the Board if you would like to share your views or be involved</w:t>
            </w:r>
            <w:r w:rsidR="00936A8A">
              <w:t xml:space="preserve"> in any of these projects </w:t>
            </w:r>
            <w:r w:rsidR="00181BBB">
              <w:t>should</w:t>
            </w:r>
            <w:r w:rsidR="00936A8A">
              <w:t xml:space="preserve"> they progress</w:t>
            </w:r>
            <w:r>
              <w:t>.</w:t>
            </w:r>
            <w:r w:rsidR="00181BBB">
              <w:t xml:space="preserve"> Thank you to our stakeholders who have already reached out to express an interest in being involved in these projects.</w:t>
            </w:r>
            <w:r w:rsidR="00CC34BD">
              <w:t xml:space="preserve">  We keep a register of your interest so that we can contact you at the appropriate time.</w:t>
            </w:r>
          </w:p>
        </w:tc>
        <w:tc>
          <w:tcPr>
            <w:tcW w:w="345" w:type="dxa"/>
          </w:tcPr>
          <w:p w14:paraId="03E8E95F" w14:textId="77777777" w:rsidR="00DE77A2" w:rsidRPr="00BD2FF3" w:rsidRDefault="00DE77A2" w:rsidP="002256FA"/>
        </w:tc>
      </w:tr>
      <w:tr w:rsidR="009A22E1" w:rsidRPr="005B32D7" w14:paraId="251F37E7" w14:textId="77777777" w:rsidTr="009A22E1">
        <w:trPr>
          <w:jc w:val="center"/>
        </w:trPr>
        <w:tc>
          <w:tcPr>
            <w:tcW w:w="421" w:type="dxa"/>
            <w:shd w:val="clear" w:color="auto" w:fill="auto"/>
          </w:tcPr>
          <w:p w14:paraId="0E717D03" w14:textId="77777777" w:rsidR="009A22E1" w:rsidRPr="005B32D7" w:rsidRDefault="009A22E1" w:rsidP="00657B86"/>
        </w:tc>
        <w:tc>
          <w:tcPr>
            <w:tcW w:w="9814" w:type="dxa"/>
            <w:shd w:val="clear" w:color="auto" w:fill="auto"/>
          </w:tcPr>
          <w:p w14:paraId="32D5A093" w14:textId="77777777" w:rsidR="009A22E1" w:rsidRPr="005B32D7" w:rsidRDefault="009A22E1" w:rsidP="00657B86">
            <w:pPr>
              <w:pStyle w:val="Heading2"/>
              <w:spacing w:before="60" w:after="0"/>
              <w:outlineLvl w:val="1"/>
            </w:pPr>
            <w:r>
              <w:t>Contingent consideration</w:t>
            </w:r>
          </w:p>
        </w:tc>
        <w:tc>
          <w:tcPr>
            <w:tcW w:w="345" w:type="dxa"/>
            <w:shd w:val="clear" w:color="auto" w:fill="auto"/>
          </w:tcPr>
          <w:p w14:paraId="487E01FE" w14:textId="77777777" w:rsidR="009A22E1" w:rsidRPr="005B32D7" w:rsidRDefault="009A22E1" w:rsidP="00657B86"/>
        </w:tc>
      </w:tr>
      <w:tr w:rsidR="009A22E1" w:rsidRPr="00BD2FF3" w14:paraId="6D0F4077" w14:textId="77777777" w:rsidTr="009A22E1">
        <w:trPr>
          <w:jc w:val="center"/>
        </w:trPr>
        <w:tc>
          <w:tcPr>
            <w:tcW w:w="421" w:type="dxa"/>
          </w:tcPr>
          <w:p w14:paraId="39B06F76" w14:textId="77777777" w:rsidR="009A22E1" w:rsidRPr="00BD2FF3" w:rsidRDefault="009A22E1" w:rsidP="00657B86"/>
        </w:tc>
        <w:tc>
          <w:tcPr>
            <w:tcW w:w="9814" w:type="dxa"/>
          </w:tcPr>
          <w:p w14:paraId="40B0D3D7" w14:textId="7AFC3EB9" w:rsidR="009A22E1" w:rsidRPr="00BD2FF3" w:rsidRDefault="009A22E1" w:rsidP="002B61FE">
            <w:pPr>
              <w:pStyle w:val="Bullet"/>
              <w:numPr>
                <w:ilvl w:val="0"/>
                <w:numId w:val="0"/>
              </w:numPr>
              <w:spacing w:before="0" w:line="300" w:lineRule="exact"/>
            </w:pPr>
            <w:r>
              <w:t xml:space="preserve">The Working Group continues to </w:t>
            </w:r>
            <w:r w:rsidR="000735E9">
              <w:t xml:space="preserve">engage on this project and the Board is grateful to the stakeholder engagement that has assisted to progress this work. The Working Group anticipates their work will provided to Government for their consideration in the first quarter of 2018. </w:t>
            </w:r>
            <w:r>
              <w:t xml:space="preserve"> </w:t>
            </w:r>
          </w:p>
        </w:tc>
        <w:tc>
          <w:tcPr>
            <w:tcW w:w="345" w:type="dxa"/>
          </w:tcPr>
          <w:p w14:paraId="5ABBAE01" w14:textId="77777777" w:rsidR="009A22E1" w:rsidRPr="00BD2FF3" w:rsidRDefault="009A22E1" w:rsidP="00657B86"/>
        </w:tc>
      </w:tr>
    </w:tbl>
    <w:p w14:paraId="659B87CB" w14:textId="77777777" w:rsidR="00311917" w:rsidRDefault="00311917">
      <w:r>
        <w:br w:type="page"/>
      </w:r>
    </w:p>
    <w:tbl>
      <w:tblPr>
        <w:tblStyle w:val="TableGrid"/>
        <w:tblW w:w="10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26"/>
        <w:gridCol w:w="3070"/>
        <w:gridCol w:w="3586"/>
        <w:gridCol w:w="2988"/>
        <w:gridCol w:w="25"/>
        <w:gridCol w:w="370"/>
        <w:gridCol w:w="74"/>
      </w:tblGrid>
      <w:tr w:rsidR="009A22E1" w:rsidRPr="005B32D7" w14:paraId="29F16451" w14:textId="77777777" w:rsidTr="00A610B7">
        <w:trPr>
          <w:gridAfter w:val="1"/>
          <w:wAfter w:w="74" w:type="dxa"/>
          <w:jc w:val="center"/>
        </w:trPr>
        <w:tc>
          <w:tcPr>
            <w:tcW w:w="443" w:type="dxa"/>
            <w:shd w:val="clear" w:color="auto" w:fill="auto"/>
          </w:tcPr>
          <w:p w14:paraId="48B0F638" w14:textId="77777777" w:rsidR="009A22E1" w:rsidRPr="005B32D7" w:rsidRDefault="009A22E1" w:rsidP="00657B86"/>
        </w:tc>
        <w:tc>
          <w:tcPr>
            <w:tcW w:w="9770" w:type="dxa"/>
            <w:gridSpan w:val="4"/>
            <w:shd w:val="clear" w:color="auto" w:fill="auto"/>
          </w:tcPr>
          <w:p w14:paraId="47E28D6C" w14:textId="35016BC6" w:rsidR="009A22E1" w:rsidRPr="005B32D7" w:rsidRDefault="009A22E1" w:rsidP="00657B86">
            <w:pPr>
              <w:pStyle w:val="Heading2"/>
              <w:spacing w:before="60" w:after="0"/>
              <w:outlineLvl w:val="1"/>
            </w:pPr>
            <w:r>
              <w:t>Sounding Board</w:t>
            </w:r>
          </w:p>
        </w:tc>
        <w:tc>
          <w:tcPr>
            <w:tcW w:w="395" w:type="dxa"/>
            <w:gridSpan w:val="2"/>
            <w:shd w:val="clear" w:color="auto" w:fill="auto"/>
          </w:tcPr>
          <w:p w14:paraId="59584239" w14:textId="77777777" w:rsidR="009A22E1" w:rsidRPr="005B32D7" w:rsidRDefault="009A22E1" w:rsidP="00657B86"/>
        </w:tc>
      </w:tr>
      <w:tr w:rsidR="009A22E1" w:rsidRPr="00BD2FF3" w14:paraId="314D9A69" w14:textId="77777777" w:rsidTr="00A610B7">
        <w:trPr>
          <w:gridAfter w:val="1"/>
          <w:wAfter w:w="74" w:type="dxa"/>
          <w:jc w:val="center"/>
        </w:trPr>
        <w:tc>
          <w:tcPr>
            <w:tcW w:w="443" w:type="dxa"/>
          </w:tcPr>
          <w:p w14:paraId="2CA24893" w14:textId="77777777" w:rsidR="009A22E1" w:rsidRPr="00BD2FF3" w:rsidRDefault="009A22E1" w:rsidP="00657B86"/>
        </w:tc>
        <w:tc>
          <w:tcPr>
            <w:tcW w:w="9770" w:type="dxa"/>
            <w:gridSpan w:val="4"/>
          </w:tcPr>
          <w:p w14:paraId="3CEE8E74" w14:textId="17FE5065" w:rsidR="00CC34BD" w:rsidRDefault="009A22E1" w:rsidP="002B61FE">
            <w:pPr>
              <w:spacing w:before="0" w:line="300" w:lineRule="exact"/>
            </w:pPr>
            <w:r>
              <w:t>The Board discussed</w:t>
            </w:r>
            <w:r w:rsidR="001473B3">
              <w:t xml:space="preserve"> several </w:t>
            </w:r>
            <w:r w:rsidR="00804A43">
              <w:t xml:space="preserve">new ideas recently posted to </w:t>
            </w:r>
            <w:r>
              <w:t>Sounding Board</w:t>
            </w:r>
            <w:r w:rsidR="001473B3">
              <w:t xml:space="preserve"> and a number of ideas that are under consideration</w:t>
            </w:r>
            <w:r w:rsidR="00804A43">
              <w:t>.</w:t>
            </w:r>
            <w:r w:rsidR="00CC34BD">
              <w:t xml:space="preserve">  Specifically there is an idea contributed by Michael Flynn QC regarding tax uncertainty arising from absolute entitlement.  The Board completed a </w:t>
            </w:r>
            <w:r w:rsidR="00CC34BD" w:rsidRPr="002B61FE">
              <w:rPr>
                <w:rFonts w:eastAsia="Times New Roman" w:cs="Arial"/>
                <w:i/>
                <w:lang w:val="en-US" w:eastAsia="en-AU"/>
              </w:rPr>
              <w:t>Review of the tax treatment of bare trusts and similar arrangements</w:t>
            </w:r>
            <w:r w:rsidR="00CC34BD">
              <w:rPr>
                <w:rFonts w:eastAsia="Times New Roman" w:cs="Arial"/>
                <w:lang w:val="en-US" w:eastAsia="en-AU"/>
              </w:rPr>
              <w:t xml:space="preserve"> which raises these issues</w:t>
            </w:r>
            <w:r w:rsidR="008B5708">
              <w:rPr>
                <w:rFonts w:eastAsia="Times New Roman" w:cs="Arial"/>
                <w:lang w:val="en-US" w:eastAsia="en-AU"/>
              </w:rPr>
              <w:t>.</w:t>
            </w:r>
            <w:r w:rsidR="00CC34BD">
              <w:rPr>
                <w:rFonts w:eastAsia="Times New Roman" w:cs="Arial"/>
                <w:lang w:val="en-US" w:eastAsia="en-AU"/>
              </w:rPr>
              <w:t xml:space="preserve">  This </w:t>
            </w:r>
            <w:r w:rsidR="00CC34BD">
              <w:t>report is currently with the Minister for Revenue and Financial Services.</w:t>
            </w:r>
          </w:p>
          <w:p w14:paraId="68C6FE60" w14:textId="26422F46" w:rsidR="009A22E1" w:rsidRPr="00BD2FF3" w:rsidRDefault="009A22E1" w:rsidP="002B61FE">
            <w:pPr>
              <w:spacing w:before="0" w:line="300" w:lineRule="exact"/>
            </w:pPr>
            <w:r>
              <w:t xml:space="preserve">Please see the Sounding Board site </w:t>
            </w:r>
            <w:r w:rsidR="00EA62C5">
              <w:t xml:space="preserve">to make comments on existing ideas or </w:t>
            </w:r>
            <w:r w:rsidR="0098044C">
              <w:t xml:space="preserve">to </w:t>
            </w:r>
            <w:r w:rsidR="00EA62C5">
              <w:t xml:space="preserve">post your own new </w:t>
            </w:r>
            <w:proofErr w:type="gramStart"/>
            <w:r w:rsidR="00EA62C5">
              <w:t xml:space="preserve">ideas </w:t>
            </w:r>
            <w:r>
              <w:t xml:space="preserve"> </w:t>
            </w:r>
            <w:r w:rsidR="00311917">
              <w:t>–</w:t>
            </w:r>
            <w:proofErr w:type="gramEnd"/>
            <w:r>
              <w:t xml:space="preserve"> </w:t>
            </w:r>
            <w:hyperlink r:id="rId15" w:history="1">
              <w:r w:rsidRPr="00C7693B">
                <w:rPr>
                  <w:rStyle w:val="Hyperlink"/>
                </w:rPr>
                <w:t>https://taxboard.ideascale.com/</w:t>
              </w:r>
            </w:hyperlink>
            <w:r>
              <w:t>.  The Sounding Board continues to be a standing agenda item for every Board meeting.</w:t>
            </w:r>
          </w:p>
        </w:tc>
        <w:tc>
          <w:tcPr>
            <w:tcW w:w="395" w:type="dxa"/>
            <w:gridSpan w:val="2"/>
          </w:tcPr>
          <w:p w14:paraId="351993F3" w14:textId="77777777" w:rsidR="009A22E1" w:rsidRPr="00BD2FF3" w:rsidRDefault="009A22E1" w:rsidP="00657B86"/>
        </w:tc>
      </w:tr>
      <w:tr w:rsidR="00E111A3" w:rsidRPr="005B32D7" w14:paraId="01EEFB3F" w14:textId="77777777" w:rsidTr="00A610B7">
        <w:trPr>
          <w:gridAfter w:val="1"/>
          <w:wAfter w:w="74" w:type="dxa"/>
          <w:jc w:val="center"/>
        </w:trPr>
        <w:tc>
          <w:tcPr>
            <w:tcW w:w="443" w:type="dxa"/>
            <w:shd w:val="clear" w:color="auto" w:fill="auto"/>
          </w:tcPr>
          <w:p w14:paraId="0C24DE5F" w14:textId="77777777" w:rsidR="00E111A3" w:rsidRPr="005B32D7" w:rsidRDefault="00E111A3" w:rsidP="00EA62C5"/>
        </w:tc>
        <w:tc>
          <w:tcPr>
            <w:tcW w:w="9770" w:type="dxa"/>
            <w:gridSpan w:val="4"/>
            <w:shd w:val="clear" w:color="auto" w:fill="auto"/>
          </w:tcPr>
          <w:p w14:paraId="7D739D07" w14:textId="7029EF84" w:rsidR="00E111A3" w:rsidRPr="005B32D7" w:rsidRDefault="00E111A3" w:rsidP="00EA62C5">
            <w:pPr>
              <w:pStyle w:val="Heading2"/>
              <w:spacing w:before="60" w:after="0"/>
              <w:outlineLvl w:val="1"/>
            </w:pPr>
            <w:r>
              <w:t>Annual Report</w:t>
            </w:r>
          </w:p>
        </w:tc>
        <w:tc>
          <w:tcPr>
            <w:tcW w:w="395" w:type="dxa"/>
            <w:gridSpan w:val="2"/>
            <w:shd w:val="clear" w:color="auto" w:fill="auto"/>
          </w:tcPr>
          <w:p w14:paraId="575C106D" w14:textId="77777777" w:rsidR="00E111A3" w:rsidRPr="005B32D7" w:rsidRDefault="00E111A3" w:rsidP="00EA62C5"/>
        </w:tc>
      </w:tr>
      <w:tr w:rsidR="00E111A3" w:rsidRPr="00BD2FF3" w14:paraId="137C44D9" w14:textId="77777777" w:rsidTr="00A610B7">
        <w:trPr>
          <w:gridAfter w:val="1"/>
          <w:wAfter w:w="74" w:type="dxa"/>
          <w:jc w:val="center"/>
        </w:trPr>
        <w:tc>
          <w:tcPr>
            <w:tcW w:w="443" w:type="dxa"/>
          </w:tcPr>
          <w:p w14:paraId="4829449A" w14:textId="77777777" w:rsidR="00E111A3" w:rsidRPr="00BD2FF3" w:rsidRDefault="00E111A3" w:rsidP="00EA62C5"/>
        </w:tc>
        <w:tc>
          <w:tcPr>
            <w:tcW w:w="9770" w:type="dxa"/>
            <w:gridSpan w:val="4"/>
          </w:tcPr>
          <w:p w14:paraId="7239A1EF" w14:textId="541C4DCC" w:rsidR="00E111A3" w:rsidRPr="00BD2FF3" w:rsidRDefault="00E111A3" w:rsidP="001473B3">
            <w:r>
              <w:t xml:space="preserve">The Board anticipates publishing </w:t>
            </w:r>
            <w:r w:rsidR="001473B3">
              <w:t xml:space="preserve">its </w:t>
            </w:r>
            <w:r>
              <w:t xml:space="preserve">Annual Report of their 2016-17 activities in early 2018.  </w:t>
            </w:r>
          </w:p>
        </w:tc>
        <w:tc>
          <w:tcPr>
            <w:tcW w:w="395" w:type="dxa"/>
            <w:gridSpan w:val="2"/>
          </w:tcPr>
          <w:p w14:paraId="28064470" w14:textId="77777777" w:rsidR="00E111A3" w:rsidRPr="00BD2FF3" w:rsidRDefault="00E111A3" w:rsidP="00EA62C5"/>
        </w:tc>
      </w:tr>
      <w:tr w:rsidR="009A22E1" w:rsidRPr="005B32D7" w14:paraId="7F9AE094" w14:textId="77777777" w:rsidTr="00A610B7">
        <w:trPr>
          <w:gridAfter w:val="1"/>
          <w:wAfter w:w="74" w:type="dxa"/>
          <w:jc w:val="center"/>
        </w:trPr>
        <w:tc>
          <w:tcPr>
            <w:tcW w:w="443" w:type="dxa"/>
            <w:shd w:val="clear" w:color="auto" w:fill="auto"/>
          </w:tcPr>
          <w:p w14:paraId="0BCEACD8" w14:textId="77777777" w:rsidR="009A22E1" w:rsidRPr="005B32D7" w:rsidRDefault="009A22E1" w:rsidP="00657B86"/>
        </w:tc>
        <w:tc>
          <w:tcPr>
            <w:tcW w:w="9770" w:type="dxa"/>
            <w:gridSpan w:val="4"/>
            <w:shd w:val="clear" w:color="auto" w:fill="auto"/>
          </w:tcPr>
          <w:p w14:paraId="12C98ABA" w14:textId="58E1A906" w:rsidR="009A22E1" w:rsidRPr="005B32D7" w:rsidRDefault="009A22E1" w:rsidP="00657B86">
            <w:pPr>
              <w:pStyle w:val="Heading2"/>
              <w:spacing w:before="60" w:after="0"/>
              <w:outlineLvl w:val="1"/>
            </w:pPr>
            <w:r w:rsidRPr="00B37CE1">
              <w:rPr>
                <w:szCs w:val="40"/>
              </w:rPr>
              <w:t>Stocktake of Reports</w:t>
            </w:r>
          </w:p>
        </w:tc>
        <w:tc>
          <w:tcPr>
            <w:tcW w:w="395" w:type="dxa"/>
            <w:gridSpan w:val="2"/>
            <w:shd w:val="clear" w:color="auto" w:fill="auto"/>
          </w:tcPr>
          <w:p w14:paraId="58DBB425" w14:textId="77777777" w:rsidR="009A22E1" w:rsidRPr="005B32D7" w:rsidRDefault="009A22E1" w:rsidP="00657B86"/>
        </w:tc>
      </w:tr>
      <w:tr w:rsidR="009A22E1" w:rsidRPr="00BD2FF3" w14:paraId="1D5D8800" w14:textId="77777777" w:rsidTr="00A610B7">
        <w:trPr>
          <w:gridAfter w:val="1"/>
          <w:wAfter w:w="74" w:type="dxa"/>
          <w:jc w:val="center"/>
        </w:trPr>
        <w:tc>
          <w:tcPr>
            <w:tcW w:w="443" w:type="dxa"/>
          </w:tcPr>
          <w:p w14:paraId="73A6989B" w14:textId="77777777" w:rsidR="009A22E1" w:rsidRPr="00BD2FF3" w:rsidRDefault="009A22E1" w:rsidP="00657B86"/>
        </w:tc>
        <w:tc>
          <w:tcPr>
            <w:tcW w:w="9770" w:type="dxa"/>
            <w:gridSpan w:val="4"/>
          </w:tcPr>
          <w:p w14:paraId="16D5633D" w14:textId="426329EB" w:rsidR="00361BA6" w:rsidRDefault="00361BA6" w:rsidP="00C9759C">
            <w:r>
              <w:t xml:space="preserve">The Board met with stakeholders over recent weeks to hear potential priorities for reform and also to understand which </w:t>
            </w:r>
            <w:r w:rsidR="009A22E1">
              <w:t>(if any) of its outstanding reports and recommendations continue</w:t>
            </w:r>
            <w:r w:rsidR="0098044C">
              <w:t>s</w:t>
            </w:r>
            <w:r w:rsidR="009A22E1">
              <w:t xml:space="preserve"> to be a priority for reform for the tax and </w:t>
            </w:r>
            <w:r w:rsidR="00C476BB">
              <w:t xml:space="preserve">business community. </w:t>
            </w:r>
          </w:p>
          <w:p w14:paraId="37F95471" w14:textId="00901123" w:rsidR="009A22E1" w:rsidRDefault="00361BA6" w:rsidP="002B61FE">
            <w:pPr>
              <w:spacing w:before="0" w:line="300" w:lineRule="exact"/>
            </w:pPr>
            <w:r>
              <w:t>The Board agreed to report back to the Minister for Revenue and Financial Services on the outstanding reports and recommendations</w:t>
            </w:r>
            <w:r w:rsidR="00890E88">
              <w:t xml:space="preserve"> given the tax and business community views of priorities.  </w:t>
            </w:r>
          </w:p>
          <w:p w14:paraId="5939627A" w14:textId="2AAF5067" w:rsidR="009A22E1" w:rsidRPr="00BD2FF3" w:rsidRDefault="00890E88" w:rsidP="002B61FE">
            <w:pPr>
              <w:spacing w:before="0" w:line="300" w:lineRule="exact"/>
            </w:pPr>
            <w:r>
              <w:t xml:space="preserve">Thank you again to those that shared their views. </w:t>
            </w:r>
            <w:r w:rsidR="009A22E1">
              <w:t xml:space="preserve"> </w:t>
            </w:r>
            <w:r w:rsidR="001473B3">
              <w:t xml:space="preserve">The Board hopes to provide some </w:t>
            </w:r>
            <w:r w:rsidR="00EB716A">
              <w:t xml:space="preserve">further </w:t>
            </w:r>
            <w:r w:rsidR="001473B3">
              <w:t>feedback early in 2018.</w:t>
            </w:r>
          </w:p>
        </w:tc>
        <w:tc>
          <w:tcPr>
            <w:tcW w:w="395" w:type="dxa"/>
            <w:gridSpan w:val="2"/>
          </w:tcPr>
          <w:p w14:paraId="0983B904" w14:textId="77777777" w:rsidR="009A22E1" w:rsidRPr="00BD2FF3" w:rsidRDefault="009A22E1" w:rsidP="00657B86"/>
        </w:tc>
      </w:tr>
      <w:tr w:rsidR="009A22E1" w:rsidRPr="005B32D7" w14:paraId="1D03B616" w14:textId="77777777" w:rsidTr="00A610B7">
        <w:trPr>
          <w:gridAfter w:val="1"/>
          <w:wAfter w:w="74" w:type="dxa"/>
          <w:jc w:val="center"/>
        </w:trPr>
        <w:tc>
          <w:tcPr>
            <w:tcW w:w="443" w:type="dxa"/>
            <w:shd w:val="clear" w:color="auto" w:fill="auto"/>
          </w:tcPr>
          <w:p w14:paraId="2342B8C6" w14:textId="77777777" w:rsidR="009A22E1" w:rsidRPr="005B32D7" w:rsidRDefault="009A22E1" w:rsidP="00657B86"/>
        </w:tc>
        <w:tc>
          <w:tcPr>
            <w:tcW w:w="9770" w:type="dxa"/>
            <w:gridSpan w:val="4"/>
            <w:shd w:val="clear" w:color="auto" w:fill="auto"/>
          </w:tcPr>
          <w:p w14:paraId="51B7409F" w14:textId="2E9BFD67" w:rsidR="009A22E1" w:rsidRPr="005B32D7" w:rsidRDefault="009A22E1" w:rsidP="00657B86">
            <w:pPr>
              <w:pStyle w:val="Heading2"/>
              <w:spacing w:before="60" w:after="0"/>
              <w:outlineLvl w:val="1"/>
            </w:pPr>
            <w:r w:rsidRPr="00B37CE1">
              <w:rPr>
                <w:szCs w:val="40"/>
              </w:rPr>
              <w:t>Tax Transparency Code</w:t>
            </w:r>
          </w:p>
        </w:tc>
        <w:tc>
          <w:tcPr>
            <w:tcW w:w="395" w:type="dxa"/>
            <w:gridSpan w:val="2"/>
            <w:shd w:val="clear" w:color="auto" w:fill="auto"/>
          </w:tcPr>
          <w:p w14:paraId="7E36F28B" w14:textId="77777777" w:rsidR="009A22E1" w:rsidRPr="005B32D7" w:rsidRDefault="009A22E1" w:rsidP="00657B86"/>
        </w:tc>
      </w:tr>
      <w:tr w:rsidR="009A22E1" w:rsidRPr="00BD2FF3" w14:paraId="4FBC4466" w14:textId="77777777" w:rsidTr="00A610B7">
        <w:trPr>
          <w:gridAfter w:val="1"/>
          <w:wAfter w:w="74" w:type="dxa"/>
          <w:jc w:val="center"/>
        </w:trPr>
        <w:tc>
          <w:tcPr>
            <w:tcW w:w="443" w:type="dxa"/>
          </w:tcPr>
          <w:p w14:paraId="326D1993" w14:textId="77777777" w:rsidR="009A22E1" w:rsidRPr="00BD2FF3" w:rsidRDefault="009A22E1" w:rsidP="00657B86"/>
        </w:tc>
        <w:tc>
          <w:tcPr>
            <w:tcW w:w="9770" w:type="dxa"/>
            <w:gridSpan w:val="4"/>
          </w:tcPr>
          <w:p w14:paraId="7CE1BBA9" w14:textId="5CE15BE1" w:rsidR="00A16F02" w:rsidRDefault="00890E88" w:rsidP="002B61FE">
            <w:r w:rsidRPr="00EB716A">
              <w:t xml:space="preserve">In my last newsletter I noted that the Board will be selecting a number of published transparency reports for review. This </w:t>
            </w:r>
            <w:r w:rsidR="0098044C" w:rsidRPr="00EB716A">
              <w:t xml:space="preserve">preliminary </w:t>
            </w:r>
            <w:r w:rsidRPr="00EB716A">
              <w:t xml:space="preserve">review has now been completed </w:t>
            </w:r>
            <w:r w:rsidR="002C7DA6" w:rsidRPr="00EB716A">
              <w:t xml:space="preserve">and the Board </w:t>
            </w:r>
            <w:r w:rsidR="0098044C" w:rsidRPr="00EB716A">
              <w:t>wishes to share some observations with the Tax Community.</w:t>
            </w:r>
            <w:r w:rsidR="00EB716A">
              <w:t xml:space="preserve">  </w:t>
            </w:r>
            <w:r w:rsidR="00A16F02">
              <w:t xml:space="preserve">Overall the Board is pleased with the improvement in transparency and notes that there are some good examples in the community publishing their transparency reports.  </w:t>
            </w:r>
          </w:p>
          <w:p w14:paraId="713F5230" w14:textId="51D2438C" w:rsidR="00BF5B26" w:rsidRPr="00C9759C" w:rsidRDefault="0098044C" w:rsidP="002B61FE">
            <w:pPr>
              <w:spacing w:before="0" w:line="300" w:lineRule="exact"/>
            </w:pPr>
            <w:r w:rsidRPr="00EB716A">
              <w:t xml:space="preserve">As at </w:t>
            </w:r>
            <w:r w:rsidR="00EB716A">
              <w:t>1 December</w:t>
            </w:r>
            <w:r w:rsidR="00BF5B26" w:rsidRPr="00EB716A">
              <w:t xml:space="preserve"> 2017, there were </w:t>
            </w:r>
            <w:r w:rsidR="00BF5B26" w:rsidRPr="002B61FE">
              <w:t>120 signatories</w:t>
            </w:r>
            <w:r w:rsidR="00BF5B26" w:rsidRPr="00EB716A">
              <w:t xml:space="preserve"> to the Voluntary Tax Transparency Code (the Code) and </w:t>
            </w:r>
            <w:r w:rsidR="00BF5B26" w:rsidRPr="002B61FE">
              <w:t>89 signatories</w:t>
            </w:r>
            <w:r w:rsidR="00BF5B26" w:rsidRPr="00EB716A">
              <w:t xml:space="preserve"> have published a tax transparency report.</w:t>
            </w:r>
            <w:r w:rsidR="00C9759C">
              <w:t xml:space="preserve">  </w:t>
            </w:r>
            <w:r w:rsidR="00BF5B26" w:rsidRPr="00C9759C">
              <w:t xml:space="preserve">Twelve signatories are private companies and </w:t>
            </w:r>
            <w:r w:rsidR="00BF5B26" w:rsidRPr="002B61FE">
              <w:t>4 signatories are Australian Government enterprises.</w:t>
            </w:r>
          </w:p>
          <w:p w14:paraId="43FC461F" w14:textId="77777777" w:rsidR="007C1863" w:rsidRDefault="00BF5B26" w:rsidP="002B61FE">
            <w:pPr>
              <w:spacing w:before="0" w:line="300" w:lineRule="exact"/>
            </w:pPr>
            <w:r w:rsidRPr="00C9759C">
              <w:t xml:space="preserve">The Board estimates that this represents </w:t>
            </w:r>
            <w:r w:rsidR="00EB716A">
              <w:t>more than 50% o</w:t>
            </w:r>
            <w:r w:rsidRPr="00C9759C">
              <w:t xml:space="preserve">f </w:t>
            </w:r>
            <w:r w:rsidR="00EB716A">
              <w:t xml:space="preserve">company tax payable and </w:t>
            </w:r>
            <w:r w:rsidRPr="00C9759C">
              <w:t>taxable income</w:t>
            </w:r>
            <w:r w:rsidR="00EB716A">
              <w:t>.  However, this is not the only measure of a successful implementation.</w:t>
            </w:r>
            <w:r w:rsidR="00017247">
              <w:t xml:space="preserve">  </w:t>
            </w:r>
          </w:p>
          <w:p w14:paraId="77A06331" w14:textId="04348557" w:rsidR="00BF5B26" w:rsidRPr="002B61FE" w:rsidRDefault="0098044C" w:rsidP="002B61FE">
            <w:pPr>
              <w:spacing w:before="0" w:line="300" w:lineRule="exact"/>
            </w:pPr>
            <w:r w:rsidRPr="002B61FE">
              <w:t>The Board’s secretariat completed a preliminary review of 21 out of the 89 companies who have published a Code report</w:t>
            </w:r>
            <w:r w:rsidR="00510175">
              <w:t xml:space="preserve"> (roughly a quarter of the reports)</w:t>
            </w:r>
            <w:r w:rsidRPr="002B61FE">
              <w:t xml:space="preserve">. Further details on the sample set are as follows: </w:t>
            </w:r>
          </w:p>
          <w:p w14:paraId="5BAC4D7B" w14:textId="76440D4F" w:rsidR="0098044C" w:rsidRPr="002B61FE" w:rsidRDefault="0098044C" w:rsidP="002B61FE">
            <w:pPr>
              <w:pStyle w:val="Default"/>
              <w:numPr>
                <w:ilvl w:val="0"/>
                <w:numId w:val="18"/>
              </w:numPr>
              <w:spacing w:after="120" w:line="240" w:lineRule="exact"/>
              <w:rPr>
                <w:rFonts w:ascii="Calibri Light" w:hAnsi="Calibri Light"/>
                <w:sz w:val="22"/>
                <w:szCs w:val="22"/>
              </w:rPr>
            </w:pPr>
            <w:r w:rsidRPr="002B61FE">
              <w:rPr>
                <w:rFonts w:ascii="Calibri Light" w:hAnsi="Calibri Light"/>
                <w:sz w:val="22"/>
                <w:szCs w:val="22"/>
              </w:rPr>
              <w:t xml:space="preserve">Large businesses reviewed: </w:t>
            </w:r>
            <w:r w:rsidRPr="002B61FE">
              <w:rPr>
                <w:rFonts w:ascii="Calibri Light" w:hAnsi="Calibri Light"/>
                <w:bCs/>
                <w:sz w:val="22"/>
                <w:szCs w:val="22"/>
              </w:rPr>
              <w:t xml:space="preserve">18 </w:t>
            </w:r>
            <w:r w:rsidRPr="002B61FE">
              <w:rPr>
                <w:rFonts w:ascii="Calibri Light" w:hAnsi="Calibri Light"/>
                <w:sz w:val="22"/>
                <w:szCs w:val="22"/>
              </w:rPr>
              <w:t xml:space="preserve">out of a total population of 81 </w:t>
            </w:r>
          </w:p>
          <w:p w14:paraId="7C255347" w14:textId="2B6B534C" w:rsidR="0098044C" w:rsidRPr="002B61FE" w:rsidRDefault="0098044C" w:rsidP="002B61FE">
            <w:pPr>
              <w:pStyle w:val="Default"/>
              <w:numPr>
                <w:ilvl w:val="0"/>
                <w:numId w:val="18"/>
              </w:numPr>
              <w:spacing w:after="120" w:line="240" w:lineRule="exact"/>
              <w:rPr>
                <w:rFonts w:ascii="Calibri Light" w:hAnsi="Calibri Light"/>
                <w:sz w:val="22"/>
                <w:szCs w:val="22"/>
              </w:rPr>
            </w:pPr>
            <w:r w:rsidRPr="002B61FE">
              <w:rPr>
                <w:rFonts w:ascii="Calibri Light" w:hAnsi="Calibri Light"/>
                <w:sz w:val="22"/>
                <w:szCs w:val="22"/>
              </w:rPr>
              <w:t xml:space="preserve">Medium businesses reviewed: </w:t>
            </w:r>
            <w:r w:rsidRPr="002B61FE">
              <w:rPr>
                <w:rFonts w:ascii="Calibri Light" w:hAnsi="Calibri Light"/>
                <w:bCs/>
                <w:sz w:val="22"/>
                <w:szCs w:val="22"/>
              </w:rPr>
              <w:t xml:space="preserve">3 </w:t>
            </w:r>
            <w:r w:rsidRPr="002B61FE">
              <w:rPr>
                <w:rFonts w:ascii="Calibri Light" w:hAnsi="Calibri Light"/>
                <w:sz w:val="22"/>
                <w:szCs w:val="22"/>
              </w:rPr>
              <w:t xml:space="preserve">out of a total population of 8 </w:t>
            </w:r>
          </w:p>
          <w:p w14:paraId="3EF8C4B4" w14:textId="03FF7BAE" w:rsidR="0098044C" w:rsidRPr="002B61FE" w:rsidRDefault="0098044C" w:rsidP="002B61FE">
            <w:pPr>
              <w:pStyle w:val="Default"/>
              <w:numPr>
                <w:ilvl w:val="0"/>
                <w:numId w:val="18"/>
              </w:numPr>
              <w:spacing w:after="120" w:line="240" w:lineRule="exact"/>
              <w:rPr>
                <w:rFonts w:ascii="Calibri Light" w:hAnsi="Calibri Light"/>
                <w:sz w:val="22"/>
                <w:szCs w:val="22"/>
              </w:rPr>
            </w:pPr>
            <w:r w:rsidRPr="002B61FE">
              <w:rPr>
                <w:rFonts w:ascii="Calibri Light" w:hAnsi="Calibri Light"/>
                <w:sz w:val="22"/>
                <w:szCs w:val="22"/>
              </w:rPr>
              <w:t xml:space="preserve">Australian ultimate parent: </w:t>
            </w:r>
            <w:r w:rsidRPr="002B61FE">
              <w:rPr>
                <w:rFonts w:ascii="Calibri Light" w:hAnsi="Calibri Light"/>
                <w:bCs/>
                <w:sz w:val="22"/>
                <w:szCs w:val="22"/>
              </w:rPr>
              <w:t xml:space="preserve">11 </w:t>
            </w:r>
            <w:r w:rsidRPr="002B61FE">
              <w:rPr>
                <w:rFonts w:ascii="Calibri Light" w:hAnsi="Calibri Light"/>
                <w:sz w:val="22"/>
                <w:szCs w:val="22"/>
              </w:rPr>
              <w:t xml:space="preserve">out of a population of 76 </w:t>
            </w:r>
          </w:p>
          <w:p w14:paraId="689EF53F" w14:textId="66DC914F" w:rsidR="0098044C" w:rsidRPr="002B61FE" w:rsidRDefault="0098044C" w:rsidP="002B61FE">
            <w:pPr>
              <w:pStyle w:val="Default"/>
              <w:numPr>
                <w:ilvl w:val="0"/>
                <w:numId w:val="18"/>
              </w:numPr>
              <w:spacing w:after="120" w:line="240" w:lineRule="exact"/>
              <w:rPr>
                <w:rFonts w:ascii="Calibri Light" w:hAnsi="Calibri Light"/>
                <w:sz w:val="22"/>
                <w:szCs w:val="22"/>
              </w:rPr>
            </w:pPr>
            <w:r w:rsidRPr="002B61FE">
              <w:rPr>
                <w:rFonts w:ascii="Calibri Light" w:hAnsi="Calibri Light"/>
                <w:sz w:val="22"/>
                <w:szCs w:val="22"/>
              </w:rPr>
              <w:t xml:space="preserve">Foreign ultimate parent: </w:t>
            </w:r>
            <w:r w:rsidRPr="002B61FE">
              <w:rPr>
                <w:rFonts w:ascii="Calibri Light" w:hAnsi="Calibri Light"/>
                <w:bCs/>
                <w:sz w:val="22"/>
                <w:szCs w:val="22"/>
              </w:rPr>
              <w:t xml:space="preserve">7 </w:t>
            </w:r>
            <w:r w:rsidRPr="002B61FE">
              <w:rPr>
                <w:rFonts w:ascii="Calibri Light" w:hAnsi="Calibri Light"/>
                <w:sz w:val="22"/>
                <w:szCs w:val="22"/>
              </w:rPr>
              <w:t xml:space="preserve">out of a population of 10 </w:t>
            </w:r>
          </w:p>
          <w:p w14:paraId="35335325" w14:textId="28207FA3" w:rsidR="0098044C" w:rsidRPr="002B61FE" w:rsidRDefault="0098044C" w:rsidP="002B61FE">
            <w:pPr>
              <w:pStyle w:val="Default"/>
              <w:numPr>
                <w:ilvl w:val="0"/>
                <w:numId w:val="18"/>
              </w:numPr>
              <w:spacing w:after="120" w:line="240" w:lineRule="exact"/>
              <w:rPr>
                <w:rFonts w:ascii="Calibri Light" w:hAnsi="Calibri Light"/>
                <w:sz w:val="22"/>
                <w:szCs w:val="22"/>
              </w:rPr>
            </w:pPr>
            <w:r w:rsidRPr="002B61FE">
              <w:rPr>
                <w:rFonts w:ascii="Calibri Light" w:hAnsi="Calibri Light"/>
                <w:sz w:val="22"/>
                <w:szCs w:val="22"/>
              </w:rPr>
              <w:t xml:space="preserve">Dual listed companies: </w:t>
            </w:r>
            <w:r w:rsidRPr="002B61FE">
              <w:rPr>
                <w:rFonts w:ascii="Calibri Light" w:hAnsi="Calibri Light"/>
                <w:bCs/>
                <w:sz w:val="22"/>
                <w:szCs w:val="22"/>
              </w:rPr>
              <w:t xml:space="preserve">3 </w:t>
            </w:r>
            <w:r w:rsidRPr="002B61FE">
              <w:rPr>
                <w:rFonts w:ascii="Calibri Light" w:hAnsi="Calibri Light"/>
                <w:sz w:val="22"/>
                <w:szCs w:val="22"/>
              </w:rPr>
              <w:t xml:space="preserve">out of a population of 3 </w:t>
            </w:r>
          </w:p>
          <w:p w14:paraId="7AE956CF" w14:textId="77777777" w:rsidR="007A0342" w:rsidRDefault="007A0342" w:rsidP="002B61FE">
            <w:pPr>
              <w:spacing w:before="0" w:line="300" w:lineRule="exact"/>
            </w:pPr>
          </w:p>
          <w:p w14:paraId="6F461DB9" w14:textId="77777777" w:rsidR="007A0342" w:rsidRDefault="007A0342" w:rsidP="002B61FE">
            <w:pPr>
              <w:spacing w:before="0" w:line="300" w:lineRule="exact"/>
            </w:pPr>
          </w:p>
          <w:p w14:paraId="6FEF258F" w14:textId="77777777" w:rsidR="007A0342" w:rsidRDefault="007A0342" w:rsidP="002B61FE">
            <w:pPr>
              <w:spacing w:before="0" w:line="300" w:lineRule="exact"/>
            </w:pPr>
          </w:p>
          <w:p w14:paraId="4480D99B" w14:textId="77777777" w:rsidR="007A0342" w:rsidRDefault="007A0342" w:rsidP="002B61FE">
            <w:pPr>
              <w:spacing w:before="0" w:line="300" w:lineRule="exact"/>
            </w:pPr>
          </w:p>
          <w:p w14:paraId="2DB5EED4" w14:textId="64B42D98" w:rsidR="0098044C" w:rsidRPr="00C9759C" w:rsidRDefault="00017247" w:rsidP="002B61FE">
            <w:pPr>
              <w:spacing w:before="0" w:line="300" w:lineRule="exact"/>
            </w:pPr>
            <w:r>
              <w:lastRenderedPageBreak/>
              <w:t xml:space="preserve">Some </w:t>
            </w:r>
            <w:r w:rsidR="00C9759C">
              <w:t xml:space="preserve">key </w:t>
            </w:r>
            <w:r>
              <w:t>observations include</w:t>
            </w:r>
            <w:r w:rsidR="0098044C" w:rsidRPr="00C9759C">
              <w:t>:</w:t>
            </w:r>
          </w:p>
          <w:p w14:paraId="230A043A" w14:textId="1223136D" w:rsidR="00BF5B26" w:rsidRPr="00510175" w:rsidRDefault="00EB716A" w:rsidP="007A0342">
            <w:pPr>
              <w:pStyle w:val="ListParagraph"/>
              <w:numPr>
                <w:ilvl w:val="0"/>
                <w:numId w:val="23"/>
              </w:numPr>
              <w:spacing w:before="0" w:line="300" w:lineRule="exact"/>
            </w:pPr>
            <w:r w:rsidRPr="00510175">
              <w:t xml:space="preserve">Although the </w:t>
            </w:r>
            <w:r w:rsidR="00BF5B26" w:rsidRPr="00510175">
              <w:t>Code provides signatories with the flexibility to choose the form of their disclosure</w:t>
            </w:r>
            <w:r w:rsidRPr="00510175">
              <w:t>, most groups</w:t>
            </w:r>
            <w:r w:rsidR="00BF5B26" w:rsidRPr="00510175">
              <w:t xml:space="preserve"> in the sample </w:t>
            </w:r>
            <w:r w:rsidR="00510175">
              <w:t>s</w:t>
            </w:r>
            <w:r w:rsidR="007A0342">
              <w:t>e</w:t>
            </w:r>
            <w:r w:rsidR="00510175">
              <w:t>lected</w:t>
            </w:r>
            <w:r w:rsidR="00BF5B26" w:rsidRPr="00510175">
              <w:t xml:space="preserve"> opted to make their disclosure via a separate tax transparency report (18). Two companies made their disclosures within financial statements and one disclosed by ‘other’ means. </w:t>
            </w:r>
          </w:p>
          <w:p w14:paraId="592EC084" w14:textId="7B391E05" w:rsidR="00BF5B26" w:rsidRPr="002B61FE" w:rsidRDefault="00BF5B26" w:rsidP="007A0342">
            <w:pPr>
              <w:pStyle w:val="ListParagraph"/>
              <w:numPr>
                <w:ilvl w:val="0"/>
                <w:numId w:val="23"/>
              </w:numPr>
              <w:spacing w:before="0" w:line="300" w:lineRule="exact"/>
            </w:pPr>
            <w:r w:rsidRPr="002B61FE">
              <w:t xml:space="preserve">Several ‘separate’ reports included </w:t>
            </w:r>
            <w:r w:rsidR="0075475D">
              <w:t xml:space="preserve">cross </w:t>
            </w:r>
            <w:r w:rsidRPr="002B61FE">
              <w:t xml:space="preserve">references to notes to the financial statements. </w:t>
            </w:r>
          </w:p>
          <w:p w14:paraId="719C7100" w14:textId="3ED41961" w:rsidR="00BF5B26" w:rsidRPr="002B61FE" w:rsidRDefault="00BF5B26" w:rsidP="007A0342">
            <w:pPr>
              <w:pStyle w:val="ListParagraph"/>
              <w:numPr>
                <w:ilvl w:val="0"/>
                <w:numId w:val="23"/>
              </w:numPr>
              <w:spacing w:before="0" w:line="300" w:lineRule="exact"/>
            </w:pPr>
            <w:r w:rsidRPr="002B61FE">
              <w:t>The Code does not require reports to be audited. Most reports in the sample set were not audited. Five reports were audited (</w:t>
            </w:r>
            <w:r w:rsidR="0075475D">
              <w:t xml:space="preserve">this </w:t>
            </w:r>
            <w:r w:rsidRPr="002B61FE">
              <w:t xml:space="preserve">includes 2 disclosures by a separate report). </w:t>
            </w:r>
          </w:p>
          <w:p w14:paraId="28BEBE0B" w14:textId="612731E2" w:rsidR="00017247" w:rsidRDefault="005826BB" w:rsidP="007A0342">
            <w:pPr>
              <w:pStyle w:val="ListParagraph"/>
              <w:numPr>
                <w:ilvl w:val="0"/>
                <w:numId w:val="23"/>
              </w:numPr>
              <w:spacing w:before="0" w:line="300" w:lineRule="exact"/>
            </w:pPr>
            <w:r w:rsidRPr="00C9759C">
              <w:t xml:space="preserve">The disclosure of </w:t>
            </w:r>
            <w:r w:rsidR="0075475D">
              <w:t xml:space="preserve">the </w:t>
            </w:r>
            <w:r w:rsidRPr="0075475D">
              <w:t xml:space="preserve">effective tax rate (ETR) is an area where there </w:t>
            </w:r>
            <w:r w:rsidR="0075475D">
              <w:t xml:space="preserve">is a variety of disclosure practices and in some cases more than one disclosure.  The Code permits ETRs to be calculated on different bases </w:t>
            </w:r>
            <w:r w:rsidR="007A2A0D">
              <w:t xml:space="preserve">(for example total earnings vs underlying earnings) </w:t>
            </w:r>
            <w:r w:rsidR="0075475D">
              <w:t xml:space="preserve">where the base is defined and any assumptions are disclosed. </w:t>
            </w:r>
            <w:r w:rsidRPr="0075475D">
              <w:t>Th</w:t>
            </w:r>
            <w:r w:rsidR="0075475D">
              <w:t>e vari</w:t>
            </w:r>
            <w:r w:rsidR="007C1863">
              <w:t>ations in</w:t>
            </w:r>
            <w:r w:rsidR="0075475D">
              <w:t xml:space="preserve"> approach </w:t>
            </w:r>
            <w:r w:rsidR="007C1863">
              <w:t xml:space="preserve">are </w:t>
            </w:r>
            <w:r w:rsidRPr="0075475D">
              <w:t>likely</w:t>
            </w:r>
            <w:r w:rsidR="0075475D">
              <w:t xml:space="preserve"> due to the different reasoning </w:t>
            </w:r>
            <w:r w:rsidRPr="0075475D">
              <w:t xml:space="preserve">around </w:t>
            </w:r>
            <w:r w:rsidR="007A2A0D">
              <w:t xml:space="preserve">the form of </w:t>
            </w:r>
            <w:r w:rsidRPr="0075475D">
              <w:t xml:space="preserve">ETR </w:t>
            </w:r>
            <w:r w:rsidR="007A2A0D">
              <w:t xml:space="preserve">which is </w:t>
            </w:r>
            <w:r w:rsidRPr="0075475D">
              <w:t xml:space="preserve">meaningful </w:t>
            </w:r>
            <w:r w:rsidR="007A2A0D">
              <w:t xml:space="preserve">to </w:t>
            </w:r>
            <w:r w:rsidRPr="0075475D">
              <w:t xml:space="preserve">stakeholders.  </w:t>
            </w:r>
            <w:r w:rsidR="007A2A0D">
              <w:t xml:space="preserve">For example, some may consider that an ETR calculated on underlying earnings rather than total earnings is more reflective of the ongoing ETR on the basis that one off or abnormal </w:t>
            </w:r>
            <w:proofErr w:type="gramStart"/>
            <w:r w:rsidR="007A2A0D">
              <w:t>transactions</w:t>
            </w:r>
            <w:proofErr w:type="gramEnd"/>
            <w:r w:rsidR="007A2A0D">
              <w:t xml:space="preserve"> are excluded from underlying earnings.</w:t>
            </w:r>
          </w:p>
          <w:p w14:paraId="602BE769" w14:textId="34DBF528" w:rsidR="005826BB" w:rsidRDefault="005826BB" w:rsidP="007A0342">
            <w:pPr>
              <w:spacing w:before="240" w:line="300" w:lineRule="exact"/>
            </w:pPr>
            <w:r w:rsidRPr="002B61FE">
              <w:t>Fifteen</w:t>
            </w:r>
            <w:r>
              <w:t xml:space="preserve"> </w:t>
            </w:r>
            <w:r w:rsidR="007A0342">
              <w:t xml:space="preserve">(15) </w:t>
            </w:r>
            <w:r w:rsidR="00017247">
              <w:t>o</w:t>
            </w:r>
            <w:r w:rsidR="0075475D">
              <w:t>f the eighteen</w:t>
            </w:r>
            <w:r w:rsidR="007A0342">
              <w:t xml:space="preserve"> (18)</w:t>
            </w:r>
            <w:r w:rsidR="0075475D">
              <w:t xml:space="preserve"> </w:t>
            </w:r>
            <w:r>
              <w:t xml:space="preserve">reports </w:t>
            </w:r>
            <w:r w:rsidR="0075475D">
              <w:t xml:space="preserve">sampled </w:t>
            </w:r>
            <w:r w:rsidR="007A2A0D">
              <w:t xml:space="preserve">for large businesses </w:t>
            </w:r>
            <w:r>
              <w:t>included both the core element and optional elements</w:t>
            </w:r>
            <w:r w:rsidR="0075475D">
              <w:t xml:space="preserve"> of Part B</w:t>
            </w:r>
            <w:r>
              <w:t xml:space="preserve">. </w:t>
            </w:r>
          </w:p>
          <w:p w14:paraId="5EBFC6BA" w14:textId="5AE827C7" w:rsidR="005826BB" w:rsidRPr="002B61FE" w:rsidRDefault="007A2A0D" w:rsidP="002B61FE">
            <w:pPr>
              <w:spacing w:before="0" w:line="300" w:lineRule="exact"/>
            </w:pPr>
            <w:r>
              <w:t xml:space="preserve">A small number of </w:t>
            </w:r>
            <w:r w:rsidR="005826BB">
              <w:t>groups in the sample selected disclosed their use of</w:t>
            </w:r>
            <w:r w:rsidR="00C9759C">
              <w:t xml:space="preserve"> entities incorporated in</w:t>
            </w:r>
            <w:r w:rsidR="005826BB">
              <w:t xml:space="preserve"> </w:t>
            </w:r>
            <w:r w:rsidR="005826BB" w:rsidRPr="002B61FE">
              <w:t>tax havens.</w:t>
            </w:r>
          </w:p>
          <w:p w14:paraId="09F43121" w14:textId="6C6DA64E" w:rsidR="00510175" w:rsidRDefault="002C7DA6" w:rsidP="002B61FE">
            <w:pPr>
              <w:spacing w:before="0" w:line="300" w:lineRule="exact"/>
            </w:pPr>
            <w:r>
              <w:t xml:space="preserve">Whilst the Board believes that the code should remain voluntary and flexible to </w:t>
            </w:r>
            <w:r w:rsidR="00510175">
              <w:t xml:space="preserve">encourage a culture of transparency which </w:t>
            </w:r>
            <w:r>
              <w:t>allow</w:t>
            </w:r>
            <w:r w:rsidR="00510175">
              <w:t>s</w:t>
            </w:r>
            <w:r>
              <w:t xml:space="preserve"> each entity to choose the best approach to publish</w:t>
            </w:r>
            <w:r w:rsidR="007A0342">
              <w:t xml:space="preserve"> </w:t>
            </w:r>
            <w:r>
              <w:t xml:space="preserve">their information, the Board </w:t>
            </w:r>
            <w:r w:rsidR="00510175">
              <w:t>considers that to</w:t>
            </w:r>
            <w:r>
              <w:t xml:space="preserve"> be useful to the community</w:t>
            </w:r>
            <w:r w:rsidR="00510175">
              <w:t>:</w:t>
            </w:r>
          </w:p>
          <w:p w14:paraId="4591079E" w14:textId="3EFEAD1C" w:rsidR="00510175" w:rsidRDefault="009D7CEF" w:rsidP="009D7CEF">
            <w:pPr>
              <w:pStyle w:val="ListParagraph"/>
              <w:numPr>
                <w:ilvl w:val="0"/>
                <w:numId w:val="23"/>
              </w:numPr>
              <w:spacing w:before="0" w:line="300" w:lineRule="exact"/>
            </w:pPr>
            <w:r>
              <w:t>I</w:t>
            </w:r>
            <w:r w:rsidR="00510175">
              <w:t xml:space="preserve">t is important for all elements of the minimum standard to be included in disclosures released in response to the code.  </w:t>
            </w:r>
          </w:p>
          <w:p w14:paraId="3623D9F5" w14:textId="67DE183B" w:rsidR="00510175" w:rsidRDefault="00510175" w:rsidP="009D7CEF">
            <w:pPr>
              <w:pStyle w:val="ListParagraph"/>
              <w:numPr>
                <w:ilvl w:val="0"/>
                <w:numId w:val="23"/>
              </w:numPr>
              <w:spacing w:before="0" w:line="300" w:lineRule="exact"/>
            </w:pPr>
            <w:r>
              <w:t>It is also important that where groups are relying on multiple sources of information to meet the minimum standards within the code that links are provided to all relevant sources (for example where some disclosures are in a separate report and some are located in financial statements).</w:t>
            </w:r>
          </w:p>
          <w:p w14:paraId="0264F249" w14:textId="53DC2874" w:rsidR="00EA3310" w:rsidRDefault="009D7CEF" w:rsidP="007A0342">
            <w:pPr>
              <w:spacing w:before="240" w:line="300" w:lineRule="exact"/>
            </w:pPr>
            <w:r>
              <w:t>T</w:t>
            </w:r>
            <w:r w:rsidR="00EA3310">
              <w:t>he Board will endeavour to walk through best practice publication of transparency reports</w:t>
            </w:r>
            <w:r>
              <w:t xml:space="preserve"> at upcoming speaking engagements</w:t>
            </w:r>
            <w:r w:rsidR="00EA3310">
              <w:t xml:space="preserve">. Board members may </w:t>
            </w:r>
            <w:r w:rsidR="007A0342">
              <w:t xml:space="preserve">also </w:t>
            </w:r>
            <w:r w:rsidR="00EA3310">
              <w:t xml:space="preserve">be available to speak at your </w:t>
            </w:r>
            <w:r>
              <w:t>events</w:t>
            </w:r>
            <w:r w:rsidR="00EA3310">
              <w:t xml:space="preserve"> to provide further clarity. </w:t>
            </w:r>
          </w:p>
          <w:p w14:paraId="1E7ADCFE" w14:textId="15EB1E70" w:rsidR="009A22E1" w:rsidRPr="00BD2FF3" w:rsidRDefault="009A22E1" w:rsidP="002B61FE">
            <w:pPr>
              <w:spacing w:before="0" w:line="300" w:lineRule="exact"/>
            </w:pPr>
            <w:r w:rsidRPr="003A3ECE">
              <w:t>The Board encourages you to adopt the Code and support and assist your clients to adopt it. It is as simple as sending us an email setting out your groups’ intentions! For further information on the Code or to register your intention to adopt it, please contact</w:t>
            </w:r>
            <w:r>
              <w:t xml:space="preserve"> us at</w:t>
            </w:r>
            <w:r w:rsidRPr="003A3ECE">
              <w:t xml:space="preserve"> </w:t>
            </w:r>
            <w:hyperlink r:id="rId16" w:history="1">
              <w:r w:rsidRPr="002B61FE">
                <w:t>taxboard@treasury.gov.au</w:t>
              </w:r>
            </w:hyperlink>
            <w:r w:rsidRPr="003A3ECE">
              <w:t>.</w:t>
            </w:r>
          </w:p>
        </w:tc>
        <w:tc>
          <w:tcPr>
            <w:tcW w:w="395" w:type="dxa"/>
            <w:gridSpan w:val="2"/>
          </w:tcPr>
          <w:p w14:paraId="6A7CC5C7" w14:textId="77777777" w:rsidR="009A22E1" w:rsidRPr="00BD2FF3" w:rsidRDefault="009A22E1" w:rsidP="00DA6F58"/>
        </w:tc>
      </w:tr>
      <w:tr w:rsidR="009A22E1" w:rsidRPr="005B32D7" w14:paraId="421A6CCC" w14:textId="77777777" w:rsidTr="00A610B7">
        <w:trPr>
          <w:jc w:val="center"/>
        </w:trPr>
        <w:tc>
          <w:tcPr>
            <w:tcW w:w="569" w:type="dxa"/>
            <w:gridSpan w:val="2"/>
            <w:shd w:val="clear" w:color="auto" w:fill="auto"/>
          </w:tcPr>
          <w:p w14:paraId="70A90CD1" w14:textId="780D6D37" w:rsidR="009A22E1" w:rsidRPr="005B32D7" w:rsidRDefault="009A22E1" w:rsidP="00657B86"/>
        </w:tc>
        <w:tc>
          <w:tcPr>
            <w:tcW w:w="9669" w:type="dxa"/>
            <w:gridSpan w:val="4"/>
            <w:shd w:val="clear" w:color="auto" w:fill="auto"/>
          </w:tcPr>
          <w:p w14:paraId="37CB7629" w14:textId="0E50FCD3" w:rsidR="00652B10" w:rsidRDefault="00652B10" w:rsidP="00657B86">
            <w:pPr>
              <w:pStyle w:val="Heading2"/>
              <w:spacing w:before="60" w:after="0"/>
              <w:outlineLvl w:val="1"/>
              <w:rPr>
                <w:szCs w:val="40"/>
              </w:rPr>
            </w:pPr>
            <w:r>
              <w:rPr>
                <w:szCs w:val="40"/>
              </w:rPr>
              <w:t xml:space="preserve">Merits of new DGR category for community foundations </w:t>
            </w:r>
          </w:p>
          <w:p w14:paraId="3B96DC6E" w14:textId="3AFF858E" w:rsidR="009C34AE" w:rsidRPr="002B61FE" w:rsidRDefault="009C34AE" w:rsidP="002B61FE">
            <w:pPr>
              <w:spacing w:before="0" w:line="300" w:lineRule="exact"/>
            </w:pPr>
            <w:r w:rsidRPr="00200465">
              <w:t xml:space="preserve">The Board has submitted its advice to the Minister for Revenue and Financial Services </w:t>
            </w:r>
            <w:r w:rsidR="00200465">
              <w:t xml:space="preserve">in response to </w:t>
            </w:r>
            <w:r w:rsidRPr="002B61FE">
              <w:t xml:space="preserve">a request </w:t>
            </w:r>
            <w:r w:rsidR="00200465">
              <w:t xml:space="preserve">from the Minister </w:t>
            </w:r>
            <w:r w:rsidRPr="002B61FE">
              <w:t>to evaluate:</w:t>
            </w:r>
          </w:p>
          <w:p w14:paraId="25932B19" w14:textId="604F3B23" w:rsidR="009C34AE" w:rsidRPr="002B61FE" w:rsidRDefault="009C34AE" w:rsidP="00B10341">
            <w:pPr>
              <w:pStyle w:val="Bullet"/>
              <w:numPr>
                <w:ilvl w:val="0"/>
                <w:numId w:val="21"/>
              </w:numPr>
              <w:spacing w:before="0" w:line="300" w:lineRule="exact"/>
              <w:ind w:left="522" w:hanging="522"/>
            </w:pPr>
            <w:r w:rsidRPr="002B61FE">
              <w:t xml:space="preserve">whether a proposal for a new deductible gift recipient category for community foundations has merit; and </w:t>
            </w:r>
          </w:p>
          <w:p w14:paraId="0D902BF9" w14:textId="643BC51A" w:rsidR="00652B10" w:rsidRPr="002B61FE" w:rsidRDefault="009C34AE" w:rsidP="00B10341">
            <w:pPr>
              <w:pStyle w:val="Bullet"/>
              <w:numPr>
                <w:ilvl w:val="0"/>
                <w:numId w:val="21"/>
              </w:numPr>
              <w:spacing w:before="0" w:line="300" w:lineRule="exact"/>
              <w:ind w:left="522" w:hanging="522"/>
            </w:pPr>
            <w:proofErr w:type="gramStart"/>
            <w:r w:rsidRPr="002B61FE">
              <w:t>if</w:t>
            </w:r>
            <w:proofErr w:type="gramEnd"/>
            <w:r w:rsidRPr="002B61FE">
              <w:t xml:space="preserve"> so the appropriate safeguards that would need to be in place </w:t>
            </w:r>
            <w:r w:rsidRPr="002B61FE">
              <w:rPr>
                <w:rFonts w:cs="Arial"/>
              </w:rPr>
              <w:t>if the proposal was to be implemented.</w:t>
            </w:r>
          </w:p>
          <w:p w14:paraId="572CC42A" w14:textId="22A1B7E4" w:rsidR="00200465" w:rsidRPr="002B61FE" w:rsidRDefault="009C34AE" w:rsidP="002B61FE">
            <w:pPr>
              <w:spacing w:before="0" w:line="300" w:lineRule="exact"/>
            </w:pPr>
            <w:r w:rsidRPr="002B61FE">
              <w:t xml:space="preserve">The Board thanks </w:t>
            </w:r>
            <w:r w:rsidR="007716EE" w:rsidRPr="002B61FE">
              <w:t>John Emerson</w:t>
            </w:r>
            <w:r w:rsidR="003B6D2D">
              <w:t>, AM</w:t>
            </w:r>
            <w:r w:rsidR="007716EE" w:rsidRPr="002B61FE">
              <w:t xml:space="preserve"> (former Board member and preeminent specialist in the law relating to philanthropic organisations) for his contributions as an adviser to the Board in progressing this</w:t>
            </w:r>
            <w:r w:rsidR="00200465" w:rsidRPr="00C9759C">
              <w:t xml:space="preserve"> advice</w:t>
            </w:r>
            <w:r w:rsidR="007716EE" w:rsidRPr="002B61FE">
              <w:t>.</w:t>
            </w:r>
          </w:p>
          <w:p w14:paraId="640567BC" w14:textId="0133F2AE" w:rsidR="009C34AE" w:rsidRDefault="00200465" w:rsidP="002B61FE">
            <w:pPr>
              <w:spacing w:before="0" w:line="300" w:lineRule="exact"/>
            </w:pPr>
            <w:r w:rsidRPr="002B61FE">
              <w:t>The Board also thanks key stakeholders, including Philanthropy Australia, Australian Community Philanthropy and the Prime Minister’s Community Business Partnership</w:t>
            </w:r>
            <w:r>
              <w:t xml:space="preserve">, for their contributions. </w:t>
            </w:r>
            <w:r w:rsidRPr="002B61FE">
              <w:t xml:space="preserve"> </w:t>
            </w:r>
          </w:p>
          <w:p w14:paraId="205D934E" w14:textId="051890FB" w:rsidR="009A22E1" w:rsidRPr="005B32D7" w:rsidRDefault="009A22E1" w:rsidP="00657B86">
            <w:pPr>
              <w:pStyle w:val="Heading2"/>
              <w:spacing w:before="60" w:after="0"/>
              <w:outlineLvl w:val="1"/>
            </w:pPr>
          </w:p>
        </w:tc>
        <w:tc>
          <w:tcPr>
            <w:tcW w:w="444" w:type="dxa"/>
            <w:gridSpan w:val="2"/>
            <w:shd w:val="clear" w:color="auto" w:fill="auto"/>
          </w:tcPr>
          <w:p w14:paraId="40E8E809" w14:textId="77777777" w:rsidR="00C9759C" w:rsidRPr="005B32D7" w:rsidRDefault="00C9759C" w:rsidP="00657B86"/>
        </w:tc>
      </w:tr>
      <w:tr w:rsidR="00C9759C" w:rsidRPr="005B32D7" w14:paraId="21ABF329" w14:textId="77777777" w:rsidTr="00A610B7">
        <w:trPr>
          <w:jc w:val="center"/>
        </w:trPr>
        <w:tc>
          <w:tcPr>
            <w:tcW w:w="569" w:type="dxa"/>
            <w:gridSpan w:val="2"/>
            <w:shd w:val="clear" w:color="auto" w:fill="auto"/>
          </w:tcPr>
          <w:p w14:paraId="5E30161A" w14:textId="0B573152" w:rsidR="00C9759C" w:rsidRPr="005B32D7" w:rsidRDefault="00C9759C" w:rsidP="00657B86"/>
        </w:tc>
        <w:tc>
          <w:tcPr>
            <w:tcW w:w="9669" w:type="dxa"/>
            <w:gridSpan w:val="4"/>
            <w:shd w:val="clear" w:color="auto" w:fill="auto"/>
          </w:tcPr>
          <w:p w14:paraId="75CCC227" w14:textId="6D12A21D" w:rsidR="00C9759C" w:rsidRDefault="00C9759C" w:rsidP="00657B86">
            <w:pPr>
              <w:pStyle w:val="Heading2"/>
              <w:spacing w:before="60" w:after="0"/>
              <w:outlineLvl w:val="1"/>
              <w:rPr>
                <w:szCs w:val="40"/>
              </w:rPr>
            </w:pPr>
            <w:r>
              <w:rPr>
                <w:szCs w:val="40"/>
              </w:rPr>
              <w:t>Proposed meeting dates for 2018</w:t>
            </w:r>
          </w:p>
        </w:tc>
        <w:tc>
          <w:tcPr>
            <w:tcW w:w="444" w:type="dxa"/>
            <w:gridSpan w:val="2"/>
            <w:shd w:val="clear" w:color="auto" w:fill="auto"/>
          </w:tcPr>
          <w:p w14:paraId="4B4142C9" w14:textId="77777777" w:rsidR="00C9759C" w:rsidRPr="005B32D7" w:rsidRDefault="00C9759C" w:rsidP="00657B86"/>
        </w:tc>
      </w:tr>
      <w:tr w:rsidR="009A22E1" w:rsidRPr="00BD2FF3" w14:paraId="5EFA6514" w14:textId="77777777" w:rsidTr="00A610B7">
        <w:trPr>
          <w:jc w:val="center"/>
        </w:trPr>
        <w:tc>
          <w:tcPr>
            <w:tcW w:w="569" w:type="dxa"/>
            <w:gridSpan w:val="2"/>
          </w:tcPr>
          <w:p w14:paraId="0ACCAB8C" w14:textId="7414FAB3" w:rsidR="009A22E1" w:rsidRPr="00BD2FF3" w:rsidRDefault="009A22E1" w:rsidP="00657B86"/>
        </w:tc>
        <w:tc>
          <w:tcPr>
            <w:tcW w:w="9669" w:type="dxa"/>
            <w:gridSpan w:val="4"/>
          </w:tcPr>
          <w:p w14:paraId="68DDE0BD" w14:textId="3DCF7CF1" w:rsidR="009A22E1" w:rsidRPr="00BD2FF3" w:rsidRDefault="009A22E1" w:rsidP="002B61FE">
            <w:pPr>
              <w:spacing w:before="0" w:line="300" w:lineRule="exact"/>
            </w:pPr>
            <w:r w:rsidRPr="00392A88">
              <w:t xml:space="preserve">The Board </w:t>
            </w:r>
            <w:r>
              <w:t xml:space="preserve">has proposed the following dates and locations for their meetings in 2018. Any updates will be reflected on the Board’s website. </w:t>
            </w:r>
          </w:p>
        </w:tc>
        <w:tc>
          <w:tcPr>
            <w:tcW w:w="444" w:type="dxa"/>
            <w:gridSpan w:val="2"/>
          </w:tcPr>
          <w:p w14:paraId="2303AC6C" w14:textId="77777777" w:rsidR="009A22E1" w:rsidRPr="00BD2FF3" w:rsidRDefault="009A22E1" w:rsidP="00657B86"/>
        </w:tc>
      </w:tr>
      <w:tr w:rsidR="00DA6F58" w:rsidRPr="00BD2FF3" w14:paraId="035EBCF7" w14:textId="77777777" w:rsidTr="00A610B7">
        <w:trPr>
          <w:jc w:val="center"/>
        </w:trPr>
        <w:tc>
          <w:tcPr>
            <w:tcW w:w="569" w:type="dxa"/>
            <w:gridSpan w:val="2"/>
          </w:tcPr>
          <w:p w14:paraId="1B0D0348" w14:textId="77777777" w:rsidR="00DA6F58" w:rsidRPr="00BD2FF3" w:rsidRDefault="00DA6F58" w:rsidP="00657B86"/>
        </w:tc>
        <w:tc>
          <w:tcPr>
            <w:tcW w:w="3070" w:type="dxa"/>
          </w:tcPr>
          <w:p w14:paraId="1087C0CB" w14:textId="77777777" w:rsidR="00DA6F58" w:rsidRDefault="00DA6F58" w:rsidP="005E5E91">
            <w:pPr>
              <w:spacing w:before="0" w:after="200"/>
            </w:pPr>
            <w:r>
              <w:t>15 February – Melbourne</w:t>
            </w:r>
          </w:p>
          <w:p w14:paraId="123DCA64" w14:textId="5ED56367" w:rsidR="00DA6F58" w:rsidRDefault="00DA6F58" w:rsidP="005E5E91">
            <w:pPr>
              <w:spacing w:before="0" w:after="200"/>
            </w:pPr>
            <w:r>
              <w:t>22 March – Sydney</w:t>
            </w:r>
          </w:p>
          <w:p w14:paraId="3B533EFC" w14:textId="69132C23" w:rsidR="00DA6F58" w:rsidRDefault="00DA6F58" w:rsidP="005E5E91">
            <w:pPr>
              <w:spacing w:before="0" w:after="200"/>
            </w:pPr>
            <w:r>
              <w:t>19 April – Brisbane</w:t>
            </w:r>
          </w:p>
          <w:p w14:paraId="45AAA0AE" w14:textId="0798EB4E" w:rsidR="00DA6F58" w:rsidRDefault="00DA6F58" w:rsidP="005E5E91">
            <w:pPr>
              <w:spacing w:before="0" w:after="200"/>
            </w:pPr>
          </w:p>
        </w:tc>
        <w:tc>
          <w:tcPr>
            <w:tcW w:w="3586" w:type="dxa"/>
          </w:tcPr>
          <w:p w14:paraId="6447DAA7" w14:textId="77777777" w:rsidR="00DA6F58" w:rsidRDefault="00DA6F58" w:rsidP="005E5E91">
            <w:pPr>
              <w:spacing w:before="0" w:after="200"/>
            </w:pPr>
            <w:r>
              <w:t>25 May – Canberra</w:t>
            </w:r>
          </w:p>
          <w:p w14:paraId="4A8A021D" w14:textId="77777777" w:rsidR="00DA6F58" w:rsidRDefault="00DA6F58" w:rsidP="005E5E91">
            <w:pPr>
              <w:spacing w:before="0" w:after="200"/>
            </w:pPr>
            <w:r>
              <w:t>5 July – Melbourne</w:t>
            </w:r>
          </w:p>
          <w:p w14:paraId="731FE854" w14:textId="77777777" w:rsidR="00DA6F58" w:rsidRDefault="00DA6F58" w:rsidP="00DA6F58">
            <w:pPr>
              <w:spacing w:before="0" w:after="200"/>
            </w:pPr>
            <w:r>
              <w:t>9 August – Adelaide</w:t>
            </w:r>
          </w:p>
          <w:p w14:paraId="3DE31A63" w14:textId="18F6AE50" w:rsidR="00DA6F58" w:rsidRDefault="00DA6F58" w:rsidP="005E5E91">
            <w:pPr>
              <w:spacing w:before="0" w:after="200"/>
            </w:pPr>
          </w:p>
        </w:tc>
        <w:tc>
          <w:tcPr>
            <w:tcW w:w="3013" w:type="dxa"/>
            <w:gridSpan w:val="2"/>
          </w:tcPr>
          <w:p w14:paraId="30327F6C" w14:textId="77777777" w:rsidR="00DA6F58" w:rsidRDefault="00DA6F58" w:rsidP="00DA6F58">
            <w:pPr>
              <w:spacing w:before="0" w:after="200"/>
            </w:pPr>
            <w:r>
              <w:t>13 September – Sydney</w:t>
            </w:r>
          </w:p>
          <w:p w14:paraId="5DA58766" w14:textId="77777777" w:rsidR="00DA6F58" w:rsidRDefault="00DA6F58" w:rsidP="00DA6F58">
            <w:pPr>
              <w:spacing w:before="0" w:after="200"/>
            </w:pPr>
            <w:r>
              <w:t>18 October – Perth</w:t>
            </w:r>
          </w:p>
          <w:p w14:paraId="1BDD191C" w14:textId="77777777" w:rsidR="00DA6F58" w:rsidRDefault="00DA6F58" w:rsidP="00DA6F58">
            <w:pPr>
              <w:spacing w:before="0" w:after="200"/>
            </w:pPr>
            <w:r>
              <w:t>15 November  – Melbourne</w:t>
            </w:r>
          </w:p>
          <w:p w14:paraId="5D439980" w14:textId="70ABB6A4" w:rsidR="00DA6F58" w:rsidRDefault="0098044C" w:rsidP="00C9759C">
            <w:pPr>
              <w:spacing w:before="0" w:after="200"/>
            </w:pPr>
            <w:r>
              <w:t>14 December -  Sydney</w:t>
            </w:r>
          </w:p>
        </w:tc>
        <w:tc>
          <w:tcPr>
            <w:tcW w:w="444" w:type="dxa"/>
            <w:gridSpan w:val="2"/>
          </w:tcPr>
          <w:p w14:paraId="0564B41F" w14:textId="77777777" w:rsidR="00DA6F58" w:rsidRPr="00BD2FF3" w:rsidRDefault="00DA6F58" w:rsidP="00657B86"/>
        </w:tc>
      </w:tr>
    </w:tbl>
    <w:p w14:paraId="60F3D1BF" w14:textId="068AABB7" w:rsidR="00A610B7" w:rsidRDefault="00A610B7"/>
    <w:tbl>
      <w:tblPr>
        <w:tblStyle w:val="TableGrid"/>
        <w:tblW w:w="10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30"/>
        <w:gridCol w:w="2499"/>
        <w:gridCol w:w="6969"/>
        <w:gridCol w:w="133"/>
        <w:gridCol w:w="470"/>
      </w:tblGrid>
      <w:tr w:rsidR="009A22E1" w:rsidRPr="005B32D7" w14:paraId="229DC283" w14:textId="77777777" w:rsidTr="00A610B7">
        <w:trPr>
          <w:jc w:val="center"/>
        </w:trPr>
        <w:tc>
          <w:tcPr>
            <w:tcW w:w="569" w:type="dxa"/>
            <w:gridSpan w:val="2"/>
            <w:shd w:val="clear" w:color="auto" w:fill="auto"/>
          </w:tcPr>
          <w:p w14:paraId="508A1A2C" w14:textId="6211D3B6" w:rsidR="009A22E1" w:rsidRPr="005B32D7" w:rsidRDefault="009A22E1" w:rsidP="00657B86"/>
        </w:tc>
        <w:tc>
          <w:tcPr>
            <w:tcW w:w="9669" w:type="dxa"/>
            <w:gridSpan w:val="3"/>
            <w:shd w:val="clear" w:color="auto" w:fill="auto"/>
          </w:tcPr>
          <w:p w14:paraId="5D1AE279" w14:textId="48B6543B" w:rsidR="009A22E1" w:rsidRPr="005B32D7" w:rsidRDefault="009A22E1" w:rsidP="00657B86">
            <w:pPr>
              <w:pStyle w:val="Heading2"/>
              <w:spacing w:before="60" w:after="0"/>
              <w:outlineLvl w:val="1"/>
            </w:pPr>
            <w:r w:rsidRPr="00B37CE1">
              <w:rPr>
                <w:szCs w:val="40"/>
              </w:rPr>
              <w:t>Thank You</w:t>
            </w:r>
            <w:r w:rsidR="006D34AD">
              <w:rPr>
                <w:szCs w:val="40"/>
              </w:rPr>
              <w:t xml:space="preserve"> and Happy Holidays!</w:t>
            </w:r>
          </w:p>
        </w:tc>
        <w:tc>
          <w:tcPr>
            <w:tcW w:w="444" w:type="dxa"/>
            <w:shd w:val="clear" w:color="auto" w:fill="auto"/>
          </w:tcPr>
          <w:p w14:paraId="6B6F29A6" w14:textId="77777777" w:rsidR="009A22E1" w:rsidRPr="005B32D7" w:rsidRDefault="009A22E1" w:rsidP="00657B86"/>
        </w:tc>
      </w:tr>
      <w:tr w:rsidR="009A22E1" w:rsidRPr="00BD2FF3" w14:paraId="79048545" w14:textId="77777777" w:rsidTr="00A610B7">
        <w:trPr>
          <w:jc w:val="center"/>
        </w:trPr>
        <w:tc>
          <w:tcPr>
            <w:tcW w:w="569" w:type="dxa"/>
            <w:gridSpan w:val="2"/>
          </w:tcPr>
          <w:p w14:paraId="193BE326" w14:textId="77777777" w:rsidR="009A22E1" w:rsidRPr="00BD2FF3" w:rsidRDefault="009A22E1" w:rsidP="00657B86"/>
        </w:tc>
        <w:tc>
          <w:tcPr>
            <w:tcW w:w="9669" w:type="dxa"/>
            <w:gridSpan w:val="3"/>
          </w:tcPr>
          <w:p w14:paraId="633F04E6" w14:textId="50B4BE20" w:rsidR="009A22E1" w:rsidRDefault="009A22E1" w:rsidP="002B61FE">
            <w:pPr>
              <w:spacing w:before="0" w:line="300" w:lineRule="exact"/>
            </w:pPr>
            <w:r w:rsidRPr="00392A88">
              <w:t xml:space="preserve">The Board would like to </w:t>
            </w:r>
            <w:r w:rsidR="00E111A3">
              <w:t xml:space="preserve">sincerely </w:t>
            </w:r>
            <w:r w:rsidRPr="00392A88">
              <w:t xml:space="preserve">thank </w:t>
            </w:r>
            <w:r w:rsidR="00E111A3">
              <w:t xml:space="preserve">all the </w:t>
            </w:r>
            <w:r w:rsidR="006D34AD">
              <w:t xml:space="preserve">people, firms, </w:t>
            </w:r>
            <w:r w:rsidR="00E111A3">
              <w:t xml:space="preserve">organisations </w:t>
            </w:r>
            <w:r w:rsidR="006D34AD">
              <w:t xml:space="preserve">and institutions </w:t>
            </w:r>
            <w:r w:rsidR="00E111A3">
              <w:t xml:space="preserve">that have assisted in </w:t>
            </w:r>
            <w:r w:rsidRPr="00392A88">
              <w:t>host</w:t>
            </w:r>
            <w:r>
              <w:t>ing</w:t>
            </w:r>
            <w:r w:rsidRPr="00392A88">
              <w:t xml:space="preserve"> the Board </w:t>
            </w:r>
            <w:r w:rsidR="00E111A3">
              <w:t xml:space="preserve">over the 2017 calendar year </w:t>
            </w:r>
            <w:r w:rsidRPr="000A5086">
              <w:t>–</w:t>
            </w:r>
            <w:r w:rsidRPr="00392A88">
              <w:t xml:space="preserve"> the Board is most grateful.</w:t>
            </w:r>
            <w:r>
              <w:t xml:space="preserve"> The Board would also like to thank all those who participated in discussions over lunch</w:t>
            </w:r>
            <w:r w:rsidR="00EA3310">
              <w:t>es and at working groups</w:t>
            </w:r>
            <w:r>
              <w:t>.</w:t>
            </w:r>
            <w:r w:rsidR="00EA3310">
              <w:t xml:space="preserve"> Again, your feedback and ideas helps </w:t>
            </w:r>
            <w:r w:rsidR="00A610B7">
              <w:t xml:space="preserve">provide input </w:t>
            </w:r>
            <w:r w:rsidR="00EA3310">
              <w:t xml:space="preserve">to shape our tax system through the advice the Board provides to Government. </w:t>
            </w:r>
          </w:p>
          <w:p w14:paraId="4D752256" w14:textId="5FDCDF31" w:rsidR="009A22E1" w:rsidRDefault="009A22E1" w:rsidP="002B61FE">
            <w:pPr>
              <w:spacing w:before="0" w:line="300" w:lineRule="exact"/>
            </w:pPr>
            <w:r w:rsidRPr="00392A88">
              <w:t xml:space="preserve">The Board </w:t>
            </w:r>
            <w:r w:rsidR="00A610B7">
              <w:t xml:space="preserve">is also grateful for the many speaking opportunities and encourages your organisation to approach us for events you may be holding in 2018. </w:t>
            </w:r>
          </w:p>
          <w:p w14:paraId="1C7A02D2" w14:textId="45B273D8" w:rsidR="009A22E1" w:rsidRDefault="009A22E1" w:rsidP="002B61FE">
            <w:pPr>
              <w:spacing w:before="0" w:line="300" w:lineRule="exact"/>
            </w:pPr>
            <w:r>
              <w:t xml:space="preserve">The next Board meeting will be held in Melbourne on </w:t>
            </w:r>
            <w:r w:rsidR="00A610B7">
              <w:t>15</w:t>
            </w:r>
            <w:r>
              <w:t> </w:t>
            </w:r>
            <w:r w:rsidR="00A610B7">
              <w:t xml:space="preserve">February </w:t>
            </w:r>
            <w:r>
              <w:t>201</w:t>
            </w:r>
            <w:r w:rsidR="00A610B7">
              <w:t>8</w:t>
            </w:r>
            <w:r>
              <w:t xml:space="preserve"> – the fi</w:t>
            </w:r>
            <w:r w:rsidR="00A610B7">
              <w:t xml:space="preserve">rst </w:t>
            </w:r>
            <w:r>
              <w:t xml:space="preserve">Board meeting of </w:t>
            </w:r>
            <w:r w:rsidR="00A610B7">
              <w:t>2018</w:t>
            </w:r>
            <w:r>
              <w:t>!</w:t>
            </w:r>
          </w:p>
          <w:p w14:paraId="0A7B462B" w14:textId="77777777" w:rsidR="009A22E1" w:rsidRDefault="009A22E1" w:rsidP="002B61FE">
            <w:pPr>
              <w:spacing w:before="0" w:line="300" w:lineRule="exact"/>
            </w:pPr>
            <w:r>
              <w:t xml:space="preserve">Don’t forget, the Board is live on LinkedIn! For those of you who are on LinkedIn, you can follow the Board’s page </w:t>
            </w:r>
            <w:hyperlink r:id="rId17" w:history="1">
              <w:r w:rsidRPr="002B61FE">
                <w:t>here</w:t>
              </w:r>
            </w:hyperlink>
            <w:r>
              <w:t>.</w:t>
            </w:r>
          </w:p>
          <w:p w14:paraId="6A12F890" w14:textId="2E799415" w:rsidR="00A610B7" w:rsidRDefault="00A610B7" w:rsidP="002B61FE">
            <w:pPr>
              <w:spacing w:before="0" w:line="300" w:lineRule="exact"/>
            </w:pPr>
            <w:r>
              <w:t xml:space="preserve">Enjoy a safe and relaxing holiday with your family and friends. </w:t>
            </w:r>
            <w:r w:rsidR="00C9759C">
              <w:t>We</w:t>
            </w:r>
            <w:r>
              <w:t xml:space="preserve"> look forward to working with you in 2018.</w:t>
            </w:r>
          </w:p>
          <w:p w14:paraId="2985EE31" w14:textId="66C611DD" w:rsidR="009A22E1" w:rsidRPr="00BD2FF3" w:rsidRDefault="009A22E1" w:rsidP="00657B86"/>
        </w:tc>
        <w:tc>
          <w:tcPr>
            <w:tcW w:w="444" w:type="dxa"/>
          </w:tcPr>
          <w:p w14:paraId="120F88EC" w14:textId="77777777" w:rsidR="009A22E1" w:rsidRPr="00BD2FF3" w:rsidRDefault="009A22E1" w:rsidP="00657B86"/>
        </w:tc>
      </w:tr>
      <w:tr w:rsidR="00BD2FF3" w:rsidRPr="00BD2FF3" w14:paraId="64038EB1" w14:textId="77777777" w:rsidTr="00A610B7">
        <w:tblPrEx>
          <w:tblBorders>
            <w:bottom w:val="single" w:sz="4" w:space="0" w:color="BFBFBF" w:themeColor="background1" w:themeShade="BF"/>
          </w:tblBorders>
          <w:shd w:val="clear" w:color="auto" w:fill="CCDDF1"/>
        </w:tblPrEx>
        <w:trPr>
          <w:jc w:val="center"/>
        </w:trPr>
        <w:tc>
          <w:tcPr>
            <w:tcW w:w="460" w:type="dxa"/>
            <w:tcBorders>
              <w:bottom w:val="single" w:sz="4" w:space="0" w:color="BFBFBF" w:themeColor="background1" w:themeShade="BF"/>
            </w:tcBorders>
            <w:shd w:val="clear" w:color="auto" w:fill="1F497D" w:themeFill="text2"/>
          </w:tcPr>
          <w:p w14:paraId="3B75C15E" w14:textId="77777777" w:rsidR="00B85592" w:rsidRPr="00BD2FF3" w:rsidRDefault="00B85592" w:rsidP="002256FA"/>
        </w:tc>
        <w:tc>
          <w:tcPr>
            <w:tcW w:w="2627" w:type="dxa"/>
            <w:gridSpan w:val="2"/>
            <w:tcBorders>
              <w:bottom w:val="single" w:sz="4" w:space="0" w:color="BFBFBF" w:themeColor="background1" w:themeShade="BF"/>
            </w:tcBorders>
            <w:shd w:val="clear" w:color="auto" w:fill="1F497D" w:themeFill="text2"/>
          </w:tcPr>
          <w:p w14:paraId="2F8803B3" w14:textId="77777777" w:rsidR="00B85592" w:rsidRPr="002256FA" w:rsidRDefault="00B85592" w:rsidP="005E5E91">
            <w:pPr>
              <w:ind w:left="43"/>
              <w:rPr>
                <w:color w:val="FFFFFF" w:themeColor="background1"/>
                <w:lang w:eastAsia="en-AU"/>
              </w:rPr>
            </w:pPr>
            <w:r w:rsidRPr="002256FA">
              <w:rPr>
                <w:color w:val="FFFFFF" w:themeColor="background1"/>
                <w:lang w:eastAsia="en-AU"/>
              </w:rPr>
              <w:t>Karen Payne</w:t>
            </w:r>
          </w:p>
          <w:p w14:paraId="1002A79F" w14:textId="77777777" w:rsidR="00B85592" w:rsidRPr="002256FA" w:rsidRDefault="00B85592" w:rsidP="005E5E91">
            <w:pPr>
              <w:ind w:left="43"/>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6968" w:type="dxa"/>
            <w:tcBorders>
              <w:bottom w:val="single" w:sz="4" w:space="0" w:color="BFBFBF" w:themeColor="background1" w:themeShade="BF"/>
            </w:tcBorders>
            <w:shd w:val="clear" w:color="auto" w:fill="1F497D" w:themeFill="text2"/>
          </w:tcPr>
          <w:p w14:paraId="50E53E13" w14:textId="77777777" w:rsidR="00BD2FF3" w:rsidRPr="002256FA" w:rsidRDefault="00BD2FF3" w:rsidP="005E5E91">
            <w:pPr>
              <w:ind w:left="43"/>
              <w:rPr>
                <w:color w:val="FFFFFF" w:themeColor="background1"/>
                <w:lang w:eastAsia="en-AU"/>
              </w:rPr>
            </w:pPr>
            <w:r w:rsidRPr="002256FA">
              <w:rPr>
                <w:color w:val="FFFFFF" w:themeColor="background1"/>
                <w:lang w:eastAsia="en-AU"/>
              </w:rPr>
              <w:t>phone:  +61 2 6263 2122</w:t>
            </w:r>
          </w:p>
          <w:p w14:paraId="058B4B67" w14:textId="77777777" w:rsidR="00BD2FF3" w:rsidRPr="002256FA" w:rsidRDefault="00BD2FF3" w:rsidP="005E5E91">
            <w:pPr>
              <w:ind w:left="43"/>
              <w:rPr>
                <w:color w:val="FFFFFF" w:themeColor="background1"/>
                <w:lang w:eastAsia="en-AU"/>
              </w:rPr>
            </w:pPr>
            <w:r w:rsidRPr="002256FA">
              <w:rPr>
                <w:color w:val="FFFFFF" w:themeColor="background1"/>
                <w:lang w:eastAsia="en-AU"/>
              </w:rPr>
              <w:t>mobile: 0405 843 880</w:t>
            </w:r>
          </w:p>
          <w:p w14:paraId="4BD8627E" w14:textId="77777777" w:rsidR="00BD2FF3" w:rsidRPr="002256FA" w:rsidRDefault="00BD2FF3" w:rsidP="005E5E91">
            <w:pPr>
              <w:ind w:left="43"/>
              <w:rPr>
                <w:color w:val="FFFFFF" w:themeColor="background1"/>
                <w:lang w:eastAsia="en-AU"/>
              </w:rPr>
            </w:pPr>
            <w:r w:rsidRPr="002256FA">
              <w:rPr>
                <w:color w:val="FFFFFF" w:themeColor="background1"/>
                <w:lang w:eastAsia="en-AU"/>
              </w:rPr>
              <w:t>fax: +61 2 6263 2617</w:t>
            </w:r>
          </w:p>
          <w:p w14:paraId="47475ED4" w14:textId="77777777" w:rsidR="00B85592" w:rsidRPr="002256FA" w:rsidRDefault="00BD2FF3" w:rsidP="005E5E91">
            <w:pPr>
              <w:ind w:left="43"/>
              <w:rPr>
                <w:color w:val="FFFFFF" w:themeColor="background1"/>
                <w:lang w:eastAsia="en-AU"/>
              </w:rPr>
            </w:pPr>
            <w:r w:rsidRPr="002256FA">
              <w:rPr>
                <w:color w:val="FFFFFF" w:themeColor="background1"/>
                <w:lang w:eastAsia="en-AU"/>
              </w:rPr>
              <w:t xml:space="preserve">email: </w:t>
            </w:r>
            <w:hyperlink r:id="rId18" w:history="1">
              <w:r w:rsidRPr="002256FA">
                <w:rPr>
                  <w:rStyle w:val="Hyperlink"/>
                  <w:color w:val="FFFFFF" w:themeColor="background1"/>
                  <w:lang w:eastAsia="en-AU"/>
                </w:rPr>
                <w:t>karen.payne@treasury.gov.au</w:t>
              </w:r>
            </w:hyperlink>
          </w:p>
        </w:tc>
        <w:tc>
          <w:tcPr>
            <w:tcW w:w="621" w:type="dxa"/>
            <w:gridSpan w:val="2"/>
            <w:tcBorders>
              <w:bottom w:val="single" w:sz="4" w:space="0" w:color="BFBFBF" w:themeColor="background1" w:themeShade="BF"/>
            </w:tcBorders>
            <w:shd w:val="clear" w:color="auto" w:fill="1F497D" w:themeFill="text2"/>
          </w:tcPr>
          <w:p w14:paraId="180DC9CD" w14:textId="77777777" w:rsidR="00B85592" w:rsidRPr="00BD2FF3" w:rsidRDefault="00B85592" w:rsidP="002256FA"/>
        </w:tc>
      </w:tr>
      <w:tr w:rsidR="00BD2FF3" w:rsidRPr="00BD2FF3" w14:paraId="3BAE0A5B" w14:textId="77777777" w:rsidTr="00A610B7">
        <w:tblPrEx>
          <w:tblBorders>
            <w:bottom w:val="single" w:sz="4" w:space="0" w:color="BFBFBF" w:themeColor="background1" w:themeShade="BF"/>
          </w:tblBorders>
          <w:shd w:val="clear" w:color="auto" w:fill="CCDDF1"/>
        </w:tblPrEx>
        <w:trPr>
          <w:jc w:val="center"/>
        </w:trPr>
        <w:tc>
          <w:tcPr>
            <w:tcW w:w="460" w:type="dxa"/>
            <w:tcBorders>
              <w:top w:val="single" w:sz="4" w:space="0" w:color="BFBFBF" w:themeColor="background1" w:themeShade="BF"/>
              <w:bottom w:val="nil"/>
            </w:tcBorders>
            <w:shd w:val="clear" w:color="auto" w:fill="1F497D" w:themeFill="text2"/>
          </w:tcPr>
          <w:p w14:paraId="7786189B" w14:textId="77777777" w:rsidR="00B85592" w:rsidRPr="00BD2FF3" w:rsidRDefault="00B85592" w:rsidP="002256FA"/>
        </w:tc>
        <w:tc>
          <w:tcPr>
            <w:tcW w:w="2627" w:type="dxa"/>
            <w:gridSpan w:val="2"/>
            <w:tcBorders>
              <w:top w:val="single" w:sz="4" w:space="0" w:color="BFBFBF" w:themeColor="background1" w:themeShade="BF"/>
              <w:bottom w:val="nil"/>
            </w:tcBorders>
            <w:shd w:val="clear" w:color="auto" w:fill="1F497D" w:themeFill="text2"/>
          </w:tcPr>
          <w:p w14:paraId="6E6AD942" w14:textId="77777777" w:rsidR="005B32D7" w:rsidRPr="002256FA" w:rsidRDefault="005B32D7" w:rsidP="005E5E91">
            <w:pPr>
              <w:ind w:left="43"/>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141DA8D9" w14:textId="77777777" w:rsidR="00B85592" w:rsidRPr="002256FA" w:rsidRDefault="005B32D7" w:rsidP="005E5E91">
            <w:pPr>
              <w:ind w:left="43"/>
              <w:rPr>
                <w:color w:val="FFFFFF" w:themeColor="background1"/>
                <w:lang w:eastAsia="en-AU"/>
              </w:rPr>
            </w:pPr>
            <w:r w:rsidRPr="002256FA">
              <w:rPr>
                <w:color w:val="FFFFFF" w:themeColor="background1"/>
                <w:lang w:eastAsia="en-AU"/>
              </w:rPr>
              <w:t>100 Market Street, Sydney NSW 2000</w:t>
            </w:r>
          </w:p>
        </w:tc>
        <w:tc>
          <w:tcPr>
            <w:tcW w:w="6968" w:type="dxa"/>
            <w:tcBorders>
              <w:top w:val="single" w:sz="4" w:space="0" w:color="BFBFBF" w:themeColor="background1" w:themeShade="BF"/>
              <w:bottom w:val="nil"/>
            </w:tcBorders>
            <w:shd w:val="clear" w:color="auto" w:fill="1F497D" w:themeFill="text2"/>
          </w:tcPr>
          <w:p w14:paraId="50E347A6" w14:textId="77777777" w:rsidR="00BD2FF3" w:rsidRPr="002256FA" w:rsidRDefault="00BD2FF3" w:rsidP="005E5E91">
            <w:pPr>
              <w:ind w:left="43"/>
              <w:rPr>
                <w:rStyle w:val="Hyperlink"/>
                <w:color w:val="FFFFFF" w:themeColor="background1"/>
                <w:lang w:eastAsia="en-AU"/>
              </w:rPr>
            </w:pPr>
            <w:r w:rsidRPr="002256FA">
              <w:rPr>
                <w:color w:val="FFFFFF" w:themeColor="background1"/>
                <w:lang w:eastAsia="en-AU"/>
              </w:rPr>
              <w:t xml:space="preserve">website: </w:t>
            </w:r>
            <w:hyperlink r:id="rId19" w:history="1">
              <w:r w:rsidRPr="002256FA">
                <w:rPr>
                  <w:rStyle w:val="Hyperlink"/>
                  <w:color w:val="FFFFFF" w:themeColor="background1"/>
                  <w:lang w:eastAsia="en-AU"/>
                </w:rPr>
                <w:t>www.taxboard.gov.au</w:t>
              </w:r>
            </w:hyperlink>
          </w:p>
          <w:p w14:paraId="3A409BB3" w14:textId="77777777" w:rsidR="005B32D7" w:rsidRPr="002256FA" w:rsidRDefault="005B32D7" w:rsidP="005E5E91">
            <w:pPr>
              <w:ind w:left="43"/>
              <w:rPr>
                <w:color w:val="FFFFFF" w:themeColor="background1"/>
                <w:lang w:eastAsia="en-AU"/>
              </w:rPr>
            </w:pPr>
            <w:r w:rsidRPr="002256FA">
              <w:rPr>
                <w:color w:val="FFFFFF" w:themeColor="background1"/>
                <w:lang w:eastAsia="en-AU"/>
              </w:rPr>
              <w:t>The Board of Taxation Secretariat</w:t>
            </w:r>
          </w:p>
          <w:p w14:paraId="5BA1E72F" w14:textId="77777777" w:rsidR="005B32D7" w:rsidRPr="002256FA" w:rsidRDefault="005B32D7" w:rsidP="005E5E91">
            <w:pPr>
              <w:ind w:left="43"/>
              <w:rPr>
                <w:color w:val="FFFFFF" w:themeColor="background1"/>
              </w:rPr>
            </w:pPr>
            <w:r w:rsidRPr="002256FA">
              <w:rPr>
                <w:color w:val="FFFFFF" w:themeColor="background1"/>
                <w:lang w:eastAsia="en-AU"/>
              </w:rPr>
              <w:t>Langton Crescent, Parkes ACT 2600 Australia</w:t>
            </w:r>
          </w:p>
        </w:tc>
        <w:tc>
          <w:tcPr>
            <w:tcW w:w="621" w:type="dxa"/>
            <w:gridSpan w:val="2"/>
            <w:tcBorders>
              <w:top w:val="single" w:sz="4" w:space="0" w:color="BFBFBF" w:themeColor="background1" w:themeShade="BF"/>
              <w:bottom w:val="nil"/>
            </w:tcBorders>
            <w:shd w:val="clear" w:color="auto" w:fill="1F497D" w:themeFill="text2"/>
          </w:tcPr>
          <w:p w14:paraId="6D2EE903" w14:textId="77777777" w:rsidR="00B85592" w:rsidRPr="00BD2FF3" w:rsidRDefault="00B85592" w:rsidP="002256FA"/>
        </w:tc>
      </w:tr>
      <w:tr w:rsidR="00B85592" w14:paraId="3143EEF8" w14:textId="77777777" w:rsidTr="00A610B7">
        <w:tblPrEx>
          <w:tblBorders>
            <w:bottom w:val="single" w:sz="4" w:space="0" w:color="BFBFBF" w:themeColor="background1" w:themeShade="BF"/>
          </w:tblBorders>
          <w:shd w:val="clear" w:color="auto" w:fill="CCDDF1"/>
        </w:tblPrEx>
        <w:trPr>
          <w:jc w:val="center"/>
        </w:trPr>
        <w:tc>
          <w:tcPr>
            <w:tcW w:w="10676" w:type="dxa"/>
            <w:gridSpan w:val="6"/>
            <w:tcBorders>
              <w:bottom w:val="nil"/>
            </w:tcBorders>
            <w:shd w:val="clear" w:color="auto" w:fill="auto"/>
            <w:tcMar>
              <w:left w:w="0" w:type="dxa"/>
              <w:right w:w="0" w:type="dxa"/>
            </w:tcMar>
          </w:tcPr>
          <w:p w14:paraId="1ED01F0D" w14:textId="77777777" w:rsidR="00B85592" w:rsidRDefault="00B85592" w:rsidP="002256FA">
            <w:r>
              <w:rPr>
                <w:noProof/>
                <w:lang w:eastAsia="en-AU"/>
              </w:rPr>
              <w:drawing>
                <wp:inline distT="0" distB="0" distL="0" distR="0" wp14:anchorId="31D9FDC0" wp14:editId="793CC6C3">
                  <wp:extent cx="6786748" cy="308759"/>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0">
                            <a:extLst>
                              <a:ext uri="{28A0092B-C50C-407E-A947-70E740481C1C}">
                                <a14:useLocalDpi xmlns:a14="http://schemas.microsoft.com/office/drawing/2010/main" val="0"/>
                              </a:ext>
                            </a:extLst>
                          </a:blip>
                          <a:stretch>
                            <a:fillRect/>
                          </a:stretch>
                        </pic:blipFill>
                        <pic:spPr>
                          <a:xfrm>
                            <a:off x="0" y="0"/>
                            <a:ext cx="6884364" cy="313200"/>
                          </a:xfrm>
                          <a:prstGeom prst="rect">
                            <a:avLst/>
                          </a:prstGeom>
                        </pic:spPr>
                      </pic:pic>
                    </a:graphicData>
                  </a:graphic>
                </wp:inline>
              </w:drawing>
            </w:r>
          </w:p>
        </w:tc>
      </w:tr>
    </w:tbl>
    <w:p w14:paraId="1633713E" w14:textId="77777777" w:rsidR="001010C1" w:rsidRPr="0098345D" w:rsidRDefault="001010C1" w:rsidP="00EF48F9"/>
    <w:sectPr w:rsidR="001010C1" w:rsidRPr="0098345D" w:rsidSect="00BD2FF3">
      <w:pgSz w:w="11906" w:h="16838"/>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F2F6A" w15:done="0"/>
  <w15:commentEx w15:paraId="3B9FAEB6" w15:done="0"/>
  <w15:commentEx w15:paraId="78837C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F2C8" w14:textId="77777777" w:rsidR="00EA62C5" w:rsidRDefault="00EA62C5" w:rsidP="002256FA">
      <w:r>
        <w:separator/>
      </w:r>
    </w:p>
  </w:endnote>
  <w:endnote w:type="continuationSeparator" w:id="0">
    <w:p w14:paraId="47F4749C" w14:textId="77777777" w:rsidR="00EA62C5" w:rsidRDefault="00EA62C5" w:rsidP="002256FA">
      <w:r>
        <w:continuationSeparator/>
      </w:r>
    </w:p>
  </w:endnote>
  <w:endnote w:type="continuationNotice" w:id="1">
    <w:p w14:paraId="5AC0CD0C" w14:textId="77777777" w:rsidR="00EA62C5" w:rsidRDefault="00EA62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F9BB" w14:textId="77777777" w:rsidR="00EA62C5" w:rsidRDefault="00EA62C5" w:rsidP="002256FA">
      <w:r>
        <w:separator/>
      </w:r>
    </w:p>
  </w:footnote>
  <w:footnote w:type="continuationSeparator" w:id="0">
    <w:p w14:paraId="612A1C72" w14:textId="77777777" w:rsidR="00EA62C5" w:rsidRDefault="00EA62C5" w:rsidP="002256FA">
      <w:r>
        <w:continuationSeparator/>
      </w:r>
    </w:p>
  </w:footnote>
  <w:footnote w:type="continuationNotice" w:id="1">
    <w:p w14:paraId="2C712FAC" w14:textId="77777777" w:rsidR="00EA62C5" w:rsidRDefault="00EA62C5">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F6B9A"/>
    <w:multiLevelType w:val="multilevel"/>
    <w:tmpl w:val="C9F44B5E"/>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C61A81"/>
    <w:multiLevelType w:val="hybridMultilevel"/>
    <w:tmpl w:val="F230CC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440C8B"/>
    <w:multiLevelType w:val="multilevel"/>
    <w:tmpl w:val="216A4870"/>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nsid w:val="29E277D2"/>
    <w:multiLevelType w:val="hybridMultilevel"/>
    <w:tmpl w:val="0F8A75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3A683E"/>
    <w:multiLevelType w:val="hybridMultilevel"/>
    <w:tmpl w:val="DC3EDD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9482323"/>
    <w:multiLevelType w:val="hybridMultilevel"/>
    <w:tmpl w:val="450A25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1074816"/>
    <w:multiLevelType w:val="hybridMultilevel"/>
    <w:tmpl w:val="84C60E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66BD3AA9"/>
    <w:multiLevelType w:val="hybridMultilevel"/>
    <w:tmpl w:val="4B72B2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311F1"/>
    <w:multiLevelType w:val="hybridMultilevel"/>
    <w:tmpl w:val="EF7E49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4D7209"/>
    <w:multiLevelType w:val="hybridMultilevel"/>
    <w:tmpl w:val="286634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2"/>
  </w:num>
  <w:num w:numId="12">
    <w:abstractNumId w:val="11"/>
  </w:num>
  <w:num w:numId="13">
    <w:abstractNumId w:val="9"/>
  </w:num>
  <w:num w:numId="14">
    <w:abstractNumId w:val="12"/>
  </w:num>
  <w:num w:numId="15">
    <w:abstractNumId w:val="11"/>
  </w:num>
  <w:num w:numId="16">
    <w:abstractNumId w:val="15"/>
  </w:num>
  <w:num w:numId="17">
    <w:abstractNumId w:val="2"/>
  </w:num>
  <w:num w:numId="18">
    <w:abstractNumId w:val="8"/>
  </w:num>
  <w:num w:numId="19">
    <w:abstractNumId w:val="13"/>
  </w:num>
  <w:num w:numId="20">
    <w:abstractNumId w:val="3"/>
  </w:num>
  <w:num w:numId="2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f, Ann-Maree (RTA)">
    <w15:presenceInfo w15:providerId="AD" w15:userId="S-1-5-21-1659004503-2049760794-839522115-56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73"/>
    <w:rsid w:val="00017247"/>
    <w:rsid w:val="000645D3"/>
    <w:rsid w:val="000735E9"/>
    <w:rsid w:val="00085B95"/>
    <w:rsid w:val="00094214"/>
    <w:rsid w:val="000A5086"/>
    <w:rsid w:val="000C1DB1"/>
    <w:rsid w:val="000C4BA5"/>
    <w:rsid w:val="000E07A0"/>
    <w:rsid w:val="001010C1"/>
    <w:rsid w:val="0010796B"/>
    <w:rsid w:val="001473B3"/>
    <w:rsid w:val="001639DA"/>
    <w:rsid w:val="00181BBB"/>
    <w:rsid w:val="00184E92"/>
    <w:rsid w:val="00192734"/>
    <w:rsid w:val="001A5F7D"/>
    <w:rsid w:val="001A649A"/>
    <w:rsid w:val="001F55B5"/>
    <w:rsid w:val="001F5CCA"/>
    <w:rsid w:val="001F7CC8"/>
    <w:rsid w:val="00200465"/>
    <w:rsid w:val="002256FA"/>
    <w:rsid w:val="00227A66"/>
    <w:rsid w:val="002700A7"/>
    <w:rsid w:val="00273AF4"/>
    <w:rsid w:val="002A2827"/>
    <w:rsid w:val="002B3B38"/>
    <w:rsid w:val="002B61FE"/>
    <w:rsid w:val="002C7DA6"/>
    <w:rsid w:val="002F0065"/>
    <w:rsid w:val="00311917"/>
    <w:rsid w:val="00315E92"/>
    <w:rsid w:val="0035507D"/>
    <w:rsid w:val="00355336"/>
    <w:rsid w:val="00361BA6"/>
    <w:rsid w:val="003A0D45"/>
    <w:rsid w:val="003A2D24"/>
    <w:rsid w:val="003A3120"/>
    <w:rsid w:val="003A3ECE"/>
    <w:rsid w:val="003B0F25"/>
    <w:rsid w:val="003B6132"/>
    <w:rsid w:val="003B6D2D"/>
    <w:rsid w:val="003D732C"/>
    <w:rsid w:val="0043294F"/>
    <w:rsid w:val="00434EA4"/>
    <w:rsid w:val="0046080E"/>
    <w:rsid w:val="004625A8"/>
    <w:rsid w:val="00481676"/>
    <w:rsid w:val="004A55E2"/>
    <w:rsid w:val="004A7EC7"/>
    <w:rsid w:val="004B43F2"/>
    <w:rsid w:val="004E1C6B"/>
    <w:rsid w:val="004F4771"/>
    <w:rsid w:val="004F5738"/>
    <w:rsid w:val="00510175"/>
    <w:rsid w:val="00512F57"/>
    <w:rsid w:val="00517E28"/>
    <w:rsid w:val="00546C73"/>
    <w:rsid w:val="005826BB"/>
    <w:rsid w:val="005A720B"/>
    <w:rsid w:val="005B32D7"/>
    <w:rsid w:val="005E5E91"/>
    <w:rsid w:val="00607026"/>
    <w:rsid w:val="006075E6"/>
    <w:rsid w:val="00611C1E"/>
    <w:rsid w:val="00625711"/>
    <w:rsid w:val="006267A4"/>
    <w:rsid w:val="006272D6"/>
    <w:rsid w:val="006323D5"/>
    <w:rsid w:val="00652B10"/>
    <w:rsid w:val="006559FC"/>
    <w:rsid w:val="00656D54"/>
    <w:rsid w:val="00657B86"/>
    <w:rsid w:val="006D34AD"/>
    <w:rsid w:val="006E468E"/>
    <w:rsid w:val="00704189"/>
    <w:rsid w:val="007344DB"/>
    <w:rsid w:val="0075336F"/>
    <w:rsid w:val="0075475D"/>
    <w:rsid w:val="007716EE"/>
    <w:rsid w:val="0079575C"/>
    <w:rsid w:val="007A0342"/>
    <w:rsid w:val="007A2A0D"/>
    <w:rsid w:val="007C1863"/>
    <w:rsid w:val="007C292E"/>
    <w:rsid w:val="007D5EC6"/>
    <w:rsid w:val="00804A43"/>
    <w:rsid w:val="00816A9E"/>
    <w:rsid w:val="00825BE5"/>
    <w:rsid w:val="00856C1E"/>
    <w:rsid w:val="00890E88"/>
    <w:rsid w:val="008A7F58"/>
    <w:rsid w:val="008B5708"/>
    <w:rsid w:val="008B7BFB"/>
    <w:rsid w:val="008E01F0"/>
    <w:rsid w:val="008E4B74"/>
    <w:rsid w:val="00936A8A"/>
    <w:rsid w:val="0098044C"/>
    <w:rsid w:val="0098345D"/>
    <w:rsid w:val="009A22E1"/>
    <w:rsid w:val="009B6356"/>
    <w:rsid w:val="009C2011"/>
    <w:rsid w:val="009C34AE"/>
    <w:rsid w:val="009D6265"/>
    <w:rsid w:val="009D7CEF"/>
    <w:rsid w:val="00A04CDC"/>
    <w:rsid w:val="00A16F02"/>
    <w:rsid w:val="00A53417"/>
    <w:rsid w:val="00A56C59"/>
    <w:rsid w:val="00A57864"/>
    <w:rsid w:val="00A610B7"/>
    <w:rsid w:val="00A66EA5"/>
    <w:rsid w:val="00A85182"/>
    <w:rsid w:val="00AE6764"/>
    <w:rsid w:val="00AE6AF4"/>
    <w:rsid w:val="00B0301E"/>
    <w:rsid w:val="00B10341"/>
    <w:rsid w:val="00B23813"/>
    <w:rsid w:val="00B37A1B"/>
    <w:rsid w:val="00B37CE1"/>
    <w:rsid w:val="00B750F2"/>
    <w:rsid w:val="00B75AA8"/>
    <w:rsid w:val="00B85592"/>
    <w:rsid w:val="00B95A8D"/>
    <w:rsid w:val="00BD2FF3"/>
    <w:rsid w:val="00BE3509"/>
    <w:rsid w:val="00BF5B26"/>
    <w:rsid w:val="00C274F4"/>
    <w:rsid w:val="00C27D65"/>
    <w:rsid w:val="00C3061A"/>
    <w:rsid w:val="00C476BB"/>
    <w:rsid w:val="00C63642"/>
    <w:rsid w:val="00C805BB"/>
    <w:rsid w:val="00C9759C"/>
    <w:rsid w:val="00CC34BD"/>
    <w:rsid w:val="00CC64E1"/>
    <w:rsid w:val="00CE7F7E"/>
    <w:rsid w:val="00D12DCE"/>
    <w:rsid w:val="00D20D73"/>
    <w:rsid w:val="00D24CCF"/>
    <w:rsid w:val="00D258DC"/>
    <w:rsid w:val="00D9250B"/>
    <w:rsid w:val="00DA6F58"/>
    <w:rsid w:val="00DC3233"/>
    <w:rsid w:val="00DD348D"/>
    <w:rsid w:val="00DE77A2"/>
    <w:rsid w:val="00E01ACA"/>
    <w:rsid w:val="00E055F3"/>
    <w:rsid w:val="00E111A3"/>
    <w:rsid w:val="00E353D9"/>
    <w:rsid w:val="00E80EC5"/>
    <w:rsid w:val="00EA3310"/>
    <w:rsid w:val="00EA547D"/>
    <w:rsid w:val="00EA62C5"/>
    <w:rsid w:val="00EB42FC"/>
    <w:rsid w:val="00EB716A"/>
    <w:rsid w:val="00EF48F9"/>
    <w:rsid w:val="00F4394C"/>
    <w:rsid w:val="00F66270"/>
    <w:rsid w:val="00F731B6"/>
    <w:rsid w:val="00F8521D"/>
    <w:rsid w:val="00FA14A0"/>
    <w:rsid w:val="00FA777B"/>
    <w:rsid w:val="00FC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2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aliases w:val="b Char,b + line Char Char,b Char Char,b1 Char,b + line Char,Body Char,level 1 Char"/>
    <w:basedOn w:val="DefaultParagraphFont"/>
    <w:link w:val="Bullet"/>
    <w:locked/>
    <w:rsid w:val="000E07A0"/>
    <w:rPr>
      <w:rFonts w:ascii="Calibri Light" w:hAnsi="Calibri Light"/>
    </w:rPr>
  </w:style>
  <w:style w:type="paragraph" w:customStyle="1" w:styleId="Bullet">
    <w:name w:val="Bullet"/>
    <w:aliases w:val="b,b + line,b1,Body,level 1"/>
    <w:basedOn w:val="Normal"/>
    <w:link w:val="BulletChar"/>
    <w:qFormat/>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5EC6"/>
    <w:rPr>
      <w:sz w:val="16"/>
      <w:szCs w:val="16"/>
    </w:rPr>
  </w:style>
  <w:style w:type="paragraph" w:styleId="CommentText">
    <w:name w:val="annotation text"/>
    <w:basedOn w:val="Normal"/>
    <w:link w:val="CommentTextChar"/>
    <w:uiPriority w:val="99"/>
    <w:semiHidden/>
    <w:unhideWhenUsed/>
    <w:rsid w:val="007D5EC6"/>
    <w:rPr>
      <w:sz w:val="20"/>
      <w:szCs w:val="20"/>
    </w:rPr>
  </w:style>
  <w:style w:type="character" w:customStyle="1" w:styleId="CommentTextChar">
    <w:name w:val="Comment Text Char"/>
    <w:basedOn w:val="DefaultParagraphFont"/>
    <w:link w:val="CommentText"/>
    <w:uiPriority w:val="99"/>
    <w:semiHidden/>
    <w:rsid w:val="007D5EC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D5EC6"/>
    <w:rPr>
      <w:b/>
      <w:bCs/>
    </w:rPr>
  </w:style>
  <w:style w:type="character" w:customStyle="1" w:styleId="CommentSubjectChar">
    <w:name w:val="Comment Subject Char"/>
    <w:basedOn w:val="CommentTextChar"/>
    <w:link w:val="CommentSubject"/>
    <w:uiPriority w:val="99"/>
    <w:semiHidden/>
    <w:rsid w:val="007D5EC6"/>
    <w:rPr>
      <w:rFonts w:ascii="Calibri Light" w:hAnsi="Calibri Light"/>
      <w:b/>
      <w:bCs/>
      <w:sz w:val="20"/>
      <w:szCs w:val="20"/>
    </w:rPr>
  </w:style>
  <w:style w:type="paragraph" w:customStyle="1" w:styleId="Default">
    <w:name w:val="Default"/>
    <w:rsid w:val="0098044C"/>
    <w:pPr>
      <w:autoSpaceDE w:val="0"/>
      <w:autoSpaceDN w:val="0"/>
      <w:adjustRightInd w:val="0"/>
      <w:spacing w:after="0" w:line="240" w:lineRule="auto"/>
    </w:pPr>
    <w:rPr>
      <w:rFonts w:ascii="Calibri" w:hAnsi="Calibri" w:cs="Calibri"/>
      <w:color w:val="000000"/>
      <w:sz w:val="24"/>
      <w:szCs w:val="24"/>
    </w:rPr>
  </w:style>
  <w:style w:type="paragraph" w:customStyle="1" w:styleId="OutlineNumbered1">
    <w:name w:val="Outline Numbered 1"/>
    <w:basedOn w:val="Normal"/>
    <w:link w:val="OutlineNumbered1Char"/>
    <w:rsid w:val="00BF5B26"/>
    <w:pPr>
      <w:numPr>
        <w:numId w:val="20"/>
      </w:numPr>
      <w:spacing w:before="0" w:after="240"/>
    </w:pPr>
    <w:rPr>
      <w:rFonts w:ascii="Calibri" w:eastAsia="Times New Roman" w:hAnsi="Calibri" w:cs="Calibri"/>
      <w:sz w:val="24"/>
      <w:szCs w:val="24"/>
      <w:lang w:eastAsia="en-AU"/>
    </w:rPr>
  </w:style>
  <w:style w:type="character" w:customStyle="1" w:styleId="OutlineNumbered1Char">
    <w:name w:val="Outline Numbered 1 Char"/>
    <w:basedOn w:val="DefaultParagraphFont"/>
    <w:link w:val="OutlineNumbered1"/>
    <w:rsid w:val="00BF5B26"/>
    <w:rPr>
      <w:rFonts w:ascii="Calibri" w:eastAsia="Times New Roman" w:hAnsi="Calibri" w:cs="Calibri"/>
      <w:sz w:val="24"/>
      <w:szCs w:val="24"/>
      <w:lang w:eastAsia="en-AU"/>
    </w:rPr>
  </w:style>
  <w:style w:type="paragraph" w:customStyle="1" w:styleId="OutlineNumbered2">
    <w:name w:val="Outline Numbered 2"/>
    <w:basedOn w:val="Normal"/>
    <w:link w:val="OutlineNumbered2Char"/>
    <w:rsid w:val="00BF5B26"/>
    <w:pPr>
      <w:numPr>
        <w:ilvl w:val="1"/>
        <w:numId w:val="20"/>
      </w:numPr>
      <w:spacing w:before="0" w:after="240"/>
    </w:pPr>
    <w:rPr>
      <w:rFonts w:ascii="Calibri" w:eastAsia="Times New Roman" w:hAnsi="Calibri" w:cs="Calibri"/>
      <w:sz w:val="24"/>
      <w:szCs w:val="24"/>
      <w:lang w:eastAsia="en-AU"/>
    </w:rPr>
  </w:style>
  <w:style w:type="paragraph" w:customStyle="1" w:styleId="OutlineNumbered3">
    <w:name w:val="Outline Numbered 3"/>
    <w:basedOn w:val="Normal"/>
    <w:link w:val="OutlineNumbered3Char"/>
    <w:rsid w:val="00BF5B26"/>
    <w:pPr>
      <w:numPr>
        <w:ilvl w:val="2"/>
        <w:numId w:val="20"/>
      </w:numPr>
      <w:spacing w:before="0" w:after="240"/>
    </w:pPr>
    <w:rPr>
      <w:rFonts w:ascii="Calibri" w:eastAsia="Times New Roman" w:hAnsi="Calibri" w:cs="Calibri"/>
      <w:sz w:val="24"/>
      <w:szCs w:val="24"/>
      <w:lang w:eastAsia="en-AU"/>
    </w:rPr>
  </w:style>
  <w:style w:type="character" w:customStyle="1" w:styleId="OutlineNumbered2Char">
    <w:name w:val="Outline Numbered 2 Char"/>
    <w:basedOn w:val="DefaultParagraphFont"/>
    <w:link w:val="OutlineNumbered2"/>
    <w:rsid w:val="005826BB"/>
    <w:rPr>
      <w:rFonts w:ascii="Calibri" w:eastAsia="Times New Roman" w:hAnsi="Calibri" w:cs="Calibri"/>
      <w:sz w:val="24"/>
      <w:szCs w:val="24"/>
      <w:lang w:eastAsia="en-AU"/>
    </w:rPr>
  </w:style>
  <w:style w:type="character" w:customStyle="1" w:styleId="OutlineNumbered3Char">
    <w:name w:val="Outline Numbered 3 Char"/>
    <w:basedOn w:val="DefaultParagraphFont"/>
    <w:link w:val="OutlineNumbered3"/>
    <w:rsid w:val="005826BB"/>
    <w:rPr>
      <w:rFonts w:ascii="Calibri" w:eastAsia="Times New Roman" w:hAnsi="Calibri" w:cs="Calibr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aliases w:val="b Char,b + line Char Char,b Char Char,b1 Char,b + line Char,Body Char,level 1 Char"/>
    <w:basedOn w:val="DefaultParagraphFont"/>
    <w:link w:val="Bullet"/>
    <w:locked/>
    <w:rsid w:val="000E07A0"/>
    <w:rPr>
      <w:rFonts w:ascii="Calibri Light" w:hAnsi="Calibri Light"/>
    </w:rPr>
  </w:style>
  <w:style w:type="paragraph" w:customStyle="1" w:styleId="Bullet">
    <w:name w:val="Bullet"/>
    <w:aliases w:val="b,b + line,b1,Body,level 1"/>
    <w:basedOn w:val="Normal"/>
    <w:link w:val="BulletChar"/>
    <w:qFormat/>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5EC6"/>
    <w:rPr>
      <w:sz w:val="16"/>
      <w:szCs w:val="16"/>
    </w:rPr>
  </w:style>
  <w:style w:type="paragraph" w:styleId="CommentText">
    <w:name w:val="annotation text"/>
    <w:basedOn w:val="Normal"/>
    <w:link w:val="CommentTextChar"/>
    <w:uiPriority w:val="99"/>
    <w:semiHidden/>
    <w:unhideWhenUsed/>
    <w:rsid w:val="007D5EC6"/>
    <w:rPr>
      <w:sz w:val="20"/>
      <w:szCs w:val="20"/>
    </w:rPr>
  </w:style>
  <w:style w:type="character" w:customStyle="1" w:styleId="CommentTextChar">
    <w:name w:val="Comment Text Char"/>
    <w:basedOn w:val="DefaultParagraphFont"/>
    <w:link w:val="CommentText"/>
    <w:uiPriority w:val="99"/>
    <w:semiHidden/>
    <w:rsid w:val="007D5EC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D5EC6"/>
    <w:rPr>
      <w:b/>
      <w:bCs/>
    </w:rPr>
  </w:style>
  <w:style w:type="character" w:customStyle="1" w:styleId="CommentSubjectChar">
    <w:name w:val="Comment Subject Char"/>
    <w:basedOn w:val="CommentTextChar"/>
    <w:link w:val="CommentSubject"/>
    <w:uiPriority w:val="99"/>
    <w:semiHidden/>
    <w:rsid w:val="007D5EC6"/>
    <w:rPr>
      <w:rFonts w:ascii="Calibri Light" w:hAnsi="Calibri Light"/>
      <w:b/>
      <w:bCs/>
      <w:sz w:val="20"/>
      <w:szCs w:val="20"/>
    </w:rPr>
  </w:style>
  <w:style w:type="paragraph" w:customStyle="1" w:styleId="Default">
    <w:name w:val="Default"/>
    <w:rsid w:val="0098044C"/>
    <w:pPr>
      <w:autoSpaceDE w:val="0"/>
      <w:autoSpaceDN w:val="0"/>
      <w:adjustRightInd w:val="0"/>
      <w:spacing w:after="0" w:line="240" w:lineRule="auto"/>
    </w:pPr>
    <w:rPr>
      <w:rFonts w:ascii="Calibri" w:hAnsi="Calibri" w:cs="Calibri"/>
      <w:color w:val="000000"/>
      <w:sz w:val="24"/>
      <w:szCs w:val="24"/>
    </w:rPr>
  </w:style>
  <w:style w:type="paragraph" w:customStyle="1" w:styleId="OutlineNumbered1">
    <w:name w:val="Outline Numbered 1"/>
    <w:basedOn w:val="Normal"/>
    <w:link w:val="OutlineNumbered1Char"/>
    <w:rsid w:val="00BF5B26"/>
    <w:pPr>
      <w:numPr>
        <w:numId w:val="20"/>
      </w:numPr>
      <w:spacing w:before="0" w:after="240"/>
    </w:pPr>
    <w:rPr>
      <w:rFonts w:ascii="Calibri" w:eastAsia="Times New Roman" w:hAnsi="Calibri" w:cs="Calibri"/>
      <w:sz w:val="24"/>
      <w:szCs w:val="24"/>
      <w:lang w:eastAsia="en-AU"/>
    </w:rPr>
  </w:style>
  <w:style w:type="character" w:customStyle="1" w:styleId="OutlineNumbered1Char">
    <w:name w:val="Outline Numbered 1 Char"/>
    <w:basedOn w:val="DefaultParagraphFont"/>
    <w:link w:val="OutlineNumbered1"/>
    <w:rsid w:val="00BF5B26"/>
    <w:rPr>
      <w:rFonts w:ascii="Calibri" w:eastAsia="Times New Roman" w:hAnsi="Calibri" w:cs="Calibri"/>
      <w:sz w:val="24"/>
      <w:szCs w:val="24"/>
      <w:lang w:eastAsia="en-AU"/>
    </w:rPr>
  </w:style>
  <w:style w:type="paragraph" w:customStyle="1" w:styleId="OutlineNumbered2">
    <w:name w:val="Outline Numbered 2"/>
    <w:basedOn w:val="Normal"/>
    <w:link w:val="OutlineNumbered2Char"/>
    <w:rsid w:val="00BF5B26"/>
    <w:pPr>
      <w:numPr>
        <w:ilvl w:val="1"/>
        <w:numId w:val="20"/>
      </w:numPr>
      <w:spacing w:before="0" w:after="240"/>
    </w:pPr>
    <w:rPr>
      <w:rFonts w:ascii="Calibri" w:eastAsia="Times New Roman" w:hAnsi="Calibri" w:cs="Calibri"/>
      <w:sz w:val="24"/>
      <w:szCs w:val="24"/>
      <w:lang w:eastAsia="en-AU"/>
    </w:rPr>
  </w:style>
  <w:style w:type="paragraph" w:customStyle="1" w:styleId="OutlineNumbered3">
    <w:name w:val="Outline Numbered 3"/>
    <w:basedOn w:val="Normal"/>
    <w:link w:val="OutlineNumbered3Char"/>
    <w:rsid w:val="00BF5B26"/>
    <w:pPr>
      <w:numPr>
        <w:ilvl w:val="2"/>
        <w:numId w:val="20"/>
      </w:numPr>
      <w:spacing w:before="0" w:after="240"/>
    </w:pPr>
    <w:rPr>
      <w:rFonts w:ascii="Calibri" w:eastAsia="Times New Roman" w:hAnsi="Calibri" w:cs="Calibri"/>
      <w:sz w:val="24"/>
      <w:szCs w:val="24"/>
      <w:lang w:eastAsia="en-AU"/>
    </w:rPr>
  </w:style>
  <w:style w:type="character" w:customStyle="1" w:styleId="OutlineNumbered2Char">
    <w:name w:val="Outline Numbered 2 Char"/>
    <w:basedOn w:val="DefaultParagraphFont"/>
    <w:link w:val="OutlineNumbered2"/>
    <w:rsid w:val="005826BB"/>
    <w:rPr>
      <w:rFonts w:ascii="Calibri" w:eastAsia="Times New Roman" w:hAnsi="Calibri" w:cs="Calibri"/>
      <w:sz w:val="24"/>
      <w:szCs w:val="24"/>
      <w:lang w:eastAsia="en-AU"/>
    </w:rPr>
  </w:style>
  <w:style w:type="character" w:customStyle="1" w:styleId="OutlineNumbered3Char">
    <w:name w:val="Outline Numbered 3 Char"/>
    <w:basedOn w:val="DefaultParagraphFont"/>
    <w:link w:val="OutlineNumbered3"/>
    <w:rsid w:val="005826BB"/>
    <w:rPr>
      <w:rFonts w:ascii="Calibri" w:eastAsia="Times New Roman" w:hAnsi="Calibri"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306">
      <w:bodyDiv w:val="1"/>
      <w:marLeft w:val="0"/>
      <w:marRight w:val="0"/>
      <w:marTop w:val="0"/>
      <w:marBottom w:val="0"/>
      <w:divBdr>
        <w:top w:val="none" w:sz="0" w:space="0" w:color="auto"/>
        <w:left w:val="none" w:sz="0" w:space="0" w:color="auto"/>
        <w:bottom w:val="none" w:sz="0" w:space="0" w:color="auto"/>
        <w:right w:val="none" w:sz="0" w:space="0" w:color="auto"/>
      </w:divBdr>
    </w:div>
    <w:div w:id="270746285">
      <w:bodyDiv w:val="1"/>
      <w:marLeft w:val="0"/>
      <w:marRight w:val="0"/>
      <w:marTop w:val="0"/>
      <w:marBottom w:val="0"/>
      <w:divBdr>
        <w:top w:val="none" w:sz="0" w:space="0" w:color="auto"/>
        <w:left w:val="none" w:sz="0" w:space="0" w:color="auto"/>
        <w:bottom w:val="none" w:sz="0" w:space="0" w:color="auto"/>
        <w:right w:val="none" w:sz="0" w:space="0" w:color="auto"/>
      </w:divBdr>
    </w:div>
    <w:div w:id="366758446">
      <w:bodyDiv w:val="1"/>
      <w:marLeft w:val="0"/>
      <w:marRight w:val="0"/>
      <w:marTop w:val="0"/>
      <w:marBottom w:val="0"/>
      <w:divBdr>
        <w:top w:val="none" w:sz="0" w:space="0" w:color="auto"/>
        <w:left w:val="none" w:sz="0" w:space="0" w:color="auto"/>
        <w:bottom w:val="none" w:sz="0" w:space="0" w:color="auto"/>
        <w:right w:val="none" w:sz="0" w:space="0" w:color="auto"/>
      </w:divBdr>
    </w:div>
    <w:div w:id="402533150">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007094242">
      <w:bodyDiv w:val="1"/>
      <w:marLeft w:val="0"/>
      <w:marRight w:val="0"/>
      <w:marTop w:val="0"/>
      <w:marBottom w:val="0"/>
      <w:divBdr>
        <w:top w:val="none" w:sz="0" w:space="0" w:color="auto"/>
        <w:left w:val="none" w:sz="0" w:space="0" w:color="auto"/>
        <w:bottom w:val="none" w:sz="0" w:space="0" w:color="auto"/>
        <w:right w:val="none" w:sz="0" w:space="0" w:color="auto"/>
      </w:divBdr>
      <w:divsChild>
        <w:div w:id="1598369623">
          <w:marLeft w:val="0"/>
          <w:marRight w:val="0"/>
          <w:marTop w:val="0"/>
          <w:marBottom w:val="0"/>
          <w:divBdr>
            <w:top w:val="none" w:sz="0" w:space="0" w:color="auto"/>
            <w:left w:val="none" w:sz="0" w:space="0" w:color="auto"/>
            <w:bottom w:val="none" w:sz="0" w:space="0" w:color="auto"/>
            <w:right w:val="none" w:sz="0" w:space="0" w:color="auto"/>
          </w:divBdr>
          <w:divsChild>
            <w:div w:id="348871292">
              <w:marLeft w:val="0"/>
              <w:marRight w:val="0"/>
              <w:marTop w:val="0"/>
              <w:marBottom w:val="0"/>
              <w:divBdr>
                <w:top w:val="none" w:sz="0" w:space="0" w:color="auto"/>
                <w:left w:val="none" w:sz="0" w:space="0" w:color="auto"/>
                <w:bottom w:val="none" w:sz="0" w:space="0" w:color="auto"/>
                <w:right w:val="none" w:sz="0" w:space="0" w:color="auto"/>
              </w:divBdr>
              <w:divsChild>
                <w:div w:id="1774591799">
                  <w:marLeft w:val="0"/>
                  <w:marRight w:val="0"/>
                  <w:marTop w:val="195"/>
                  <w:marBottom w:val="0"/>
                  <w:divBdr>
                    <w:top w:val="none" w:sz="0" w:space="0" w:color="auto"/>
                    <w:left w:val="none" w:sz="0" w:space="0" w:color="auto"/>
                    <w:bottom w:val="none" w:sz="0" w:space="0" w:color="auto"/>
                    <w:right w:val="none" w:sz="0" w:space="0" w:color="auto"/>
                  </w:divBdr>
                  <w:divsChild>
                    <w:div w:id="533614040">
                      <w:marLeft w:val="0"/>
                      <w:marRight w:val="0"/>
                      <w:marTop w:val="0"/>
                      <w:marBottom w:val="0"/>
                      <w:divBdr>
                        <w:top w:val="none" w:sz="0" w:space="0" w:color="auto"/>
                        <w:left w:val="none" w:sz="0" w:space="0" w:color="auto"/>
                        <w:bottom w:val="none" w:sz="0" w:space="0" w:color="auto"/>
                        <w:right w:val="none" w:sz="0" w:space="0" w:color="auto"/>
                      </w:divBdr>
                      <w:divsChild>
                        <w:div w:id="1957055654">
                          <w:marLeft w:val="0"/>
                          <w:marRight w:val="0"/>
                          <w:marTop w:val="0"/>
                          <w:marBottom w:val="0"/>
                          <w:divBdr>
                            <w:top w:val="none" w:sz="0" w:space="0" w:color="auto"/>
                            <w:left w:val="none" w:sz="0" w:space="0" w:color="auto"/>
                            <w:bottom w:val="none" w:sz="0" w:space="0" w:color="auto"/>
                            <w:right w:val="none" w:sz="0" w:space="0" w:color="auto"/>
                          </w:divBdr>
                          <w:divsChild>
                            <w:div w:id="137259662">
                              <w:marLeft w:val="0"/>
                              <w:marRight w:val="0"/>
                              <w:marTop w:val="0"/>
                              <w:marBottom w:val="0"/>
                              <w:divBdr>
                                <w:top w:val="none" w:sz="0" w:space="0" w:color="auto"/>
                                <w:left w:val="none" w:sz="0" w:space="0" w:color="auto"/>
                                <w:bottom w:val="none" w:sz="0" w:space="0" w:color="auto"/>
                                <w:right w:val="none" w:sz="0" w:space="0" w:color="auto"/>
                              </w:divBdr>
                              <w:divsChild>
                                <w:div w:id="1494296148">
                                  <w:marLeft w:val="0"/>
                                  <w:marRight w:val="0"/>
                                  <w:marTop w:val="0"/>
                                  <w:marBottom w:val="0"/>
                                  <w:divBdr>
                                    <w:top w:val="none" w:sz="0" w:space="0" w:color="auto"/>
                                    <w:left w:val="none" w:sz="0" w:space="0" w:color="auto"/>
                                    <w:bottom w:val="none" w:sz="0" w:space="0" w:color="auto"/>
                                    <w:right w:val="none" w:sz="0" w:space="0" w:color="auto"/>
                                  </w:divBdr>
                                  <w:divsChild>
                                    <w:div w:id="1807771174">
                                      <w:marLeft w:val="0"/>
                                      <w:marRight w:val="0"/>
                                      <w:marTop w:val="0"/>
                                      <w:marBottom w:val="0"/>
                                      <w:divBdr>
                                        <w:top w:val="none" w:sz="0" w:space="0" w:color="auto"/>
                                        <w:left w:val="none" w:sz="0" w:space="0" w:color="auto"/>
                                        <w:bottom w:val="none" w:sz="0" w:space="0" w:color="auto"/>
                                        <w:right w:val="none" w:sz="0" w:space="0" w:color="auto"/>
                                      </w:divBdr>
                                      <w:divsChild>
                                        <w:div w:id="304119206">
                                          <w:marLeft w:val="0"/>
                                          <w:marRight w:val="0"/>
                                          <w:marTop w:val="90"/>
                                          <w:marBottom w:val="0"/>
                                          <w:divBdr>
                                            <w:top w:val="none" w:sz="0" w:space="0" w:color="auto"/>
                                            <w:left w:val="none" w:sz="0" w:space="0" w:color="auto"/>
                                            <w:bottom w:val="none" w:sz="0" w:space="0" w:color="auto"/>
                                            <w:right w:val="none" w:sz="0" w:space="0" w:color="auto"/>
                                          </w:divBdr>
                                          <w:divsChild>
                                            <w:div w:id="1364399122">
                                              <w:marLeft w:val="0"/>
                                              <w:marRight w:val="0"/>
                                              <w:marTop w:val="0"/>
                                              <w:marBottom w:val="0"/>
                                              <w:divBdr>
                                                <w:top w:val="none" w:sz="0" w:space="0" w:color="auto"/>
                                                <w:left w:val="none" w:sz="0" w:space="0" w:color="auto"/>
                                                <w:bottom w:val="none" w:sz="0" w:space="0" w:color="auto"/>
                                                <w:right w:val="none" w:sz="0" w:space="0" w:color="auto"/>
                                              </w:divBdr>
                                              <w:divsChild>
                                                <w:div w:id="1216576903">
                                                  <w:marLeft w:val="0"/>
                                                  <w:marRight w:val="0"/>
                                                  <w:marTop w:val="0"/>
                                                  <w:marBottom w:val="0"/>
                                                  <w:divBdr>
                                                    <w:top w:val="none" w:sz="0" w:space="0" w:color="auto"/>
                                                    <w:left w:val="none" w:sz="0" w:space="0" w:color="auto"/>
                                                    <w:bottom w:val="none" w:sz="0" w:space="0" w:color="auto"/>
                                                    <w:right w:val="none" w:sz="0" w:space="0" w:color="auto"/>
                                                  </w:divBdr>
                                                  <w:divsChild>
                                                    <w:div w:id="1545023750">
                                                      <w:marLeft w:val="0"/>
                                                      <w:marRight w:val="0"/>
                                                      <w:marTop w:val="0"/>
                                                      <w:marBottom w:val="180"/>
                                                      <w:divBdr>
                                                        <w:top w:val="none" w:sz="0" w:space="0" w:color="auto"/>
                                                        <w:left w:val="none" w:sz="0" w:space="0" w:color="auto"/>
                                                        <w:bottom w:val="none" w:sz="0" w:space="0" w:color="auto"/>
                                                        <w:right w:val="none" w:sz="0" w:space="0" w:color="auto"/>
                                                      </w:divBdr>
                                                      <w:divsChild>
                                                        <w:div w:id="216279973">
                                                          <w:marLeft w:val="0"/>
                                                          <w:marRight w:val="0"/>
                                                          <w:marTop w:val="0"/>
                                                          <w:marBottom w:val="0"/>
                                                          <w:divBdr>
                                                            <w:top w:val="none" w:sz="0" w:space="0" w:color="auto"/>
                                                            <w:left w:val="none" w:sz="0" w:space="0" w:color="auto"/>
                                                            <w:bottom w:val="none" w:sz="0" w:space="0" w:color="auto"/>
                                                            <w:right w:val="none" w:sz="0" w:space="0" w:color="auto"/>
                                                          </w:divBdr>
                                                          <w:divsChild>
                                                            <w:div w:id="270090712">
                                                              <w:marLeft w:val="0"/>
                                                              <w:marRight w:val="0"/>
                                                              <w:marTop w:val="0"/>
                                                              <w:marBottom w:val="0"/>
                                                              <w:divBdr>
                                                                <w:top w:val="none" w:sz="0" w:space="0" w:color="auto"/>
                                                                <w:left w:val="none" w:sz="0" w:space="0" w:color="auto"/>
                                                                <w:bottom w:val="none" w:sz="0" w:space="0" w:color="auto"/>
                                                                <w:right w:val="none" w:sz="0" w:space="0" w:color="auto"/>
                                                              </w:divBdr>
                                                              <w:divsChild>
                                                                <w:div w:id="2036693244">
                                                                  <w:marLeft w:val="0"/>
                                                                  <w:marRight w:val="0"/>
                                                                  <w:marTop w:val="0"/>
                                                                  <w:marBottom w:val="0"/>
                                                                  <w:divBdr>
                                                                    <w:top w:val="none" w:sz="0" w:space="0" w:color="auto"/>
                                                                    <w:left w:val="none" w:sz="0" w:space="0" w:color="auto"/>
                                                                    <w:bottom w:val="none" w:sz="0" w:space="0" w:color="auto"/>
                                                                    <w:right w:val="none" w:sz="0" w:space="0" w:color="auto"/>
                                                                  </w:divBdr>
                                                                  <w:divsChild>
                                                                    <w:div w:id="1034230472">
                                                                      <w:marLeft w:val="0"/>
                                                                      <w:marRight w:val="0"/>
                                                                      <w:marTop w:val="0"/>
                                                                      <w:marBottom w:val="0"/>
                                                                      <w:divBdr>
                                                                        <w:top w:val="none" w:sz="0" w:space="0" w:color="auto"/>
                                                                        <w:left w:val="none" w:sz="0" w:space="0" w:color="auto"/>
                                                                        <w:bottom w:val="none" w:sz="0" w:space="0" w:color="auto"/>
                                                                        <w:right w:val="none" w:sz="0" w:space="0" w:color="auto"/>
                                                                      </w:divBdr>
                                                                      <w:divsChild>
                                                                        <w:div w:id="1025908162">
                                                                          <w:marLeft w:val="0"/>
                                                                          <w:marRight w:val="0"/>
                                                                          <w:marTop w:val="0"/>
                                                                          <w:marBottom w:val="0"/>
                                                                          <w:divBdr>
                                                                            <w:top w:val="none" w:sz="0" w:space="0" w:color="auto"/>
                                                                            <w:left w:val="none" w:sz="0" w:space="0" w:color="auto"/>
                                                                            <w:bottom w:val="none" w:sz="0" w:space="0" w:color="auto"/>
                                                                            <w:right w:val="none" w:sz="0" w:space="0" w:color="auto"/>
                                                                          </w:divBdr>
                                                                          <w:divsChild>
                                                                            <w:div w:id="6336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043875">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aren.payne@treasury.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inkedin.com/company-beta/18103811/" TargetMode="Externa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axboard.ideascale.com/" TargetMode="Externa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www.taxboard.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9f7bc583-7cbe-45b9-a2bd-8bbb6543b37e">
      <Value>18</Value>
    </TaxCatchAll>
    <_dlc_DocId xmlns="9f7bc583-7cbe-45b9-a2bd-8bbb6543b37e">2017RG-356-6634</_dlc_DocId>
    <_dlc_DocIdUrl xmlns="9f7bc583-7cbe-45b9-a2bd-8bbb6543b37e">
      <Url>http://tweb/sites/rg/bots/boards/_layouts/15/DocIdRedir.aspx?ID=2017RG-356-6634</Url>
      <Description>2017RG-356-6634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7573" ma:contentTypeDescription="" ma:contentTypeScope="" ma:versionID="8f8fa136585c535b07ed4130dc31abb4">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8ff628207e125b56f0638089dec2023"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4F58-9936-43C8-BCA0-589AD3836680}">
  <ds:schemaRefs>
    <ds:schemaRef ds:uri="http://purl.org/dc/terms/"/>
    <ds:schemaRef ds:uri="http://purl.org/dc/dcmitype/"/>
    <ds:schemaRef ds:uri="http://schemas.microsoft.com/sharepoint/v3"/>
    <ds:schemaRef ds:uri="http://purl.org/dc/elements/1.1/"/>
    <ds:schemaRef ds:uri="http://schemas.microsoft.com/office/infopath/2007/PartnerControls"/>
    <ds:schemaRef ds:uri="9f7bc583-7cbe-45b9-a2bd-8bbb6543b37e"/>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287CAF67-321B-43C7-956C-0B2FE36873D1}">
  <ds:schemaRefs>
    <ds:schemaRef ds:uri="office.server.policy"/>
  </ds:schemaRefs>
</ds:datastoreItem>
</file>

<file path=customXml/itemProps4.xml><?xml version="1.0" encoding="utf-8"?>
<ds:datastoreItem xmlns:ds="http://schemas.openxmlformats.org/officeDocument/2006/customXml" ds:itemID="{26490786-800F-4563-B1CA-C82F31A5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6.xml><?xml version="1.0" encoding="utf-8"?>
<ds:datastoreItem xmlns:ds="http://schemas.openxmlformats.org/officeDocument/2006/customXml" ds:itemID="{E6750FCF-3F4A-4587-AF46-4CA3B355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Lynda</dc:creator>
  <cp:lastModifiedBy>Moore, Ben</cp:lastModifiedBy>
  <cp:revision>6</cp:revision>
  <cp:lastPrinted>2017-12-12T21:50:00Z</cp:lastPrinted>
  <dcterms:created xsi:type="dcterms:W3CDTF">2017-12-18T23:57:00Z</dcterms:created>
  <dcterms:modified xsi:type="dcterms:W3CDTF">2018-03-15T23:17:00Z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29cb9f5c-1856-42c7-a1bc-7757eff0888c</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{29cb9f5c-1856-42c7-a1bc-7757eff0888c}</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R0001529893</vt:lpwstr>
  </property>
  <property fmtid="{D5CDD505-2E9C-101B-9397-08002B2CF9AE}" pid="11" name="_NewReviewCycle">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2017-12-13T08:46:51.3680247+11:00</vt:lpwstr>
  </property>
  <property fmtid="{D5CDD505-2E9C-101B-9397-08002B2CF9AE}" pid="16" name="_AdHocReviewCycleID">
    <vt:i4>-823185347</vt:i4>
  </property>
  <property fmtid="{D5CDD505-2E9C-101B-9397-08002B2CF9AE}" pid="17" name="_EmailSubject">
    <vt:lpwstr>CEO Update - Draft for your review</vt:lpwstr>
  </property>
  <property fmtid="{D5CDD505-2E9C-101B-9397-08002B2CF9AE}" pid="18" name="_AuthorEmail">
    <vt:lpwstr>Karen.Payne@TREASURY.GOV.AU</vt:lpwstr>
  </property>
  <property fmtid="{D5CDD505-2E9C-101B-9397-08002B2CF9AE}" pid="19" name="_AuthorEmailDisplayName">
    <vt:lpwstr>Payne, Karen</vt:lpwstr>
  </property>
  <property fmtid="{D5CDD505-2E9C-101B-9397-08002B2CF9AE}" pid="20" name="_ReviewingToolsShownOnce">
    <vt:lpwstr/>
  </property>
</Properties>
</file>