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6"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
        <w:gridCol w:w="496"/>
        <w:gridCol w:w="58"/>
        <w:gridCol w:w="3568"/>
        <w:gridCol w:w="5829"/>
        <w:gridCol w:w="98"/>
        <w:gridCol w:w="476"/>
        <w:gridCol w:w="40"/>
      </w:tblGrid>
      <w:tr w:rsidR="00DE77A2" w14:paraId="2D29DC04" w14:textId="77777777" w:rsidTr="00EF48F9">
        <w:trPr>
          <w:gridBefore w:val="1"/>
          <w:wBefore w:w="96" w:type="dxa"/>
          <w:jc w:val="center"/>
        </w:trPr>
        <w:tc>
          <w:tcPr>
            <w:tcW w:w="10440" w:type="dxa"/>
            <w:gridSpan w:val="7"/>
            <w:tcMar>
              <w:left w:w="0" w:type="dxa"/>
              <w:right w:w="0" w:type="dxa"/>
            </w:tcMar>
          </w:tcPr>
          <w:p w14:paraId="2658866D" w14:textId="77777777" w:rsidR="00DE77A2" w:rsidRDefault="00DE77A2" w:rsidP="002256FA">
            <w:r>
              <w:rPr>
                <w:noProof/>
                <w:lang w:eastAsia="en-AU"/>
              </w:rPr>
              <w:drawing>
                <wp:inline distT="0" distB="0" distL="0" distR="0" wp14:anchorId="4E8C267F" wp14:editId="71ADC135">
                  <wp:extent cx="6686550" cy="151698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4">
                            <a:extLst>
                              <a:ext uri="{28A0092B-C50C-407E-A947-70E740481C1C}">
                                <a14:useLocalDpi xmlns:a14="http://schemas.microsoft.com/office/drawing/2010/main" val="0"/>
                              </a:ext>
                            </a:extLst>
                          </a:blip>
                          <a:stretch>
                            <a:fillRect/>
                          </a:stretch>
                        </pic:blipFill>
                        <pic:spPr>
                          <a:xfrm>
                            <a:off x="0" y="0"/>
                            <a:ext cx="6687509" cy="1517204"/>
                          </a:xfrm>
                          <a:prstGeom prst="rect">
                            <a:avLst/>
                          </a:prstGeom>
                        </pic:spPr>
                      </pic:pic>
                    </a:graphicData>
                  </a:graphic>
                </wp:inline>
              </w:drawing>
            </w:r>
          </w:p>
        </w:tc>
      </w:tr>
      <w:tr w:rsidR="00DE77A2" w:rsidRPr="00BD2FF3" w14:paraId="3FAA2B33" w14:textId="77777777" w:rsidTr="00EF48F9">
        <w:trPr>
          <w:gridBefore w:val="1"/>
          <w:wBefore w:w="96" w:type="dxa"/>
          <w:jc w:val="center"/>
        </w:trPr>
        <w:tc>
          <w:tcPr>
            <w:tcW w:w="677" w:type="dxa"/>
            <w:gridSpan w:val="2"/>
            <w:shd w:val="clear" w:color="auto" w:fill="1F497D" w:themeFill="text2"/>
          </w:tcPr>
          <w:p w14:paraId="39EA45D1" w14:textId="77777777" w:rsidR="00DE77A2" w:rsidRPr="00BD2FF3" w:rsidRDefault="00DE77A2" w:rsidP="002256FA"/>
        </w:tc>
        <w:tc>
          <w:tcPr>
            <w:tcW w:w="9123" w:type="dxa"/>
            <w:gridSpan w:val="3"/>
            <w:shd w:val="clear" w:color="auto" w:fill="1F497D" w:themeFill="text2"/>
          </w:tcPr>
          <w:p w14:paraId="6B853DE3" w14:textId="77777777" w:rsidR="00DE77A2" w:rsidRPr="002256FA" w:rsidRDefault="00DE77A2" w:rsidP="00656D54">
            <w:pPr>
              <w:pStyle w:val="Heading1"/>
              <w:outlineLvl w:val="0"/>
            </w:pPr>
            <w:r w:rsidRPr="002256FA">
              <w:t xml:space="preserve">CEO Update – </w:t>
            </w:r>
            <w:r w:rsidR="00656D54">
              <w:fldChar w:fldCharType="begin"/>
            </w:r>
            <w:r w:rsidR="00656D54">
              <w:instrText xml:space="preserve"> DATE  \@ "MMMM yyyy"  \* MERGEFORMAT </w:instrText>
            </w:r>
            <w:r w:rsidR="00656D54">
              <w:fldChar w:fldCharType="separate"/>
            </w:r>
            <w:r w:rsidR="00512F57">
              <w:rPr>
                <w:noProof/>
              </w:rPr>
              <w:t>October 2017</w:t>
            </w:r>
            <w:r w:rsidR="00656D54">
              <w:fldChar w:fldCharType="end"/>
            </w:r>
          </w:p>
        </w:tc>
        <w:tc>
          <w:tcPr>
            <w:tcW w:w="640" w:type="dxa"/>
            <w:gridSpan w:val="2"/>
            <w:shd w:val="clear" w:color="auto" w:fill="1F497D" w:themeFill="text2"/>
          </w:tcPr>
          <w:p w14:paraId="71A41AEF" w14:textId="77777777" w:rsidR="00DE77A2" w:rsidRPr="00BD2FF3" w:rsidRDefault="00DE77A2" w:rsidP="002256FA"/>
        </w:tc>
      </w:tr>
      <w:tr w:rsidR="00DE77A2" w:rsidRPr="00BD2FF3" w14:paraId="7F6A94CC" w14:textId="77777777" w:rsidTr="00EF48F9">
        <w:trPr>
          <w:gridBefore w:val="1"/>
          <w:wBefore w:w="96" w:type="dxa"/>
          <w:jc w:val="center"/>
        </w:trPr>
        <w:tc>
          <w:tcPr>
            <w:tcW w:w="677" w:type="dxa"/>
            <w:gridSpan w:val="2"/>
          </w:tcPr>
          <w:p w14:paraId="7E481E69" w14:textId="77777777" w:rsidR="00DE77A2" w:rsidRPr="00BD2FF3" w:rsidRDefault="00DE77A2" w:rsidP="002256FA"/>
        </w:tc>
        <w:tc>
          <w:tcPr>
            <w:tcW w:w="9123" w:type="dxa"/>
            <w:gridSpan w:val="3"/>
          </w:tcPr>
          <w:p w14:paraId="2FC3AF03" w14:textId="0927783E" w:rsidR="00DE77A2" w:rsidRPr="00BD2FF3" w:rsidRDefault="00512F57" w:rsidP="002256FA">
            <w:r>
              <w:br/>
            </w:r>
            <w:bookmarkStart w:id="0" w:name="_GoBack"/>
            <w:bookmarkEnd w:id="0"/>
            <w:r w:rsidR="00DE77A2" w:rsidRPr="00BD2FF3">
              <w:t xml:space="preserve">Dear </w:t>
            </w:r>
            <w:r w:rsidR="005B32D7" w:rsidRPr="002256FA">
              <w:t>Stakeholders</w:t>
            </w:r>
            <w:r w:rsidR="00DE77A2" w:rsidRPr="00BD2FF3">
              <w:t>,</w:t>
            </w:r>
          </w:p>
          <w:p w14:paraId="011DCC27" w14:textId="77777777" w:rsidR="00DE77A2" w:rsidRDefault="00546C73" w:rsidP="00546C73">
            <w:r>
              <w:t>On 14 September 2017</w:t>
            </w:r>
            <w:r w:rsidR="00B95A8D">
              <w:t>,</w:t>
            </w:r>
            <w:r>
              <w:t xml:space="preserve"> the </w:t>
            </w:r>
            <w:r w:rsidR="00B0301E">
              <w:t>B</w:t>
            </w:r>
            <w:r>
              <w:t xml:space="preserve">oard of Taxation held its seventh meeting for 2017 in </w:t>
            </w:r>
            <w:r w:rsidR="00B0301E">
              <w:t>Sydney</w:t>
            </w:r>
            <w:r>
              <w:t xml:space="preserve">. </w:t>
            </w:r>
            <w:r w:rsidR="006267A4">
              <w:t xml:space="preserve"> </w:t>
            </w:r>
            <w:r>
              <w:t>The focus of this meeting was to discuss the Board’s current projects</w:t>
            </w:r>
            <w:r w:rsidR="00B95A8D">
              <w:t xml:space="preserve"> and Stocktake of </w:t>
            </w:r>
            <w:r w:rsidR="00B0301E">
              <w:t>Board reports</w:t>
            </w:r>
            <w:r w:rsidR="002A2827">
              <w:t>, receive updates on recently allocated Sounding Board suggestions</w:t>
            </w:r>
            <w:r>
              <w:t xml:space="preserve"> and settle a future pipeline of projects.</w:t>
            </w:r>
          </w:p>
          <w:p w14:paraId="6F2DA146" w14:textId="77777777" w:rsidR="00B0301E" w:rsidRDefault="00B0301E" w:rsidP="00B0301E">
            <w:pPr>
              <w:spacing w:before="0" w:after="200" w:line="276" w:lineRule="auto"/>
            </w:pPr>
            <w:r>
              <w:t>The Board’s meeting was hosted by Deloitte</w:t>
            </w:r>
            <w:r w:rsidR="00EB42FC">
              <w:t xml:space="preserve"> in Sydney</w:t>
            </w:r>
            <w:r>
              <w:t>.  The Board held an information session and discussion over lunch with stakeholders</w:t>
            </w:r>
            <w:r w:rsidR="00B95A8D">
              <w:t xml:space="preserve"> and partners from Deloitte</w:t>
            </w:r>
            <w:r>
              <w:t>.  Thank you to everyone for attending and contributing your ideas and observations on how we can improve the tax system.</w:t>
            </w:r>
          </w:p>
          <w:p w14:paraId="4490E19B" w14:textId="77777777" w:rsidR="00546C73" w:rsidRPr="00BD2FF3" w:rsidRDefault="00546C73" w:rsidP="00546C73">
            <w:r>
              <w:t>Some additional detail on the progress of the Board’s work is set out below.</w:t>
            </w:r>
          </w:p>
        </w:tc>
        <w:tc>
          <w:tcPr>
            <w:tcW w:w="640" w:type="dxa"/>
            <w:gridSpan w:val="2"/>
          </w:tcPr>
          <w:p w14:paraId="052BE130" w14:textId="77777777" w:rsidR="00DE77A2" w:rsidRPr="00BD2FF3" w:rsidRDefault="00DE77A2" w:rsidP="002256FA"/>
        </w:tc>
      </w:tr>
      <w:tr w:rsidR="005B32D7" w:rsidRPr="005B32D7" w14:paraId="161AD50E" w14:textId="77777777" w:rsidTr="00EF48F9">
        <w:trPr>
          <w:gridBefore w:val="1"/>
          <w:wBefore w:w="96" w:type="dxa"/>
          <w:jc w:val="center"/>
        </w:trPr>
        <w:tc>
          <w:tcPr>
            <w:tcW w:w="677" w:type="dxa"/>
            <w:gridSpan w:val="2"/>
            <w:shd w:val="clear" w:color="auto" w:fill="auto"/>
          </w:tcPr>
          <w:p w14:paraId="36DB5650" w14:textId="77777777" w:rsidR="00DE77A2" w:rsidRPr="005B32D7" w:rsidRDefault="00DE77A2" w:rsidP="002256FA"/>
        </w:tc>
        <w:tc>
          <w:tcPr>
            <w:tcW w:w="9123" w:type="dxa"/>
            <w:gridSpan w:val="3"/>
            <w:shd w:val="clear" w:color="auto" w:fill="auto"/>
          </w:tcPr>
          <w:p w14:paraId="178B0CD0" w14:textId="77777777" w:rsidR="00DE77A2" w:rsidRPr="002256FA" w:rsidRDefault="00546C73" w:rsidP="00EF48F9">
            <w:pPr>
              <w:pStyle w:val="Heading2"/>
              <w:spacing w:after="0"/>
              <w:outlineLvl w:val="1"/>
            </w:pPr>
            <w:r>
              <w:t>Our current projects</w:t>
            </w:r>
          </w:p>
        </w:tc>
        <w:tc>
          <w:tcPr>
            <w:tcW w:w="640" w:type="dxa"/>
            <w:gridSpan w:val="2"/>
            <w:shd w:val="clear" w:color="auto" w:fill="auto"/>
          </w:tcPr>
          <w:p w14:paraId="4C77418E" w14:textId="77777777" w:rsidR="00DE77A2" w:rsidRPr="005B32D7" w:rsidRDefault="00DE77A2" w:rsidP="002256FA"/>
        </w:tc>
      </w:tr>
      <w:tr w:rsidR="00DE77A2" w:rsidRPr="00BD2FF3" w14:paraId="22E36E34" w14:textId="77777777" w:rsidTr="00EF48F9">
        <w:trPr>
          <w:gridBefore w:val="1"/>
          <w:wBefore w:w="96" w:type="dxa"/>
          <w:jc w:val="center"/>
        </w:trPr>
        <w:tc>
          <w:tcPr>
            <w:tcW w:w="677" w:type="dxa"/>
            <w:gridSpan w:val="2"/>
          </w:tcPr>
          <w:p w14:paraId="1E6C4637" w14:textId="77777777" w:rsidR="00DE77A2" w:rsidRPr="00BD2FF3" w:rsidRDefault="00DE77A2" w:rsidP="002256FA"/>
        </w:tc>
        <w:tc>
          <w:tcPr>
            <w:tcW w:w="9123" w:type="dxa"/>
            <w:gridSpan w:val="3"/>
          </w:tcPr>
          <w:p w14:paraId="3ACE7470" w14:textId="77777777" w:rsidR="00DE77A2" w:rsidRDefault="002A2827" w:rsidP="002A2827">
            <w:r>
              <w:t>A number of projects have now been finalised and submitted to the Government for consideration, including:</w:t>
            </w:r>
          </w:p>
          <w:p w14:paraId="1D55B8F8" w14:textId="77777777" w:rsidR="002A2827" w:rsidRDefault="002A2827" w:rsidP="002A2827">
            <w:pPr>
              <w:pStyle w:val="Bullet"/>
            </w:pPr>
            <w:r>
              <w:t>High wealth individuals and residency;</w:t>
            </w:r>
          </w:p>
          <w:p w14:paraId="7CA5B21F" w14:textId="77777777" w:rsidR="002A2827" w:rsidRDefault="002A2827" w:rsidP="002A2827">
            <w:pPr>
              <w:pStyle w:val="Bullet"/>
            </w:pPr>
            <w:r>
              <w:t>Definitions under State and Federal laws.</w:t>
            </w:r>
          </w:p>
          <w:p w14:paraId="7BAF39A8" w14:textId="77777777" w:rsidR="002A2827" w:rsidRPr="00BD2FF3" w:rsidRDefault="002A2827" w:rsidP="00936A8A">
            <w:pPr>
              <w:pStyle w:val="Bullet"/>
              <w:numPr>
                <w:ilvl w:val="0"/>
                <w:numId w:val="0"/>
              </w:numPr>
            </w:pPr>
            <w:r>
              <w:t xml:space="preserve">The Board is </w:t>
            </w:r>
            <w:r w:rsidR="00D9250B">
              <w:t xml:space="preserve">also </w:t>
            </w:r>
            <w:r>
              <w:t xml:space="preserve">progressing </w:t>
            </w:r>
            <w:r w:rsidR="00EB42FC">
              <w:t xml:space="preserve">a </w:t>
            </w:r>
            <w:r>
              <w:t>project on contingent consideration (</w:t>
            </w:r>
            <w:r w:rsidR="00EB42FC">
              <w:t>see</w:t>
            </w:r>
            <w:r>
              <w:t xml:space="preserve"> below)</w:t>
            </w:r>
            <w:r w:rsidR="00EB42FC">
              <w:t>.</w:t>
            </w:r>
          </w:p>
        </w:tc>
        <w:tc>
          <w:tcPr>
            <w:tcW w:w="640" w:type="dxa"/>
            <w:gridSpan w:val="2"/>
          </w:tcPr>
          <w:p w14:paraId="0C43DF8A" w14:textId="77777777" w:rsidR="00DE77A2" w:rsidRPr="00BD2FF3" w:rsidRDefault="00DE77A2" w:rsidP="002256FA"/>
        </w:tc>
      </w:tr>
      <w:tr w:rsidR="005B32D7" w:rsidRPr="005B32D7" w14:paraId="6B5FE549" w14:textId="77777777" w:rsidTr="00EF48F9">
        <w:trPr>
          <w:gridBefore w:val="1"/>
          <w:wBefore w:w="96" w:type="dxa"/>
          <w:jc w:val="center"/>
        </w:trPr>
        <w:tc>
          <w:tcPr>
            <w:tcW w:w="677" w:type="dxa"/>
            <w:gridSpan w:val="2"/>
            <w:shd w:val="clear" w:color="auto" w:fill="auto"/>
          </w:tcPr>
          <w:p w14:paraId="0A0775CB" w14:textId="77777777" w:rsidR="00DE77A2" w:rsidRPr="005B32D7" w:rsidRDefault="00DE77A2" w:rsidP="002256FA"/>
        </w:tc>
        <w:tc>
          <w:tcPr>
            <w:tcW w:w="9123" w:type="dxa"/>
            <w:gridSpan w:val="3"/>
            <w:shd w:val="clear" w:color="auto" w:fill="auto"/>
          </w:tcPr>
          <w:p w14:paraId="5B3EA95D" w14:textId="77777777" w:rsidR="00DE77A2" w:rsidRPr="005B32D7" w:rsidRDefault="00546C73" w:rsidP="00EF48F9">
            <w:pPr>
              <w:pStyle w:val="Heading2"/>
              <w:spacing w:after="0"/>
              <w:outlineLvl w:val="1"/>
            </w:pPr>
            <w:r>
              <w:t>Pipeline of possible projects</w:t>
            </w:r>
          </w:p>
        </w:tc>
        <w:tc>
          <w:tcPr>
            <w:tcW w:w="640" w:type="dxa"/>
            <w:gridSpan w:val="2"/>
            <w:shd w:val="clear" w:color="auto" w:fill="auto"/>
          </w:tcPr>
          <w:p w14:paraId="0DF42C9B" w14:textId="77777777" w:rsidR="00DE77A2" w:rsidRPr="005B32D7" w:rsidRDefault="00DE77A2" w:rsidP="002256FA"/>
        </w:tc>
      </w:tr>
      <w:tr w:rsidR="00DE77A2" w:rsidRPr="00BD2FF3" w14:paraId="194D8302" w14:textId="77777777" w:rsidTr="00EF48F9">
        <w:trPr>
          <w:gridBefore w:val="1"/>
          <w:wBefore w:w="96" w:type="dxa"/>
          <w:jc w:val="center"/>
        </w:trPr>
        <w:tc>
          <w:tcPr>
            <w:tcW w:w="677" w:type="dxa"/>
            <w:gridSpan w:val="2"/>
          </w:tcPr>
          <w:p w14:paraId="58EC1D73" w14:textId="77777777" w:rsidR="00DE77A2" w:rsidRPr="00BD2FF3" w:rsidRDefault="00DE77A2" w:rsidP="002256FA"/>
        </w:tc>
        <w:tc>
          <w:tcPr>
            <w:tcW w:w="9123" w:type="dxa"/>
            <w:gridSpan w:val="3"/>
          </w:tcPr>
          <w:p w14:paraId="7532AF3F" w14:textId="77777777" w:rsidR="00BD2FF3" w:rsidRDefault="002A2827" w:rsidP="002A2827">
            <w:r>
              <w:t>The Board discussed and prioritised a number of possible projects from its current pipeline</w:t>
            </w:r>
            <w:r w:rsidR="00EB42FC">
              <w:t xml:space="preserve"> and will prepar</w:t>
            </w:r>
            <w:r w:rsidR="00D9250B">
              <w:t>e</w:t>
            </w:r>
            <w:r w:rsidR="00EB42FC">
              <w:t xml:space="preserve"> a </w:t>
            </w:r>
            <w:r>
              <w:t xml:space="preserve">scoping document </w:t>
            </w:r>
            <w:r w:rsidR="00EB42FC">
              <w:t>for each project</w:t>
            </w:r>
            <w:r w:rsidR="00D9250B">
              <w:t xml:space="preserve"> – including for</w:t>
            </w:r>
            <w:r w:rsidR="00EB42FC">
              <w:t xml:space="preserve"> the purpose of assessing</w:t>
            </w:r>
            <w:r>
              <w:t xml:space="preserve"> the level of stakeholder and Government engagement with </w:t>
            </w:r>
            <w:r w:rsidR="00D9250B">
              <w:t xml:space="preserve">the project and </w:t>
            </w:r>
            <w:r>
              <w:t>topic.</w:t>
            </w:r>
            <w:r w:rsidR="00D9250B">
              <w:t xml:space="preserve">  These included:</w:t>
            </w:r>
          </w:p>
          <w:p w14:paraId="347A085C" w14:textId="77777777" w:rsidR="002A2827" w:rsidRDefault="001F55B5" w:rsidP="003A3ECE">
            <w:pPr>
              <w:pStyle w:val="ListParagraph"/>
              <w:numPr>
                <w:ilvl w:val="0"/>
                <w:numId w:val="13"/>
              </w:numPr>
            </w:pPr>
            <w:r>
              <w:t>Certain compliance issues relating to t</w:t>
            </w:r>
            <w:r w:rsidR="00D9250B">
              <w:t>ax</w:t>
            </w:r>
            <w:r>
              <w:t>ation</w:t>
            </w:r>
            <w:r w:rsidR="00D9250B">
              <w:t xml:space="preserve"> in Agriculture</w:t>
            </w:r>
            <w:r w:rsidR="004B43F2">
              <w:t>;</w:t>
            </w:r>
          </w:p>
          <w:p w14:paraId="489F90A8" w14:textId="77777777" w:rsidR="002A2827" w:rsidRDefault="001F55B5" w:rsidP="003A3ECE">
            <w:pPr>
              <w:pStyle w:val="Bullet"/>
              <w:numPr>
                <w:ilvl w:val="0"/>
                <w:numId w:val="13"/>
              </w:numPr>
            </w:pPr>
            <w:r>
              <w:t xml:space="preserve">New tax measures to promote </w:t>
            </w:r>
            <w:r w:rsidR="002A2827">
              <w:t xml:space="preserve"> innovation</w:t>
            </w:r>
            <w:r w:rsidR="004B43F2">
              <w:t>;</w:t>
            </w:r>
          </w:p>
          <w:p w14:paraId="2C7D51B4" w14:textId="77777777" w:rsidR="00D9250B" w:rsidRDefault="00D9250B" w:rsidP="003A3ECE">
            <w:pPr>
              <w:pStyle w:val="Bullet"/>
              <w:numPr>
                <w:ilvl w:val="0"/>
                <w:numId w:val="13"/>
              </w:numPr>
            </w:pPr>
            <w:r>
              <w:t>A comparison of the taxing rights for real property under Australia’s double tax agreements and domestic laws</w:t>
            </w:r>
            <w:r w:rsidR="004B43F2">
              <w:t>;</w:t>
            </w:r>
          </w:p>
          <w:p w14:paraId="5EB4239B" w14:textId="77777777" w:rsidR="00A53417" w:rsidRDefault="00A53417" w:rsidP="003A3ECE">
            <w:pPr>
              <w:pStyle w:val="Bullet"/>
              <w:numPr>
                <w:ilvl w:val="0"/>
                <w:numId w:val="13"/>
              </w:numPr>
            </w:pPr>
            <w:r>
              <w:t xml:space="preserve">A review of the Small Business </w:t>
            </w:r>
            <w:r w:rsidR="001F55B5">
              <w:t xml:space="preserve">tax </w:t>
            </w:r>
            <w:r>
              <w:t>concessions</w:t>
            </w:r>
            <w:r w:rsidR="004B43F2">
              <w:t>;</w:t>
            </w:r>
          </w:p>
          <w:p w14:paraId="3FC6DA82" w14:textId="77777777" w:rsidR="00A53417" w:rsidRPr="000C1DB1" w:rsidRDefault="00A53417" w:rsidP="003A3ECE">
            <w:pPr>
              <w:pStyle w:val="Bullet"/>
              <w:numPr>
                <w:ilvl w:val="0"/>
                <w:numId w:val="13"/>
              </w:numPr>
            </w:pPr>
            <w:r w:rsidRPr="000C1DB1">
              <w:t xml:space="preserve">A review of </w:t>
            </w:r>
            <w:r w:rsidR="001F55B5" w:rsidRPr="000C1DB1">
              <w:t>competitive neutrality within the tax system</w:t>
            </w:r>
            <w:r w:rsidR="004B43F2">
              <w:t>; and</w:t>
            </w:r>
          </w:p>
          <w:p w14:paraId="4AB987F7" w14:textId="77777777" w:rsidR="00D9250B" w:rsidRDefault="00D9250B" w:rsidP="003A3ECE">
            <w:pPr>
              <w:pStyle w:val="Bullet"/>
              <w:numPr>
                <w:ilvl w:val="0"/>
                <w:numId w:val="13"/>
              </w:numPr>
            </w:pPr>
            <w:r>
              <w:t>Tax settings and digital disruption</w:t>
            </w:r>
            <w:r w:rsidR="004B43F2">
              <w:t>.</w:t>
            </w:r>
          </w:p>
          <w:p w14:paraId="4AA1E74C" w14:textId="77777777" w:rsidR="00A53417" w:rsidRDefault="006272D6" w:rsidP="00B95A8D">
            <w:pPr>
              <w:pStyle w:val="Bullet"/>
              <w:numPr>
                <w:ilvl w:val="0"/>
                <w:numId w:val="0"/>
              </w:numPr>
            </w:pPr>
            <w:r>
              <w:t xml:space="preserve">Board Members and Working Groups are expected to </w:t>
            </w:r>
            <w:r w:rsidR="00D9250B">
              <w:t xml:space="preserve">discuss </w:t>
            </w:r>
            <w:r>
              <w:t>their scoping documents at the</w:t>
            </w:r>
            <w:r w:rsidR="00B95A8D">
              <w:t>ir</w:t>
            </w:r>
            <w:r>
              <w:t xml:space="preserve"> </w:t>
            </w:r>
            <w:r w:rsidR="00D9250B">
              <w:t>October</w:t>
            </w:r>
            <w:r w:rsidR="00B95A8D">
              <w:t xml:space="preserve"> </w:t>
            </w:r>
            <w:r>
              <w:t>Board meeting where projects and priorities will be discussed further.</w:t>
            </w:r>
            <w:r w:rsidR="00B95A8D">
              <w:t xml:space="preserve">  Please contact the Board if you would like to share your views or be involved</w:t>
            </w:r>
            <w:r w:rsidR="00936A8A">
              <w:t xml:space="preserve"> in any of these projects if they progress</w:t>
            </w:r>
            <w:r w:rsidR="00B95A8D">
              <w:t>.</w:t>
            </w:r>
          </w:p>
          <w:p w14:paraId="657703B0" w14:textId="77777777" w:rsidR="00512F57" w:rsidRDefault="00512F57" w:rsidP="00B95A8D">
            <w:pPr>
              <w:pStyle w:val="Bullet"/>
              <w:numPr>
                <w:ilvl w:val="0"/>
                <w:numId w:val="0"/>
              </w:numPr>
            </w:pPr>
          </w:p>
          <w:p w14:paraId="40331CE9" w14:textId="77777777" w:rsidR="003A3ECE" w:rsidRPr="00BD2FF3" w:rsidRDefault="003A3ECE" w:rsidP="00B95A8D">
            <w:pPr>
              <w:pStyle w:val="Bullet"/>
              <w:numPr>
                <w:ilvl w:val="0"/>
                <w:numId w:val="0"/>
              </w:numPr>
            </w:pPr>
          </w:p>
        </w:tc>
        <w:tc>
          <w:tcPr>
            <w:tcW w:w="640" w:type="dxa"/>
            <w:gridSpan w:val="2"/>
          </w:tcPr>
          <w:p w14:paraId="03E8E95F" w14:textId="77777777" w:rsidR="00DE77A2" w:rsidRPr="00BD2FF3" w:rsidRDefault="00DE77A2" w:rsidP="002256FA"/>
        </w:tc>
      </w:tr>
      <w:tr w:rsidR="005B32D7" w:rsidRPr="005B32D7" w14:paraId="1EF2D3B1" w14:textId="77777777" w:rsidTr="00EF48F9">
        <w:trPr>
          <w:gridBefore w:val="1"/>
          <w:wBefore w:w="96" w:type="dxa"/>
          <w:jc w:val="center"/>
        </w:trPr>
        <w:tc>
          <w:tcPr>
            <w:tcW w:w="677" w:type="dxa"/>
            <w:gridSpan w:val="2"/>
            <w:shd w:val="clear" w:color="auto" w:fill="auto"/>
          </w:tcPr>
          <w:p w14:paraId="4DA79E9F" w14:textId="77777777" w:rsidR="00DE77A2" w:rsidRPr="005B32D7" w:rsidRDefault="00DE77A2" w:rsidP="002256FA"/>
        </w:tc>
        <w:tc>
          <w:tcPr>
            <w:tcW w:w="9123" w:type="dxa"/>
            <w:gridSpan w:val="3"/>
            <w:shd w:val="clear" w:color="auto" w:fill="auto"/>
          </w:tcPr>
          <w:p w14:paraId="327D0AC3" w14:textId="77777777" w:rsidR="00DE77A2" w:rsidRPr="005B32D7" w:rsidRDefault="002A2827" w:rsidP="00512F57">
            <w:pPr>
              <w:pStyle w:val="Heading2"/>
              <w:spacing w:before="60" w:after="0"/>
              <w:outlineLvl w:val="1"/>
            </w:pPr>
            <w:r>
              <w:t>Contingent consideration</w:t>
            </w:r>
          </w:p>
        </w:tc>
        <w:tc>
          <w:tcPr>
            <w:tcW w:w="640" w:type="dxa"/>
            <w:gridSpan w:val="2"/>
            <w:shd w:val="clear" w:color="auto" w:fill="auto"/>
          </w:tcPr>
          <w:p w14:paraId="02129BE2" w14:textId="77777777" w:rsidR="00DE77A2" w:rsidRPr="005B32D7" w:rsidRDefault="00DE77A2" w:rsidP="002256FA"/>
        </w:tc>
      </w:tr>
      <w:tr w:rsidR="00DE77A2" w:rsidRPr="00BD2FF3" w14:paraId="6989C85C" w14:textId="77777777" w:rsidTr="00EF48F9">
        <w:trPr>
          <w:gridBefore w:val="1"/>
          <w:wBefore w:w="96" w:type="dxa"/>
          <w:jc w:val="center"/>
        </w:trPr>
        <w:tc>
          <w:tcPr>
            <w:tcW w:w="677" w:type="dxa"/>
            <w:gridSpan w:val="2"/>
          </w:tcPr>
          <w:p w14:paraId="64AFF5AF" w14:textId="77777777" w:rsidR="00DE77A2" w:rsidRPr="00BD2FF3" w:rsidRDefault="00DE77A2" w:rsidP="002256FA"/>
        </w:tc>
        <w:tc>
          <w:tcPr>
            <w:tcW w:w="9123" w:type="dxa"/>
            <w:gridSpan w:val="3"/>
          </w:tcPr>
          <w:p w14:paraId="4D7116E3" w14:textId="77777777" w:rsidR="00DE77A2" w:rsidRDefault="006272D6" w:rsidP="002256FA">
            <w:r>
              <w:t xml:space="preserve">Work continues of the contingent consideration project. Following consultations in Sydney, </w:t>
            </w:r>
            <w:r w:rsidR="00A85182">
              <w:t xml:space="preserve">Brisbane, </w:t>
            </w:r>
            <w:r>
              <w:t>Melbourne</w:t>
            </w:r>
            <w:r w:rsidR="00A85182">
              <w:t xml:space="preserve"> and Perth, the Working Group is now progressing to drafting of the report. </w:t>
            </w:r>
          </w:p>
          <w:p w14:paraId="0687D3EA" w14:textId="77777777" w:rsidR="00A85182" w:rsidRPr="00BD2FF3" w:rsidRDefault="00A85182" w:rsidP="00A85182">
            <w:r>
              <w:t xml:space="preserve">The review includes a post-implementation review of the earnout provisions introduced in 2016 as well as a review of the transactions that do not fall within these provisions. </w:t>
            </w:r>
          </w:p>
        </w:tc>
        <w:tc>
          <w:tcPr>
            <w:tcW w:w="640" w:type="dxa"/>
            <w:gridSpan w:val="2"/>
          </w:tcPr>
          <w:p w14:paraId="23D97C7F" w14:textId="77777777" w:rsidR="00DE77A2" w:rsidRPr="00BD2FF3" w:rsidRDefault="00DE77A2" w:rsidP="002256FA"/>
        </w:tc>
      </w:tr>
      <w:tr w:rsidR="005B32D7" w:rsidRPr="005B32D7" w14:paraId="7588DA90" w14:textId="77777777" w:rsidTr="00EF48F9">
        <w:trPr>
          <w:gridBefore w:val="1"/>
          <w:wBefore w:w="96" w:type="dxa"/>
          <w:jc w:val="center"/>
        </w:trPr>
        <w:tc>
          <w:tcPr>
            <w:tcW w:w="677" w:type="dxa"/>
            <w:gridSpan w:val="2"/>
            <w:shd w:val="clear" w:color="auto" w:fill="auto"/>
          </w:tcPr>
          <w:p w14:paraId="65D86269" w14:textId="77777777" w:rsidR="00DE77A2" w:rsidRPr="005B32D7" w:rsidRDefault="00DE77A2" w:rsidP="002256FA"/>
        </w:tc>
        <w:tc>
          <w:tcPr>
            <w:tcW w:w="9123" w:type="dxa"/>
            <w:gridSpan w:val="3"/>
            <w:shd w:val="clear" w:color="auto" w:fill="auto"/>
          </w:tcPr>
          <w:p w14:paraId="3944530D" w14:textId="77777777" w:rsidR="00DE77A2" w:rsidRPr="005B32D7" w:rsidRDefault="002A2827" w:rsidP="00512F57">
            <w:pPr>
              <w:pStyle w:val="Heading2"/>
              <w:spacing w:before="60" w:after="0"/>
              <w:outlineLvl w:val="1"/>
            </w:pPr>
            <w:r>
              <w:t>Black Economy Taskforce</w:t>
            </w:r>
          </w:p>
        </w:tc>
        <w:tc>
          <w:tcPr>
            <w:tcW w:w="640" w:type="dxa"/>
            <w:gridSpan w:val="2"/>
            <w:shd w:val="clear" w:color="auto" w:fill="auto"/>
          </w:tcPr>
          <w:p w14:paraId="0D32EBB3" w14:textId="77777777" w:rsidR="00DE77A2" w:rsidRPr="005B32D7" w:rsidRDefault="00DE77A2" w:rsidP="002256FA"/>
        </w:tc>
      </w:tr>
      <w:tr w:rsidR="00DE77A2" w:rsidRPr="00BD2FF3" w14:paraId="6A53C023" w14:textId="77777777" w:rsidTr="00EF48F9">
        <w:trPr>
          <w:gridBefore w:val="1"/>
          <w:wBefore w:w="96" w:type="dxa"/>
          <w:jc w:val="center"/>
        </w:trPr>
        <w:tc>
          <w:tcPr>
            <w:tcW w:w="677" w:type="dxa"/>
            <w:gridSpan w:val="2"/>
          </w:tcPr>
          <w:p w14:paraId="1E35AA6B" w14:textId="77777777" w:rsidR="00DE77A2" w:rsidRPr="00BD2FF3" w:rsidRDefault="00DE77A2" w:rsidP="002256FA"/>
        </w:tc>
        <w:tc>
          <w:tcPr>
            <w:tcW w:w="9123" w:type="dxa"/>
            <w:gridSpan w:val="3"/>
          </w:tcPr>
          <w:p w14:paraId="0BD79820" w14:textId="77777777" w:rsidR="00A85182" w:rsidRPr="00BD2FF3" w:rsidRDefault="00A85182" w:rsidP="00B37A1B">
            <w:r>
              <w:t>The Board received an update from the Chair on the ongoing work of the Black Economy Taskforce (the Taskforce).  The Taskforce is in the process of preparing the final report</w:t>
            </w:r>
            <w:r w:rsidR="00B37A1B">
              <w:t xml:space="preserve">.  The due date for the report is the end of October </w:t>
            </w:r>
            <w:r w:rsidR="00EF48F9">
              <w:t>2017.</w:t>
            </w:r>
          </w:p>
        </w:tc>
        <w:tc>
          <w:tcPr>
            <w:tcW w:w="640" w:type="dxa"/>
            <w:gridSpan w:val="2"/>
          </w:tcPr>
          <w:p w14:paraId="68F3C183" w14:textId="77777777" w:rsidR="00DE77A2" w:rsidRPr="00BD2FF3" w:rsidRDefault="00DE77A2" w:rsidP="002256FA"/>
        </w:tc>
      </w:tr>
      <w:tr w:rsidR="005B32D7" w:rsidRPr="005B32D7" w14:paraId="5EA5E412" w14:textId="77777777" w:rsidTr="00EF48F9">
        <w:trPr>
          <w:gridBefore w:val="1"/>
          <w:wBefore w:w="96" w:type="dxa"/>
          <w:jc w:val="center"/>
        </w:trPr>
        <w:tc>
          <w:tcPr>
            <w:tcW w:w="677" w:type="dxa"/>
            <w:gridSpan w:val="2"/>
            <w:shd w:val="clear" w:color="auto" w:fill="auto"/>
          </w:tcPr>
          <w:p w14:paraId="29FF0117" w14:textId="77777777" w:rsidR="00DE77A2" w:rsidRPr="005B32D7" w:rsidRDefault="00DE77A2" w:rsidP="002256FA"/>
        </w:tc>
        <w:tc>
          <w:tcPr>
            <w:tcW w:w="9123" w:type="dxa"/>
            <w:gridSpan w:val="3"/>
            <w:shd w:val="clear" w:color="auto" w:fill="auto"/>
          </w:tcPr>
          <w:p w14:paraId="36D9AB4B" w14:textId="77777777" w:rsidR="00DE77A2" w:rsidRPr="005B32D7" w:rsidRDefault="002A2827" w:rsidP="00512F57">
            <w:pPr>
              <w:pStyle w:val="Heading2"/>
              <w:spacing w:before="60" w:after="0"/>
              <w:outlineLvl w:val="1"/>
            </w:pPr>
            <w:r>
              <w:t>Sounding Board</w:t>
            </w:r>
          </w:p>
        </w:tc>
        <w:tc>
          <w:tcPr>
            <w:tcW w:w="640" w:type="dxa"/>
            <w:gridSpan w:val="2"/>
            <w:shd w:val="clear" w:color="auto" w:fill="auto"/>
          </w:tcPr>
          <w:p w14:paraId="578D3137" w14:textId="77777777" w:rsidR="00DE77A2" w:rsidRPr="005B32D7" w:rsidRDefault="00DE77A2" w:rsidP="002256FA"/>
        </w:tc>
      </w:tr>
      <w:tr w:rsidR="00DE77A2" w:rsidRPr="00BD2FF3" w14:paraId="15CC3275" w14:textId="77777777" w:rsidTr="00EF48F9">
        <w:trPr>
          <w:gridBefore w:val="1"/>
          <w:wBefore w:w="96" w:type="dxa"/>
          <w:jc w:val="center"/>
        </w:trPr>
        <w:tc>
          <w:tcPr>
            <w:tcW w:w="677" w:type="dxa"/>
            <w:gridSpan w:val="2"/>
          </w:tcPr>
          <w:p w14:paraId="1D2B5F42" w14:textId="77777777" w:rsidR="00DE77A2" w:rsidRPr="00BD2FF3" w:rsidRDefault="00DE77A2" w:rsidP="002256FA"/>
        </w:tc>
        <w:tc>
          <w:tcPr>
            <w:tcW w:w="9123" w:type="dxa"/>
            <w:gridSpan w:val="3"/>
          </w:tcPr>
          <w:p w14:paraId="23F21CDA" w14:textId="77777777" w:rsidR="00A85182" w:rsidRPr="00BD2FF3" w:rsidRDefault="00A85182" w:rsidP="00936A8A">
            <w:r>
              <w:t xml:space="preserve">The Board received an update on a number of </w:t>
            </w:r>
            <w:r w:rsidR="00EB42FC">
              <w:t xml:space="preserve">Sounding Board </w:t>
            </w:r>
            <w:r>
              <w:t>ideas that were allocated to Board Members for further investigation</w:t>
            </w:r>
            <w:r w:rsidR="00936A8A">
              <w:t xml:space="preserve"> – refer to the previous CEO Update for details</w:t>
            </w:r>
            <w:r>
              <w:t xml:space="preserve">. </w:t>
            </w:r>
            <w:r w:rsidR="00EB42FC">
              <w:t xml:space="preserve"> </w:t>
            </w:r>
            <w:r>
              <w:t xml:space="preserve">Please see the Sounding Board site for </w:t>
            </w:r>
            <w:r w:rsidR="00EB42FC">
              <w:t xml:space="preserve">an </w:t>
            </w:r>
            <w:r>
              <w:t>update</w:t>
            </w:r>
            <w:r w:rsidR="00EB42FC">
              <w:t xml:space="preserve"> on how ideas are progressing - </w:t>
            </w:r>
            <w:hyperlink r:id="rId15" w:history="1">
              <w:r w:rsidRPr="00C7693B">
                <w:rPr>
                  <w:rStyle w:val="Hyperlink"/>
                </w:rPr>
                <w:t>https://taxboard.ideascale.com/</w:t>
              </w:r>
            </w:hyperlink>
            <w:r>
              <w:t>.</w:t>
            </w:r>
            <w:r w:rsidR="00EB42FC">
              <w:t xml:space="preserve">  </w:t>
            </w:r>
            <w:r w:rsidR="006267A4">
              <w:br/>
            </w:r>
            <w:r w:rsidR="00EB42FC">
              <w:t>The Sounding Board continues to be a standing agenda item for every Board meeting.</w:t>
            </w:r>
          </w:p>
        </w:tc>
        <w:tc>
          <w:tcPr>
            <w:tcW w:w="640" w:type="dxa"/>
            <w:gridSpan w:val="2"/>
          </w:tcPr>
          <w:p w14:paraId="1A49A1AD" w14:textId="77777777" w:rsidR="00DE77A2" w:rsidRPr="00BD2FF3" w:rsidRDefault="00DE77A2" w:rsidP="002256FA"/>
        </w:tc>
      </w:tr>
      <w:tr w:rsidR="00B0301E" w:rsidRPr="003A3ECE" w14:paraId="74D1E283" w14:textId="77777777" w:rsidTr="00EF48F9">
        <w:trPr>
          <w:gridBefore w:val="1"/>
          <w:wBefore w:w="96" w:type="dxa"/>
          <w:jc w:val="center"/>
        </w:trPr>
        <w:tc>
          <w:tcPr>
            <w:tcW w:w="677" w:type="dxa"/>
            <w:gridSpan w:val="2"/>
          </w:tcPr>
          <w:p w14:paraId="55B8665A" w14:textId="77777777" w:rsidR="00B0301E" w:rsidRPr="00B37CE1" w:rsidRDefault="00B0301E" w:rsidP="002256FA">
            <w:pPr>
              <w:rPr>
                <w:sz w:val="40"/>
                <w:szCs w:val="40"/>
              </w:rPr>
            </w:pPr>
          </w:p>
        </w:tc>
        <w:tc>
          <w:tcPr>
            <w:tcW w:w="9123" w:type="dxa"/>
            <w:gridSpan w:val="3"/>
          </w:tcPr>
          <w:p w14:paraId="1E3B7F36" w14:textId="77777777" w:rsidR="00B0301E" w:rsidRPr="00B37CE1" w:rsidRDefault="00B0301E" w:rsidP="00512F57">
            <w:pPr>
              <w:pStyle w:val="Heading2"/>
              <w:spacing w:before="60"/>
              <w:outlineLvl w:val="1"/>
              <w:rPr>
                <w:szCs w:val="40"/>
              </w:rPr>
            </w:pPr>
            <w:r w:rsidRPr="00B37CE1">
              <w:rPr>
                <w:szCs w:val="40"/>
              </w:rPr>
              <w:t>Stocktake of Reports</w:t>
            </w:r>
          </w:p>
        </w:tc>
        <w:tc>
          <w:tcPr>
            <w:tcW w:w="640" w:type="dxa"/>
            <w:gridSpan w:val="2"/>
          </w:tcPr>
          <w:p w14:paraId="6B8BFF66" w14:textId="77777777" w:rsidR="00B0301E" w:rsidRPr="00B37CE1" w:rsidRDefault="00B0301E" w:rsidP="002256FA">
            <w:pPr>
              <w:rPr>
                <w:sz w:val="40"/>
                <w:szCs w:val="40"/>
              </w:rPr>
            </w:pPr>
          </w:p>
        </w:tc>
      </w:tr>
      <w:tr w:rsidR="00B0301E" w:rsidRPr="00BD2FF3" w14:paraId="150A9DD3" w14:textId="77777777" w:rsidTr="00EF48F9">
        <w:trPr>
          <w:gridBefore w:val="1"/>
          <w:wBefore w:w="96" w:type="dxa"/>
          <w:jc w:val="center"/>
        </w:trPr>
        <w:tc>
          <w:tcPr>
            <w:tcW w:w="677" w:type="dxa"/>
            <w:gridSpan w:val="2"/>
          </w:tcPr>
          <w:p w14:paraId="32EBC289" w14:textId="77777777" w:rsidR="00B0301E" w:rsidRPr="00BD2FF3" w:rsidRDefault="00B0301E" w:rsidP="002256FA"/>
        </w:tc>
        <w:tc>
          <w:tcPr>
            <w:tcW w:w="9123" w:type="dxa"/>
            <w:gridSpan w:val="3"/>
          </w:tcPr>
          <w:p w14:paraId="1992E0DB" w14:textId="77777777" w:rsidR="00C63642" w:rsidRDefault="00B0301E" w:rsidP="00B0301E">
            <w:r>
              <w:t xml:space="preserve">The Board </w:t>
            </w:r>
            <w:r w:rsidR="00C63642">
              <w:t xml:space="preserve">discussed a high level stocktake of its reports and recommendations and potential priorities for reform.  The Board will be </w:t>
            </w:r>
            <w:r>
              <w:t xml:space="preserve">seeking feedback from </w:t>
            </w:r>
            <w:r w:rsidR="00C63642">
              <w:t xml:space="preserve">stakeholders </w:t>
            </w:r>
            <w:r>
              <w:t xml:space="preserve">to understand which </w:t>
            </w:r>
            <w:r w:rsidR="003A3ECE">
              <w:t xml:space="preserve">(if any) </w:t>
            </w:r>
            <w:r>
              <w:t xml:space="preserve">of its outstanding reports and recommendations continues to be a priority for reform </w:t>
            </w:r>
            <w:r w:rsidR="00B95A8D">
              <w:t>for</w:t>
            </w:r>
            <w:r w:rsidR="00C63642">
              <w:t xml:space="preserve"> the tax and business community.</w:t>
            </w:r>
          </w:p>
          <w:p w14:paraId="32C8F84B" w14:textId="77777777" w:rsidR="00B0301E" w:rsidRDefault="00C63642" w:rsidP="00B0301E">
            <w:r>
              <w:t>There was a more detailed review and discussion of the board’s reports on consolidation, namely:</w:t>
            </w:r>
          </w:p>
          <w:p w14:paraId="62EA1AB4" w14:textId="77777777" w:rsidR="00C63642" w:rsidRDefault="00C63642" w:rsidP="00C63642">
            <w:pPr>
              <w:numPr>
                <w:ilvl w:val="0"/>
                <w:numId w:val="14"/>
              </w:numPr>
              <w:spacing w:before="0" w:after="200" w:line="276" w:lineRule="auto"/>
              <w:contextualSpacing/>
              <w:rPr>
                <w:rFonts w:eastAsia="Times New Roman"/>
              </w:rPr>
            </w:pPr>
            <w:r>
              <w:rPr>
                <w:rFonts w:eastAsia="Times New Roman"/>
                <w:lang w:val="en-US" w:eastAsia="en-AU"/>
              </w:rPr>
              <w:t>The 2012 Report - Post implementation review of certain aspects of the Consolidation tax cost setting process</w:t>
            </w:r>
          </w:p>
          <w:p w14:paraId="4A0F53D7" w14:textId="77777777" w:rsidR="00C63642" w:rsidRDefault="00C63642" w:rsidP="00C63642">
            <w:pPr>
              <w:numPr>
                <w:ilvl w:val="0"/>
                <w:numId w:val="14"/>
              </w:numPr>
              <w:spacing w:before="0" w:after="200" w:line="276" w:lineRule="auto"/>
              <w:contextualSpacing/>
              <w:rPr>
                <w:rFonts w:eastAsia="Times New Roman"/>
                <w:lang w:val="en-US" w:eastAsia="en-AU"/>
              </w:rPr>
            </w:pPr>
            <w:r>
              <w:rPr>
                <w:rFonts w:eastAsia="Times New Roman"/>
                <w:lang w:val="en-US" w:eastAsia="en-AU"/>
              </w:rPr>
              <w:t>The 2013 Report - Post-Implementation Review into Certain Aspects of the Consolidation Regime</w:t>
            </w:r>
          </w:p>
          <w:p w14:paraId="491040E3" w14:textId="77777777" w:rsidR="00C63642" w:rsidRDefault="00C63642" w:rsidP="00C63642">
            <w:r>
              <w:t>Stakeholder feedback will be collated for the purpose of the Board’s report back to the Minister for Revenue and Financial Services.</w:t>
            </w:r>
          </w:p>
          <w:p w14:paraId="0F961FE1" w14:textId="77777777" w:rsidR="00B0301E" w:rsidRPr="006B1E71" w:rsidRDefault="00C63642" w:rsidP="003A3ECE">
            <w:pPr>
              <w:rPr>
                <w:sz w:val="36"/>
                <w:szCs w:val="36"/>
              </w:rPr>
            </w:pPr>
            <w:r>
              <w:t>This is an opportunity to identify outstanding priorities for the tax and business community</w:t>
            </w:r>
            <w:r w:rsidR="003A3ECE">
              <w:t xml:space="preserve"> and improve tax certainty surrounding these measures</w:t>
            </w:r>
            <w:r w:rsidR="006267A4">
              <w:t xml:space="preserve">.  </w:t>
            </w:r>
            <w:r>
              <w:t>Please contact the Board if you would like to contribute your views.</w:t>
            </w:r>
          </w:p>
        </w:tc>
        <w:tc>
          <w:tcPr>
            <w:tcW w:w="640" w:type="dxa"/>
            <w:gridSpan w:val="2"/>
          </w:tcPr>
          <w:p w14:paraId="0D51C54C" w14:textId="77777777" w:rsidR="00B0301E" w:rsidRPr="00BD2FF3" w:rsidRDefault="00B0301E" w:rsidP="002256FA"/>
        </w:tc>
      </w:tr>
      <w:tr w:rsidR="00A85182" w:rsidRPr="003A3ECE" w14:paraId="2955211C" w14:textId="77777777" w:rsidTr="00EF48F9">
        <w:trPr>
          <w:gridBefore w:val="1"/>
          <w:wBefore w:w="96" w:type="dxa"/>
          <w:jc w:val="center"/>
        </w:trPr>
        <w:tc>
          <w:tcPr>
            <w:tcW w:w="677" w:type="dxa"/>
            <w:gridSpan w:val="2"/>
          </w:tcPr>
          <w:p w14:paraId="53555761" w14:textId="77777777" w:rsidR="00A85182" w:rsidRPr="00B37CE1" w:rsidRDefault="00A85182" w:rsidP="002256FA">
            <w:pPr>
              <w:rPr>
                <w:sz w:val="40"/>
                <w:szCs w:val="40"/>
              </w:rPr>
            </w:pPr>
          </w:p>
        </w:tc>
        <w:tc>
          <w:tcPr>
            <w:tcW w:w="9123" w:type="dxa"/>
            <w:gridSpan w:val="3"/>
          </w:tcPr>
          <w:p w14:paraId="0C061921" w14:textId="77777777" w:rsidR="00A85182" w:rsidRPr="00B37CE1" w:rsidRDefault="00A85182" w:rsidP="00512F57">
            <w:pPr>
              <w:pStyle w:val="Heading2"/>
              <w:spacing w:before="60"/>
              <w:outlineLvl w:val="1"/>
              <w:rPr>
                <w:szCs w:val="40"/>
              </w:rPr>
            </w:pPr>
            <w:r w:rsidRPr="00B37CE1">
              <w:rPr>
                <w:szCs w:val="40"/>
              </w:rPr>
              <w:t>Tax Transparency Code</w:t>
            </w:r>
          </w:p>
        </w:tc>
        <w:tc>
          <w:tcPr>
            <w:tcW w:w="640" w:type="dxa"/>
            <w:gridSpan w:val="2"/>
          </w:tcPr>
          <w:p w14:paraId="60FEC840" w14:textId="77777777" w:rsidR="00A85182" w:rsidRPr="00B37CE1" w:rsidRDefault="00A85182" w:rsidP="002256FA">
            <w:pPr>
              <w:rPr>
                <w:sz w:val="40"/>
                <w:szCs w:val="40"/>
              </w:rPr>
            </w:pPr>
          </w:p>
        </w:tc>
      </w:tr>
      <w:tr w:rsidR="00A85182" w:rsidRPr="00BD2FF3" w14:paraId="1AB69C11" w14:textId="77777777" w:rsidTr="00EF48F9">
        <w:trPr>
          <w:gridBefore w:val="1"/>
          <w:wBefore w:w="96" w:type="dxa"/>
          <w:jc w:val="center"/>
        </w:trPr>
        <w:tc>
          <w:tcPr>
            <w:tcW w:w="677" w:type="dxa"/>
            <w:gridSpan w:val="2"/>
          </w:tcPr>
          <w:p w14:paraId="41E3EB31" w14:textId="77777777" w:rsidR="00A85182" w:rsidRPr="00BD2FF3" w:rsidRDefault="00A85182" w:rsidP="002256FA"/>
        </w:tc>
        <w:tc>
          <w:tcPr>
            <w:tcW w:w="9123" w:type="dxa"/>
            <w:gridSpan w:val="3"/>
          </w:tcPr>
          <w:p w14:paraId="5FC27D3B" w14:textId="77777777" w:rsidR="00A85182" w:rsidRPr="003A3ECE" w:rsidRDefault="00A85182" w:rsidP="00EF48F9">
            <w:pPr>
              <w:spacing w:before="0" w:after="200" w:line="276" w:lineRule="auto"/>
            </w:pPr>
            <w:r w:rsidRPr="003A3ECE">
              <w:t>The Board noted that 10</w:t>
            </w:r>
            <w:r w:rsidR="00EF48F9" w:rsidRPr="003A3ECE">
              <w:t>8</w:t>
            </w:r>
            <w:r w:rsidRPr="003A3ECE">
              <w:t xml:space="preserve"> organisations (including Government Business Enterprises and foreign companies) have now indicated their intention to adopt the Code – the set of principles and minimum standards to guide the disclosure of tax information by businesses.  The Board notes that </w:t>
            </w:r>
            <w:r w:rsidR="00EF48F9" w:rsidRPr="003A3ECE">
              <w:t xml:space="preserve">71 organisations have now published their transparency reports under the Code as at the time of the meeting. </w:t>
            </w:r>
            <w:r w:rsidR="003A3ECE">
              <w:t xml:space="preserve"> </w:t>
            </w:r>
            <w:r w:rsidRPr="003A3ECE">
              <w:t xml:space="preserve">A register of signatory organisations can be found at: </w:t>
            </w:r>
            <w:hyperlink r:id="rId16" w:history="1">
              <w:r w:rsidRPr="003A3ECE">
                <w:rPr>
                  <w:rStyle w:val="Hyperlink"/>
                </w:rPr>
                <w:t>http://taxboard.gov.au/current-activities/transparency-code-register/</w:t>
              </w:r>
            </w:hyperlink>
            <w:r w:rsidRPr="003A3ECE">
              <w:t xml:space="preserve">. </w:t>
            </w:r>
          </w:p>
          <w:p w14:paraId="434B36BF" w14:textId="77777777" w:rsidR="004F4771" w:rsidRDefault="004F4771" w:rsidP="00EF48F9">
            <w:r w:rsidRPr="003A3ECE">
              <w:t xml:space="preserve">The Board noted the recent Senate inquiry in to corporate tax avoidance had received testimony from a number of US technology companies to the effect that they will not publish or sign up to the code unless it is made mandatory.  </w:t>
            </w:r>
            <w:r w:rsidR="00B95A8D" w:rsidRPr="003A3ECE">
              <w:t xml:space="preserve">The Board discussed various alternatives to this ‘compliance’ approach. </w:t>
            </w:r>
          </w:p>
          <w:p w14:paraId="46F10A49" w14:textId="77777777" w:rsidR="00A85182" w:rsidRPr="003A3ECE" w:rsidRDefault="00A85182" w:rsidP="00B37CE1">
            <w:pPr>
              <w:keepNext/>
              <w:keepLines/>
            </w:pPr>
            <w:r w:rsidRPr="003A3ECE">
              <w:t xml:space="preserve">The Board encourages you to adopt the Code and support and assist your clients to adopt it.  It is as simple as sending us an email setting out your groups’ intentions!  For further information on the Code or to register your intention to adopt it, please contact the Board at </w:t>
            </w:r>
            <w:hyperlink r:id="rId17" w:history="1">
              <w:r w:rsidRPr="003A3ECE">
                <w:rPr>
                  <w:rStyle w:val="Hyperlink"/>
                </w:rPr>
                <w:t>taxboard@treasury.gov.au</w:t>
              </w:r>
            </w:hyperlink>
            <w:r w:rsidRPr="003A3ECE">
              <w:t>.</w:t>
            </w:r>
          </w:p>
        </w:tc>
        <w:tc>
          <w:tcPr>
            <w:tcW w:w="640" w:type="dxa"/>
            <w:gridSpan w:val="2"/>
          </w:tcPr>
          <w:p w14:paraId="28247C05" w14:textId="77777777" w:rsidR="00A85182" w:rsidRPr="00BD2FF3" w:rsidRDefault="00A85182" w:rsidP="002256FA"/>
        </w:tc>
      </w:tr>
      <w:tr w:rsidR="00A85182" w:rsidRPr="003A3ECE" w14:paraId="64AC759F" w14:textId="77777777" w:rsidTr="00EF48F9">
        <w:trPr>
          <w:gridBefore w:val="1"/>
          <w:wBefore w:w="96" w:type="dxa"/>
          <w:jc w:val="center"/>
        </w:trPr>
        <w:tc>
          <w:tcPr>
            <w:tcW w:w="677" w:type="dxa"/>
            <w:gridSpan w:val="2"/>
          </w:tcPr>
          <w:p w14:paraId="6A8E0041" w14:textId="77777777" w:rsidR="00A85182" w:rsidRPr="00B37CE1" w:rsidRDefault="00A85182" w:rsidP="002256FA">
            <w:pPr>
              <w:rPr>
                <w:sz w:val="40"/>
                <w:szCs w:val="40"/>
              </w:rPr>
            </w:pPr>
          </w:p>
        </w:tc>
        <w:tc>
          <w:tcPr>
            <w:tcW w:w="9123" w:type="dxa"/>
            <w:gridSpan w:val="3"/>
          </w:tcPr>
          <w:p w14:paraId="64ACB3C6" w14:textId="77777777" w:rsidR="00A85182" w:rsidRPr="00B37CE1" w:rsidRDefault="00A85182" w:rsidP="00EF48F9">
            <w:pPr>
              <w:pStyle w:val="Heading2"/>
              <w:outlineLvl w:val="1"/>
              <w:rPr>
                <w:szCs w:val="40"/>
              </w:rPr>
            </w:pPr>
            <w:r w:rsidRPr="00B37CE1">
              <w:rPr>
                <w:szCs w:val="40"/>
              </w:rPr>
              <w:t>Thank You</w:t>
            </w:r>
          </w:p>
        </w:tc>
        <w:tc>
          <w:tcPr>
            <w:tcW w:w="640" w:type="dxa"/>
            <w:gridSpan w:val="2"/>
          </w:tcPr>
          <w:p w14:paraId="50799DED" w14:textId="77777777" w:rsidR="00A85182" w:rsidRPr="00B37CE1" w:rsidRDefault="00A85182" w:rsidP="002256FA">
            <w:pPr>
              <w:rPr>
                <w:sz w:val="40"/>
                <w:szCs w:val="40"/>
              </w:rPr>
            </w:pPr>
          </w:p>
        </w:tc>
      </w:tr>
      <w:tr w:rsidR="00A85182" w:rsidRPr="00BD2FF3" w14:paraId="17A3CCF6" w14:textId="77777777" w:rsidTr="00EF48F9">
        <w:trPr>
          <w:gridBefore w:val="1"/>
          <w:wBefore w:w="96" w:type="dxa"/>
          <w:jc w:val="center"/>
        </w:trPr>
        <w:tc>
          <w:tcPr>
            <w:tcW w:w="677" w:type="dxa"/>
            <w:gridSpan w:val="2"/>
          </w:tcPr>
          <w:p w14:paraId="47293D83" w14:textId="77777777" w:rsidR="00A85182" w:rsidRPr="00BD2FF3" w:rsidRDefault="00A85182" w:rsidP="002256FA"/>
        </w:tc>
        <w:tc>
          <w:tcPr>
            <w:tcW w:w="9123" w:type="dxa"/>
            <w:gridSpan w:val="3"/>
          </w:tcPr>
          <w:p w14:paraId="1429A1E2" w14:textId="77777777" w:rsidR="00A85182" w:rsidRPr="00BD2FF3" w:rsidRDefault="00A85182" w:rsidP="00EF48F9">
            <w:pPr>
              <w:keepNext/>
              <w:keepLines/>
              <w:spacing w:before="0" w:after="200" w:line="276" w:lineRule="auto"/>
            </w:pPr>
            <w:r w:rsidRPr="00392A88">
              <w:t xml:space="preserve">The Board would also like to thank </w:t>
            </w:r>
            <w:r w:rsidR="00EF48F9">
              <w:t xml:space="preserve">Deloitte </w:t>
            </w:r>
            <w:r w:rsidRPr="00392A88">
              <w:t>for host</w:t>
            </w:r>
            <w:r>
              <w:t>ing</w:t>
            </w:r>
            <w:r w:rsidRPr="00392A88">
              <w:t xml:space="preserve"> the Board </w:t>
            </w:r>
            <w:r w:rsidR="00EF48F9">
              <w:t xml:space="preserve">and luncheon </w:t>
            </w:r>
            <w:r w:rsidRPr="00392A88">
              <w:t xml:space="preserve">in </w:t>
            </w:r>
            <w:r w:rsidR="00EF48F9">
              <w:t xml:space="preserve">Sydney </w:t>
            </w:r>
            <w:r w:rsidRPr="00392A88">
              <w:t>– the Board is most grateful.</w:t>
            </w:r>
            <w:r>
              <w:t xml:space="preserve">  The Board would like to thank all those who participated in the discussions over lunch.  </w:t>
            </w:r>
            <w:r w:rsidR="00EF48F9">
              <w:t xml:space="preserve">The next Board meeting will be held in Perth on 19 October 2017.  </w:t>
            </w:r>
          </w:p>
        </w:tc>
        <w:tc>
          <w:tcPr>
            <w:tcW w:w="640" w:type="dxa"/>
            <w:gridSpan w:val="2"/>
          </w:tcPr>
          <w:p w14:paraId="1C342608" w14:textId="77777777" w:rsidR="00A85182" w:rsidRPr="00BD2FF3" w:rsidRDefault="00A85182" w:rsidP="002256FA"/>
        </w:tc>
      </w:tr>
      <w:tr w:rsidR="00A85182" w:rsidRPr="00BD2FF3" w14:paraId="35E208BB" w14:textId="77777777" w:rsidTr="00EF48F9">
        <w:trPr>
          <w:gridBefore w:val="1"/>
          <w:wBefore w:w="96" w:type="dxa"/>
          <w:jc w:val="center"/>
        </w:trPr>
        <w:tc>
          <w:tcPr>
            <w:tcW w:w="677" w:type="dxa"/>
            <w:gridSpan w:val="2"/>
          </w:tcPr>
          <w:p w14:paraId="01FABADC" w14:textId="77777777" w:rsidR="00A85182" w:rsidRPr="00BD2FF3" w:rsidRDefault="00A85182" w:rsidP="002256FA"/>
        </w:tc>
        <w:tc>
          <w:tcPr>
            <w:tcW w:w="9123" w:type="dxa"/>
            <w:gridSpan w:val="3"/>
          </w:tcPr>
          <w:p w14:paraId="0ADF33F6" w14:textId="77777777" w:rsidR="00A85182" w:rsidRPr="00BD2FF3" w:rsidRDefault="00A85182" w:rsidP="004F5738">
            <w:pPr>
              <w:spacing w:before="0" w:after="200" w:line="276" w:lineRule="auto"/>
            </w:pPr>
            <w:r>
              <w:t xml:space="preserve">Don’t forget, the Board is live on LinkedIn! For those of you who are on LinkedIn, you can follow the Board’s page </w:t>
            </w:r>
            <w:hyperlink r:id="rId18" w:history="1">
              <w:r w:rsidRPr="00225535">
                <w:rPr>
                  <w:rStyle w:val="Hyperlink"/>
                </w:rPr>
                <w:t>here</w:t>
              </w:r>
            </w:hyperlink>
            <w:r>
              <w:t>.</w:t>
            </w:r>
          </w:p>
        </w:tc>
        <w:tc>
          <w:tcPr>
            <w:tcW w:w="640" w:type="dxa"/>
            <w:gridSpan w:val="2"/>
          </w:tcPr>
          <w:p w14:paraId="2FD91406" w14:textId="77777777" w:rsidR="00A85182" w:rsidRPr="00BD2FF3" w:rsidRDefault="00A85182" w:rsidP="002256FA"/>
        </w:tc>
      </w:tr>
      <w:tr w:rsidR="00BD2FF3" w:rsidRPr="00BD2FF3" w14:paraId="64038EB1" w14:textId="77777777" w:rsidTr="00EF48F9">
        <w:tblPrEx>
          <w:tblBorders>
            <w:bottom w:val="single" w:sz="4" w:space="0" w:color="BFBFBF" w:themeColor="background1" w:themeShade="BF"/>
          </w:tblBorders>
          <w:shd w:val="clear" w:color="auto" w:fill="CCDDF1"/>
        </w:tblPrEx>
        <w:trPr>
          <w:gridAfter w:val="1"/>
          <w:wAfter w:w="46" w:type="dxa"/>
          <w:jc w:val="center"/>
        </w:trPr>
        <w:tc>
          <w:tcPr>
            <w:tcW w:w="709" w:type="dxa"/>
            <w:gridSpan w:val="2"/>
            <w:tcBorders>
              <w:bottom w:val="single" w:sz="4" w:space="0" w:color="BFBFBF" w:themeColor="background1" w:themeShade="BF"/>
            </w:tcBorders>
            <w:shd w:val="clear" w:color="auto" w:fill="1F497D" w:themeFill="text2"/>
          </w:tcPr>
          <w:p w14:paraId="3B75C15E" w14:textId="77777777" w:rsidR="00B85592" w:rsidRPr="00BD2FF3" w:rsidRDefault="00B85592" w:rsidP="002256FA"/>
        </w:tc>
        <w:tc>
          <w:tcPr>
            <w:tcW w:w="4536" w:type="dxa"/>
            <w:gridSpan w:val="2"/>
            <w:tcBorders>
              <w:bottom w:val="single" w:sz="4" w:space="0" w:color="BFBFBF" w:themeColor="background1" w:themeShade="BF"/>
            </w:tcBorders>
            <w:shd w:val="clear" w:color="auto" w:fill="1F497D" w:themeFill="text2"/>
          </w:tcPr>
          <w:p w14:paraId="2F8803B3" w14:textId="77777777" w:rsidR="00B85592" w:rsidRPr="002256FA" w:rsidRDefault="00B85592" w:rsidP="002256FA">
            <w:pPr>
              <w:rPr>
                <w:color w:val="FFFFFF" w:themeColor="background1"/>
                <w:lang w:eastAsia="en-AU"/>
              </w:rPr>
            </w:pPr>
            <w:r w:rsidRPr="002256FA">
              <w:rPr>
                <w:color w:val="FFFFFF" w:themeColor="background1"/>
                <w:lang w:eastAsia="en-AU"/>
              </w:rPr>
              <w:t>Karen Payne</w:t>
            </w:r>
          </w:p>
          <w:p w14:paraId="1002A79F" w14:textId="77777777" w:rsidR="00B85592" w:rsidRPr="002256FA" w:rsidRDefault="00B85592" w:rsidP="002256FA">
            <w:pPr>
              <w:rPr>
                <w:color w:val="FFFFFF" w:themeColor="background1"/>
              </w:rPr>
            </w:pPr>
            <w:r w:rsidRPr="002256FA">
              <w:rPr>
                <w:color w:val="FFFFFF" w:themeColor="background1"/>
                <w:lang w:eastAsia="en-AU"/>
              </w:rPr>
              <w:t>Chief Executive Officer</w:t>
            </w:r>
            <w:r w:rsidRPr="002256FA">
              <w:rPr>
                <w:color w:val="FFFFFF" w:themeColor="background1"/>
                <w:lang w:eastAsia="en-AU"/>
              </w:rPr>
              <w:br/>
              <w:t>Board of Taxation</w:t>
            </w:r>
          </w:p>
        </w:tc>
        <w:tc>
          <w:tcPr>
            <w:tcW w:w="4536" w:type="dxa"/>
            <w:tcBorders>
              <w:bottom w:val="single" w:sz="4" w:space="0" w:color="BFBFBF" w:themeColor="background1" w:themeShade="BF"/>
            </w:tcBorders>
            <w:shd w:val="clear" w:color="auto" w:fill="1F497D" w:themeFill="text2"/>
          </w:tcPr>
          <w:p w14:paraId="50E53E13" w14:textId="77777777" w:rsidR="00BD2FF3" w:rsidRPr="002256FA" w:rsidRDefault="00BD2FF3" w:rsidP="002256FA">
            <w:pPr>
              <w:rPr>
                <w:color w:val="FFFFFF" w:themeColor="background1"/>
                <w:lang w:eastAsia="en-AU"/>
              </w:rPr>
            </w:pPr>
            <w:r w:rsidRPr="002256FA">
              <w:rPr>
                <w:color w:val="FFFFFF" w:themeColor="background1"/>
                <w:lang w:eastAsia="en-AU"/>
              </w:rPr>
              <w:t>phone:  +61 2 6263 2122</w:t>
            </w:r>
          </w:p>
          <w:p w14:paraId="058B4B67" w14:textId="77777777" w:rsidR="00BD2FF3" w:rsidRPr="002256FA" w:rsidRDefault="00BD2FF3" w:rsidP="002256FA">
            <w:pPr>
              <w:rPr>
                <w:color w:val="FFFFFF" w:themeColor="background1"/>
                <w:lang w:eastAsia="en-AU"/>
              </w:rPr>
            </w:pPr>
            <w:r w:rsidRPr="002256FA">
              <w:rPr>
                <w:color w:val="FFFFFF" w:themeColor="background1"/>
                <w:lang w:eastAsia="en-AU"/>
              </w:rPr>
              <w:t>mobile: 0405 843 880</w:t>
            </w:r>
          </w:p>
          <w:p w14:paraId="4BD8627E" w14:textId="77777777" w:rsidR="00BD2FF3" w:rsidRPr="002256FA" w:rsidRDefault="00BD2FF3" w:rsidP="002256FA">
            <w:pPr>
              <w:rPr>
                <w:color w:val="FFFFFF" w:themeColor="background1"/>
                <w:lang w:eastAsia="en-AU"/>
              </w:rPr>
            </w:pPr>
            <w:r w:rsidRPr="002256FA">
              <w:rPr>
                <w:color w:val="FFFFFF" w:themeColor="background1"/>
                <w:lang w:eastAsia="en-AU"/>
              </w:rPr>
              <w:t>fax: +61 2 6263 2617</w:t>
            </w:r>
          </w:p>
          <w:p w14:paraId="47475ED4" w14:textId="77777777" w:rsidR="00B85592" w:rsidRPr="002256FA" w:rsidRDefault="00BD2FF3" w:rsidP="002256FA">
            <w:pPr>
              <w:rPr>
                <w:color w:val="FFFFFF" w:themeColor="background1"/>
                <w:lang w:eastAsia="en-AU"/>
              </w:rPr>
            </w:pPr>
            <w:r w:rsidRPr="002256FA">
              <w:rPr>
                <w:color w:val="FFFFFF" w:themeColor="background1"/>
                <w:lang w:eastAsia="en-AU"/>
              </w:rPr>
              <w:t xml:space="preserve">email: </w:t>
            </w:r>
            <w:hyperlink r:id="rId19" w:history="1">
              <w:r w:rsidRPr="002256FA">
                <w:rPr>
                  <w:rStyle w:val="Hyperlink"/>
                  <w:color w:val="FFFFFF" w:themeColor="background1"/>
                  <w:lang w:eastAsia="en-AU"/>
                </w:rPr>
                <w:t>karen.payne@treasury.gov.au</w:t>
              </w:r>
            </w:hyperlink>
          </w:p>
        </w:tc>
        <w:tc>
          <w:tcPr>
            <w:tcW w:w="709" w:type="dxa"/>
            <w:gridSpan w:val="2"/>
            <w:tcBorders>
              <w:bottom w:val="single" w:sz="4" w:space="0" w:color="BFBFBF" w:themeColor="background1" w:themeShade="BF"/>
            </w:tcBorders>
            <w:shd w:val="clear" w:color="auto" w:fill="1F497D" w:themeFill="text2"/>
          </w:tcPr>
          <w:p w14:paraId="180DC9CD" w14:textId="77777777" w:rsidR="00B85592" w:rsidRPr="00BD2FF3" w:rsidRDefault="00B85592" w:rsidP="002256FA"/>
        </w:tc>
      </w:tr>
      <w:tr w:rsidR="00BD2FF3" w:rsidRPr="00BD2FF3" w14:paraId="3BAE0A5B" w14:textId="77777777" w:rsidTr="00EF48F9">
        <w:tblPrEx>
          <w:tblBorders>
            <w:bottom w:val="single" w:sz="4" w:space="0" w:color="BFBFBF" w:themeColor="background1" w:themeShade="BF"/>
          </w:tblBorders>
          <w:shd w:val="clear" w:color="auto" w:fill="CCDDF1"/>
        </w:tblPrEx>
        <w:trPr>
          <w:gridAfter w:val="1"/>
          <w:wAfter w:w="46" w:type="dxa"/>
          <w:jc w:val="center"/>
        </w:trPr>
        <w:tc>
          <w:tcPr>
            <w:tcW w:w="709" w:type="dxa"/>
            <w:gridSpan w:val="2"/>
            <w:tcBorders>
              <w:top w:val="single" w:sz="4" w:space="0" w:color="BFBFBF" w:themeColor="background1" w:themeShade="BF"/>
              <w:bottom w:val="nil"/>
            </w:tcBorders>
            <w:shd w:val="clear" w:color="auto" w:fill="1F497D" w:themeFill="text2"/>
          </w:tcPr>
          <w:p w14:paraId="7786189B" w14:textId="77777777" w:rsidR="00B85592" w:rsidRPr="00BD2FF3" w:rsidRDefault="00B85592" w:rsidP="002256FA"/>
        </w:tc>
        <w:tc>
          <w:tcPr>
            <w:tcW w:w="4536" w:type="dxa"/>
            <w:gridSpan w:val="2"/>
            <w:tcBorders>
              <w:top w:val="single" w:sz="4" w:space="0" w:color="BFBFBF" w:themeColor="background1" w:themeShade="BF"/>
              <w:bottom w:val="nil"/>
            </w:tcBorders>
            <w:shd w:val="clear" w:color="auto" w:fill="1F497D" w:themeFill="text2"/>
          </w:tcPr>
          <w:p w14:paraId="6E6AD942" w14:textId="77777777" w:rsidR="005B32D7" w:rsidRPr="002256FA" w:rsidRDefault="005B32D7" w:rsidP="002256FA">
            <w:pPr>
              <w:rPr>
                <w:color w:val="FFFFFF" w:themeColor="background1"/>
                <w:lang w:eastAsia="en-AU"/>
              </w:rPr>
            </w:pPr>
            <w:r w:rsidRPr="002256FA">
              <w:rPr>
                <w:color w:val="FFFFFF" w:themeColor="background1"/>
              </w:rPr>
              <w:t xml:space="preserve">C/- </w:t>
            </w:r>
            <w:r w:rsidRPr="002256FA">
              <w:rPr>
                <w:color w:val="FFFFFF" w:themeColor="background1"/>
                <w:lang w:eastAsia="en-AU"/>
              </w:rPr>
              <w:t>The Treasury</w:t>
            </w:r>
          </w:p>
          <w:p w14:paraId="141DA8D9" w14:textId="77777777" w:rsidR="00B85592" w:rsidRPr="002256FA" w:rsidRDefault="005B32D7" w:rsidP="002256FA">
            <w:pPr>
              <w:rPr>
                <w:color w:val="FFFFFF" w:themeColor="background1"/>
                <w:lang w:eastAsia="en-AU"/>
              </w:rPr>
            </w:pPr>
            <w:r w:rsidRPr="002256FA">
              <w:rPr>
                <w:color w:val="FFFFFF" w:themeColor="background1"/>
                <w:lang w:eastAsia="en-AU"/>
              </w:rPr>
              <w:t>100 Market Street, Sydney NSW 2000</w:t>
            </w:r>
          </w:p>
        </w:tc>
        <w:tc>
          <w:tcPr>
            <w:tcW w:w="4536" w:type="dxa"/>
            <w:tcBorders>
              <w:top w:val="single" w:sz="4" w:space="0" w:color="BFBFBF" w:themeColor="background1" w:themeShade="BF"/>
              <w:bottom w:val="nil"/>
            </w:tcBorders>
            <w:shd w:val="clear" w:color="auto" w:fill="1F497D" w:themeFill="text2"/>
          </w:tcPr>
          <w:p w14:paraId="50E347A6" w14:textId="77777777" w:rsidR="00BD2FF3" w:rsidRPr="002256FA" w:rsidRDefault="00BD2FF3" w:rsidP="002256FA">
            <w:pPr>
              <w:rPr>
                <w:rStyle w:val="Hyperlink"/>
                <w:color w:val="FFFFFF" w:themeColor="background1"/>
                <w:lang w:eastAsia="en-AU"/>
              </w:rPr>
            </w:pPr>
            <w:r w:rsidRPr="002256FA">
              <w:rPr>
                <w:color w:val="FFFFFF" w:themeColor="background1"/>
                <w:lang w:eastAsia="en-AU"/>
              </w:rPr>
              <w:t xml:space="preserve">website: </w:t>
            </w:r>
            <w:hyperlink r:id="rId20" w:history="1">
              <w:r w:rsidRPr="002256FA">
                <w:rPr>
                  <w:rStyle w:val="Hyperlink"/>
                  <w:color w:val="FFFFFF" w:themeColor="background1"/>
                  <w:lang w:eastAsia="en-AU"/>
                </w:rPr>
                <w:t>www.taxboard.gov.au</w:t>
              </w:r>
            </w:hyperlink>
          </w:p>
          <w:p w14:paraId="3A409BB3" w14:textId="77777777" w:rsidR="005B32D7" w:rsidRPr="002256FA" w:rsidRDefault="005B32D7" w:rsidP="002256FA">
            <w:pPr>
              <w:rPr>
                <w:color w:val="FFFFFF" w:themeColor="background1"/>
                <w:lang w:eastAsia="en-AU"/>
              </w:rPr>
            </w:pPr>
            <w:r w:rsidRPr="002256FA">
              <w:rPr>
                <w:color w:val="FFFFFF" w:themeColor="background1"/>
                <w:lang w:eastAsia="en-AU"/>
              </w:rPr>
              <w:t>The Board of Taxation Secretariat</w:t>
            </w:r>
          </w:p>
          <w:p w14:paraId="5BA1E72F" w14:textId="77777777" w:rsidR="005B32D7" w:rsidRPr="002256FA" w:rsidRDefault="005B32D7" w:rsidP="002256FA">
            <w:pPr>
              <w:rPr>
                <w:color w:val="FFFFFF" w:themeColor="background1"/>
              </w:rPr>
            </w:pPr>
            <w:r w:rsidRPr="002256FA">
              <w:rPr>
                <w:color w:val="FFFFFF" w:themeColor="background1"/>
                <w:lang w:eastAsia="en-AU"/>
              </w:rPr>
              <w:t>Langton Crescent, Parkes ACT 2600 Australia</w:t>
            </w:r>
          </w:p>
        </w:tc>
        <w:tc>
          <w:tcPr>
            <w:tcW w:w="709" w:type="dxa"/>
            <w:gridSpan w:val="2"/>
            <w:tcBorders>
              <w:top w:val="single" w:sz="4" w:space="0" w:color="BFBFBF" w:themeColor="background1" w:themeShade="BF"/>
              <w:bottom w:val="nil"/>
            </w:tcBorders>
            <w:shd w:val="clear" w:color="auto" w:fill="1F497D" w:themeFill="text2"/>
          </w:tcPr>
          <w:p w14:paraId="6D2EE903" w14:textId="77777777" w:rsidR="00B85592" w:rsidRPr="00BD2FF3" w:rsidRDefault="00B85592" w:rsidP="002256FA"/>
        </w:tc>
      </w:tr>
      <w:tr w:rsidR="00B85592" w14:paraId="3143EEF8" w14:textId="77777777" w:rsidTr="00EF48F9">
        <w:tblPrEx>
          <w:tblBorders>
            <w:bottom w:val="single" w:sz="4" w:space="0" w:color="BFBFBF" w:themeColor="background1" w:themeShade="BF"/>
          </w:tblBorders>
          <w:shd w:val="clear" w:color="auto" w:fill="CCDDF1"/>
        </w:tblPrEx>
        <w:trPr>
          <w:gridAfter w:val="1"/>
          <w:wAfter w:w="46" w:type="dxa"/>
          <w:jc w:val="center"/>
        </w:trPr>
        <w:tc>
          <w:tcPr>
            <w:tcW w:w="10490" w:type="dxa"/>
            <w:gridSpan w:val="7"/>
            <w:tcBorders>
              <w:bottom w:val="nil"/>
            </w:tcBorders>
            <w:shd w:val="clear" w:color="auto" w:fill="auto"/>
            <w:tcMar>
              <w:left w:w="0" w:type="dxa"/>
              <w:right w:w="0" w:type="dxa"/>
            </w:tcMar>
          </w:tcPr>
          <w:p w14:paraId="1ED01F0D" w14:textId="77777777" w:rsidR="00B85592" w:rsidRDefault="00B85592" w:rsidP="002256FA">
            <w:r>
              <w:rPr>
                <w:noProof/>
                <w:lang w:eastAsia="en-AU"/>
              </w:rPr>
              <w:drawing>
                <wp:inline distT="0" distB="0" distL="0" distR="0" wp14:anchorId="31D9FDC0" wp14:editId="12E86D05">
                  <wp:extent cx="6699250" cy="311150"/>
                  <wp:effectExtent l="0" t="0" r="635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1">
                            <a:extLst>
                              <a:ext uri="{28A0092B-C50C-407E-A947-70E740481C1C}">
                                <a14:useLocalDpi xmlns:a14="http://schemas.microsoft.com/office/drawing/2010/main" val="0"/>
                              </a:ext>
                            </a:extLst>
                          </a:blip>
                          <a:stretch>
                            <a:fillRect/>
                          </a:stretch>
                        </pic:blipFill>
                        <pic:spPr>
                          <a:xfrm>
                            <a:off x="0" y="0"/>
                            <a:ext cx="6743388" cy="313200"/>
                          </a:xfrm>
                          <a:prstGeom prst="rect">
                            <a:avLst/>
                          </a:prstGeom>
                        </pic:spPr>
                      </pic:pic>
                    </a:graphicData>
                  </a:graphic>
                </wp:inline>
              </w:drawing>
            </w:r>
          </w:p>
        </w:tc>
      </w:tr>
    </w:tbl>
    <w:p w14:paraId="1633713E" w14:textId="77777777" w:rsidR="001010C1" w:rsidRPr="0098345D" w:rsidRDefault="001010C1" w:rsidP="00EF48F9"/>
    <w:sectPr w:rsidR="001010C1" w:rsidRPr="0098345D" w:rsidSect="00BD2FF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23E76" w14:textId="77777777" w:rsidR="00825BE5" w:rsidRDefault="00825BE5" w:rsidP="002256FA">
      <w:r>
        <w:separator/>
      </w:r>
    </w:p>
  </w:endnote>
  <w:endnote w:type="continuationSeparator" w:id="0">
    <w:p w14:paraId="589E7F9C" w14:textId="77777777" w:rsidR="00825BE5" w:rsidRDefault="00825BE5" w:rsidP="002256FA">
      <w:r>
        <w:continuationSeparator/>
      </w:r>
    </w:p>
  </w:endnote>
  <w:endnote w:type="continuationNotice" w:id="1">
    <w:p w14:paraId="318A5738" w14:textId="77777777" w:rsidR="00825BE5" w:rsidRDefault="00825B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Tahoma">
    <w:altName w:val="?l?r ???fc"/>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B0A1E" w14:textId="77777777" w:rsidR="00825BE5" w:rsidRDefault="00825BE5" w:rsidP="002256FA">
      <w:r>
        <w:separator/>
      </w:r>
    </w:p>
  </w:footnote>
  <w:footnote w:type="continuationSeparator" w:id="0">
    <w:p w14:paraId="4A2F9402" w14:textId="77777777" w:rsidR="00825BE5" w:rsidRDefault="00825BE5" w:rsidP="002256FA">
      <w:r>
        <w:continuationSeparator/>
      </w:r>
    </w:p>
  </w:footnote>
  <w:footnote w:type="continuationNotice" w:id="1">
    <w:p w14:paraId="2BD9891F" w14:textId="77777777" w:rsidR="00825BE5" w:rsidRDefault="00825BE5">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3A683E"/>
    <w:multiLevelType w:val="hybridMultilevel"/>
    <w:tmpl w:val="DC3EDD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9482323"/>
    <w:multiLevelType w:val="hybridMultilevel"/>
    <w:tmpl w:val="450A259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51074816"/>
    <w:multiLevelType w:val="hybridMultilevel"/>
    <w:tmpl w:val="84C60E3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8"/>
  </w:num>
  <w:num w:numId="12">
    <w:abstractNumId w:val="7"/>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73"/>
    <w:rsid w:val="000645D3"/>
    <w:rsid w:val="000C1DB1"/>
    <w:rsid w:val="000E07A0"/>
    <w:rsid w:val="001010C1"/>
    <w:rsid w:val="001F55B5"/>
    <w:rsid w:val="002256FA"/>
    <w:rsid w:val="002700A7"/>
    <w:rsid w:val="002A2827"/>
    <w:rsid w:val="00315E92"/>
    <w:rsid w:val="0035507D"/>
    <w:rsid w:val="00355336"/>
    <w:rsid w:val="003A2D24"/>
    <w:rsid w:val="003A3120"/>
    <w:rsid w:val="003A3ECE"/>
    <w:rsid w:val="003B0F25"/>
    <w:rsid w:val="0043294F"/>
    <w:rsid w:val="004A7EC7"/>
    <w:rsid w:val="004B43F2"/>
    <w:rsid w:val="004F4771"/>
    <w:rsid w:val="004F5738"/>
    <w:rsid w:val="00512F57"/>
    <w:rsid w:val="00546C73"/>
    <w:rsid w:val="005A720B"/>
    <w:rsid w:val="005B32D7"/>
    <w:rsid w:val="006075E6"/>
    <w:rsid w:val="006267A4"/>
    <w:rsid w:val="006272D6"/>
    <w:rsid w:val="006559FC"/>
    <w:rsid w:val="00656D54"/>
    <w:rsid w:val="00704189"/>
    <w:rsid w:val="007D5EC6"/>
    <w:rsid w:val="00825BE5"/>
    <w:rsid w:val="00936A8A"/>
    <w:rsid w:val="0098345D"/>
    <w:rsid w:val="00A53417"/>
    <w:rsid w:val="00A85182"/>
    <w:rsid w:val="00B0301E"/>
    <w:rsid w:val="00B37A1B"/>
    <w:rsid w:val="00B37CE1"/>
    <w:rsid w:val="00B750F2"/>
    <w:rsid w:val="00B85592"/>
    <w:rsid w:val="00B95A8D"/>
    <w:rsid w:val="00BD2FF3"/>
    <w:rsid w:val="00C274F4"/>
    <w:rsid w:val="00C63642"/>
    <w:rsid w:val="00D12DCE"/>
    <w:rsid w:val="00D9250B"/>
    <w:rsid w:val="00DE77A2"/>
    <w:rsid w:val="00E01ACA"/>
    <w:rsid w:val="00EB42FC"/>
    <w:rsid w:val="00EF48F9"/>
    <w:rsid w:val="00FA7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26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FA"/>
    <w:pPr>
      <w:spacing w:before="120" w:after="120" w:line="240" w:lineRule="auto"/>
    </w:pPr>
    <w:rPr>
      <w:rFonts w:ascii="Calibri Light" w:hAnsi="Calibri Light"/>
    </w:rPr>
  </w:style>
  <w:style w:type="paragraph" w:styleId="Heading1">
    <w:name w:val="heading 1"/>
    <w:basedOn w:val="Normal"/>
    <w:next w:val="Normal"/>
    <w:link w:val="Heading1Char"/>
    <w:uiPriority w:val="9"/>
    <w:qFormat/>
    <w:rsid w:val="002256FA"/>
    <w:pPr>
      <w:outlineLvl w:val="0"/>
    </w:pPr>
    <w:rPr>
      <w:rFonts w:ascii="Segoe UI Light" w:hAnsi="Segoe UI Light"/>
      <w:b/>
      <w:color w:val="FFFFFF" w:themeColor="background1"/>
      <w:sz w:val="40"/>
      <w:szCs w:val="40"/>
    </w:rPr>
  </w:style>
  <w:style w:type="paragraph" w:styleId="Heading2">
    <w:name w:val="heading 2"/>
    <w:basedOn w:val="Normal"/>
    <w:next w:val="Normal"/>
    <w:link w:val="Heading2Char"/>
    <w:uiPriority w:val="9"/>
    <w:unhideWhenUsed/>
    <w:qFormat/>
    <w:rsid w:val="002256FA"/>
    <w:pPr>
      <w:outlineLvl w:val="1"/>
    </w:pPr>
    <w:rPr>
      <w:rFonts w:ascii="Segoe UI Light" w:hAnsi="Segoe UI Light"/>
      <w:b/>
      <w:color w:val="1F497D" w:themeColor="text2"/>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7D"/>
    <w:rPr>
      <w:color w:val="1F497D" w:themeColor="text2"/>
      <w:u w:val="singl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0E07A0"/>
    <w:pPr>
      <w:tabs>
        <w:tab w:val="center" w:pos="4513"/>
        <w:tab w:val="right" w:pos="9026"/>
      </w:tabs>
      <w:spacing w:after="0"/>
    </w:pPr>
  </w:style>
  <w:style w:type="character" w:customStyle="1" w:styleId="HeaderChar">
    <w:name w:val="Header Char"/>
    <w:basedOn w:val="DefaultParagraphFont"/>
    <w:link w:val="Header"/>
    <w:uiPriority w:val="99"/>
    <w:rsid w:val="000E07A0"/>
  </w:style>
  <w:style w:type="paragraph" w:styleId="Footer">
    <w:name w:val="footer"/>
    <w:basedOn w:val="Normal"/>
    <w:link w:val="FooterChar"/>
    <w:uiPriority w:val="99"/>
    <w:unhideWhenUsed/>
    <w:rsid w:val="000E07A0"/>
    <w:pPr>
      <w:tabs>
        <w:tab w:val="center" w:pos="4513"/>
        <w:tab w:val="right" w:pos="9026"/>
      </w:tabs>
      <w:spacing w:after="0"/>
    </w:pPr>
  </w:style>
  <w:style w:type="character" w:customStyle="1" w:styleId="FooterChar">
    <w:name w:val="Footer Char"/>
    <w:basedOn w:val="DefaultParagraphFont"/>
    <w:link w:val="Footer"/>
    <w:uiPriority w:val="99"/>
    <w:rsid w:val="000E07A0"/>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2256FA"/>
    <w:rPr>
      <w:rFonts w:ascii="Segoe UI Light" w:hAnsi="Segoe UI Light"/>
      <w:b/>
      <w:color w:val="FFFFFF" w:themeColor="background1"/>
      <w:sz w:val="40"/>
      <w:szCs w:val="40"/>
    </w:rPr>
  </w:style>
  <w:style w:type="character" w:customStyle="1" w:styleId="Heading2Char">
    <w:name w:val="Heading 2 Char"/>
    <w:basedOn w:val="DefaultParagraphFont"/>
    <w:link w:val="Heading2"/>
    <w:uiPriority w:val="9"/>
    <w:rsid w:val="002256FA"/>
    <w:rPr>
      <w:rFonts w:ascii="Segoe UI Light" w:hAnsi="Segoe UI Light"/>
      <w:b/>
      <w:color w:val="1F497D" w:themeColor="text2"/>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5EC6"/>
    <w:rPr>
      <w:sz w:val="16"/>
      <w:szCs w:val="16"/>
    </w:rPr>
  </w:style>
  <w:style w:type="paragraph" w:styleId="CommentText">
    <w:name w:val="annotation text"/>
    <w:basedOn w:val="Normal"/>
    <w:link w:val="CommentTextChar"/>
    <w:uiPriority w:val="99"/>
    <w:semiHidden/>
    <w:unhideWhenUsed/>
    <w:rsid w:val="007D5EC6"/>
    <w:rPr>
      <w:sz w:val="20"/>
      <w:szCs w:val="20"/>
    </w:rPr>
  </w:style>
  <w:style w:type="character" w:customStyle="1" w:styleId="CommentTextChar">
    <w:name w:val="Comment Text Char"/>
    <w:basedOn w:val="DefaultParagraphFont"/>
    <w:link w:val="CommentText"/>
    <w:uiPriority w:val="99"/>
    <w:semiHidden/>
    <w:rsid w:val="007D5EC6"/>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7D5EC6"/>
    <w:rPr>
      <w:b/>
      <w:bCs/>
    </w:rPr>
  </w:style>
  <w:style w:type="character" w:customStyle="1" w:styleId="CommentSubjectChar">
    <w:name w:val="Comment Subject Char"/>
    <w:basedOn w:val="CommentTextChar"/>
    <w:link w:val="CommentSubject"/>
    <w:uiPriority w:val="99"/>
    <w:semiHidden/>
    <w:rsid w:val="007D5EC6"/>
    <w:rPr>
      <w:rFonts w:ascii="Calibri Light" w:hAnsi="Calibri Ligh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FA"/>
    <w:pPr>
      <w:spacing w:before="120" w:after="120" w:line="240" w:lineRule="auto"/>
    </w:pPr>
    <w:rPr>
      <w:rFonts w:ascii="Calibri Light" w:hAnsi="Calibri Light"/>
    </w:rPr>
  </w:style>
  <w:style w:type="paragraph" w:styleId="Heading1">
    <w:name w:val="heading 1"/>
    <w:basedOn w:val="Normal"/>
    <w:next w:val="Normal"/>
    <w:link w:val="Heading1Char"/>
    <w:uiPriority w:val="9"/>
    <w:qFormat/>
    <w:rsid w:val="002256FA"/>
    <w:pPr>
      <w:outlineLvl w:val="0"/>
    </w:pPr>
    <w:rPr>
      <w:rFonts w:ascii="Segoe UI Light" w:hAnsi="Segoe UI Light"/>
      <w:b/>
      <w:color w:val="FFFFFF" w:themeColor="background1"/>
      <w:sz w:val="40"/>
      <w:szCs w:val="40"/>
    </w:rPr>
  </w:style>
  <w:style w:type="paragraph" w:styleId="Heading2">
    <w:name w:val="heading 2"/>
    <w:basedOn w:val="Normal"/>
    <w:next w:val="Normal"/>
    <w:link w:val="Heading2Char"/>
    <w:uiPriority w:val="9"/>
    <w:unhideWhenUsed/>
    <w:qFormat/>
    <w:rsid w:val="002256FA"/>
    <w:pPr>
      <w:outlineLvl w:val="1"/>
    </w:pPr>
    <w:rPr>
      <w:rFonts w:ascii="Segoe UI Light" w:hAnsi="Segoe UI Light"/>
      <w:b/>
      <w:color w:val="1F497D" w:themeColor="text2"/>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7D"/>
    <w:rPr>
      <w:color w:val="1F497D" w:themeColor="text2"/>
      <w:u w:val="singl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0E07A0"/>
    <w:pPr>
      <w:tabs>
        <w:tab w:val="center" w:pos="4513"/>
        <w:tab w:val="right" w:pos="9026"/>
      </w:tabs>
      <w:spacing w:after="0"/>
    </w:pPr>
  </w:style>
  <w:style w:type="character" w:customStyle="1" w:styleId="HeaderChar">
    <w:name w:val="Header Char"/>
    <w:basedOn w:val="DefaultParagraphFont"/>
    <w:link w:val="Header"/>
    <w:uiPriority w:val="99"/>
    <w:rsid w:val="000E07A0"/>
  </w:style>
  <w:style w:type="paragraph" w:styleId="Footer">
    <w:name w:val="footer"/>
    <w:basedOn w:val="Normal"/>
    <w:link w:val="FooterChar"/>
    <w:uiPriority w:val="99"/>
    <w:unhideWhenUsed/>
    <w:rsid w:val="000E07A0"/>
    <w:pPr>
      <w:tabs>
        <w:tab w:val="center" w:pos="4513"/>
        <w:tab w:val="right" w:pos="9026"/>
      </w:tabs>
      <w:spacing w:after="0"/>
    </w:pPr>
  </w:style>
  <w:style w:type="character" w:customStyle="1" w:styleId="FooterChar">
    <w:name w:val="Footer Char"/>
    <w:basedOn w:val="DefaultParagraphFont"/>
    <w:link w:val="Footer"/>
    <w:uiPriority w:val="99"/>
    <w:rsid w:val="000E07A0"/>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2256FA"/>
    <w:rPr>
      <w:rFonts w:ascii="Segoe UI Light" w:hAnsi="Segoe UI Light"/>
      <w:b/>
      <w:color w:val="FFFFFF" w:themeColor="background1"/>
      <w:sz w:val="40"/>
      <w:szCs w:val="40"/>
    </w:rPr>
  </w:style>
  <w:style w:type="character" w:customStyle="1" w:styleId="Heading2Char">
    <w:name w:val="Heading 2 Char"/>
    <w:basedOn w:val="DefaultParagraphFont"/>
    <w:link w:val="Heading2"/>
    <w:uiPriority w:val="9"/>
    <w:rsid w:val="002256FA"/>
    <w:rPr>
      <w:rFonts w:ascii="Segoe UI Light" w:hAnsi="Segoe UI Light"/>
      <w:b/>
      <w:color w:val="1F497D" w:themeColor="text2"/>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5EC6"/>
    <w:rPr>
      <w:sz w:val="16"/>
      <w:szCs w:val="16"/>
    </w:rPr>
  </w:style>
  <w:style w:type="paragraph" w:styleId="CommentText">
    <w:name w:val="annotation text"/>
    <w:basedOn w:val="Normal"/>
    <w:link w:val="CommentTextChar"/>
    <w:uiPriority w:val="99"/>
    <w:semiHidden/>
    <w:unhideWhenUsed/>
    <w:rsid w:val="007D5EC6"/>
    <w:rPr>
      <w:sz w:val="20"/>
      <w:szCs w:val="20"/>
    </w:rPr>
  </w:style>
  <w:style w:type="character" w:customStyle="1" w:styleId="CommentTextChar">
    <w:name w:val="Comment Text Char"/>
    <w:basedOn w:val="DefaultParagraphFont"/>
    <w:link w:val="CommentText"/>
    <w:uiPriority w:val="99"/>
    <w:semiHidden/>
    <w:rsid w:val="007D5EC6"/>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7D5EC6"/>
    <w:rPr>
      <w:b/>
      <w:bCs/>
    </w:rPr>
  </w:style>
  <w:style w:type="character" w:customStyle="1" w:styleId="CommentSubjectChar">
    <w:name w:val="Comment Subject Char"/>
    <w:basedOn w:val="CommentTextChar"/>
    <w:link w:val="CommentSubject"/>
    <w:uiPriority w:val="99"/>
    <w:semiHidden/>
    <w:rsid w:val="007D5EC6"/>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3306">
      <w:bodyDiv w:val="1"/>
      <w:marLeft w:val="0"/>
      <w:marRight w:val="0"/>
      <w:marTop w:val="0"/>
      <w:marBottom w:val="0"/>
      <w:divBdr>
        <w:top w:val="none" w:sz="0" w:space="0" w:color="auto"/>
        <w:left w:val="none" w:sz="0" w:space="0" w:color="auto"/>
        <w:bottom w:val="none" w:sz="0" w:space="0" w:color="auto"/>
        <w:right w:val="none" w:sz="0" w:space="0" w:color="auto"/>
      </w:divBdr>
    </w:div>
    <w:div w:id="270746285">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1108043875">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linkedin.com/company-beta/18103811/" TargetMode="Externa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taxboard@treasury.gov.au" TargetMode="External"/><Relationship Id="rId2" Type="http://schemas.openxmlformats.org/officeDocument/2006/relationships/customXml" Target="../customXml/item2.xml"/><Relationship Id="rId16" Type="http://schemas.openxmlformats.org/officeDocument/2006/relationships/hyperlink" Target="http://taxboard.gov.au/current-activities/transparency-code-register/" TargetMode="External"/><Relationship Id="rId20" Type="http://schemas.openxmlformats.org/officeDocument/2006/relationships/hyperlink" Target="http://www.taxboard.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taxboard.ideascale.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karen.payne@treasury.gov.a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9f7bc583-7cbe-45b9-a2bd-8bbb6543b37e">
      <Value>18</Value>
    </TaxCatchAll>
    <_dlc_DocId xmlns="9f7bc583-7cbe-45b9-a2bd-8bbb6543b37e">2017RG-356-6138</_dlc_DocId>
    <_dlc_DocIdUrl xmlns="9f7bc583-7cbe-45b9-a2bd-8bbb6543b37e">
      <Url>http://tweb/sites/rg/bots/boards/_layouts/15/DocIdRedir.aspx?ID=2017RG-356-6138</Url>
      <Description>2017RG-356-6138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6034" ma:contentTypeDescription="" ma:contentTypeScope="" ma:versionID="c26d59eadbda1967d5856d6c986d836d">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48ff628207e125b56f0638089dec2023"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2.xml><?xml version="1.0" encoding="utf-8"?>
<ds:datastoreItem xmlns:ds="http://schemas.openxmlformats.org/officeDocument/2006/customXml" ds:itemID="{5A204F58-9936-43C8-BCA0-589AD3836680}">
  <ds:schemaRefs>
    <ds:schemaRef ds:uri="http://schemas.microsoft.com/office/2006/documentManagement/types"/>
    <ds:schemaRef ds:uri="http://purl.org/dc/elements/1.1/"/>
    <ds:schemaRef ds:uri="http://www.w3.org/XML/1998/namespace"/>
    <ds:schemaRef ds:uri="http://purl.org/dc/dcmitype/"/>
    <ds:schemaRef ds:uri="http://purl.org/dc/terms/"/>
    <ds:schemaRef ds:uri="9f7bc583-7cbe-45b9-a2bd-8bbb6543b37e"/>
    <ds:schemaRef ds:uri="http://schemas.openxmlformats.org/package/2006/metadata/core-properties"/>
    <ds:schemaRef ds:uri="http://schemas.microsoft.com/office/infopath/2007/PartnerControls"/>
    <ds:schemaRef ds:uri="http://schemas.microsoft.com/sharepoint/v4"/>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4.xml><?xml version="1.0" encoding="utf-8"?>
<ds:datastoreItem xmlns:ds="http://schemas.openxmlformats.org/officeDocument/2006/customXml" ds:itemID="{B8358C79-0183-43C6-B87E-B0B957B46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7CAF67-321B-43C7-956C-0B2FE36873D1}">
  <ds:schemaRefs>
    <ds:schemaRef ds:uri="office.server.policy"/>
  </ds:schemaRefs>
</ds:datastoreItem>
</file>

<file path=customXml/itemProps6.xml><?xml version="1.0" encoding="utf-8"?>
<ds:datastoreItem xmlns:ds="http://schemas.openxmlformats.org/officeDocument/2006/customXml" ds:itemID="{26A45B31-70E2-4E31-8777-DCA6BB6F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6</TotalTime>
  <Pages>3</Pages>
  <Words>992</Words>
  <Characters>5321</Characters>
  <Application>Microsoft Office Word</Application>
  <DocSecurity>0</DocSecurity>
  <Lines>147</Lines>
  <Paragraphs>65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Lynda</dc:creator>
  <cp:lastModifiedBy>Tsikleas, Jean</cp:lastModifiedBy>
  <cp:revision>3</cp:revision>
  <cp:lastPrinted>2016-09-18T23:30:00Z</cp:lastPrinted>
  <dcterms:created xsi:type="dcterms:W3CDTF">2017-10-10T00:47:00Z</dcterms:created>
  <dcterms:modified xsi:type="dcterms:W3CDTF">2017-10-10T00:53:00Z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_dlc_DocIdItemGuid">
    <vt:lpwstr>757ee970-4db3-4a66-bd02-059810c2195d</vt:lpwstr>
  </property>
  <property fmtid="{D5CDD505-2E9C-101B-9397-08002B2CF9AE}" pid="5" name="RecordPoint_WorkflowType">
    <vt:lpwstr>ActiveSubmitStub</vt:lpwstr>
  </property>
  <property fmtid="{D5CDD505-2E9C-101B-9397-08002B2CF9AE}" pid="6" name="RecordPoint_ActiveItemListId">
    <vt:lpwstr>{d6775dc5-8a38-4781-95bf-d3f0d1237c48}</vt:lpwstr>
  </property>
  <property fmtid="{D5CDD505-2E9C-101B-9397-08002B2CF9AE}" pid="7" name="RecordPoint_ActiveItemUniqueId">
    <vt:lpwstr>{757ee970-4db3-4a66-bd02-059810c2195d}</vt:lpwstr>
  </property>
  <property fmtid="{D5CDD505-2E9C-101B-9397-08002B2CF9AE}" pid="8" name="RecordPoint_ActiveItemWebId">
    <vt:lpwstr>{cebcee45-40e2-45ca-9d22-89ff5bfe4e7b}</vt:lpwstr>
  </property>
  <property fmtid="{D5CDD505-2E9C-101B-9397-08002B2CF9AE}" pid="9" name="RecordPoint_ActiveItemSiteId">
    <vt:lpwstr>{5b52b9a5-e5b2-4521-8814-a1e24ca2869d}</vt:lpwstr>
  </property>
  <property fmtid="{D5CDD505-2E9C-101B-9397-08002B2CF9AE}" pid="10" name="RecordPoint_RecordNumberSubmitted">
    <vt:lpwstr>R0001445762</vt:lpwstr>
  </property>
  <property fmtid="{D5CDD505-2E9C-101B-9397-08002B2CF9AE}" pid="11" name="RecordPoint_SubmissionCompleted">
    <vt:lpwstr>2017-10-10T14:45:01.1034355+11:00</vt:lpwstr>
  </property>
  <property fmtid="{D5CDD505-2E9C-101B-9397-08002B2CF9AE}" pid="12" name="_AdHocReviewCycleID">
    <vt:i4>2100197868</vt:i4>
  </property>
  <property fmtid="{D5CDD505-2E9C-101B-9397-08002B2CF9AE}" pid="13" name="_NewReviewCycle">
    <vt:lpwstr/>
  </property>
  <property fmtid="{D5CDD505-2E9C-101B-9397-08002B2CF9AE}" pid="14" name="_EmailSubject">
    <vt:lpwstr>Request: Board of Taxation Newsletter [SEC=UNCLASSIFIED]</vt:lpwstr>
  </property>
  <property fmtid="{D5CDD505-2E9C-101B-9397-08002B2CF9AE}" pid="15" name="_AuthorEmail">
    <vt:lpwstr>Paul.Atkinson@TREASURY.GOV.AU</vt:lpwstr>
  </property>
  <property fmtid="{D5CDD505-2E9C-101B-9397-08002B2CF9AE}" pid="16" name="_AuthorEmailDisplayName">
    <vt:lpwstr>Atkinson, Paul</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_PreviousAdHocReviewCycleID">
    <vt:i4>-1447918375</vt:i4>
  </property>
  <property fmtid="{D5CDD505-2E9C-101B-9397-08002B2CF9AE}" pid="21" name="_ReviewingToolsShownOnce">
    <vt:lpwstr/>
  </property>
</Properties>
</file>