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DE77A2" w14:paraId="40350228" w14:textId="77777777" w:rsidTr="00624FFC">
        <w:tc>
          <w:tcPr>
            <w:tcW w:w="10656" w:type="dxa"/>
          </w:tcPr>
          <w:p w14:paraId="6531BD38" w14:textId="77777777" w:rsidR="00DE77A2" w:rsidRDefault="00DE77A2" w:rsidP="002256FA">
            <w:r>
              <w:rPr>
                <w:noProof/>
                <w:lang w:eastAsia="en-AU"/>
              </w:rPr>
              <w:drawing>
                <wp:inline distT="0" distB="0" distL="0" distR="0" wp14:anchorId="47280592" wp14:editId="656A9937">
                  <wp:extent cx="6624000" cy="1517204"/>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4">
                            <a:extLst>
                              <a:ext uri="{28A0092B-C50C-407E-A947-70E740481C1C}">
                                <a14:useLocalDpi xmlns:a14="http://schemas.microsoft.com/office/drawing/2010/main" val="0"/>
                              </a:ext>
                            </a:extLst>
                          </a:blip>
                          <a:stretch>
                            <a:fillRect/>
                          </a:stretch>
                        </pic:blipFill>
                        <pic:spPr>
                          <a:xfrm>
                            <a:off x="0" y="0"/>
                            <a:ext cx="6624000" cy="1517204"/>
                          </a:xfrm>
                          <a:prstGeom prst="rect">
                            <a:avLst/>
                          </a:prstGeom>
                        </pic:spPr>
                      </pic:pic>
                    </a:graphicData>
                  </a:graphic>
                </wp:inline>
              </w:drawing>
            </w:r>
          </w:p>
        </w:tc>
      </w:tr>
    </w:tbl>
    <w:tbl>
      <w:tblPr>
        <w:tblStyle w:val="TableGrid1"/>
        <w:tblW w:w="10440" w:type="dxa"/>
        <w:jc w:val="center"/>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437"/>
        <w:gridCol w:w="590"/>
      </w:tblGrid>
      <w:tr w:rsidR="00624FFC" w:rsidRPr="00BD2FF3" w14:paraId="5A201ADF" w14:textId="77777777" w:rsidTr="00624FFC">
        <w:trPr>
          <w:jc w:val="center"/>
        </w:trPr>
        <w:tc>
          <w:tcPr>
            <w:tcW w:w="413" w:type="dxa"/>
            <w:shd w:val="clear" w:color="auto" w:fill="1F497D" w:themeFill="text2"/>
          </w:tcPr>
          <w:p w14:paraId="6437B8DB" w14:textId="77777777" w:rsidR="00624FFC" w:rsidRPr="00BD2FF3" w:rsidRDefault="00624FFC" w:rsidP="00A25E90"/>
        </w:tc>
        <w:tc>
          <w:tcPr>
            <w:tcW w:w="9437" w:type="dxa"/>
            <w:shd w:val="clear" w:color="auto" w:fill="1F497D" w:themeFill="text2"/>
          </w:tcPr>
          <w:p w14:paraId="48BB8DBD" w14:textId="77777777" w:rsidR="00624FFC" w:rsidRPr="002256FA" w:rsidRDefault="00624FFC" w:rsidP="00A25E90">
            <w:pPr>
              <w:pStyle w:val="Heading1"/>
              <w:outlineLvl w:val="0"/>
            </w:pPr>
            <w:r w:rsidRPr="002256FA">
              <w:t xml:space="preserve">CEO Update – </w:t>
            </w:r>
            <w:r>
              <w:fldChar w:fldCharType="begin"/>
            </w:r>
            <w:r>
              <w:instrText xml:space="preserve"> DATE  \@ "MMMM yyyy"  \* MERGEFORMAT </w:instrText>
            </w:r>
            <w:r>
              <w:fldChar w:fldCharType="separate"/>
            </w:r>
            <w:r w:rsidR="006300DF">
              <w:rPr>
                <w:noProof/>
              </w:rPr>
              <w:t>August 2017</w:t>
            </w:r>
            <w:r>
              <w:fldChar w:fldCharType="end"/>
            </w:r>
          </w:p>
        </w:tc>
        <w:tc>
          <w:tcPr>
            <w:tcW w:w="590" w:type="dxa"/>
            <w:shd w:val="clear" w:color="auto" w:fill="1F497D" w:themeFill="text2"/>
          </w:tcPr>
          <w:p w14:paraId="5E395FE1" w14:textId="77777777" w:rsidR="00624FFC" w:rsidRPr="00BD2FF3" w:rsidRDefault="00624FFC" w:rsidP="00A25E90"/>
        </w:tc>
      </w:tr>
    </w:tbl>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43"/>
        <w:gridCol w:w="3734"/>
        <w:gridCol w:w="5752"/>
        <w:gridCol w:w="157"/>
        <w:gridCol w:w="574"/>
        <w:gridCol w:w="6"/>
        <w:gridCol w:w="55"/>
      </w:tblGrid>
      <w:tr w:rsidR="00645072" w:rsidRPr="00B32EE4" w14:paraId="225BF913" w14:textId="77777777" w:rsidTr="00A25E90">
        <w:trPr>
          <w:gridAfter w:val="1"/>
          <w:wAfter w:w="55" w:type="dxa"/>
          <w:trHeight w:val="282"/>
        </w:trPr>
        <w:tc>
          <w:tcPr>
            <w:tcW w:w="599" w:type="dxa"/>
          </w:tcPr>
          <w:p w14:paraId="47C1F151" w14:textId="77777777" w:rsidR="00645072" w:rsidRPr="00B32EE4" w:rsidRDefault="00645072" w:rsidP="002256FA">
            <w:pPr>
              <w:rPr>
                <w:sz w:val="2"/>
                <w:szCs w:val="2"/>
              </w:rPr>
            </w:pPr>
          </w:p>
        </w:tc>
        <w:tc>
          <w:tcPr>
            <w:tcW w:w="9686" w:type="dxa"/>
            <w:gridSpan w:val="4"/>
          </w:tcPr>
          <w:p w14:paraId="76538863" w14:textId="77777777" w:rsidR="00645072" w:rsidRPr="00B32EE4" w:rsidRDefault="00645072" w:rsidP="00007585">
            <w:pPr>
              <w:spacing w:before="0" w:after="200" w:line="276" w:lineRule="auto"/>
              <w:jc w:val="both"/>
              <w:rPr>
                <w:sz w:val="2"/>
                <w:szCs w:val="2"/>
              </w:rPr>
            </w:pPr>
          </w:p>
        </w:tc>
        <w:tc>
          <w:tcPr>
            <w:tcW w:w="580" w:type="dxa"/>
            <w:gridSpan w:val="2"/>
          </w:tcPr>
          <w:p w14:paraId="7DA4479B" w14:textId="77777777" w:rsidR="00645072" w:rsidRPr="00B32EE4" w:rsidRDefault="00645072" w:rsidP="002256FA">
            <w:pPr>
              <w:rPr>
                <w:sz w:val="2"/>
                <w:szCs w:val="2"/>
              </w:rPr>
            </w:pPr>
          </w:p>
        </w:tc>
      </w:tr>
      <w:tr w:rsidR="008D3706" w:rsidRPr="00BD2FF3" w14:paraId="50CBC816" w14:textId="77777777" w:rsidTr="00A25E90">
        <w:trPr>
          <w:gridAfter w:val="1"/>
          <w:wAfter w:w="55" w:type="dxa"/>
        </w:trPr>
        <w:tc>
          <w:tcPr>
            <w:tcW w:w="599" w:type="dxa"/>
          </w:tcPr>
          <w:p w14:paraId="08DC95D7" w14:textId="27F59EBF" w:rsidR="008D3706" w:rsidRPr="00BD2FF3" w:rsidRDefault="008D3706" w:rsidP="002256FA"/>
        </w:tc>
        <w:tc>
          <w:tcPr>
            <w:tcW w:w="9686" w:type="dxa"/>
            <w:gridSpan w:val="4"/>
          </w:tcPr>
          <w:p w14:paraId="116D0371" w14:textId="77777777" w:rsidR="008D3706" w:rsidRPr="00BD2FF3" w:rsidRDefault="008D3706" w:rsidP="00A25E90">
            <w:pPr>
              <w:spacing w:before="0" w:after="200" w:line="276" w:lineRule="auto"/>
            </w:pPr>
            <w:r w:rsidRPr="00BD2FF3">
              <w:t xml:space="preserve">Dear </w:t>
            </w:r>
            <w:r w:rsidRPr="002256FA">
              <w:t>Stakeholders</w:t>
            </w:r>
            <w:r w:rsidRPr="00BD2FF3">
              <w:t>,</w:t>
            </w:r>
          </w:p>
          <w:p w14:paraId="75C861CE" w14:textId="4EFB4A90" w:rsidR="008D3706" w:rsidRDefault="008D3706" w:rsidP="00A25E90">
            <w:pPr>
              <w:spacing w:before="0" w:after="200" w:line="276" w:lineRule="auto"/>
            </w:pPr>
            <w:r>
              <w:t xml:space="preserve">On 10 August 2017, the Board of Taxation held its sixth meeting for 2017 in Adelaide. </w:t>
            </w:r>
            <w:r w:rsidR="006F7FF6">
              <w:t xml:space="preserve"> </w:t>
            </w:r>
            <w:r>
              <w:t xml:space="preserve">The focus of this meeting was to discuss the progress of the Board’s current projects (many of which are concluding), our future pipeline and ideas from Sounding Board. </w:t>
            </w:r>
          </w:p>
          <w:p w14:paraId="235D2196" w14:textId="53E941D0" w:rsidR="008D3706" w:rsidRDefault="008D3706" w:rsidP="00A25E90">
            <w:pPr>
              <w:spacing w:before="0" w:after="200" w:line="276" w:lineRule="auto"/>
            </w:pPr>
            <w:r>
              <w:t xml:space="preserve">The Board’s lunch meeting was hosted by University of South Australia (UniSA) and included an information session and discussion with stakeholders. </w:t>
            </w:r>
            <w:r w:rsidR="006F7FF6">
              <w:t xml:space="preserve"> </w:t>
            </w:r>
            <w:r>
              <w:t>Thank you to everyone for attending and contributing your ideas and observations on how we can improve the tax system.</w:t>
            </w:r>
          </w:p>
          <w:p w14:paraId="7618245B" w14:textId="270EF68A" w:rsidR="008D3706" w:rsidRPr="00BD2FF3" w:rsidRDefault="008D3706" w:rsidP="00A25E90">
            <w:pPr>
              <w:spacing w:before="0" w:after="200" w:line="276" w:lineRule="auto"/>
            </w:pPr>
            <w:r>
              <w:t>Some additional detail on the progress of the Board’s work is set out below.</w:t>
            </w:r>
          </w:p>
        </w:tc>
        <w:tc>
          <w:tcPr>
            <w:tcW w:w="580" w:type="dxa"/>
            <w:gridSpan w:val="2"/>
          </w:tcPr>
          <w:p w14:paraId="1737BFF5" w14:textId="3C29BAF2" w:rsidR="008D3706" w:rsidRPr="00BD2FF3" w:rsidRDefault="008D3706" w:rsidP="002256FA"/>
        </w:tc>
      </w:tr>
      <w:tr w:rsidR="008D3706" w:rsidRPr="006B1E71" w14:paraId="6DE4E4B6" w14:textId="77777777" w:rsidTr="00A25E90">
        <w:trPr>
          <w:gridAfter w:val="1"/>
          <w:wAfter w:w="55" w:type="dxa"/>
        </w:trPr>
        <w:tc>
          <w:tcPr>
            <w:tcW w:w="599" w:type="dxa"/>
          </w:tcPr>
          <w:p w14:paraId="19079213" w14:textId="7D74380E" w:rsidR="008D3706" w:rsidRPr="006B1E71" w:rsidRDefault="008D3706" w:rsidP="00645072">
            <w:pPr>
              <w:spacing w:before="0"/>
              <w:rPr>
                <w:sz w:val="36"/>
                <w:szCs w:val="36"/>
              </w:rPr>
            </w:pPr>
          </w:p>
        </w:tc>
        <w:tc>
          <w:tcPr>
            <w:tcW w:w="9686" w:type="dxa"/>
            <w:gridSpan w:val="4"/>
          </w:tcPr>
          <w:p w14:paraId="527BA4FD" w14:textId="47DE8AE0" w:rsidR="008D3706" w:rsidRPr="006B1E71" w:rsidRDefault="008D3706" w:rsidP="00645072">
            <w:pPr>
              <w:pStyle w:val="Heading2"/>
              <w:spacing w:before="0"/>
              <w:outlineLvl w:val="1"/>
              <w:rPr>
                <w:sz w:val="36"/>
                <w:szCs w:val="36"/>
              </w:rPr>
            </w:pPr>
            <w:r>
              <w:rPr>
                <w:sz w:val="36"/>
                <w:szCs w:val="36"/>
              </w:rPr>
              <w:t>Pipeline of Possible Projects</w:t>
            </w:r>
          </w:p>
        </w:tc>
        <w:tc>
          <w:tcPr>
            <w:tcW w:w="580" w:type="dxa"/>
            <w:gridSpan w:val="2"/>
          </w:tcPr>
          <w:p w14:paraId="6C755FB0" w14:textId="5689BF14" w:rsidR="008D3706" w:rsidRPr="006B1E71" w:rsidRDefault="008D3706" w:rsidP="00645072">
            <w:pPr>
              <w:spacing w:before="0"/>
              <w:rPr>
                <w:sz w:val="36"/>
                <w:szCs w:val="36"/>
              </w:rPr>
            </w:pPr>
          </w:p>
        </w:tc>
      </w:tr>
      <w:tr w:rsidR="008D3706" w:rsidRPr="00BD2FF3" w14:paraId="776C324B" w14:textId="77777777" w:rsidTr="00A25E90">
        <w:trPr>
          <w:gridAfter w:val="1"/>
          <w:wAfter w:w="55" w:type="dxa"/>
        </w:trPr>
        <w:tc>
          <w:tcPr>
            <w:tcW w:w="599" w:type="dxa"/>
          </w:tcPr>
          <w:p w14:paraId="788CEB78" w14:textId="6CE2DEC9" w:rsidR="008D3706" w:rsidRDefault="008D3706" w:rsidP="00F45150"/>
        </w:tc>
        <w:tc>
          <w:tcPr>
            <w:tcW w:w="9686" w:type="dxa"/>
            <w:gridSpan w:val="4"/>
          </w:tcPr>
          <w:p w14:paraId="3477855B" w14:textId="215FA6DC" w:rsidR="008D3706" w:rsidRDefault="00170C50" w:rsidP="00A25E90">
            <w:pPr>
              <w:spacing w:before="0" w:after="200" w:line="276" w:lineRule="auto"/>
            </w:pPr>
            <w:r>
              <w:t xml:space="preserve">The Board discussed a range of possible projects to progress from </w:t>
            </w:r>
            <w:r w:rsidR="008D3706">
              <w:t xml:space="preserve">its pipeline of projects. </w:t>
            </w:r>
            <w:r>
              <w:t xml:space="preserve"> These will be prioritised</w:t>
            </w:r>
            <w:r w:rsidR="00D66376">
              <w:t>,</w:t>
            </w:r>
            <w:r>
              <w:t xml:space="preserve"> and resourcing needs assessed</w:t>
            </w:r>
            <w:r w:rsidR="00D66376">
              <w:t>,</w:t>
            </w:r>
            <w:r>
              <w:t xml:space="preserve"> before we finalise which ideas to progress.  </w:t>
            </w:r>
            <w:r w:rsidR="008D3706">
              <w:t>The Board continuously monitors trends and issues in the tax system through its stakeholder engagement and adds potential topics for further investigation to its pipeline.</w:t>
            </w:r>
            <w:r w:rsidR="006F7FF6">
              <w:t xml:space="preserve"> </w:t>
            </w:r>
            <w:r w:rsidR="008D3706">
              <w:t xml:space="preserve"> At the meeting, the Board discussed the following</w:t>
            </w:r>
            <w:r>
              <w:t xml:space="preserve"> potential areas for investigation</w:t>
            </w:r>
            <w:r w:rsidR="008D3706">
              <w:t>:</w:t>
            </w:r>
          </w:p>
          <w:p w14:paraId="6843D46A" w14:textId="77777777" w:rsidR="008D3706" w:rsidRDefault="008D3706" w:rsidP="00A25E90">
            <w:pPr>
              <w:pStyle w:val="Bullet"/>
              <w:numPr>
                <w:ilvl w:val="0"/>
                <w:numId w:val="20"/>
              </w:numPr>
              <w:spacing w:before="0" w:after="200" w:line="276" w:lineRule="auto"/>
            </w:pPr>
            <w:r>
              <w:t>certain compliance issues relating to taxation in agriculture;</w:t>
            </w:r>
          </w:p>
          <w:p w14:paraId="0D38D6FB" w14:textId="77777777" w:rsidR="008D3706" w:rsidRDefault="008D3706" w:rsidP="00A25E90">
            <w:pPr>
              <w:pStyle w:val="Bullet"/>
              <w:numPr>
                <w:ilvl w:val="0"/>
                <w:numId w:val="20"/>
              </w:numPr>
              <w:spacing w:before="0" w:after="200" w:line="276" w:lineRule="auto"/>
            </w:pPr>
            <w:r>
              <w:t>new tax measures to promote innovation;</w:t>
            </w:r>
            <w:r w:rsidDel="00617495">
              <w:t xml:space="preserve"> </w:t>
            </w:r>
          </w:p>
          <w:p w14:paraId="589C00F2" w14:textId="068740A4" w:rsidR="008D3706" w:rsidRDefault="00170C50" w:rsidP="00A25E90">
            <w:pPr>
              <w:pStyle w:val="Bullet"/>
              <w:numPr>
                <w:ilvl w:val="0"/>
                <w:numId w:val="20"/>
              </w:numPr>
              <w:spacing w:before="0" w:after="200" w:line="276" w:lineRule="auto"/>
            </w:pPr>
            <w:r>
              <w:t xml:space="preserve">the simplicity and effectiveness </w:t>
            </w:r>
            <w:r w:rsidR="008D3706">
              <w:t xml:space="preserve">of the small business CGT concessions; </w:t>
            </w:r>
          </w:p>
          <w:p w14:paraId="5132662F" w14:textId="0DC78290" w:rsidR="008D3706" w:rsidRDefault="00D66376" w:rsidP="00A25E90">
            <w:pPr>
              <w:pStyle w:val="Bullet"/>
              <w:numPr>
                <w:ilvl w:val="0"/>
                <w:numId w:val="20"/>
              </w:numPr>
              <w:spacing w:before="0" w:after="200" w:line="276" w:lineRule="auto"/>
            </w:pPr>
            <w:r>
              <w:t>a</w:t>
            </w:r>
            <w:r w:rsidR="00170C50">
              <w:t xml:space="preserve"> comparison of the taxing rights reserved for real property under Australia’s tax treaties and the domestic rules for taxing non-residents on</w:t>
            </w:r>
            <w:r w:rsidR="00170C50" w:rsidDel="00B202AE">
              <w:t xml:space="preserve"> </w:t>
            </w:r>
            <w:r w:rsidR="008D3706">
              <w:t>Australian real property.</w:t>
            </w:r>
          </w:p>
        </w:tc>
        <w:tc>
          <w:tcPr>
            <w:tcW w:w="580" w:type="dxa"/>
            <w:gridSpan w:val="2"/>
          </w:tcPr>
          <w:p w14:paraId="15870234" w14:textId="6C17ECC3" w:rsidR="008D3706" w:rsidRDefault="008D3706" w:rsidP="00F45150"/>
        </w:tc>
      </w:tr>
      <w:tr w:rsidR="008D3706" w:rsidRPr="006B1E71" w14:paraId="6712C915" w14:textId="77777777" w:rsidTr="00A25E90">
        <w:trPr>
          <w:gridAfter w:val="1"/>
          <w:wAfter w:w="55" w:type="dxa"/>
        </w:trPr>
        <w:tc>
          <w:tcPr>
            <w:tcW w:w="599" w:type="dxa"/>
          </w:tcPr>
          <w:p w14:paraId="33BE3A34" w14:textId="456FC651" w:rsidR="008D3706" w:rsidRPr="006B1E71" w:rsidRDefault="008D3706" w:rsidP="00645072">
            <w:pPr>
              <w:spacing w:before="0"/>
              <w:rPr>
                <w:sz w:val="36"/>
                <w:szCs w:val="36"/>
              </w:rPr>
            </w:pPr>
          </w:p>
        </w:tc>
        <w:tc>
          <w:tcPr>
            <w:tcW w:w="9686" w:type="dxa"/>
            <w:gridSpan w:val="4"/>
          </w:tcPr>
          <w:p w14:paraId="23CBAF9D" w14:textId="4A011FBA" w:rsidR="008D3706" w:rsidRPr="006B1E71" w:rsidRDefault="008D3706" w:rsidP="00645072">
            <w:pPr>
              <w:pStyle w:val="Heading2"/>
              <w:spacing w:before="0"/>
              <w:outlineLvl w:val="1"/>
              <w:rPr>
                <w:sz w:val="36"/>
                <w:szCs w:val="36"/>
              </w:rPr>
            </w:pPr>
            <w:r w:rsidRPr="006B1E71">
              <w:rPr>
                <w:sz w:val="36"/>
                <w:szCs w:val="36"/>
              </w:rPr>
              <w:t>Our C</w:t>
            </w:r>
            <w:r>
              <w:rPr>
                <w:sz w:val="36"/>
                <w:szCs w:val="36"/>
              </w:rPr>
              <w:t>urrent Projects</w:t>
            </w:r>
          </w:p>
        </w:tc>
        <w:tc>
          <w:tcPr>
            <w:tcW w:w="580" w:type="dxa"/>
            <w:gridSpan w:val="2"/>
          </w:tcPr>
          <w:p w14:paraId="581CE1E4" w14:textId="142E0B2F" w:rsidR="008D3706" w:rsidRPr="006B1E71" w:rsidRDefault="008D3706" w:rsidP="00645072">
            <w:pPr>
              <w:spacing w:before="0"/>
              <w:rPr>
                <w:sz w:val="36"/>
                <w:szCs w:val="36"/>
              </w:rPr>
            </w:pPr>
          </w:p>
        </w:tc>
      </w:tr>
      <w:tr w:rsidR="008D3706" w:rsidRPr="00BD2FF3" w14:paraId="1A714762" w14:textId="77777777" w:rsidTr="00A25E90">
        <w:trPr>
          <w:gridAfter w:val="1"/>
          <w:wAfter w:w="55" w:type="dxa"/>
        </w:trPr>
        <w:tc>
          <w:tcPr>
            <w:tcW w:w="599" w:type="dxa"/>
          </w:tcPr>
          <w:p w14:paraId="56B921FD" w14:textId="31DA063C" w:rsidR="008D3706" w:rsidRPr="00BD2FF3" w:rsidRDefault="008D3706" w:rsidP="0096275B">
            <w:pPr>
              <w:jc w:val="both"/>
            </w:pPr>
          </w:p>
        </w:tc>
        <w:tc>
          <w:tcPr>
            <w:tcW w:w="9686" w:type="dxa"/>
            <w:gridSpan w:val="4"/>
          </w:tcPr>
          <w:p w14:paraId="6B4CA003" w14:textId="06BF58B2" w:rsidR="008D3706" w:rsidRDefault="008D3706" w:rsidP="00A25E90">
            <w:pPr>
              <w:spacing w:before="0" w:after="200" w:line="276" w:lineRule="auto"/>
            </w:pPr>
            <w:r>
              <w:t xml:space="preserve">The Board continues to be involved with the Government’s Black Economy Taskforce and is progressing several other projects towards completion.  Work continues </w:t>
            </w:r>
            <w:bookmarkStart w:id="0" w:name="_GoBack"/>
            <w:bookmarkEnd w:id="0"/>
            <w:r w:rsidR="00D66376">
              <w:t xml:space="preserve">on </w:t>
            </w:r>
            <w:r>
              <w:t>the following projects:</w:t>
            </w:r>
          </w:p>
          <w:p w14:paraId="3C13F2AB" w14:textId="77777777" w:rsidR="008D3706" w:rsidRDefault="008D3706" w:rsidP="00A25E90">
            <w:pPr>
              <w:pStyle w:val="Bullet"/>
              <w:numPr>
                <w:ilvl w:val="0"/>
                <w:numId w:val="20"/>
              </w:numPr>
              <w:spacing w:before="0" w:after="200" w:line="276" w:lineRule="auto"/>
            </w:pPr>
            <w:r>
              <w:t>alignment of tax and accounting concepts;</w:t>
            </w:r>
          </w:p>
          <w:p w14:paraId="6451684E" w14:textId="1D2D8A29" w:rsidR="008D3706" w:rsidRDefault="008D3706" w:rsidP="00A25E90">
            <w:pPr>
              <w:pStyle w:val="Bullet"/>
              <w:numPr>
                <w:ilvl w:val="0"/>
                <w:numId w:val="20"/>
              </w:numPr>
              <w:spacing w:before="0" w:after="200" w:line="276" w:lineRule="auto"/>
            </w:pPr>
            <w:r>
              <w:t>defin</w:t>
            </w:r>
            <w:r w:rsidR="00D66376">
              <w:t>itions under state and federal l</w:t>
            </w:r>
            <w:r>
              <w:t>aws;</w:t>
            </w:r>
            <w:r w:rsidDel="00617495">
              <w:t xml:space="preserve"> </w:t>
            </w:r>
          </w:p>
          <w:p w14:paraId="221B5E8A" w14:textId="77777777" w:rsidR="008D3706" w:rsidRDefault="008D3706" w:rsidP="00A25E90">
            <w:pPr>
              <w:pStyle w:val="Bullet"/>
              <w:numPr>
                <w:ilvl w:val="0"/>
                <w:numId w:val="20"/>
              </w:numPr>
              <w:spacing w:before="0" w:after="200" w:line="276" w:lineRule="auto"/>
            </w:pPr>
            <w:r>
              <w:t>high wealth individuals and residency;</w:t>
            </w:r>
          </w:p>
          <w:p w14:paraId="0F06A4AF" w14:textId="1A119B98" w:rsidR="008D3706" w:rsidRDefault="008D3706" w:rsidP="00A25E90">
            <w:pPr>
              <w:pStyle w:val="Bullet"/>
              <w:numPr>
                <w:ilvl w:val="0"/>
                <w:numId w:val="20"/>
              </w:numPr>
              <w:spacing w:before="0" w:after="200" w:line="276" w:lineRule="auto"/>
            </w:pPr>
            <w:r>
              <w:t>contingent consideration</w:t>
            </w:r>
            <w:r w:rsidR="00D66376">
              <w:t xml:space="preserve"> and earn</w:t>
            </w:r>
            <w:r w:rsidR="00645072">
              <w:t>outs</w:t>
            </w:r>
            <w:r>
              <w:t>.</w:t>
            </w:r>
          </w:p>
          <w:p w14:paraId="0CE88B2B" w14:textId="2C4920AF" w:rsidR="008D3706" w:rsidRDefault="008D3706" w:rsidP="00A25E90">
            <w:pPr>
              <w:spacing w:before="0" w:line="276" w:lineRule="auto"/>
            </w:pPr>
            <w:r>
              <w:lastRenderedPageBreak/>
              <w:t xml:space="preserve">The Board also continues to work with the ATO on the operation of the Commissioner’s Remedial Power (CRP). </w:t>
            </w:r>
            <w:r w:rsidR="006F7FF6">
              <w:t xml:space="preserve"> </w:t>
            </w:r>
            <w:r>
              <w:t>The Board provided feedback to the ATO during consultation on the recently tabled determination under the CRP relating to the foreign resident CGT withholding tax.</w:t>
            </w:r>
          </w:p>
          <w:p w14:paraId="2C29D071" w14:textId="2FB8F535" w:rsidR="008D3706" w:rsidRPr="00BD2FF3" w:rsidRDefault="008D3706" w:rsidP="00A25E90">
            <w:pPr>
              <w:spacing w:before="0" w:line="276" w:lineRule="auto"/>
            </w:pPr>
            <w:r>
              <w:t>Some of our current projects are expanded upon below.</w:t>
            </w:r>
          </w:p>
        </w:tc>
        <w:tc>
          <w:tcPr>
            <w:tcW w:w="580" w:type="dxa"/>
            <w:gridSpan w:val="2"/>
          </w:tcPr>
          <w:p w14:paraId="5B2E4DF3" w14:textId="586EE87E" w:rsidR="008D3706" w:rsidRPr="00BD2FF3" w:rsidRDefault="008D3706" w:rsidP="002256FA"/>
        </w:tc>
      </w:tr>
      <w:tr w:rsidR="008D3706" w:rsidRPr="00BD2FF3" w14:paraId="002309DC" w14:textId="77777777" w:rsidTr="00A25E90">
        <w:trPr>
          <w:gridAfter w:val="1"/>
          <w:wAfter w:w="55" w:type="dxa"/>
        </w:trPr>
        <w:tc>
          <w:tcPr>
            <w:tcW w:w="599" w:type="dxa"/>
          </w:tcPr>
          <w:p w14:paraId="15121108" w14:textId="32DCB740" w:rsidR="008D3706" w:rsidRPr="00BD2FF3" w:rsidRDefault="008D3706" w:rsidP="00645072">
            <w:pPr>
              <w:spacing w:before="0"/>
              <w:jc w:val="both"/>
            </w:pPr>
          </w:p>
        </w:tc>
        <w:tc>
          <w:tcPr>
            <w:tcW w:w="9686" w:type="dxa"/>
            <w:gridSpan w:val="4"/>
          </w:tcPr>
          <w:p w14:paraId="71241986" w14:textId="4E95C933" w:rsidR="008D3706" w:rsidRPr="008867E3" w:rsidRDefault="008D3706" w:rsidP="00645072">
            <w:pPr>
              <w:pStyle w:val="Heading2"/>
              <w:spacing w:before="0"/>
              <w:outlineLvl w:val="1"/>
              <w:rPr>
                <w:sz w:val="36"/>
                <w:szCs w:val="36"/>
              </w:rPr>
            </w:pPr>
            <w:r>
              <w:rPr>
                <w:sz w:val="36"/>
                <w:szCs w:val="36"/>
              </w:rPr>
              <w:t>Contingent consideration</w:t>
            </w:r>
          </w:p>
        </w:tc>
        <w:tc>
          <w:tcPr>
            <w:tcW w:w="580" w:type="dxa"/>
            <w:gridSpan w:val="2"/>
          </w:tcPr>
          <w:p w14:paraId="10F41DAC" w14:textId="4159F36F" w:rsidR="008D3706" w:rsidRDefault="008D3706" w:rsidP="00645072">
            <w:pPr>
              <w:spacing w:before="0"/>
            </w:pPr>
          </w:p>
        </w:tc>
      </w:tr>
      <w:tr w:rsidR="008D3706" w:rsidRPr="00BD2FF3" w14:paraId="787A5A10" w14:textId="77777777" w:rsidTr="00A25E90">
        <w:trPr>
          <w:gridAfter w:val="1"/>
          <w:wAfter w:w="55" w:type="dxa"/>
        </w:trPr>
        <w:tc>
          <w:tcPr>
            <w:tcW w:w="599" w:type="dxa"/>
          </w:tcPr>
          <w:p w14:paraId="02A91450" w14:textId="1F48A7CC" w:rsidR="008D3706" w:rsidRPr="00BD2FF3" w:rsidRDefault="008D3706" w:rsidP="0096275B">
            <w:pPr>
              <w:jc w:val="both"/>
            </w:pPr>
          </w:p>
        </w:tc>
        <w:tc>
          <w:tcPr>
            <w:tcW w:w="9686" w:type="dxa"/>
            <w:gridSpan w:val="4"/>
          </w:tcPr>
          <w:p w14:paraId="68B92440" w14:textId="2CA4C637" w:rsidR="008D3706" w:rsidRDefault="008D3706" w:rsidP="00A25E90">
            <w:pPr>
              <w:spacing w:before="0" w:after="200" w:line="276" w:lineRule="auto"/>
            </w:pPr>
            <w:r>
              <w:t>As mentioned in previous CEO updates, the Board is undertaking a review of the current taxation treatment of contingent consideration (including a post-implementation review of the CGT earnout rules) led by Board member Ann-Maree Wolff.</w:t>
            </w:r>
            <w:r w:rsidR="006F7FF6">
              <w:t xml:space="preserve"> </w:t>
            </w:r>
            <w:r>
              <w:t xml:space="preserve"> The Board’s working group includes Board members Craig Yaxley and Mark Pizzacalla, officials from the ATO and Tr</w:t>
            </w:r>
            <w:r w:rsidR="006F7FF6">
              <w:t>easury, and external advisers.</w:t>
            </w:r>
          </w:p>
          <w:p w14:paraId="2B7CE435" w14:textId="4E85DB34" w:rsidR="008D3706" w:rsidRDefault="008D3706" w:rsidP="00A25E90">
            <w:pPr>
              <w:spacing w:before="0" w:after="200" w:line="276" w:lineRule="auto"/>
            </w:pPr>
            <w:r>
              <w:t xml:space="preserve">The Board is currently undertaking consultation. </w:t>
            </w:r>
            <w:r w:rsidR="006F7FF6">
              <w:t xml:space="preserve"> </w:t>
            </w:r>
            <w:r>
              <w:t>Please contact us if you would like to be consulted.</w:t>
            </w:r>
          </w:p>
        </w:tc>
        <w:tc>
          <w:tcPr>
            <w:tcW w:w="580" w:type="dxa"/>
            <w:gridSpan w:val="2"/>
          </w:tcPr>
          <w:p w14:paraId="714B7FFF" w14:textId="7E9117BD" w:rsidR="008D3706" w:rsidRPr="00BD2FF3" w:rsidRDefault="008D3706" w:rsidP="002256FA"/>
        </w:tc>
      </w:tr>
      <w:tr w:rsidR="008D3706" w:rsidRPr="00BD2FF3" w14:paraId="27C036E6" w14:textId="77777777" w:rsidTr="00A25E90">
        <w:trPr>
          <w:gridAfter w:val="1"/>
          <w:wAfter w:w="55" w:type="dxa"/>
        </w:trPr>
        <w:tc>
          <w:tcPr>
            <w:tcW w:w="599" w:type="dxa"/>
          </w:tcPr>
          <w:p w14:paraId="72399309" w14:textId="0C9D0337" w:rsidR="008D3706" w:rsidRPr="00BD2FF3" w:rsidRDefault="008D3706" w:rsidP="00645072">
            <w:pPr>
              <w:spacing w:before="0"/>
              <w:jc w:val="both"/>
            </w:pPr>
          </w:p>
        </w:tc>
        <w:tc>
          <w:tcPr>
            <w:tcW w:w="9686" w:type="dxa"/>
            <w:gridSpan w:val="4"/>
          </w:tcPr>
          <w:p w14:paraId="25CAB409" w14:textId="212589EF" w:rsidR="008D3706" w:rsidRPr="008867E3" w:rsidRDefault="008D3706" w:rsidP="00645072">
            <w:pPr>
              <w:pStyle w:val="Heading2"/>
              <w:spacing w:before="0"/>
              <w:outlineLvl w:val="1"/>
              <w:rPr>
                <w:sz w:val="36"/>
                <w:szCs w:val="36"/>
              </w:rPr>
            </w:pPr>
            <w:r w:rsidRPr="008867E3">
              <w:rPr>
                <w:sz w:val="36"/>
                <w:szCs w:val="36"/>
              </w:rPr>
              <w:t>Black Economy Taskforce</w:t>
            </w:r>
          </w:p>
        </w:tc>
        <w:tc>
          <w:tcPr>
            <w:tcW w:w="580" w:type="dxa"/>
            <w:gridSpan w:val="2"/>
          </w:tcPr>
          <w:p w14:paraId="6C69892B" w14:textId="4A752F1B" w:rsidR="008D3706" w:rsidRDefault="008D3706" w:rsidP="00645072">
            <w:pPr>
              <w:spacing w:before="0"/>
            </w:pPr>
          </w:p>
        </w:tc>
      </w:tr>
      <w:tr w:rsidR="008D3706" w:rsidRPr="00BD2FF3" w14:paraId="4145E846" w14:textId="77777777" w:rsidTr="00A25E90">
        <w:trPr>
          <w:gridAfter w:val="1"/>
          <w:wAfter w:w="55" w:type="dxa"/>
        </w:trPr>
        <w:tc>
          <w:tcPr>
            <w:tcW w:w="599" w:type="dxa"/>
          </w:tcPr>
          <w:p w14:paraId="54D79314" w14:textId="442E9775" w:rsidR="008D3706" w:rsidRDefault="008D3706" w:rsidP="0096275B">
            <w:pPr>
              <w:jc w:val="both"/>
            </w:pPr>
          </w:p>
        </w:tc>
        <w:tc>
          <w:tcPr>
            <w:tcW w:w="9686" w:type="dxa"/>
            <w:gridSpan w:val="4"/>
          </w:tcPr>
          <w:p w14:paraId="6D325695" w14:textId="26862837" w:rsidR="008D3706" w:rsidRDefault="008D3706" w:rsidP="00A25E90">
            <w:pPr>
              <w:spacing w:before="0" w:after="200" w:line="276" w:lineRule="auto"/>
            </w:pPr>
            <w:r>
              <w:t>The Board received an update from the Chair on the work to date of the Black Economy Taskforce (</w:t>
            </w:r>
            <w:r w:rsidRPr="00B202AE">
              <w:t>the Taskforce</w:t>
            </w:r>
            <w:r>
              <w:t>).  The Board discussed the recently released discussion paper, the previously announced interim recommendations and longer term issues still under consideration.  A number of the Taskforce themes have overlap with the work of the Board.</w:t>
            </w:r>
          </w:p>
        </w:tc>
        <w:tc>
          <w:tcPr>
            <w:tcW w:w="580" w:type="dxa"/>
            <w:gridSpan w:val="2"/>
          </w:tcPr>
          <w:p w14:paraId="3F3076AF" w14:textId="3F94A299" w:rsidR="008D3706" w:rsidRDefault="008D3706" w:rsidP="002256FA"/>
        </w:tc>
      </w:tr>
      <w:tr w:rsidR="008D3706" w:rsidRPr="00BD2FF3" w14:paraId="66770258" w14:textId="77777777" w:rsidTr="00A25E90">
        <w:trPr>
          <w:gridAfter w:val="1"/>
          <w:wAfter w:w="55" w:type="dxa"/>
        </w:trPr>
        <w:tc>
          <w:tcPr>
            <w:tcW w:w="599" w:type="dxa"/>
          </w:tcPr>
          <w:p w14:paraId="3D4DC9CA" w14:textId="3AD60543" w:rsidR="008D3706" w:rsidRPr="00BD2FF3" w:rsidRDefault="008D3706" w:rsidP="00645072">
            <w:pPr>
              <w:spacing w:before="0"/>
            </w:pPr>
          </w:p>
        </w:tc>
        <w:tc>
          <w:tcPr>
            <w:tcW w:w="9686" w:type="dxa"/>
            <w:gridSpan w:val="4"/>
          </w:tcPr>
          <w:p w14:paraId="6C4321AC" w14:textId="43B51D0E" w:rsidR="008D3706" w:rsidRDefault="008D3706" w:rsidP="00645072">
            <w:pPr>
              <w:pStyle w:val="Bullet"/>
              <w:numPr>
                <w:ilvl w:val="0"/>
                <w:numId w:val="0"/>
              </w:numPr>
              <w:tabs>
                <w:tab w:val="left" w:pos="720"/>
                <w:tab w:val="left" w:pos="6550"/>
              </w:tabs>
              <w:spacing w:before="0"/>
              <w:jc w:val="both"/>
            </w:pPr>
            <w:r>
              <w:rPr>
                <w:rFonts w:ascii="Segoe UI Light" w:hAnsi="Segoe UI Light"/>
                <w:b/>
                <w:color w:val="1F497D" w:themeColor="text2"/>
                <w:sz w:val="36"/>
                <w:szCs w:val="36"/>
              </w:rPr>
              <w:t>H</w:t>
            </w:r>
            <w:r w:rsidRPr="008867E3">
              <w:rPr>
                <w:rFonts w:ascii="Segoe UI Light" w:hAnsi="Segoe UI Light"/>
                <w:b/>
                <w:color w:val="1F497D" w:themeColor="text2"/>
                <w:sz w:val="36"/>
                <w:szCs w:val="36"/>
              </w:rPr>
              <w:t xml:space="preserve">igh </w:t>
            </w:r>
            <w:r>
              <w:rPr>
                <w:rFonts w:ascii="Segoe UI Light" w:hAnsi="Segoe UI Light"/>
                <w:b/>
                <w:color w:val="1F497D" w:themeColor="text2"/>
                <w:sz w:val="36"/>
                <w:szCs w:val="36"/>
              </w:rPr>
              <w:t>Wealth Individuals a</w:t>
            </w:r>
            <w:r w:rsidRPr="008867E3">
              <w:rPr>
                <w:rFonts w:ascii="Segoe UI Light" w:hAnsi="Segoe UI Light"/>
                <w:b/>
                <w:color w:val="1F497D" w:themeColor="text2"/>
                <w:sz w:val="36"/>
                <w:szCs w:val="36"/>
              </w:rPr>
              <w:t>nd Residency</w:t>
            </w:r>
          </w:p>
        </w:tc>
        <w:tc>
          <w:tcPr>
            <w:tcW w:w="580" w:type="dxa"/>
            <w:gridSpan w:val="2"/>
          </w:tcPr>
          <w:p w14:paraId="666FB4C6" w14:textId="2C28F89A" w:rsidR="008D3706" w:rsidRPr="00BD2FF3" w:rsidRDefault="008D3706" w:rsidP="00645072">
            <w:pPr>
              <w:spacing w:before="0"/>
            </w:pPr>
          </w:p>
        </w:tc>
      </w:tr>
      <w:tr w:rsidR="008D3706" w:rsidRPr="00BD2FF3" w14:paraId="4658BBE2" w14:textId="77777777" w:rsidTr="00A25E90">
        <w:trPr>
          <w:gridAfter w:val="1"/>
          <w:wAfter w:w="55" w:type="dxa"/>
        </w:trPr>
        <w:tc>
          <w:tcPr>
            <w:tcW w:w="599" w:type="dxa"/>
          </w:tcPr>
          <w:p w14:paraId="05ED8376" w14:textId="4044D840" w:rsidR="008D3706" w:rsidRDefault="008D3706" w:rsidP="00F45150"/>
        </w:tc>
        <w:tc>
          <w:tcPr>
            <w:tcW w:w="9686" w:type="dxa"/>
            <w:gridSpan w:val="4"/>
          </w:tcPr>
          <w:p w14:paraId="03D8EC62" w14:textId="7A0A1C84" w:rsidR="008D3706" w:rsidRDefault="008D3706" w:rsidP="00A25E90">
            <w:pPr>
              <w:pStyle w:val="Bullet"/>
              <w:numPr>
                <w:ilvl w:val="0"/>
                <w:numId w:val="0"/>
              </w:numPr>
              <w:tabs>
                <w:tab w:val="left" w:pos="720"/>
              </w:tabs>
              <w:spacing w:before="0" w:after="200" w:line="276" w:lineRule="auto"/>
            </w:pPr>
            <w:r>
              <w:t xml:space="preserve">The Board discussed a draft report of the working group led by Mark Pizzacalla in relation to high wealth individuals and residency.  The Board made comments in relation to some points under consideration and </w:t>
            </w:r>
            <w:r w:rsidRPr="00F46FB9">
              <w:t>is now in a posi</w:t>
            </w:r>
            <w:r w:rsidRPr="006000E2">
              <w:t>tion to finalise this report.</w:t>
            </w:r>
          </w:p>
        </w:tc>
        <w:tc>
          <w:tcPr>
            <w:tcW w:w="580" w:type="dxa"/>
            <w:gridSpan w:val="2"/>
          </w:tcPr>
          <w:p w14:paraId="33F12D04" w14:textId="0245867B" w:rsidR="008D3706" w:rsidRDefault="008D3706" w:rsidP="00F45150"/>
        </w:tc>
      </w:tr>
      <w:tr w:rsidR="008D3706" w:rsidRPr="006B1E71" w14:paraId="627E7020" w14:textId="77777777" w:rsidTr="00A25E90">
        <w:trPr>
          <w:gridAfter w:val="1"/>
          <w:wAfter w:w="55" w:type="dxa"/>
        </w:trPr>
        <w:tc>
          <w:tcPr>
            <w:tcW w:w="599" w:type="dxa"/>
          </w:tcPr>
          <w:p w14:paraId="395E435A" w14:textId="19162992" w:rsidR="008D3706" w:rsidRPr="006B1E71" w:rsidRDefault="008D3706" w:rsidP="00645072">
            <w:pPr>
              <w:spacing w:before="0"/>
              <w:rPr>
                <w:sz w:val="36"/>
                <w:szCs w:val="36"/>
              </w:rPr>
            </w:pPr>
          </w:p>
        </w:tc>
        <w:tc>
          <w:tcPr>
            <w:tcW w:w="9686" w:type="dxa"/>
            <w:gridSpan w:val="4"/>
          </w:tcPr>
          <w:p w14:paraId="704AA9A3" w14:textId="2EF49868" w:rsidR="008D3706" w:rsidRPr="006B1E71" w:rsidRDefault="008D3706" w:rsidP="00645072">
            <w:pPr>
              <w:pStyle w:val="Heading2"/>
              <w:spacing w:before="0"/>
              <w:outlineLvl w:val="1"/>
              <w:rPr>
                <w:sz w:val="36"/>
                <w:szCs w:val="36"/>
              </w:rPr>
            </w:pPr>
            <w:r w:rsidRPr="005158CD">
              <w:rPr>
                <w:sz w:val="36"/>
                <w:szCs w:val="36"/>
              </w:rPr>
              <w:t>Sounding Board</w:t>
            </w:r>
          </w:p>
        </w:tc>
        <w:tc>
          <w:tcPr>
            <w:tcW w:w="580" w:type="dxa"/>
            <w:gridSpan w:val="2"/>
          </w:tcPr>
          <w:p w14:paraId="7B5AB92A" w14:textId="456A4642" w:rsidR="008D3706" w:rsidRPr="006B1E71" w:rsidRDefault="008D3706" w:rsidP="00645072">
            <w:pPr>
              <w:spacing w:before="0"/>
              <w:rPr>
                <w:sz w:val="36"/>
                <w:szCs w:val="36"/>
              </w:rPr>
            </w:pPr>
          </w:p>
        </w:tc>
      </w:tr>
      <w:tr w:rsidR="008D3706" w:rsidRPr="00BD2FF3" w14:paraId="275F92CC" w14:textId="77777777" w:rsidTr="00A25E90">
        <w:trPr>
          <w:gridAfter w:val="1"/>
          <w:wAfter w:w="55" w:type="dxa"/>
        </w:trPr>
        <w:tc>
          <w:tcPr>
            <w:tcW w:w="599" w:type="dxa"/>
          </w:tcPr>
          <w:p w14:paraId="27A05CCF" w14:textId="06FD7B27" w:rsidR="008D3706" w:rsidRDefault="008D3706" w:rsidP="00F45150"/>
        </w:tc>
        <w:tc>
          <w:tcPr>
            <w:tcW w:w="9686" w:type="dxa"/>
            <w:gridSpan w:val="4"/>
          </w:tcPr>
          <w:p w14:paraId="050AD146" w14:textId="2738E4EF" w:rsidR="008D3706" w:rsidRDefault="008D3706" w:rsidP="00A25E90">
            <w:pPr>
              <w:spacing w:before="0" w:after="200" w:line="276" w:lineRule="auto"/>
            </w:pPr>
            <w:r>
              <w:t>The Board continues to monitor and review activity on Sounding Board, which is a standing item on the Board’s agenda.  The Board is currently investigating the following ideas on the Sounding Board:</w:t>
            </w:r>
          </w:p>
          <w:p w14:paraId="0B0B0AE1" w14:textId="6292A85C" w:rsidR="008D3706" w:rsidRDefault="008D3706" w:rsidP="00A25E90">
            <w:pPr>
              <w:pStyle w:val="Bullet"/>
            </w:pPr>
            <w:r>
              <w:t>Superannuation: the compliance burden associated with obtaining an a</w:t>
            </w:r>
            <w:r w:rsidRPr="005C4D49">
              <w:t xml:space="preserve">ctuary's </w:t>
            </w:r>
            <w:r>
              <w:t>c</w:t>
            </w:r>
            <w:r w:rsidRPr="005C4D49">
              <w:t>ertificate</w:t>
            </w:r>
            <w:r>
              <w:t xml:space="preserve"> for income to qualify as e</w:t>
            </w:r>
            <w:r w:rsidRPr="005C4D49">
              <w:t xml:space="preserve">xempt </w:t>
            </w:r>
            <w:r>
              <w:t>c</w:t>
            </w:r>
            <w:r w:rsidRPr="005C4D49">
              <w:t xml:space="preserve">urrent </w:t>
            </w:r>
            <w:r>
              <w:t>p</w:t>
            </w:r>
            <w:r w:rsidRPr="005C4D49">
              <w:t xml:space="preserve">ension </w:t>
            </w:r>
            <w:r>
              <w:t>i</w:t>
            </w:r>
            <w:r w:rsidRPr="005C4D49">
              <w:t>ncome</w:t>
            </w:r>
            <w:r>
              <w:t>;</w:t>
            </w:r>
          </w:p>
          <w:p w14:paraId="41ACFFCD" w14:textId="2B644038" w:rsidR="008D3706" w:rsidRDefault="008D3706" w:rsidP="00A25E90">
            <w:pPr>
              <w:pStyle w:val="Bullet"/>
            </w:pPr>
            <w:r>
              <w:t>GST: the operation of the law to joint ventures and a potential grouping solution;</w:t>
            </w:r>
          </w:p>
          <w:p w14:paraId="24DE3FCE" w14:textId="4F0BE547" w:rsidR="008D3706" w:rsidRDefault="008D3706" w:rsidP="00A25E90">
            <w:pPr>
              <w:pStyle w:val="Bullet"/>
            </w:pPr>
            <w:r>
              <w:t>PAYG instalment calculations and materiality thresholds</w:t>
            </w:r>
            <w:r w:rsidR="00D66376">
              <w:t>:</w:t>
            </w:r>
            <w:r>
              <w:t xml:space="preserve"> opportunities to simplify;</w:t>
            </w:r>
          </w:p>
          <w:p w14:paraId="7D427DA0" w14:textId="72229E44" w:rsidR="008D3706" w:rsidRDefault="009153C0" w:rsidP="00A25E90">
            <w:pPr>
              <w:pStyle w:val="Bullet"/>
            </w:pPr>
            <w:r>
              <w:t>u</w:t>
            </w:r>
            <w:r w:rsidR="008D3706" w:rsidRPr="00715182">
              <w:t>pdating the Approved Stock Exchange List</w:t>
            </w:r>
            <w:r w:rsidR="008D3706">
              <w:t xml:space="preserve"> used throughout the Tax Acts;</w:t>
            </w:r>
          </w:p>
          <w:p w14:paraId="7ADA6160" w14:textId="2F51A9FD" w:rsidR="008D3706" w:rsidRDefault="008D3706" w:rsidP="00A25E90">
            <w:pPr>
              <w:pStyle w:val="Bullet"/>
            </w:pPr>
            <w:r>
              <w:t>CGT main residence exemption: considering the compliance burden imposed by the special market value rule in the main residence exemption;</w:t>
            </w:r>
          </w:p>
          <w:p w14:paraId="26D6A2A0" w14:textId="33A8817F" w:rsidR="008D3706" w:rsidRDefault="008D3706" w:rsidP="00A25E90">
            <w:pPr>
              <w:pStyle w:val="Bullet"/>
            </w:pPr>
            <w:r>
              <w:t>FBT grouping</w:t>
            </w:r>
            <w:r w:rsidR="00D66376">
              <w:t>:</w:t>
            </w:r>
            <w:r>
              <w:t xml:space="preserve"> are any compliance savings possible by allowing grouping;</w:t>
            </w:r>
          </w:p>
          <w:p w14:paraId="1329AC9E" w14:textId="71646038" w:rsidR="008D3706" w:rsidRDefault="008D3706" w:rsidP="00A25E90">
            <w:pPr>
              <w:pStyle w:val="Bullet"/>
            </w:pPr>
            <w:r>
              <w:t>FBT year end</w:t>
            </w:r>
            <w:r w:rsidR="00D66376">
              <w:t>:</w:t>
            </w:r>
            <w:r>
              <w:t xml:space="preserve"> would an election to allow taxpayers to align their FBT </w:t>
            </w:r>
            <w:r w:rsidR="00D66376">
              <w:t xml:space="preserve">and income tax </w:t>
            </w:r>
            <w:r>
              <w:t>year end</w:t>
            </w:r>
            <w:r w:rsidR="00D66376">
              <w:t>s</w:t>
            </w:r>
            <w:r>
              <w:t xml:space="preserve"> provide compliance savings or simplicity</w:t>
            </w:r>
            <w:r w:rsidR="00C11ED7">
              <w:t xml:space="preserve"> (at least for some taxpayers)</w:t>
            </w:r>
            <w:r>
              <w:t>;</w:t>
            </w:r>
          </w:p>
          <w:p w14:paraId="40CFF0BB" w14:textId="32CC35A3" w:rsidR="008D3706" w:rsidRDefault="009153C0" w:rsidP="00A25E90">
            <w:pPr>
              <w:pStyle w:val="Bullet"/>
            </w:pPr>
            <w:r>
              <w:t>e</w:t>
            </w:r>
            <w:r w:rsidR="008D3706">
              <w:t xml:space="preserve">mployee </w:t>
            </w:r>
            <w:r>
              <w:t>s</w:t>
            </w:r>
            <w:r w:rsidR="008D3706">
              <w:t xml:space="preserve">hare </w:t>
            </w:r>
            <w:r>
              <w:t>p</w:t>
            </w:r>
            <w:r w:rsidR="008D3706">
              <w:t>lan interests in foreign vehicles</w:t>
            </w:r>
            <w:r w:rsidR="00D66376">
              <w:t>:</w:t>
            </w:r>
            <w:r w:rsidR="008D3706">
              <w:t xml:space="preserve"> can or should interests in certain foreign vehicles qualify as ‘shares’; </w:t>
            </w:r>
          </w:p>
          <w:p w14:paraId="04530CC8" w14:textId="68C999FB" w:rsidR="008D3706" w:rsidRDefault="009153C0" w:rsidP="00A25E90">
            <w:pPr>
              <w:pStyle w:val="Bullet"/>
            </w:pPr>
            <w:r>
              <w:t>p</w:t>
            </w:r>
            <w:r w:rsidR="008D3706">
              <w:t xml:space="preserve">ublic </w:t>
            </w:r>
            <w:r>
              <w:t>o</w:t>
            </w:r>
            <w:r w:rsidR="008D3706">
              <w:t>fficers</w:t>
            </w:r>
            <w:r w:rsidR="00D66376">
              <w:t>:</w:t>
            </w:r>
            <w:r w:rsidR="008D3706">
              <w:t xml:space="preserve"> </w:t>
            </w:r>
            <w:r w:rsidR="00520AB9">
              <w:t xml:space="preserve">is there a </w:t>
            </w:r>
            <w:r w:rsidR="008D3706">
              <w:t>need to allow a company to appoint multiple public officers (or delegations for same);</w:t>
            </w:r>
          </w:p>
          <w:p w14:paraId="011DF5C7" w14:textId="19121B2F" w:rsidR="008D3706" w:rsidRDefault="008D3706" w:rsidP="00A25E90">
            <w:pPr>
              <w:pStyle w:val="Bullet"/>
            </w:pPr>
            <w:r>
              <w:t xml:space="preserve">GST </w:t>
            </w:r>
            <w:r w:rsidR="00D66376">
              <w:t>e</w:t>
            </w:r>
            <w:r>
              <w:t>rrors</w:t>
            </w:r>
            <w:r w:rsidR="00D66376">
              <w:t>:</w:t>
            </w:r>
            <w:r>
              <w:t xml:space="preserve"> is the correction mechanism operating appropriately?</w:t>
            </w:r>
          </w:p>
          <w:p w14:paraId="4E153B3A" w14:textId="4854F303" w:rsidR="008D3706" w:rsidRDefault="008D3706" w:rsidP="00A25E90">
            <w:pPr>
              <w:pStyle w:val="Bullet"/>
              <w:numPr>
                <w:ilvl w:val="0"/>
                <w:numId w:val="0"/>
              </w:numPr>
              <w:tabs>
                <w:tab w:val="left" w:pos="720"/>
              </w:tabs>
              <w:spacing w:before="0" w:after="200" w:line="276" w:lineRule="auto"/>
            </w:pPr>
            <w:r>
              <w:t xml:space="preserve">If you would like to comment or vote on the above issues, you can do so by registering with Sounding Board. </w:t>
            </w:r>
            <w:r w:rsidR="006F7FF6">
              <w:t xml:space="preserve"> </w:t>
            </w:r>
            <w:r>
              <w:t xml:space="preserve">Please visit Sounding Board for more information – </w:t>
            </w:r>
            <w:hyperlink r:id="rId15" w:history="1">
              <w:r w:rsidRPr="00C7693B">
                <w:rPr>
                  <w:rStyle w:val="Hyperlink"/>
                </w:rPr>
                <w:t>https://taxboard.ideascale.com/</w:t>
              </w:r>
            </w:hyperlink>
            <w:r>
              <w:t>.</w:t>
            </w:r>
          </w:p>
        </w:tc>
        <w:tc>
          <w:tcPr>
            <w:tcW w:w="580" w:type="dxa"/>
            <w:gridSpan w:val="2"/>
          </w:tcPr>
          <w:p w14:paraId="1F8E0B98" w14:textId="2F3B0A0E" w:rsidR="008D3706" w:rsidRDefault="008D3706" w:rsidP="00F45150"/>
        </w:tc>
      </w:tr>
      <w:tr w:rsidR="008D3706" w:rsidRPr="006B1E71" w14:paraId="759B1692" w14:textId="77777777" w:rsidTr="00A25E90">
        <w:trPr>
          <w:gridAfter w:val="1"/>
          <w:wAfter w:w="55" w:type="dxa"/>
        </w:trPr>
        <w:tc>
          <w:tcPr>
            <w:tcW w:w="599" w:type="dxa"/>
          </w:tcPr>
          <w:p w14:paraId="2093717C" w14:textId="1DAA7444" w:rsidR="008D3706" w:rsidRPr="006B1E71" w:rsidRDefault="008D3706" w:rsidP="00645072">
            <w:pPr>
              <w:spacing w:before="0"/>
              <w:rPr>
                <w:sz w:val="36"/>
                <w:szCs w:val="36"/>
              </w:rPr>
            </w:pPr>
          </w:p>
        </w:tc>
        <w:tc>
          <w:tcPr>
            <w:tcW w:w="9686" w:type="dxa"/>
            <w:gridSpan w:val="4"/>
          </w:tcPr>
          <w:p w14:paraId="537560D6" w14:textId="3C383DE6" w:rsidR="008D3706" w:rsidRPr="006B1E71" w:rsidRDefault="008D3706" w:rsidP="00645072">
            <w:pPr>
              <w:pStyle w:val="Heading2"/>
              <w:spacing w:before="0"/>
              <w:outlineLvl w:val="1"/>
              <w:rPr>
                <w:sz w:val="36"/>
                <w:szCs w:val="36"/>
              </w:rPr>
            </w:pPr>
            <w:r w:rsidRPr="006B1E71">
              <w:rPr>
                <w:sz w:val="36"/>
                <w:szCs w:val="36"/>
              </w:rPr>
              <w:t>Tax Transparency Code</w:t>
            </w:r>
          </w:p>
        </w:tc>
        <w:tc>
          <w:tcPr>
            <w:tcW w:w="580" w:type="dxa"/>
            <w:gridSpan w:val="2"/>
          </w:tcPr>
          <w:p w14:paraId="5910D3D2" w14:textId="34042273" w:rsidR="008D3706" w:rsidRPr="006B1E71" w:rsidRDefault="008D3706" w:rsidP="00645072">
            <w:pPr>
              <w:spacing w:before="0"/>
              <w:rPr>
                <w:sz w:val="36"/>
                <w:szCs w:val="36"/>
              </w:rPr>
            </w:pPr>
          </w:p>
        </w:tc>
      </w:tr>
      <w:tr w:rsidR="008D3706" w:rsidRPr="00BD2FF3" w14:paraId="6AEBC6BD" w14:textId="77777777" w:rsidTr="00A25E90">
        <w:trPr>
          <w:gridAfter w:val="1"/>
          <w:wAfter w:w="55" w:type="dxa"/>
        </w:trPr>
        <w:tc>
          <w:tcPr>
            <w:tcW w:w="599" w:type="dxa"/>
          </w:tcPr>
          <w:p w14:paraId="1775A53C" w14:textId="407718ED" w:rsidR="008D3706" w:rsidRDefault="008D3706" w:rsidP="0096275B">
            <w:pPr>
              <w:jc w:val="both"/>
            </w:pPr>
          </w:p>
        </w:tc>
        <w:tc>
          <w:tcPr>
            <w:tcW w:w="9686" w:type="dxa"/>
            <w:gridSpan w:val="4"/>
          </w:tcPr>
          <w:p w14:paraId="43B2414F" w14:textId="1C91EC82" w:rsidR="008D3706" w:rsidRDefault="008D3706" w:rsidP="00A25E90">
            <w:pPr>
              <w:spacing w:before="0" w:after="200" w:line="276" w:lineRule="auto"/>
            </w:pPr>
            <w:r>
              <w:t xml:space="preserve">The Board noted that 105 organisations (including Government Business Enterprises and foreign companies) have now indicated their intention to adopt the Code – the set of principles and minimum standards to guide the disclosure of tax information by businesses. </w:t>
            </w:r>
            <w:r w:rsidR="006F7FF6">
              <w:t xml:space="preserve"> </w:t>
            </w:r>
            <w:r>
              <w:t xml:space="preserve">The Board notes that </w:t>
            </w:r>
            <w:r w:rsidRPr="00F46FB9">
              <w:t xml:space="preserve">more than 40 signatories </w:t>
            </w:r>
            <w:r w:rsidRPr="00775577">
              <w:t xml:space="preserve">have </w:t>
            </w:r>
            <w:r>
              <w:t xml:space="preserve">signed up for the Code this year. </w:t>
            </w:r>
          </w:p>
          <w:p w14:paraId="28805A34" w14:textId="77777777" w:rsidR="008D3706" w:rsidRDefault="008D3706" w:rsidP="00A25E90">
            <w:pPr>
              <w:spacing w:before="0" w:after="200" w:line="276" w:lineRule="auto"/>
            </w:pPr>
            <w:r>
              <w:t xml:space="preserve">A register of signatory organisations can be found at: </w:t>
            </w:r>
            <w:hyperlink r:id="rId16" w:history="1">
              <w:r w:rsidRPr="00BF22B3">
                <w:rPr>
                  <w:rStyle w:val="Hyperlink"/>
                </w:rPr>
                <w:t>http://taxboard.gov.au/current-activities/transparency-code-register/</w:t>
              </w:r>
            </w:hyperlink>
            <w:r>
              <w:t xml:space="preserve">. </w:t>
            </w:r>
          </w:p>
          <w:p w14:paraId="1750A306" w14:textId="3A673A84" w:rsidR="008D3706" w:rsidRDefault="008D3706" w:rsidP="00A25E90">
            <w:r>
              <w:t>The Board encourages you to adopt the Code and support and assist your clients to adopt it.</w:t>
            </w:r>
            <w:r w:rsidR="006F7FF6">
              <w:t xml:space="preserve"> </w:t>
            </w:r>
            <w:r>
              <w:t xml:space="preserve"> It is as simple as sending us an email setting out your groups’ intentions!  For further information on the Code or to register your intention to adopt it, please contact the Board at </w:t>
            </w:r>
            <w:hyperlink r:id="rId17" w:history="1">
              <w:r w:rsidRPr="00BF22B3">
                <w:rPr>
                  <w:rStyle w:val="Hyperlink"/>
                </w:rPr>
                <w:t>taxboard@treasury.gov.au</w:t>
              </w:r>
            </w:hyperlink>
            <w:r>
              <w:t>.</w:t>
            </w:r>
          </w:p>
        </w:tc>
        <w:tc>
          <w:tcPr>
            <w:tcW w:w="580" w:type="dxa"/>
            <w:gridSpan w:val="2"/>
          </w:tcPr>
          <w:p w14:paraId="0B8AE7D0" w14:textId="04B21FB5" w:rsidR="008D3706" w:rsidRDefault="008D3706" w:rsidP="002256FA"/>
        </w:tc>
      </w:tr>
      <w:tr w:rsidR="00A25E90" w:rsidRPr="00BD2FF3" w14:paraId="6A110A4D" w14:textId="77777777" w:rsidTr="00A25E90">
        <w:trPr>
          <w:gridAfter w:val="1"/>
          <w:wAfter w:w="55" w:type="dxa"/>
        </w:trPr>
        <w:tc>
          <w:tcPr>
            <w:tcW w:w="599" w:type="dxa"/>
          </w:tcPr>
          <w:p w14:paraId="37752933" w14:textId="77777777" w:rsidR="00A25E90" w:rsidRPr="00BD2FF3" w:rsidRDefault="00A25E90" w:rsidP="00A25E90">
            <w:pPr>
              <w:spacing w:before="0"/>
            </w:pPr>
          </w:p>
        </w:tc>
        <w:tc>
          <w:tcPr>
            <w:tcW w:w="9686" w:type="dxa"/>
            <w:gridSpan w:val="4"/>
          </w:tcPr>
          <w:p w14:paraId="24BA6192" w14:textId="52CFAB3A" w:rsidR="00A25E90" w:rsidRDefault="00A25E90" w:rsidP="00A25E90">
            <w:pPr>
              <w:pStyle w:val="Bullet"/>
              <w:numPr>
                <w:ilvl w:val="0"/>
                <w:numId w:val="0"/>
              </w:numPr>
              <w:tabs>
                <w:tab w:val="left" w:pos="720"/>
                <w:tab w:val="left" w:pos="6550"/>
              </w:tabs>
              <w:spacing w:before="0"/>
              <w:jc w:val="both"/>
            </w:pPr>
            <w:r w:rsidRPr="005158CD">
              <w:rPr>
                <w:sz w:val="36"/>
                <w:szCs w:val="36"/>
              </w:rPr>
              <w:t>Thank You</w:t>
            </w:r>
          </w:p>
        </w:tc>
        <w:tc>
          <w:tcPr>
            <w:tcW w:w="580" w:type="dxa"/>
            <w:gridSpan w:val="2"/>
          </w:tcPr>
          <w:p w14:paraId="1D3DE1ED" w14:textId="77777777" w:rsidR="00A25E90" w:rsidRPr="00BD2FF3" w:rsidRDefault="00A25E90" w:rsidP="00A25E90">
            <w:pPr>
              <w:spacing w:before="0"/>
            </w:pPr>
          </w:p>
        </w:tc>
      </w:tr>
      <w:tr w:rsidR="00A25E90" w:rsidRPr="00BD2FF3" w14:paraId="30A718B8" w14:textId="77777777" w:rsidTr="00A25E90">
        <w:trPr>
          <w:gridAfter w:val="1"/>
          <w:wAfter w:w="55" w:type="dxa"/>
        </w:trPr>
        <w:tc>
          <w:tcPr>
            <w:tcW w:w="599" w:type="dxa"/>
          </w:tcPr>
          <w:p w14:paraId="2AC51792" w14:textId="6776FC75" w:rsidR="00A25E90" w:rsidRDefault="00A25E90" w:rsidP="00A25E90"/>
        </w:tc>
        <w:tc>
          <w:tcPr>
            <w:tcW w:w="9686" w:type="dxa"/>
            <w:gridSpan w:val="4"/>
          </w:tcPr>
          <w:p w14:paraId="66260F95" w14:textId="07C5C94A" w:rsidR="00A25E90" w:rsidRDefault="00A25E90" w:rsidP="00A25E90">
            <w:pPr>
              <w:pStyle w:val="Bullet"/>
              <w:numPr>
                <w:ilvl w:val="0"/>
                <w:numId w:val="0"/>
              </w:numPr>
              <w:tabs>
                <w:tab w:val="left" w:pos="720"/>
              </w:tabs>
              <w:spacing w:before="0" w:after="200" w:line="276" w:lineRule="auto"/>
            </w:pPr>
            <w:r w:rsidRPr="00392A88">
              <w:t xml:space="preserve">The Board would also like to thank </w:t>
            </w:r>
            <w:r>
              <w:t xml:space="preserve">UniSA </w:t>
            </w:r>
            <w:r w:rsidRPr="00392A88">
              <w:t>for host</w:t>
            </w:r>
            <w:r>
              <w:t>ing</w:t>
            </w:r>
            <w:r w:rsidRPr="00392A88">
              <w:t xml:space="preserve"> the Board in </w:t>
            </w:r>
            <w:r>
              <w:t>Adelaide</w:t>
            </w:r>
            <w:r w:rsidRPr="00392A88">
              <w:t xml:space="preserve"> – the Board is most grateful.</w:t>
            </w:r>
            <w:r>
              <w:t xml:space="preserve">  The Board would like to thank all those who participated in the discussions over lunch.  We remind you that you can contact us at any time – refer to my contact details below or please email </w:t>
            </w:r>
            <w:hyperlink r:id="rId18" w:history="1">
              <w:r w:rsidRPr="00BF22B3">
                <w:rPr>
                  <w:rStyle w:val="Hyperlink"/>
                </w:rPr>
                <w:t>taxboard@treasury.gov.au</w:t>
              </w:r>
            </w:hyperlink>
            <w:r>
              <w:t>.</w:t>
            </w:r>
          </w:p>
        </w:tc>
        <w:tc>
          <w:tcPr>
            <w:tcW w:w="580" w:type="dxa"/>
            <w:gridSpan w:val="2"/>
          </w:tcPr>
          <w:p w14:paraId="5D30B546" w14:textId="41E774C2" w:rsidR="00A25E90" w:rsidRDefault="00A25E90" w:rsidP="00A25E90"/>
        </w:tc>
      </w:tr>
      <w:tr w:rsidR="00A25E90" w:rsidRPr="00BD2FF3" w14:paraId="3DB16AA8" w14:textId="77777777" w:rsidTr="00A25E90">
        <w:trPr>
          <w:gridAfter w:val="1"/>
          <w:wAfter w:w="55" w:type="dxa"/>
        </w:trPr>
        <w:tc>
          <w:tcPr>
            <w:tcW w:w="599" w:type="dxa"/>
          </w:tcPr>
          <w:p w14:paraId="18FBF139" w14:textId="52EF5046" w:rsidR="00A25E90" w:rsidRPr="00BD2FF3" w:rsidRDefault="00A25E90" w:rsidP="00A25E90">
            <w:pPr>
              <w:spacing w:before="0"/>
            </w:pPr>
          </w:p>
        </w:tc>
        <w:tc>
          <w:tcPr>
            <w:tcW w:w="9686" w:type="dxa"/>
            <w:gridSpan w:val="4"/>
          </w:tcPr>
          <w:p w14:paraId="1461D42D" w14:textId="13F979B2" w:rsidR="00A25E90" w:rsidRDefault="00A25E90" w:rsidP="00A25E90">
            <w:pPr>
              <w:pStyle w:val="Bullet"/>
              <w:numPr>
                <w:ilvl w:val="0"/>
                <w:numId w:val="0"/>
              </w:numPr>
              <w:tabs>
                <w:tab w:val="left" w:pos="720"/>
                <w:tab w:val="left" w:pos="6550"/>
              </w:tabs>
              <w:spacing w:before="0"/>
              <w:jc w:val="both"/>
            </w:pPr>
            <w:r w:rsidRPr="005158CD">
              <w:rPr>
                <w:sz w:val="36"/>
                <w:szCs w:val="36"/>
              </w:rPr>
              <w:t>Upcoming 2017 Board Meetings</w:t>
            </w:r>
          </w:p>
        </w:tc>
        <w:tc>
          <w:tcPr>
            <w:tcW w:w="580" w:type="dxa"/>
            <w:gridSpan w:val="2"/>
          </w:tcPr>
          <w:p w14:paraId="08158C3B" w14:textId="42E12904" w:rsidR="00A25E90" w:rsidRPr="00BD2FF3" w:rsidRDefault="00A25E90" w:rsidP="00A25E90">
            <w:pPr>
              <w:spacing w:before="0"/>
            </w:pPr>
          </w:p>
        </w:tc>
      </w:tr>
      <w:tr w:rsidR="00A25E90" w:rsidRPr="00BD2FF3" w14:paraId="539B225F" w14:textId="77777777" w:rsidTr="00A25E90">
        <w:trPr>
          <w:gridAfter w:val="1"/>
          <w:wAfter w:w="55" w:type="dxa"/>
        </w:trPr>
        <w:tc>
          <w:tcPr>
            <w:tcW w:w="599" w:type="dxa"/>
          </w:tcPr>
          <w:p w14:paraId="5A5583D9" w14:textId="5A6A80EF" w:rsidR="00A25E90" w:rsidRDefault="00A25E90" w:rsidP="00A25E90"/>
        </w:tc>
        <w:tc>
          <w:tcPr>
            <w:tcW w:w="9686" w:type="dxa"/>
            <w:gridSpan w:val="4"/>
          </w:tcPr>
          <w:p w14:paraId="143366F1" w14:textId="77777777" w:rsidR="00A25E90" w:rsidRDefault="00A25E90" w:rsidP="00A25E90">
            <w:pPr>
              <w:spacing w:before="0" w:after="200" w:line="276" w:lineRule="auto"/>
            </w:pPr>
            <w:r>
              <w:t>The next Board meeting will be held in Sydney on 14 September 2017.  Please do not hesitate to contact the Board of Taxation on 02 6263 4366 should you wish to discuss any of the above matters further.</w:t>
            </w:r>
          </w:p>
          <w:p w14:paraId="1DB00D5A" w14:textId="1300D9C9" w:rsidR="00A25E90" w:rsidRDefault="00A25E90" w:rsidP="00A25E90">
            <w:pPr>
              <w:pStyle w:val="Bullet"/>
              <w:numPr>
                <w:ilvl w:val="0"/>
                <w:numId w:val="0"/>
              </w:numPr>
              <w:tabs>
                <w:tab w:val="left" w:pos="720"/>
              </w:tabs>
              <w:spacing w:before="0" w:after="200" w:line="276" w:lineRule="auto"/>
            </w:pPr>
            <w:r>
              <w:t xml:space="preserve">Don’t forget, the Board is live on LinkedIn! For those of you who are on LinkedIn, you can follow the Board’s page </w:t>
            </w:r>
            <w:hyperlink r:id="rId19" w:history="1">
              <w:r w:rsidRPr="00225535">
                <w:rPr>
                  <w:rStyle w:val="Hyperlink"/>
                </w:rPr>
                <w:t>here</w:t>
              </w:r>
            </w:hyperlink>
            <w:r>
              <w:t>.</w:t>
            </w:r>
          </w:p>
        </w:tc>
        <w:tc>
          <w:tcPr>
            <w:tcW w:w="580" w:type="dxa"/>
            <w:gridSpan w:val="2"/>
          </w:tcPr>
          <w:p w14:paraId="05FCF04B" w14:textId="720F923F" w:rsidR="00A25E90" w:rsidRDefault="00A25E90" w:rsidP="00A25E90"/>
        </w:tc>
      </w:tr>
      <w:tr w:rsidR="00A25E90" w:rsidRPr="00BD2FF3" w14:paraId="05761986" w14:textId="77777777" w:rsidTr="00A25E90">
        <w:trPr>
          <w:gridAfter w:val="1"/>
          <w:wAfter w:w="55" w:type="dxa"/>
        </w:trPr>
        <w:tc>
          <w:tcPr>
            <w:tcW w:w="599" w:type="dxa"/>
          </w:tcPr>
          <w:p w14:paraId="64736BDE" w14:textId="6DB9200D" w:rsidR="00A25E90" w:rsidRDefault="00A25E90" w:rsidP="0096275B">
            <w:pPr>
              <w:jc w:val="both"/>
            </w:pPr>
          </w:p>
        </w:tc>
        <w:tc>
          <w:tcPr>
            <w:tcW w:w="9686" w:type="dxa"/>
            <w:gridSpan w:val="4"/>
          </w:tcPr>
          <w:p w14:paraId="3AFDFFE3" w14:textId="76E541C3" w:rsidR="00A25E90" w:rsidRDefault="00A25E90" w:rsidP="00A25E90">
            <w:pPr>
              <w:spacing w:before="0" w:after="200" w:line="276" w:lineRule="auto"/>
            </w:pPr>
            <w:r w:rsidRPr="00BD2FF3">
              <w:t>Kind regards</w:t>
            </w:r>
            <w:r>
              <w:br/>
            </w:r>
            <w:r w:rsidRPr="00BD2FF3">
              <w:t>Karen Payne</w:t>
            </w:r>
          </w:p>
        </w:tc>
        <w:tc>
          <w:tcPr>
            <w:tcW w:w="580" w:type="dxa"/>
            <w:gridSpan w:val="2"/>
          </w:tcPr>
          <w:p w14:paraId="3D4E71F2" w14:textId="1F35CAFD" w:rsidR="00A25E90" w:rsidRDefault="00A25E90" w:rsidP="002256FA"/>
        </w:tc>
      </w:tr>
      <w:tr w:rsidR="00A25E90" w:rsidRPr="00BD2FF3" w14:paraId="7E437BB5" w14:textId="77777777" w:rsidTr="00A25E90">
        <w:tblPrEx>
          <w:jc w:val="center"/>
          <w:tblBorders>
            <w:bottom w:val="single" w:sz="4" w:space="0" w:color="BFBFBF" w:themeColor="background1" w:themeShade="BF"/>
          </w:tblBorders>
          <w:shd w:val="clear" w:color="auto" w:fill="CCDDF1"/>
        </w:tblPrEx>
        <w:trPr>
          <w:gridAfter w:val="2"/>
          <w:wAfter w:w="61" w:type="dxa"/>
          <w:jc w:val="center"/>
        </w:trPr>
        <w:tc>
          <w:tcPr>
            <w:tcW w:w="642" w:type="dxa"/>
            <w:gridSpan w:val="2"/>
            <w:tcBorders>
              <w:bottom w:val="single" w:sz="4" w:space="0" w:color="BFBFBF" w:themeColor="background1" w:themeShade="BF"/>
            </w:tcBorders>
            <w:shd w:val="clear" w:color="auto" w:fill="1F497D" w:themeFill="text2"/>
          </w:tcPr>
          <w:p w14:paraId="5207EEBA" w14:textId="77777777" w:rsidR="00A25E90" w:rsidRPr="00BD2FF3" w:rsidRDefault="00A25E90" w:rsidP="002256FA"/>
        </w:tc>
        <w:tc>
          <w:tcPr>
            <w:tcW w:w="3734" w:type="dxa"/>
            <w:tcBorders>
              <w:bottom w:val="single" w:sz="4" w:space="0" w:color="BFBFBF" w:themeColor="background1" w:themeShade="BF"/>
            </w:tcBorders>
            <w:shd w:val="clear" w:color="auto" w:fill="1F497D" w:themeFill="text2"/>
          </w:tcPr>
          <w:p w14:paraId="155E29DE" w14:textId="77777777" w:rsidR="00A25E90" w:rsidRPr="002256FA" w:rsidRDefault="00A25E90" w:rsidP="002256FA">
            <w:pPr>
              <w:rPr>
                <w:color w:val="FFFFFF" w:themeColor="background1"/>
                <w:lang w:eastAsia="en-AU"/>
              </w:rPr>
            </w:pPr>
            <w:r w:rsidRPr="002256FA">
              <w:rPr>
                <w:color w:val="FFFFFF" w:themeColor="background1"/>
                <w:lang w:eastAsia="en-AU"/>
              </w:rPr>
              <w:t>Karen Payne</w:t>
            </w:r>
          </w:p>
          <w:p w14:paraId="5878EA63" w14:textId="77777777" w:rsidR="00A25E90" w:rsidRPr="002256FA" w:rsidRDefault="00A25E90" w:rsidP="002256FA">
            <w:pPr>
              <w:rPr>
                <w:color w:val="FFFFFF" w:themeColor="background1"/>
              </w:rPr>
            </w:pPr>
            <w:r w:rsidRPr="002256FA">
              <w:rPr>
                <w:color w:val="FFFFFF" w:themeColor="background1"/>
                <w:lang w:eastAsia="en-AU"/>
              </w:rPr>
              <w:t>Chief Executive Officer</w:t>
            </w:r>
            <w:r w:rsidRPr="002256FA">
              <w:rPr>
                <w:color w:val="FFFFFF" w:themeColor="background1"/>
                <w:lang w:eastAsia="en-AU"/>
              </w:rPr>
              <w:br/>
              <w:t>Board of Taxation</w:t>
            </w:r>
          </w:p>
        </w:tc>
        <w:tc>
          <w:tcPr>
            <w:tcW w:w="5752" w:type="dxa"/>
            <w:tcBorders>
              <w:bottom w:val="single" w:sz="4" w:space="0" w:color="BFBFBF" w:themeColor="background1" w:themeShade="BF"/>
            </w:tcBorders>
            <w:shd w:val="clear" w:color="auto" w:fill="1F497D" w:themeFill="text2"/>
          </w:tcPr>
          <w:p w14:paraId="31C4AF68" w14:textId="77777777" w:rsidR="00A25E90" w:rsidRPr="002256FA" w:rsidRDefault="00A25E90" w:rsidP="002256FA">
            <w:pPr>
              <w:rPr>
                <w:color w:val="FFFFFF" w:themeColor="background1"/>
                <w:lang w:eastAsia="en-AU"/>
              </w:rPr>
            </w:pPr>
            <w:r w:rsidRPr="002256FA">
              <w:rPr>
                <w:color w:val="FFFFFF" w:themeColor="background1"/>
                <w:lang w:eastAsia="en-AU"/>
              </w:rPr>
              <w:t>phone:  +61 2 6263 2122</w:t>
            </w:r>
          </w:p>
          <w:p w14:paraId="618A01A5" w14:textId="77777777" w:rsidR="00A25E90" w:rsidRPr="002256FA" w:rsidRDefault="00A25E90" w:rsidP="002256FA">
            <w:pPr>
              <w:rPr>
                <w:color w:val="FFFFFF" w:themeColor="background1"/>
                <w:lang w:eastAsia="en-AU"/>
              </w:rPr>
            </w:pPr>
            <w:r w:rsidRPr="002256FA">
              <w:rPr>
                <w:color w:val="FFFFFF" w:themeColor="background1"/>
                <w:lang w:eastAsia="en-AU"/>
              </w:rPr>
              <w:t>mobile: 0405 843 880</w:t>
            </w:r>
          </w:p>
          <w:p w14:paraId="452D9E23" w14:textId="77777777" w:rsidR="00A25E90" w:rsidRPr="002256FA" w:rsidRDefault="00A25E90" w:rsidP="002256FA">
            <w:pPr>
              <w:rPr>
                <w:color w:val="FFFFFF" w:themeColor="background1"/>
                <w:lang w:eastAsia="en-AU"/>
              </w:rPr>
            </w:pPr>
            <w:r w:rsidRPr="002256FA">
              <w:rPr>
                <w:color w:val="FFFFFF" w:themeColor="background1"/>
                <w:lang w:eastAsia="en-AU"/>
              </w:rPr>
              <w:t xml:space="preserve">email: </w:t>
            </w:r>
            <w:hyperlink r:id="rId20" w:history="1">
              <w:r w:rsidRPr="002256FA">
                <w:rPr>
                  <w:rStyle w:val="Hyperlink"/>
                  <w:color w:val="FFFFFF" w:themeColor="background1"/>
                  <w:lang w:eastAsia="en-AU"/>
                </w:rPr>
                <w:t>karen.payne@treasury.gov.au</w:t>
              </w:r>
            </w:hyperlink>
          </w:p>
        </w:tc>
        <w:tc>
          <w:tcPr>
            <w:tcW w:w="731" w:type="dxa"/>
            <w:gridSpan w:val="2"/>
            <w:tcBorders>
              <w:bottom w:val="single" w:sz="4" w:space="0" w:color="BFBFBF" w:themeColor="background1" w:themeShade="BF"/>
            </w:tcBorders>
            <w:shd w:val="clear" w:color="auto" w:fill="1F497D" w:themeFill="text2"/>
          </w:tcPr>
          <w:p w14:paraId="02186E13" w14:textId="77777777" w:rsidR="00A25E90" w:rsidRPr="00BD2FF3" w:rsidRDefault="00A25E90" w:rsidP="002256FA"/>
        </w:tc>
      </w:tr>
      <w:tr w:rsidR="00A25E90" w:rsidRPr="00BD2FF3" w14:paraId="493769BF" w14:textId="77777777" w:rsidTr="00A25E90">
        <w:tblPrEx>
          <w:jc w:val="center"/>
          <w:tblBorders>
            <w:bottom w:val="single" w:sz="4" w:space="0" w:color="BFBFBF" w:themeColor="background1" w:themeShade="BF"/>
          </w:tblBorders>
          <w:shd w:val="clear" w:color="auto" w:fill="CCDDF1"/>
        </w:tblPrEx>
        <w:trPr>
          <w:gridAfter w:val="2"/>
          <w:wAfter w:w="61" w:type="dxa"/>
          <w:jc w:val="center"/>
        </w:trPr>
        <w:tc>
          <w:tcPr>
            <w:tcW w:w="642" w:type="dxa"/>
            <w:gridSpan w:val="2"/>
            <w:tcBorders>
              <w:top w:val="single" w:sz="4" w:space="0" w:color="BFBFBF" w:themeColor="background1" w:themeShade="BF"/>
              <w:bottom w:val="nil"/>
            </w:tcBorders>
            <w:shd w:val="clear" w:color="auto" w:fill="1F497D" w:themeFill="text2"/>
          </w:tcPr>
          <w:p w14:paraId="7DEDC06B" w14:textId="77777777" w:rsidR="00A25E90" w:rsidRPr="00BD2FF3" w:rsidRDefault="00A25E90" w:rsidP="002256FA"/>
        </w:tc>
        <w:tc>
          <w:tcPr>
            <w:tcW w:w="3734" w:type="dxa"/>
            <w:tcBorders>
              <w:top w:val="single" w:sz="4" w:space="0" w:color="BFBFBF" w:themeColor="background1" w:themeShade="BF"/>
              <w:bottom w:val="nil"/>
            </w:tcBorders>
            <w:shd w:val="clear" w:color="auto" w:fill="1F497D" w:themeFill="text2"/>
          </w:tcPr>
          <w:p w14:paraId="24FBCEC5" w14:textId="77777777" w:rsidR="00A25E90" w:rsidRPr="002256FA" w:rsidRDefault="00A25E90" w:rsidP="002256FA">
            <w:pPr>
              <w:rPr>
                <w:color w:val="FFFFFF" w:themeColor="background1"/>
                <w:lang w:eastAsia="en-AU"/>
              </w:rPr>
            </w:pPr>
            <w:r w:rsidRPr="002256FA">
              <w:rPr>
                <w:color w:val="FFFFFF" w:themeColor="background1"/>
              </w:rPr>
              <w:t xml:space="preserve">C/- </w:t>
            </w:r>
            <w:r w:rsidRPr="002256FA">
              <w:rPr>
                <w:color w:val="FFFFFF" w:themeColor="background1"/>
                <w:lang w:eastAsia="en-AU"/>
              </w:rPr>
              <w:t>The Treasury</w:t>
            </w:r>
          </w:p>
          <w:p w14:paraId="6B3825D1" w14:textId="77777777" w:rsidR="00A25E90" w:rsidRPr="002256FA" w:rsidRDefault="00A25E90" w:rsidP="002256FA">
            <w:pPr>
              <w:rPr>
                <w:color w:val="FFFFFF" w:themeColor="background1"/>
                <w:lang w:eastAsia="en-AU"/>
              </w:rPr>
            </w:pPr>
            <w:r w:rsidRPr="002256FA">
              <w:rPr>
                <w:color w:val="FFFFFF" w:themeColor="background1"/>
                <w:lang w:eastAsia="en-AU"/>
              </w:rPr>
              <w:t>100 Market Street, Sydney NSW 2000</w:t>
            </w:r>
          </w:p>
        </w:tc>
        <w:tc>
          <w:tcPr>
            <w:tcW w:w="5752" w:type="dxa"/>
            <w:tcBorders>
              <w:top w:val="single" w:sz="4" w:space="0" w:color="BFBFBF" w:themeColor="background1" w:themeShade="BF"/>
              <w:bottom w:val="nil"/>
            </w:tcBorders>
            <w:shd w:val="clear" w:color="auto" w:fill="1F497D" w:themeFill="text2"/>
          </w:tcPr>
          <w:p w14:paraId="640FC35A" w14:textId="77777777" w:rsidR="00A25E90" w:rsidRPr="002256FA" w:rsidRDefault="00A25E90" w:rsidP="002256FA">
            <w:pPr>
              <w:rPr>
                <w:rStyle w:val="Hyperlink"/>
                <w:color w:val="FFFFFF" w:themeColor="background1"/>
                <w:lang w:eastAsia="en-AU"/>
              </w:rPr>
            </w:pPr>
            <w:r w:rsidRPr="002256FA">
              <w:rPr>
                <w:color w:val="FFFFFF" w:themeColor="background1"/>
                <w:lang w:eastAsia="en-AU"/>
              </w:rPr>
              <w:t xml:space="preserve">website: </w:t>
            </w:r>
            <w:hyperlink r:id="rId21" w:history="1">
              <w:r w:rsidRPr="002256FA">
                <w:rPr>
                  <w:rStyle w:val="Hyperlink"/>
                  <w:color w:val="FFFFFF" w:themeColor="background1"/>
                  <w:lang w:eastAsia="en-AU"/>
                </w:rPr>
                <w:t>www.taxboard.gov.au</w:t>
              </w:r>
            </w:hyperlink>
          </w:p>
          <w:p w14:paraId="4BC63A46" w14:textId="77777777" w:rsidR="00A25E90" w:rsidRPr="002256FA" w:rsidRDefault="00A25E90" w:rsidP="002256FA">
            <w:pPr>
              <w:rPr>
                <w:color w:val="FFFFFF" w:themeColor="background1"/>
                <w:lang w:eastAsia="en-AU"/>
              </w:rPr>
            </w:pPr>
            <w:r w:rsidRPr="002256FA">
              <w:rPr>
                <w:color w:val="FFFFFF" w:themeColor="background1"/>
                <w:lang w:eastAsia="en-AU"/>
              </w:rPr>
              <w:t>The Board of Taxation Secretariat</w:t>
            </w:r>
          </w:p>
          <w:p w14:paraId="0EB65C76" w14:textId="77777777" w:rsidR="00A25E90" w:rsidRPr="002256FA" w:rsidRDefault="00A25E90" w:rsidP="002256FA">
            <w:pPr>
              <w:rPr>
                <w:color w:val="FFFFFF" w:themeColor="background1"/>
              </w:rPr>
            </w:pPr>
            <w:r w:rsidRPr="002256FA">
              <w:rPr>
                <w:color w:val="FFFFFF" w:themeColor="background1"/>
                <w:lang w:eastAsia="en-AU"/>
              </w:rPr>
              <w:t>Langton Crescent, Parkes ACT 2600 Australia</w:t>
            </w:r>
          </w:p>
        </w:tc>
        <w:tc>
          <w:tcPr>
            <w:tcW w:w="731" w:type="dxa"/>
            <w:gridSpan w:val="2"/>
            <w:tcBorders>
              <w:top w:val="single" w:sz="4" w:space="0" w:color="BFBFBF" w:themeColor="background1" w:themeShade="BF"/>
              <w:bottom w:val="nil"/>
            </w:tcBorders>
            <w:shd w:val="clear" w:color="auto" w:fill="1F497D" w:themeFill="text2"/>
          </w:tcPr>
          <w:p w14:paraId="0505C3DB" w14:textId="77777777" w:rsidR="00A25E90" w:rsidRPr="00BD2FF3" w:rsidRDefault="00A25E90" w:rsidP="002256FA"/>
        </w:tc>
      </w:tr>
      <w:tr w:rsidR="00A25E90" w14:paraId="5D4B26EE" w14:textId="77777777" w:rsidTr="00A25E90">
        <w:tblPrEx>
          <w:jc w:val="center"/>
          <w:tblBorders>
            <w:bottom w:val="single" w:sz="4" w:space="0" w:color="BFBFBF" w:themeColor="background1" w:themeShade="BF"/>
          </w:tblBorders>
          <w:shd w:val="clear" w:color="auto" w:fill="CCDDF1"/>
        </w:tblPrEx>
        <w:trPr>
          <w:jc w:val="center"/>
        </w:trPr>
        <w:tc>
          <w:tcPr>
            <w:tcW w:w="10920" w:type="dxa"/>
            <w:gridSpan w:val="8"/>
            <w:tcBorders>
              <w:bottom w:val="nil"/>
            </w:tcBorders>
            <w:shd w:val="clear" w:color="auto" w:fill="auto"/>
            <w:tcMar>
              <w:left w:w="0" w:type="dxa"/>
              <w:right w:w="0" w:type="dxa"/>
            </w:tcMar>
          </w:tcPr>
          <w:p w14:paraId="6DE09F46" w14:textId="77777777" w:rsidR="00A25E90" w:rsidRDefault="00A25E90" w:rsidP="002256FA">
            <w:r>
              <w:rPr>
                <w:noProof/>
                <w:lang w:eastAsia="en-AU"/>
              </w:rPr>
              <w:drawing>
                <wp:inline distT="0" distB="0" distL="0" distR="0" wp14:anchorId="4584B164" wp14:editId="5EB00293">
                  <wp:extent cx="6927850" cy="311150"/>
                  <wp:effectExtent l="0" t="0" r="635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2">
                            <a:extLst>
                              <a:ext uri="{28A0092B-C50C-407E-A947-70E740481C1C}">
                                <a14:useLocalDpi xmlns:a14="http://schemas.microsoft.com/office/drawing/2010/main" val="0"/>
                              </a:ext>
                            </a:extLst>
                          </a:blip>
                          <a:stretch>
                            <a:fillRect/>
                          </a:stretch>
                        </pic:blipFill>
                        <pic:spPr>
                          <a:xfrm>
                            <a:off x="0" y="0"/>
                            <a:ext cx="6927850" cy="311150"/>
                          </a:xfrm>
                          <a:prstGeom prst="rect">
                            <a:avLst/>
                          </a:prstGeom>
                        </pic:spPr>
                      </pic:pic>
                    </a:graphicData>
                  </a:graphic>
                </wp:inline>
              </w:drawing>
            </w:r>
          </w:p>
        </w:tc>
      </w:tr>
    </w:tbl>
    <w:p w14:paraId="272164E2" w14:textId="77777777" w:rsidR="001010C1" w:rsidRPr="0098345D" w:rsidRDefault="001010C1" w:rsidP="005158CD"/>
    <w:sectPr w:rsidR="001010C1" w:rsidRPr="0098345D" w:rsidSect="00BD2FF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6F47E" w14:textId="77777777" w:rsidR="00A25E90" w:rsidRDefault="00A25E90" w:rsidP="002256FA">
      <w:r>
        <w:separator/>
      </w:r>
    </w:p>
  </w:endnote>
  <w:endnote w:type="continuationSeparator" w:id="0">
    <w:p w14:paraId="1693750F" w14:textId="77777777" w:rsidR="00A25E90" w:rsidRDefault="00A25E90" w:rsidP="002256FA">
      <w:r>
        <w:continuationSeparator/>
      </w:r>
    </w:p>
  </w:endnote>
  <w:endnote w:type="continuationNotice" w:id="1">
    <w:p w14:paraId="09F159EE" w14:textId="77777777" w:rsidR="00A25E90" w:rsidRDefault="00A25E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B068" w14:textId="77777777" w:rsidR="00A25E90" w:rsidRDefault="00A25E90" w:rsidP="002256FA">
      <w:r>
        <w:separator/>
      </w:r>
    </w:p>
  </w:footnote>
  <w:footnote w:type="continuationSeparator" w:id="0">
    <w:p w14:paraId="2A42649D" w14:textId="77777777" w:rsidR="00A25E90" w:rsidRDefault="00A25E90" w:rsidP="002256FA">
      <w:r>
        <w:continuationSeparator/>
      </w:r>
    </w:p>
  </w:footnote>
  <w:footnote w:type="continuationNotice" w:id="1">
    <w:p w14:paraId="2732F9BF" w14:textId="77777777" w:rsidR="00A25E90" w:rsidRDefault="00A25E90">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447"/>
    <w:multiLevelType w:val="hybridMultilevel"/>
    <w:tmpl w:val="3D16FC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7E01041"/>
    <w:multiLevelType w:val="hybridMultilevel"/>
    <w:tmpl w:val="D61219B4"/>
    <w:lvl w:ilvl="0" w:tplc="73143E0C">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4F1F88"/>
    <w:multiLevelType w:val="multilevel"/>
    <w:tmpl w:val="B1A48B7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E207AC"/>
    <w:multiLevelType w:val="hybridMultilevel"/>
    <w:tmpl w:val="03C041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F831CA"/>
    <w:multiLevelType w:val="hybridMultilevel"/>
    <w:tmpl w:val="ABCADC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80F1A07"/>
    <w:multiLevelType w:val="hybridMultilevel"/>
    <w:tmpl w:val="3FACFA38"/>
    <w:lvl w:ilvl="0" w:tplc="69EAD6E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C923A43"/>
    <w:multiLevelType w:val="hybridMultilevel"/>
    <w:tmpl w:val="DF22C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C94C4D"/>
    <w:multiLevelType w:val="multilevel"/>
    <w:tmpl w:val="9E58112C"/>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3E71741"/>
    <w:multiLevelType w:val="hybridMultilevel"/>
    <w:tmpl w:val="99B66E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57A75847"/>
    <w:multiLevelType w:val="hybridMultilevel"/>
    <w:tmpl w:val="EDFA3F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724B97"/>
    <w:multiLevelType w:val="hybridMultilevel"/>
    <w:tmpl w:val="4B1E0D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12"/>
  </w:num>
  <w:num w:numId="12">
    <w:abstractNumId w:val="11"/>
  </w:num>
  <w:num w:numId="13">
    <w:abstractNumId w:val="3"/>
  </w:num>
  <w:num w:numId="14">
    <w:abstractNumId w:val="3"/>
  </w:num>
  <w:num w:numId="1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5"/>
  </w:num>
  <w:num w:numId="19">
    <w:abstractNumId w:val="14"/>
  </w:num>
  <w:num w:numId="20">
    <w:abstractNumId w:val="7"/>
  </w:num>
  <w:num w:numId="21">
    <w:abstractNumId w:val="13"/>
  </w:num>
  <w:num w:numId="22">
    <w:abstractNumId w:val="10"/>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5B"/>
    <w:rsid w:val="00007585"/>
    <w:rsid w:val="0001687B"/>
    <w:rsid w:val="00071C97"/>
    <w:rsid w:val="000E07A0"/>
    <w:rsid w:val="001010C1"/>
    <w:rsid w:val="0011074C"/>
    <w:rsid w:val="00123790"/>
    <w:rsid w:val="00124AF4"/>
    <w:rsid w:val="00134409"/>
    <w:rsid w:val="00161DBC"/>
    <w:rsid w:val="00170C50"/>
    <w:rsid w:val="001921CA"/>
    <w:rsid w:val="001A0BA9"/>
    <w:rsid w:val="001A46D9"/>
    <w:rsid w:val="001C597B"/>
    <w:rsid w:val="001D26C7"/>
    <w:rsid w:val="001D4435"/>
    <w:rsid w:val="00201B0A"/>
    <w:rsid w:val="0020758D"/>
    <w:rsid w:val="002256FA"/>
    <w:rsid w:val="002467EB"/>
    <w:rsid w:val="002826A4"/>
    <w:rsid w:val="00287410"/>
    <w:rsid w:val="002D1967"/>
    <w:rsid w:val="003044CD"/>
    <w:rsid w:val="00315E92"/>
    <w:rsid w:val="0035507D"/>
    <w:rsid w:val="00355336"/>
    <w:rsid w:val="0036272E"/>
    <w:rsid w:val="00390D9D"/>
    <w:rsid w:val="00392A88"/>
    <w:rsid w:val="003A2D24"/>
    <w:rsid w:val="003B2CA9"/>
    <w:rsid w:val="003B383C"/>
    <w:rsid w:val="003D40F4"/>
    <w:rsid w:val="0043294F"/>
    <w:rsid w:val="004501CF"/>
    <w:rsid w:val="0046226A"/>
    <w:rsid w:val="0047551F"/>
    <w:rsid w:val="004A7EC7"/>
    <w:rsid w:val="004B3E2E"/>
    <w:rsid w:val="004B738A"/>
    <w:rsid w:val="004D6BF7"/>
    <w:rsid w:val="004F280B"/>
    <w:rsid w:val="0050320F"/>
    <w:rsid w:val="005158CD"/>
    <w:rsid w:val="00520AB9"/>
    <w:rsid w:val="00541CD2"/>
    <w:rsid w:val="00571D7D"/>
    <w:rsid w:val="00573295"/>
    <w:rsid w:val="005953F0"/>
    <w:rsid w:val="005A3E01"/>
    <w:rsid w:val="005A4C86"/>
    <w:rsid w:val="005A720B"/>
    <w:rsid w:val="005B32D7"/>
    <w:rsid w:val="005B469A"/>
    <w:rsid w:val="006000E2"/>
    <w:rsid w:val="006075E6"/>
    <w:rsid w:val="00617495"/>
    <w:rsid w:val="00624FFC"/>
    <w:rsid w:val="00625DFC"/>
    <w:rsid w:val="006300DF"/>
    <w:rsid w:val="00645072"/>
    <w:rsid w:val="00656D54"/>
    <w:rsid w:val="00685836"/>
    <w:rsid w:val="006B1E71"/>
    <w:rsid w:val="006D5EE8"/>
    <w:rsid w:val="006F7FF6"/>
    <w:rsid w:val="00704189"/>
    <w:rsid w:val="0074430D"/>
    <w:rsid w:val="007725D6"/>
    <w:rsid w:val="00775577"/>
    <w:rsid w:val="0077606D"/>
    <w:rsid w:val="0078121B"/>
    <w:rsid w:val="007907B9"/>
    <w:rsid w:val="007A580E"/>
    <w:rsid w:val="00815483"/>
    <w:rsid w:val="00882BE7"/>
    <w:rsid w:val="008867E3"/>
    <w:rsid w:val="008D3706"/>
    <w:rsid w:val="008F243F"/>
    <w:rsid w:val="008F5C3B"/>
    <w:rsid w:val="009152FA"/>
    <w:rsid w:val="009153C0"/>
    <w:rsid w:val="0095220F"/>
    <w:rsid w:val="0096275B"/>
    <w:rsid w:val="00962E16"/>
    <w:rsid w:val="0096485E"/>
    <w:rsid w:val="00971041"/>
    <w:rsid w:val="0098345D"/>
    <w:rsid w:val="009B1DC8"/>
    <w:rsid w:val="009F156E"/>
    <w:rsid w:val="009F1E27"/>
    <w:rsid w:val="00A23911"/>
    <w:rsid w:val="00A25E90"/>
    <w:rsid w:val="00A62217"/>
    <w:rsid w:val="00A93BBA"/>
    <w:rsid w:val="00AA109D"/>
    <w:rsid w:val="00AC6C19"/>
    <w:rsid w:val="00AD13C5"/>
    <w:rsid w:val="00AE5AAB"/>
    <w:rsid w:val="00B0277A"/>
    <w:rsid w:val="00B202AE"/>
    <w:rsid w:val="00B223E8"/>
    <w:rsid w:val="00B32EE4"/>
    <w:rsid w:val="00B5400D"/>
    <w:rsid w:val="00B73C7A"/>
    <w:rsid w:val="00B85592"/>
    <w:rsid w:val="00BC5DE8"/>
    <w:rsid w:val="00BD2FF3"/>
    <w:rsid w:val="00C01469"/>
    <w:rsid w:val="00C11ED7"/>
    <w:rsid w:val="00C274F4"/>
    <w:rsid w:val="00C96E51"/>
    <w:rsid w:val="00CA7CD1"/>
    <w:rsid w:val="00D12DCE"/>
    <w:rsid w:val="00D14F37"/>
    <w:rsid w:val="00D340F9"/>
    <w:rsid w:val="00D52A49"/>
    <w:rsid w:val="00D52E6A"/>
    <w:rsid w:val="00D66376"/>
    <w:rsid w:val="00D72E96"/>
    <w:rsid w:val="00D81D9D"/>
    <w:rsid w:val="00D84C4E"/>
    <w:rsid w:val="00D9451E"/>
    <w:rsid w:val="00DC7F55"/>
    <w:rsid w:val="00DE77A2"/>
    <w:rsid w:val="00DF1ACB"/>
    <w:rsid w:val="00E3161A"/>
    <w:rsid w:val="00E43456"/>
    <w:rsid w:val="00E55A44"/>
    <w:rsid w:val="00E63ED6"/>
    <w:rsid w:val="00EA2BF0"/>
    <w:rsid w:val="00EB74C4"/>
    <w:rsid w:val="00ED264B"/>
    <w:rsid w:val="00ED4561"/>
    <w:rsid w:val="00EE2EC2"/>
    <w:rsid w:val="00EF21EE"/>
    <w:rsid w:val="00EF6BF7"/>
    <w:rsid w:val="00EF71F5"/>
    <w:rsid w:val="00F45150"/>
    <w:rsid w:val="00F452CA"/>
    <w:rsid w:val="00F46FB9"/>
    <w:rsid w:val="00F47713"/>
    <w:rsid w:val="00F57C7C"/>
    <w:rsid w:val="00F863AC"/>
    <w:rsid w:val="00FA777B"/>
    <w:rsid w:val="00FA7E97"/>
    <w:rsid w:val="00FB34C5"/>
    <w:rsid w:val="00FF34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A2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Calibri Light" w:hAnsi="Calibri Light"/>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96275B"/>
    <w:pPr>
      <w:numPr>
        <w:numId w:val="11"/>
      </w:numPr>
    </w:pPr>
    <w:rPr>
      <w:sz w:val="20"/>
      <w:szCs w:val="20"/>
    </w:rPr>
  </w:style>
  <w:style w:type="character" w:customStyle="1" w:styleId="OutlineNumbered1Char">
    <w:name w:val="Outline Numbered 1 Char"/>
    <w:basedOn w:val="BulletChar"/>
    <w:link w:val="OutlineNumbered1"/>
    <w:rsid w:val="0096275B"/>
    <w:rPr>
      <w:rFonts w:ascii="Calibri Light" w:hAnsi="Calibri Light"/>
    </w:rPr>
  </w:style>
  <w:style w:type="paragraph" w:customStyle="1" w:styleId="OutlineNumbered2">
    <w:name w:val="Outline Numbered 2"/>
    <w:basedOn w:val="Normal"/>
    <w:link w:val="OutlineNumbered2Char"/>
    <w:rsid w:val="0096275B"/>
    <w:pPr>
      <w:numPr>
        <w:ilvl w:val="1"/>
        <w:numId w:val="11"/>
      </w:numPr>
    </w:pPr>
    <w:rPr>
      <w:sz w:val="20"/>
      <w:szCs w:val="20"/>
    </w:rPr>
  </w:style>
  <w:style w:type="character" w:customStyle="1" w:styleId="OutlineNumbered2Char">
    <w:name w:val="Outline Numbered 2 Char"/>
    <w:basedOn w:val="BulletChar"/>
    <w:link w:val="OutlineNumbered2"/>
    <w:rsid w:val="0096275B"/>
    <w:rPr>
      <w:rFonts w:ascii="Calibri Light" w:hAnsi="Calibri Light"/>
    </w:rPr>
  </w:style>
  <w:style w:type="paragraph" w:customStyle="1" w:styleId="OutlineNumbered3">
    <w:name w:val="Outline Numbered 3"/>
    <w:basedOn w:val="Normal"/>
    <w:link w:val="OutlineNumbered3Char"/>
    <w:rsid w:val="0096275B"/>
    <w:pPr>
      <w:numPr>
        <w:ilvl w:val="2"/>
        <w:numId w:val="11"/>
      </w:numPr>
    </w:pPr>
    <w:rPr>
      <w:sz w:val="20"/>
      <w:szCs w:val="20"/>
    </w:rPr>
  </w:style>
  <w:style w:type="character" w:customStyle="1" w:styleId="OutlineNumbered3Char">
    <w:name w:val="Outline Numbered 3 Char"/>
    <w:basedOn w:val="BulletChar"/>
    <w:link w:val="OutlineNumbered3"/>
    <w:rsid w:val="0096275B"/>
    <w:rPr>
      <w:rFonts w:ascii="Calibri Light" w:hAnsi="Calibri Light"/>
    </w:rPr>
  </w:style>
  <w:style w:type="character" w:styleId="CommentReference">
    <w:name w:val="annotation reference"/>
    <w:basedOn w:val="DefaultParagraphFont"/>
    <w:uiPriority w:val="99"/>
    <w:semiHidden/>
    <w:unhideWhenUsed/>
    <w:rsid w:val="00617495"/>
    <w:rPr>
      <w:sz w:val="16"/>
      <w:szCs w:val="16"/>
    </w:rPr>
  </w:style>
  <w:style w:type="paragraph" w:styleId="CommentText">
    <w:name w:val="annotation text"/>
    <w:basedOn w:val="Normal"/>
    <w:link w:val="CommentTextChar"/>
    <w:uiPriority w:val="99"/>
    <w:semiHidden/>
    <w:unhideWhenUsed/>
    <w:rsid w:val="00617495"/>
    <w:rPr>
      <w:sz w:val="20"/>
      <w:szCs w:val="20"/>
    </w:rPr>
  </w:style>
  <w:style w:type="character" w:customStyle="1" w:styleId="CommentTextChar">
    <w:name w:val="Comment Text Char"/>
    <w:basedOn w:val="DefaultParagraphFont"/>
    <w:link w:val="CommentText"/>
    <w:uiPriority w:val="99"/>
    <w:semiHidden/>
    <w:rsid w:val="0061749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17495"/>
    <w:rPr>
      <w:b/>
      <w:bCs/>
    </w:rPr>
  </w:style>
  <w:style w:type="character" w:customStyle="1" w:styleId="CommentSubjectChar">
    <w:name w:val="Comment Subject Char"/>
    <w:basedOn w:val="CommentTextChar"/>
    <w:link w:val="CommentSubject"/>
    <w:uiPriority w:val="99"/>
    <w:semiHidden/>
    <w:rsid w:val="00617495"/>
    <w:rPr>
      <w:rFonts w:ascii="Calibri Light" w:hAnsi="Calibri Light"/>
      <w:b/>
      <w:bCs/>
      <w:sz w:val="20"/>
      <w:szCs w:val="20"/>
    </w:rPr>
  </w:style>
  <w:style w:type="paragraph" w:customStyle="1" w:styleId="Default">
    <w:name w:val="Default"/>
    <w:rsid w:val="00AA109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F156E"/>
    <w:pPr>
      <w:spacing w:after="0" w:line="240" w:lineRule="auto"/>
    </w:pPr>
    <w:rPr>
      <w:rFonts w:ascii="Calibri Light" w:hAnsi="Calibri Light"/>
    </w:rPr>
  </w:style>
  <w:style w:type="table" w:styleId="LightList-Accent1">
    <w:name w:val="Light List Accent 1"/>
    <w:basedOn w:val="TableNormal"/>
    <w:uiPriority w:val="61"/>
    <w:rsid w:val="008D37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2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A"/>
    <w:pPr>
      <w:spacing w:before="120" w:after="120" w:line="240" w:lineRule="auto"/>
    </w:pPr>
    <w:rPr>
      <w:rFonts w:ascii="Calibri Light" w:hAnsi="Calibri Light"/>
    </w:rPr>
  </w:style>
  <w:style w:type="paragraph" w:styleId="Heading1">
    <w:name w:val="heading 1"/>
    <w:basedOn w:val="Normal"/>
    <w:next w:val="Normal"/>
    <w:link w:val="Heading1Char"/>
    <w:uiPriority w:val="9"/>
    <w:qFormat/>
    <w:rsid w:val="002256FA"/>
    <w:pPr>
      <w:outlineLvl w:val="0"/>
    </w:pPr>
    <w:rPr>
      <w:rFonts w:ascii="Segoe UI Light" w:hAnsi="Segoe UI Light"/>
      <w:b/>
      <w:color w:val="FFFFFF" w:themeColor="background1"/>
      <w:sz w:val="40"/>
      <w:szCs w:val="40"/>
    </w:rPr>
  </w:style>
  <w:style w:type="paragraph" w:styleId="Heading2">
    <w:name w:val="heading 2"/>
    <w:basedOn w:val="Normal"/>
    <w:next w:val="Normal"/>
    <w:link w:val="Heading2Char"/>
    <w:uiPriority w:val="9"/>
    <w:unhideWhenUsed/>
    <w:qFormat/>
    <w:rsid w:val="002256FA"/>
    <w:pPr>
      <w:outlineLvl w:val="1"/>
    </w:pPr>
    <w:rPr>
      <w:rFonts w:ascii="Segoe UI Light" w:hAnsi="Segoe UI Light"/>
      <w:b/>
      <w:color w:val="1F497D" w:themeColor="text2"/>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D"/>
    <w:rPr>
      <w:color w:val="1F497D" w:themeColor="text2"/>
      <w:u w:val="singl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Calibri Light" w:hAnsi="Calibri Light"/>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0E07A0"/>
    <w:pPr>
      <w:tabs>
        <w:tab w:val="center" w:pos="4513"/>
        <w:tab w:val="right" w:pos="9026"/>
      </w:tabs>
      <w:spacing w:after="0"/>
    </w:pPr>
  </w:style>
  <w:style w:type="character" w:customStyle="1" w:styleId="HeaderChar">
    <w:name w:val="Header Char"/>
    <w:basedOn w:val="DefaultParagraphFont"/>
    <w:link w:val="Header"/>
    <w:uiPriority w:val="99"/>
    <w:rsid w:val="000E07A0"/>
  </w:style>
  <w:style w:type="paragraph" w:styleId="Footer">
    <w:name w:val="footer"/>
    <w:basedOn w:val="Normal"/>
    <w:link w:val="FooterChar"/>
    <w:uiPriority w:val="99"/>
    <w:unhideWhenUsed/>
    <w:rsid w:val="000E07A0"/>
    <w:pPr>
      <w:tabs>
        <w:tab w:val="center" w:pos="4513"/>
        <w:tab w:val="right" w:pos="9026"/>
      </w:tabs>
      <w:spacing w:after="0"/>
    </w:pPr>
  </w:style>
  <w:style w:type="character" w:customStyle="1" w:styleId="FooterChar">
    <w:name w:val="Footer Char"/>
    <w:basedOn w:val="DefaultParagraphFont"/>
    <w:link w:val="Footer"/>
    <w:uiPriority w:val="99"/>
    <w:rsid w:val="000E07A0"/>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2256FA"/>
    <w:rPr>
      <w:rFonts w:ascii="Segoe UI Light" w:hAnsi="Segoe UI Light"/>
      <w:b/>
      <w:color w:val="FFFFFF" w:themeColor="background1"/>
      <w:sz w:val="40"/>
      <w:szCs w:val="40"/>
    </w:rPr>
  </w:style>
  <w:style w:type="character" w:customStyle="1" w:styleId="Heading2Char">
    <w:name w:val="Heading 2 Char"/>
    <w:basedOn w:val="DefaultParagraphFont"/>
    <w:link w:val="Heading2"/>
    <w:uiPriority w:val="9"/>
    <w:rsid w:val="002256FA"/>
    <w:rPr>
      <w:rFonts w:ascii="Segoe UI Light" w:hAnsi="Segoe UI Light"/>
      <w:b/>
      <w:color w:val="1F497D" w:themeColor="text2"/>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96275B"/>
    <w:pPr>
      <w:numPr>
        <w:numId w:val="11"/>
      </w:numPr>
    </w:pPr>
    <w:rPr>
      <w:sz w:val="20"/>
      <w:szCs w:val="20"/>
    </w:rPr>
  </w:style>
  <w:style w:type="character" w:customStyle="1" w:styleId="OutlineNumbered1Char">
    <w:name w:val="Outline Numbered 1 Char"/>
    <w:basedOn w:val="BulletChar"/>
    <w:link w:val="OutlineNumbered1"/>
    <w:rsid w:val="0096275B"/>
    <w:rPr>
      <w:rFonts w:ascii="Calibri Light" w:hAnsi="Calibri Light"/>
    </w:rPr>
  </w:style>
  <w:style w:type="paragraph" w:customStyle="1" w:styleId="OutlineNumbered2">
    <w:name w:val="Outline Numbered 2"/>
    <w:basedOn w:val="Normal"/>
    <w:link w:val="OutlineNumbered2Char"/>
    <w:rsid w:val="0096275B"/>
    <w:pPr>
      <w:numPr>
        <w:ilvl w:val="1"/>
        <w:numId w:val="11"/>
      </w:numPr>
    </w:pPr>
    <w:rPr>
      <w:sz w:val="20"/>
      <w:szCs w:val="20"/>
    </w:rPr>
  </w:style>
  <w:style w:type="character" w:customStyle="1" w:styleId="OutlineNumbered2Char">
    <w:name w:val="Outline Numbered 2 Char"/>
    <w:basedOn w:val="BulletChar"/>
    <w:link w:val="OutlineNumbered2"/>
    <w:rsid w:val="0096275B"/>
    <w:rPr>
      <w:rFonts w:ascii="Calibri Light" w:hAnsi="Calibri Light"/>
    </w:rPr>
  </w:style>
  <w:style w:type="paragraph" w:customStyle="1" w:styleId="OutlineNumbered3">
    <w:name w:val="Outline Numbered 3"/>
    <w:basedOn w:val="Normal"/>
    <w:link w:val="OutlineNumbered3Char"/>
    <w:rsid w:val="0096275B"/>
    <w:pPr>
      <w:numPr>
        <w:ilvl w:val="2"/>
        <w:numId w:val="11"/>
      </w:numPr>
    </w:pPr>
    <w:rPr>
      <w:sz w:val="20"/>
      <w:szCs w:val="20"/>
    </w:rPr>
  </w:style>
  <w:style w:type="character" w:customStyle="1" w:styleId="OutlineNumbered3Char">
    <w:name w:val="Outline Numbered 3 Char"/>
    <w:basedOn w:val="BulletChar"/>
    <w:link w:val="OutlineNumbered3"/>
    <w:rsid w:val="0096275B"/>
    <w:rPr>
      <w:rFonts w:ascii="Calibri Light" w:hAnsi="Calibri Light"/>
    </w:rPr>
  </w:style>
  <w:style w:type="character" w:styleId="CommentReference">
    <w:name w:val="annotation reference"/>
    <w:basedOn w:val="DefaultParagraphFont"/>
    <w:uiPriority w:val="99"/>
    <w:semiHidden/>
    <w:unhideWhenUsed/>
    <w:rsid w:val="00617495"/>
    <w:rPr>
      <w:sz w:val="16"/>
      <w:szCs w:val="16"/>
    </w:rPr>
  </w:style>
  <w:style w:type="paragraph" w:styleId="CommentText">
    <w:name w:val="annotation text"/>
    <w:basedOn w:val="Normal"/>
    <w:link w:val="CommentTextChar"/>
    <w:uiPriority w:val="99"/>
    <w:semiHidden/>
    <w:unhideWhenUsed/>
    <w:rsid w:val="00617495"/>
    <w:rPr>
      <w:sz w:val="20"/>
      <w:szCs w:val="20"/>
    </w:rPr>
  </w:style>
  <w:style w:type="character" w:customStyle="1" w:styleId="CommentTextChar">
    <w:name w:val="Comment Text Char"/>
    <w:basedOn w:val="DefaultParagraphFont"/>
    <w:link w:val="CommentText"/>
    <w:uiPriority w:val="99"/>
    <w:semiHidden/>
    <w:rsid w:val="0061749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617495"/>
    <w:rPr>
      <w:b/>
      <w:bCs/>
    </w:rPr>
  </w:style>
  <w:style w:type="character" w:customStyle="1" w:styleId="CommentSubjectChar">
    <w:name w:val="Comment Subject Char"/>
    <w:basedOn w:val="CommentTextChar"/>
    <w:link w:val="CommentSubject"/>
    <w:uiPriority w:val="99"/>
    <w:semiHidden/>
    <w:rsid w:val="00617495"/>
    <w:rPr>
      <w:rFonts w:ascii="Calibri Light" w:hAnsi="Calibri Light"/>
      <w:b/>
      <w:bCs/>
      <w:sz w:val="20"/>
      <w:szCs w:val="20"/>
    </w:rPr>
  </w:style>
  <w:style w:type="paragraph" w:customStyle="1" w:styleId="Default">
    <w:name w:val="Default"/>
    <w:rsid w:val="00AA109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F156E"/>
    <w:pPr>
      <w:spacing w:after="0" w:line="240" w:lineRule="auto"/>
    </w:pPr>
    <w:rPr>
      <w:rFonts w:ascii="Calibri Light" w:hAnsi="Calibri Light"/>
    </w:rPr>
  </w:style>
  <w:style w:type="table" w:styleId="LightList-Accent1">
    <w:name w:val="Light List Accent 1"/>
    <w:basedOn w:val="TableNormal"/>
    <w:uiPriority w:val="61"/>
    <w:rsid w:val="008D37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624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390">
      <w:bodyDiv w:val="1"/>
      <w:marLeft w:val="0"/>
      <w:marRight w:val="0"/>
      <w:marTop w:val="0"/>
      <w:marBottom w:val="0"/>
      <w:divBdr>
        <w:top w:val="none" w:sz="0" w:space="0" w:color="auto"/>
        <w:left w:val="none" w:sz="0" w:space="0" w:color="auto"/>
        <w:bottom w:val="none" w:sz="0" w:space="0" w:color="auto"/>
        <w:right w:val="none" w:sz="0" w:space="0" w:color="auto"/>
      </w:divBdr>
    </w:div>
    <w:div w:id="421802283">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693924939">
      <w:bodyDiv w:val="1"/>
      <w:marLeft w:val="0"/>
      <w:marRight w:val="0"/>
      <w:marTop w:val="0"/>
      <w:marBottom w:val="0"/>
      <w:divBdr>
        <w:top w:val="none" w:sz="0" w:space="0" w:color="auto"/>
        <w:left w:val="none" w:sz="0" w:space="0" w:color="auto"/>
        <w:bottom w:val="none" w:sz="0" w:space="0" w:color="auto"/>
        <w:right w:val="none" w:sz="0" w:space="0" w:color="auto"/>
      </w:divBdr>
    </w:div>
    <w:div w:id="1021972806">
      <w:bodyDiv w:val="1"/>
      <w:marLeft w:val="0"/>
      <w:marRight w:val="0"/>
      <w:marTop w:val="0"/>
      <w:marBottom w:val="0"/>
      <w:divBdr>
        <w:top w:val="none" w:sz="0" w:space="0" w:color="auto"/>
        <w:left w:val="none" w:sz="0" w:space="0" w:color="auto"/>
        <w:bottom w:val="none" w:sz="0" w:space="0" w:color="auto"/>
        <w:right w:val="none" w:sz="0" w:space="0" w:color="auto"/>
      </w:divBdr>
    </w:div>
    <w:div w:id="1270697531">
      <w:bodyDiv w:val="1"/>
      <w:marLeft w:val="0"/>
      <w:marRight w:val="0"/>
      <w:marTop w:val="0"/>
      <w:marBottom w:val="0"/>
      <w:divBdr>
        <w:top w:val="none" w:sz="0" w:space="0" w:color="auto"/>
        <w:left w:val="none" w:sz="0" w:space="0" w:color="auto"/>
        <w:bottom w:val="none" w:sz="0" w:space="0" w:color="auto"/>
        <w:right w:val="none" w:sz="0" w:space="0" w:color="auto"/>
      </w:divBdr>
    </w:div>
    <w:div w:id="1423840169">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49193919">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1993412319">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47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taxboard@treasury.gov.au" TargetMode="External"/><Relationship Id="rId3" Type="http://schemas.openxmlformats.org/officeDocument/2006/relationships/customXml" Target="../customXml/item3.xml"/><Relationship Id="rId21" Type="http://schemas.openxmlformats.org/officeDocument/2006/relationships/hyperlink" Target="http://www.taxboard.gov.a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taxboard@treasury.gov.au" TargetMode="External"/><Relationship Id="rId2" Type="http://schemas.openxmlformats.org/officeDocument/2006/relationships/customXml" Target="../customXml/item2.xml"/><Relationship Id="rId16" Type="http://schemas.openxmlformats.org/officeDocument/2006/relationships/hyperlink" Target="http://taxboard.gov.au/current-activities/transparency-code-register/" TargetMode="External"/><Relationship Id="rId20" Type="http://schemas.openxmlformats.org/officeDocument/2006/relationships/hyperlink" Target="mailto:karen.payne@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axboard.ideascale.com/"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linkedin.com/company-beta/1810381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9f7bc583-7cbe-45b9-a2bd-8bbb6543b37e">
      <Value>18</Value>
    </TaxCatchAll>
    <_dlc_DocId xmlns="9f7bc583-7cbe-45b9-a2bd-8bbb6543b37e">2017RG-356-5853</_dlc_DocId>
    <_dlc_DocIdUrl xmlns="9f7bc583-7cbe-45b9-a2bd-8bbb6543b37e">
      <Url>http://tweb/sites/rg/bots/boards/_layouts/15/DocIdRedir.aspx?ID=2017RG-356-5853</Url>
      <Description>2017RG-356-5853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5078" ma:contentTypeDescription="" ma:contentTypeScope="" ma:versionID="e73a57f4993aad10f98987a41023fb8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48ff628207e125b56f0638089dec2023"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04F58-9936-43C8-BCA0-589AD3836680}">
  <ds:schemaRefs>
    <ds:schemaRef ds:uri="http://schemas.microsoft.com/office/2006/documentManagement/types"/>
    <ds:schemaRef ds:uri="9f7bc583-7cbe-45b9-a2bd-8bbb6543b37e"/>
    <ds:schemaRef ds:uri="http://schemas.openxmlformats.org/package/2006/metadata/core-properties"/>
    <ds:schemaRef ds:uri="http://purl.org/dc/terms/"/>
    <ds:schemaRef ds:uri="http://purl.org/dc/dcmitype/"/>
    <ds:schemaRef ds:uri="http://schemas.microsoft.com/sharepoint/v3"/>
    <ds:schemaRef ds:uri="http://schemas.microsoft.com/office/infopath/2007/PartnerControls"/>
    <ds:schemaRef ds:uri="http://schemas.microsoft.com/sharepoint/v4"/>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339872F8-6525-45C1-B13C-1D9AFDB26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1D2825-DE1E-4C78-A76F-511A3BE7E10B}">
  <ds:schemaRefs>
    <ds:schemaRef ds:uri="office.server.policy"/>
  </ds:schemaRefs>
</ds:datastoreItem>
</file>

<file path=customXml/itemProps5.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6.xml><?xml version="1.0" encoding="utf-8"?>
<ds:datastoreItem xmlns:ds="http://schemas.openxmlformats.org/officeDocument/2006/customXml" ds:itemID="{74E6CBDF-3663-4812-B804-89A0959A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23</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Dodshon</dc:creator>
  <cp:lastModifiedBy>Stephen Dodshon</cp:lastModifiedBy>
  <cp:revision>4</cp:revision>
  <cp:lastPrinted>2017-08-28T23:08:00Z</cp:lastPrinted>
  <dcterms:created xsi:type="dcterms:W3CDTF">2017-08-29T00:11:00Z</dcterms:created>
  <dcterms:modified xsi:type="dcterms:W3CDTF">2017-08-31T02:00:00Z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3b3525b9-8fff-44b2-889d-59589c0cb9e9</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UniqueId">
    <vt:lpwstr>{3b3525b9-8fff-44b2-889d-59589c0cb9e9}</vt:lpwstr>
  </property>
  <property fmtid="{D5CDD505-2E9C-101B-9397-08002B2CF9AE}" pid="8" name="RecordPoint_ActiveItemWebId">
    <vt:lpwstr>{cebcee45-40e2-45ca-9d22-89ff5bfe4e7b}</vt:lpwstr>
  </property>
  <property fmtid="{D5CDD505-2E9C-101B-9397-08002B2CF9AE}" pid="9" name="RecordPoint_ActiveItemSiteId">
    <vt:lpwstr>{5b52b9a5-e5b2-4521-8814-a1e24ca2869d}</vt:lpwstr>
  </property>
  <property fmtid="{D5CDD505-2E9C-101B-9397-08002B2CF9AE}" pid="10" name="RecordPoint_RecordNumberSubmitted">
    <vt:lpwstr>R0001412686</vt:lpwstr>
  </property>
  <property fmtid="{D5CDD505-2E9C-101B-9397-08002B2CF9AE}" pid="11" name="_AdHocReviewCycleID">
    <vt:i4>697348249</vt:i4>
  </property>
  <property fmtid="{D5CDD505-2E9C-101B-9397-08002B2CF9AE}" pid="12" name="_NewReviewCycle">
    <vt:lpwstr/>
  </property>
  <property fmtid="{D5CDD505-2E9C-101B-9397-08002B2CF9AE}" pid="13" name="_EmailSubject">
    <vt:lpwstr>CEO Update and covering email</vt:lpwstr>
  </property>
  <property fmtid="{D5CDD505-2E9C-101B-9397-08002B2CF9AE}" pid="14" name="_AuthorEmail">
    <vt:lpwstr>Karen.Payne@TREASURY.GOV.AU</vt:lpwstr>
  </property>
  <property fmtid="{D5CDD505-2E9C-101B-9397-08002B2CF9AE}" pid="15" name="_AuthorEmailDisplayName">
    <vt:lpwstr>Payne, Karen</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_PreviousAdHocReviewCycleID">
    <vt:i4>2100197868</vt:i4>
  </property>
  <property fmtid="{D5CDD505-2E9C-101B-9397-08002B2CF9AE}" pid="20" name="_ReviewingToolsShownOnce">
    <vt:lpwstr/>
  </property>
  <property fmtid="{D5CDD505-2E9C-101B-9397-08002B2CF9AE}" pid="21" name="RecordPoint_SubmissionCompleted">
    <vt:lpwstr>2017-08-30T21:11:12.8902152+10:00</vt:lpwstr>
  </property>
</Properties>
</file>