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AE86C" w14:textId="5667C1DD" w:rsidR="001172BC" w:rsidRPr="002256FA" w:rsidRDefault="001172BC" w:rsidP="00C75D9F">
      <w:pPr>
        <w:pStyle w:val="Heading1"/>
        <w:spacing w:before="0"/>
      </w:pPr>
      <w:r w:rsidRPr="000C5F43">
        <w:rPr>
          <w:noProof/>
          <w:lang w:eastAsia="en-AU"/>
        </w:rPr>
        <w:drawing>
          <wp:anchor distT="0" distB="0" distL="114300" distR="114300" simplePos="0" relativeHeight="251658240" behindDoc="0" locked="0" layoutInCell="1" allowOverlap="1" wp14:anchorId="55D6CBB8" wp14:editId="2C523127">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E76AFA">
        <w:t xml:space="preserve"> </w:t>
      </w:r>
      <w:sdt>
        <w:sdtPr>
          <w:id w:val="772363019"/>
          <w:placeholder>
            <w:docPart w:val="3877E00A071A4186ADD306261BF2C56B"/>
          </w:placeholder>
          <w:date w:fullDate="2019-03-01T00:00:00Z">
            <w:dateFormat w:val="MMMM yyyy"/>
            <w:lid w:val="en-AU"/>
            <w:storeMappedDataAs w:val="dateTime"/>
            <w:calendar w:val="gregorian"/>
          </w:date>
        </w:sdtPr>
        <w:sdtEndPr/>
        <w:sdtContent>
          <w:r w:rsidR="00E76AFA">
            <w:t>March 2019</w:t>
          </w:r>
        </w:sdtContent>
      </w:sdt>
    </w:p>
    <w:p w14:paraId="7B934D53" w14:textId="77777777" w:rsidR="001172BC" w:rsidRPr="00BD2FF3" w:rsidRDefault="001172BC" w:rsidP="002256FA">
      <w:r w:rsidRPr="00BD2FF3">
        <w:t xml:space="preserve">Dear </w:t>
      </w:r>
      <w:r w:rsidRPr="002256FA">
        <w:t>Stakeholders</w:t>
      </w:r>
      <w:r w:rsidRPr="00BD2FF3">
        <w:t>,</w:t>
      </w:r>
    </w:p>
    <w:p w14:paraId="6925FED5" w14:textId="6A933052" w:rsidR="002141D6" w:rsidRDefault="004E19B2" w:rsidP="008B7B17">
      <w:r>
        <w:t>Th</w:t>
      </w:r>
      <w:r w:rsidR="008B7B17">
        <w:t>e</w:t>
      </w:r>
      <w:r w:rsidR="009424A4">
        <w:t xml:space="preserve"> </w:t>
      </w:r>
      <w:r>
        <w:t xml:space="preserve">Board of Taxation (the Board) held </w:t>
      </w:r>
      <w:r w:rsidR="00CF54D8">
        <w:t xml:space="preserve">its </w:t>
      </w:r>
      <w:r w:rsidR="00E76AFA">
        <w:t>March</w:t>
      </w:r>
      <w:r w:rsidR="004127D6">
        <w:t xml:space="preserve"> Board</w:t>
      </w:r>
      <w:r w:rsidR="002141D6">
        <w:t xml:space="preserve"> meeting </w:t>
      </w:r>
      <w:r w:rsidR="00E76AFA">
        <w:t xml:space="preserve">recently </w:t>
      </w:r>
      <w:r w:rsidR="002141D6">
        <w:t xml:space="preserve">in </w:t>
      </w:r>
      <w:r w:rsidR="00E76AFA">
        <w:t>Sydney</w:t>
      </w:r>
      <w:r w:rsidR="008B7B17">
        <w:t xml:space="preserve"> - hosted by </w:t>
      </w:r>
      <w:r w:rsidR="00E76AFA">
        <w:t>Chartered Accountants Australia and New Zealand (CAANZ)</w:t>
      </w:r>
      <w:r w:rsidR="008B7B17">
        <w:t xml:space="preserve">.  After the meeting, the </w:t>
      </w:r>
      <w:r w:rsidR="002141D6">
        <w:t xml:space="preserve">Board held discussions over lunch </w:t>
      </w:r>
      <w:r w:rsidR="00C6333A">
        <w:t xml:space="preserve">(again hosted by CAANZ) </w:t>
      </w:r>
      <w:r w:rsidR="002141D6">
        <w:t>with stakeholders, members of our Advisory Panel</w:t>
      </w:r>
      <w:r w:rsidR="00E76AFA">
        <w:t xml:space="preserve">, the CAANZ Tax Technical Panel and other stakeholders. </w:t>
      </w:r>
      <w:r w:rsidR="002141D6">
        <w:t>Thank you to everyone for attending and contributing your ideas and observations on how we can improve the tax system.</w:t>
      </w:r>
      <w:r w:rsidR="00BB7C68">
        <w:t xml:space="preserve"> We value </w:t>
      </w:r>
      <w:r w:rsidR="00E76AFA">
        <w:t xml:space="preserve">the opportunity to engage </w:t>
      </w:r>
      <w:r w:rsidR="00C6333A">
        <w:t xml:space="preserve">in these discussions </w:t>
      </w:r>
      <w:r w:rsidR="00E76AFA">
        <w:t xml:space="preserve">and hear </w:t>
      </w:r>
      <w:r w:rsidR="00BB7C68">
        <w:t>your feedback</w:t>
      </w:r>
      <w:r w:rsidR="00E76AFA">
        <w:t xml:space="preserve"> directly</w:t>
      </w:r>
      <w:r w:rsidR="00BB7C68">
        <w:t>.</w:t>
      </w:r>
    </w:p>
    <w:p w14:paraId="71AE13C2" w14:textId="77777777" w:rsidR="00CF54D8" w:rsidRPr="001172BC" w:rsidRDefault="00CF54D8" w:rsidP="00CF54D8">
      <w:pPr>
        <w:pStyle w:val="Heading2"/>
        <w:spacing w:before="240"/>
      </w:pPr>
      <w:r>
        <w:t>Overview of current agenda</w:t>
      </w:r>
    </w:p>
    <w:p w14:paraId="3E38E646" w14:textId="77777777" w:rsidR="00CF54D8" w:rsidRPr="00424B5A" w:rsidRDefault="00CF54D8" w:rsidP="00CF54D8">
      <w:pPr>
        <w:rPr>
          <w:szCs w:val="21"/>
        </w:rPr>
      </w:pPr>
      <w:r w:rsidRPr="00424B5A">
        <w:rPr>
          <w:szCs w:val="21"/>
        </w:rPr>
        <w:t>The following is an overview of our current work program, which includes:</w:t>
      </w:r>
    </w:p>
    <w:p w14:paraId="27E6DB61" w14:textId="77777777" w:rsidR="00087452" w:rsidRPr="00424B5A" w:rsidRDefault="00087452" w:rsidP="00087452">
      <w:pPr>
        <w:pStyle w:val="Bullet"/>
        <w:ind w:left="360"/>
        <w:rPr>
          <w:szCs w:val="21"/>
        </w:rPr>
      </w:pPr>
      <w:r>
        <w:rPr>
          <w:szCs w:val="21"/>
        </w:rPr>
        <w:t>Review into granny flat arrangements;</w:t>
      </w:r>
    </w:p>
    <w:p w14:paraId="5E7AEACF" w14:textId="77777777" w:rsidR="00087452" w:rsidRDefault="00087452" w:rsidP="00087452">
      <w:pPr>
        <w:pStyle w:val="Bullet"/>
        <w:ind w:left="360"/>
        <w:rPr>
          <w:szCs w:val="21"/>
        </w:rPr>
      </w:pPr>
      <w:r w:rsidRPr="00424B5A">
        <w:rPr>
          <w:szCs w:val="21"/>
        </w:rPr>
        <w:t>Fringe Benefits Tax (FBT) compliance cost and international practice review;</w:t>
      </w:r>
    </w:p>
    <w:p w14:paraId="2C8EE77C" w14:textId="77777777" w:rsidR="00087452" w:rsidRPr="00424B5A" w:rsidRDefault="00087452" w:rsidP="00087452">
      <w:pPr>
        <w:pStyle w:val="Bullet"/>
        <w:ind w:left="360"/>
        <w:rPr>
          <w:szCs w:val="21"/>
        </w:rPr>
      </w:pPr>
      <w:r w:rsidRPr="00424B5A">
        <w:rPr>
          <w:szCs w:val="21"/>
        </w:rPr>
        <w:t>Review of the Voluntary Tax Transparency Code (the Code);</w:t>
      </w:r>
    </w:p>
    <w:p w14:paraId="01534330" w14:textId="77777777" w:rsidR="00CF54D8" w:rsidRPr="00424B5A" w:rsidRDefault="00CF54D8" w:rsidP="00CF54D8">
      <w:pPr>
        <w:pStyle w:val="Bullet"/>
        <w:ind w:left="360"/>
        <w:rPr>
          <w:szCs w:val="21"/>
        </w:rPr>
      </w:pPr>
      <w:r w:rsidRPr="00424B5A">
        <w:rPr>
          <w:szCs w:val="21"/>
        </w:rPr>
        <w:t xml:space="preserve">Further work on tax residency for individuals; </w:t>
      </w:r>
    </w:p>
    <w:p w14:paraId="72453252" w14:textId="35708926" w:rsidR="00087452" w:rsidRPr="00424B5A" w:rsidRDefault="00087452" w:rsidP="00087452">
      <w:pPr>
        <w:pStyle w:val="Bullet"/>
        <w:ind w:left="360"/>
        <w:rPr>
          <w:szCs w:val="21"/>
        </w:rPr>
      </w:pPr>
      <w:r w:rsidRPr="00424B5A">
        <w:rPr>
          <w:szCs w:val="21"/>
        </w:rPr>
        <w:t>Review of small business tax concessions;</w:t>
      </w:r>
      <w:r w:rsidR="00E312C1">
        <w:rPr>
          <w:szCs w:val="21"/>
        </w:rPr>
        <w:t xml:space="preserve"> and</w:t>
      </w:r>
    </w:p>
    <w:p w14:paraId="63A8623C" w14:textId="77777777" w:rsidR="00CF54D8" w:rsidRPr="00424B5A" w:rsidRDefault="00CF54D8" w:rsidP="00087452">
      <w:pPr>
        <w:pStyle w:val="Bullet"/>
        <w:ind w:left="360"/>
        <w:rPr>
          <w:szCs w:val="21"/>
        </w:rPr>
      </w:pPr>
      <w:r w:rsidRPr="00424B5A">
        <w:rPr>
          <w:szCs w:val="21"/>
        </w:rPr>
        <w:t>Sounding Board.</w:t>
      </w:r>
    </w:p>
    <w:p w14:paraId="1B7A5CB1" w14:textId="77777777" w:rsidR="00C6333A" w:rsidRDefault="00C6333A" w:rsidP="00CF54D8">
      <w:pPr>
        <w:pStyle w:val="Bullet"/>
        <w:numPr>
          <w:ilvl w:val="0"/>
          <w:numId w:val="0"/>
        </w:numPr>
        <w:rPr>
          <w:szCs w:val="21"/>
        </w:rPr>
      </w:pPr>
    </w:p>
    <w:p w14:paraId="04BBEDB6" w14:textId="781DA8A9" w:rsidR="008B7B17" w:rsidRDefault="009C43EC" w:rsidP="00CF54D8">
      <w:pPr>
        <w:pStyle w:val="Bullet"/>
        <w:numPr>
          <w:ilvl w:val="0"/>
          <w:numId w:val="0"/>
        </w:numPr>
        <w:rPr>
          <w:szCs w:val="21"/>
        </w:rPr>
      </w:pPr>
      <w:r w:rsidRPr="009C43EC">
        <w:rPr>
          <w:szCs w:val="21"/>
        </w:rPr>
        <w:t>The review</w:t>
      </w:r>
      <w:r w:rsidR="00556E0A">
        <w:rPr>
          <w:szCs w:val="21"/>
        </w:rPr>
        <w:t>s</w:t>
      </w:r>
      <w:r w:rsidRPr="009C43EC">
        <w:rPr>
          <w:szCs w:val="21"/>
        </w:rPr>
        <w:t xml:space="preserve"> </w:t>
      </w:r>
      <w:r w:rsidR="00C6333A">
        <w:rPr>
          <w:szCs w:val="21"/>
        </w:rPr>
        <w:t>of</w:t>
      </w:r>
      <w:r w:rsidRPr="009C43EC">
        <w:rPr>
          <w:szCs w:val="21"/>
        </w:rPr>
        <w:t xml:space="preserve"> small business tax concessions </w:t>
      </w:r>
      <w:r w:rsidR="00556E0A">
        <w:rPr>
          <w:szCs w:val="21"/>
        </w:rPr>
        <w:t xml:space="preserve">and tax residency for individuals </w:t>
      </w:r>
      <w:r w:rsidR="008B7B17">
        <w:rPr>
          <w:szCs w:val="21"/>
        </w:rPr>
        <w:t>will be finalised shortly.</w:t>
      </w:r>
    </w:p>
    <w:p w14:paraId="65DEA948" w14:textId="053FFFC2" w:rsidR="00FD3F49" w:rsidRDefault="00E312C1" w:rsidP="00CF54D8">
      <w:pPr>
        <w:pStyle w:val="Bullet"/>
        <w:numPr>
          <w:ilvl w:val="0"/>
          <w:numId w:val="0"/>
        </w:numPr>
        <w:rPr>
          <w:szCs w:val="21"/>
        </w:rPr>
      </w:pPr>
      <w:r>
        <w:rPr>
          <w:szCs w:val="21"/>
        </w:rPr>
        <w:lastRenderedPageBreak/>
        <w:t>At</w:t>
      </w:r>
      <w:r w:rsidR="00FD3F49">
        <w:rPr>
          <w:szCs w:val="21"/>
        </w:rPr>
        <w:t xml:space="preserve"> </w:t>
      </w:r>
      <w:r>
        <w:rPr>
          <w:szCs w:val="21"/>
        </w:rPr>
        <w:t>the</w:t>
      </w:r>
      <w:r w:rsidR="00FD3F49">
        <w:rPr>
          <w:szCs w:val="21"/>
        </w:rPr>
        <w:t xml:space="preserve"> March Board meeting, the Board </w:t>
      </w:r>
      <w:r w:rsidR="008B7B17">
        <w:rPr>
          <w:szCs w:val="21"/>
        </w:rPr>
        <w:t xml:space="preserve">also </w:t>
      </w:r>
      <w:r w:rsidR="00FD3F49">
        <w:rPr>
          <w:szCs w:val="21"/>
        </w:rPr>
        <w:t xml:space="preserve">discussed </w:t>
      </w:r>
      <w:r w:rsidR="008B7B17">
        <w:rPr>
          <w:szCs w:val="21"/>
        </w:rPr>
        <w:t xml:space="preserve">some possible ideas to include in our future pipeline of </w:t>
      </w:r>
      <w:r w:rsidR="001138D6">
        <w:rPr>
          <w:szCs w:val="21"/>
        </w:rPr>
        <w:t xml:space="preserve">project </w:t>
      </w:r>
      <w:r w:rsidR="008B7B17">
        <w:rPr>
          <w:szCs w:val="21"/>
        </w:rPr>
        <w:t xml:space="preserve">work.  </w:t>
      </w:r>
      <w:r w:rsidR="001138D6">
        <w:rPr>
          <w:szCs w:val="21"/>
        </w:rPr>
        <w:t>Some further information, details and updates on</w:t>
      </w:r>
      <w:r w:rsidR="001138D6" w:rsidRPr="00424B5A">
        <w:rPr>
          <w:szCs w:val="21"/>
        </w:rPr>
        <w:t xml:space="preserve"> some of </w:t>
      </w:r>
      <w:r w:rsidR="00C6333A">
        <w:rPr>
          <w:szCs w:val="21"/>
        </w:rPr>
        <w:t>these</w:t>
      </w:r>
      <w:r w:rsidR="001138D6" w:rsidRPr="00424B5A">
        <w:rPr>
          <w:szCs w:val="21"/>
        </w:rPr>
        <w:t xml:space="preserve"> projects </w:t>
      </w:r>
      <w:r w:rsidR="00C6333A">
        <w:rPr>
          <w:szCs w:val="21"/>
        </w:rPr>
        <w:t>is</w:t>
      </w:r>
      <w:r w:rsidR="001138D6">
        <w:rPr>
          <w:szCs w:val="21"/>
        </w:rPr>
        <w:t xml:space="preserve"> set out </w:t>
      </w:r>
      <w:r w:rsidR="001138D6" w:rsidRPr="00424B5A">
        <w:rPr>
          <w:szCs w:val="21"/>
        </w:rPr>
        <w:t>below.</w:t>
      </w:r>
      <w:r w:rsidR="001138D6">
        <w:rPr>
          <w:szCs w:val="21"/>
        </w:rPr>
        <w:t xml:space="preserve"> </w:t>
      </w:r>
    </w:p>
    <w:p w14:paraId="5DC6C94C" w14:textId="77777777" w:rsidR="00D22CE2" w:rsidRPr="005B32D7" w:rsidRDefault="00C813D1" w:rsidP="00D22CE2">
      <w:pPr>
        <w:pStyle w:val="Heading2"/>
      </w:pPr>
      <w:r>
        <w:t>Review into granny flat arrangements</w:t>
      </w:r>
    </w:p>
    <w:p w14:paraId="10CF2E5C" w14:textId="353ABCEA" w:rsidR="009C43EC" w:rsidRDefault="009C43EC" w:rsidP="00D22CE2">
      <w:pPr>
        <w:pStyle w:val="Heading2"/>
        <w:rPr>
          <w:b w:val="0"/>
          <w:color w:val="auto"/>
          <w:sz w:val="22"/>
          <w:szCs w:val="22"/>
        </w:rPr>
      </w:pPr>
      <w:r w:rsidRPr="009C43EC">
        <w:rPr>
          <w:b w:val="0"/>
          <w:color w:val="auto"/>
          <w:sz w:val="22"/>
          <w:szCs w:val="22"/>
        </w:rPr>
        <w:t xml:space="preserve">The Board has commenced consultations for the review of </w:t>
      </w:r>
      <w:r w:rsidR="00132F20">
        <w:rPr>
          <w:b w:val="0"/>
          <w:color w:val="auto"/>
          <w:sz w:val="22"/>
          <w:szCs w:val="22"/>
        </w:rPr>
        <w:t xml:space="preserve">the tax implications of </w:t>
      </w:r>
      <w:r w:rsidRPr="009C43EC">
        <w:rPr>
          <w:b w:val="0"/>
          <w:color w:val="auto"/>
          <w:sz w:val="22"/>
          <w:szCs w:val="22"/>
        </w:rPr>
        <w:t xml:space="preserve">granny flat arrangements. The Board </w:t>
      </w:r>
      <w:r w:rsidR="00C6333A">
        <w:rPr>
          <w:b w:val="0"/>
          <w:color w:val="auto"/>
          <w:sz w:val="22"/>
          <w:szCs w:val="22"/>
        </w:rPr>
        <w:t xml:space="preserve">has recently </w:t>
      </w:r>
      <w:r w:rsidRPr="009C43EC">
        <w:rPr>
          <w:b w:val="0"/>
          <w:color w:val="auto"/>
          <w:sz w:val="22"/>
          <w:szCs w:val="22"/>
        </w:rPr>
        <w:t>met with key Government stakeholders, including the Department of Social Services, Department of Human Services and the Attorney-General’s Department</w:t>
      </w:r>
      <w:r w:rsidR="003464B7">
        <w:rPr>
          <w:b w:val="0"/>
          <w:color w:val="auto"/>
          <w:sz w:val="22"/>
          <w:szCs w:val="22"/>
        </w:rPr>
        <w:t xml:space="preserve">, </w:t>
      </w:r>
      <w:r w:rsidRPr="009C43EC">
        <w:rPr>
          <w:b w:val="0"/>
          <w:color w:val="auto"/>
          <w:sz w:val="22"/>
          <w:szCs w:val="22"/>
        </w:rPr>
        <w:t xml:space="preserve">as well as practitioners with specialist knowledge of social security laws and elder abuse. </w:t>
      </w:r>
      <w:r w:rsidR="009424A4">
        <w:rPr>
          <w:b w:val="0"/>
          <w:color w:val="auto"/>
          <w:sz w:val="22"/>
          <w:szCs w:val="22"/>
        </w:rPr>
        <w:t xml:space="preserve"> </w:t>
      </w:r>
      <w:r w:rsidRPr="009C43EC">
        <w:rPr>
          <w:b w:val="0"/>
          <w:color w:val="auto"/>
          <w:sz w:val="22"/>
          <w:szCs w:val="22"/>
        </w:rPr>
        <w:t xml:space="preserve">The Board will continue </w:t>
      </w:r>
      <w:r w:rsidR="00C6333A">
        <w:rPr>
          <w:b w:val="0"/>
          <w:color w:val="auto"/>
          <w:sz w:val="22"/>
          <w:szCs w:val="22"/>
        </w:rPr>
        <w:t>c</w:t>
      </w:r>
      <w:r w:rsidR="003464B7">
        <w:rPr>
          <w:b w:val="0"/>
          <w:color w:val="auto"/>
          <w:sz w:val="22"/>
          <w:szCs w:val="22"/>
        </w:rPr>
        <w:t xml:space="preserve">onsultations </w:t>
      </w:r>
      <w:r w:rsidRPr="009C43EC">
        <w:rPr>
          <w:b w:val="0"/>
          <w:color w:val="auto"/>
          <w:sz w:val="22"/>
          <w:szCs w:val="22"/>
        </w:rPr>
        <w:t>throughout April</w:t>
      </w:r>
      <w:r w:rsidR="009424A4">
        <w:rPr>
          <w:b w:val="0"/>
          <w:color w:val="auto"/>
          <w:sz w:val="22"/>
          <w:szCs w:val="22"/>
        </w:rPr>
        <w:t xml:space="preserve"> </w:t>
      </w:r>
      <w:r w:rsidR="003464B7" w:rsidRPr="00DC5753">
        <w:rPr>
          <w:b w:val="0"/>
          <w:color w:val="auto"/>
          <w:sz w:val="22"/>
          <w:szCs w:val="22"/>
        </w:rPr>
        <w:t xml:space="preserve">- </w:t>
      </w:r>
      <w:r w:rsidR="003464B7" w:rsidRPr="009424A4">
        <w:rPr>
          <w:b w:val="0"/>
          <w:color w:val="auto"/>
          <w:sz w:val="22"/>
          <w:szCs w:val="22"/>
          <w:lang w:val="en-US"/>
        </w:rPr>
        <w:t>especially legal aid lawyers and advocates who represent those suffering from elder abuse in legal proceedings</w:t>
      </w:r>
      <w:r w:rsidRPr="00DC5753">
        <w:rPr>
          <w:b w:val="0"/>
          <w:color w:val="auto"/>
          <w:sz w:val="22"/>
          <w:szCs w:val="22"/>
        </w:rPr>
        <w:t>.</w:t>
      </w:r>
      <w:r w:rsidR="003464B7">
        <w:rPr>
          <w:b w:val="0"/>
          <w:color w:val="auto"/>
          <w:sz w:val="22"/>
          <w:szCs w:val="22"/>
        </w:rPr>
        <w:t xml:space="preserve"> </w:t>
      </w:r>
      <w:r w:rsidRPr="009C43EC">
        <w:rPr>
          <w:b w:val="0"/>
          <w:color w:val="auto"/>
          <w:sz w:val="22"/>
          <w:szCs w:val="22"/>
        </w:rPr>
        <w:t xml:space="preserve"> If you would like to be involved in the consultations, please contact the Board via email – </w:t>
      </w:r>
      <w:hyperlink r:id="rId14" w:history="1">
        <w:r w:rsidRPr="009C43EC">
          <w:rPr>
            <w:rStyle w:val="Hyperlink"/>
            <w:b w:val="0"/>
            <w:sz w:val="22"/>
            <w:u w:val="single"/>
          </w:rPr>
          <w:t>taxboard@treasury.gov.au</w:t>
        </w:r>
      </w:hyperlink>
      <w:r w:rsidRPr="009C43EC">
        <w:rPr>
          <w:b w:val="0"/>
          <w:color w:val="auto"/>
          <w:sz w:val="22"/>
          <w:szCs w:val="22"/>
        </w:rPr>
        <w:t xml:space="preserve">. </w:t>
      </w:r>
    </w:p>
    <w:p w14:paraId="5476FA01" w14:textId="77777777" w:rsidR="003464B7" w:rsidRDefault="003464B7">
      <w:pPr>
        <w:spacing w:before="0" w:after="200" w:line="276" w:lineRule="auto"/>
        <w:rPr>
          <w:b/>
          <w:color w:val="C00000"/>
          <w:sz w:val="40"/>
          <w:szCs w:val="48"/>
        </w:rPr>
      </w:pPr>
      <w:r>
        <w:br w:type="page"/>
      </w:r>
    </w:p>
    <w:p w14:paraId="293F6683" w14:textId="35248109" w:rsidR="001172BC" w:rsidRPr="005B32D7" w:rsidRDefault="00CF54D8" w:rsidP="001172BC">
      <w:pPr>
        <w:pStyle w:val="Heading2"/>
      </w:pPr>
      <w:r>
        <w:lastRenderedPageBreak/>
        <w:t>Tax T</w:t>
      </w:r>
      <w:r w:rsidR="002141D6">
        <w:t>ransparency</w:t>
      </w:r>
      <w:r w:rsidR="008F50FB">
        <w:t xml:space="preserve"> </w:t>
      </w:r>
      <w:r>
        <w:t>Code consultation</w:t>
      </w:r>
      <w:r w:rsidR="000557EE">
        <w:t xml:space="preserve"> &amp; update</w:t>
      </w:r>
    </w:p>
    <w:p w14:paraId="2CC5756F" w14:textId="1EC1E74F" w:rsidR="00013485" w:rsidRPr="006C4ED8" w:rsidRDefault="00013485" w:rsidP="00BE3156">
      <w:r>
        <w:t xml:space="preserve">As highlighted in last month’s update, </w:t>
      </w:r>
      <w:r w:rsidR="00BE3156">
        <w:t xml:space="preserve">the Board </w:t>
      </w:r>
      <w:r>
        <w:t xml:space="preserve">has </w:t>
      </w:r>
      <w:r w:rsidR="00BE3156">
        <w:t>released a Consultation Paper outlining proposed changes to the Code. The Consultation Paper is a</w:t>
      </w:r>
      <w:r w:rsidR="00C813D1">
        <w:t xml:space="preserve">vailable on the </w:t>
      </w:r>
      <w:hyperlink r:id="rId15" w:history="1">
        <w:r w:rsidR="00C813D1" w:rsidRPr="00C813D1">
          <w:rPr>
            <w:rStyle w:val="Hyperlink"/>
            <w:u w:val="single"/>
          </w:rPr>
          <w:t>Board’s website</w:t>
        </w:r>
      </w:hyperlink>
      <w:r w:rsidR="00C813D1" w:rsidRPr="006C4ED8">
        <w:t>.</w:t>
      </w:r>
      <w:r w:rsidRPr="006C4ED8">
        <w:t xml:space="preserve"> </w:t>
      </w:r>
      <w:r w:rsidR="009424A4">
        <w:t xml:space="preserve"> </w:t>
      </w:r>
      <w:r w:rsidR="00185198" w:rsidRPr="009424A4">
        <w:t>The consultation period close</w:t>
      </w:r>
      <w:r w:rsidR="007B25E1" w:rsidRPr="009424A4">
        <w:t>d</w:t>
      </w:r>
      <w:r w:rsidR="00185198" w:rsidRPr="009424A4">
        <w:t xml:space="preserve"> on </w:t>
      </w:r>
      <w:r w:rsidR="009424A4">
        <w:t>26 March </w:t>
      </w:r>
      <w:r w:rsidR="00BE3156" w:rsidRPr="009424A4">
        <w:t>2019</w:t>
      </w:r>
      <w:r w:rsidR="007B25E1" w:rsidRPr="009424A4">
        <w:t xml:space="preserve">, with the Board receiving </w:t>
      </w:r>
      <w:r w:rsidR="006C4ED8" w:rsidRPr="009424A4">
        <w:t>10</w:t>
      </w:r>
      <w:r w:rsidR="007B25E1" w:rsidRPr="009424A4">
        <w:t xml:space="preserve"> written submissions</w:t>
      </w:r>
      <w:r w:rsidR="009424A4">
        <w:t xml:space="preserve"> to date and granted a number of extensions till the week of 1 April 2019 to allow additional participants to submit their responses</w:t>
      </w:r>
      <w:r w:rsidR="007B25E1" w:rsidRPr="009424A4">
        <w:t xml:space="preserve">. </w:t>
      </w:r>
      <w:r w:rsidR="007C0F24" w:rsidRPr="009424A4">
        <w:t xml:space="preserve">We would like to thank all those that contributed to the process both in consultation sessions last year and with written submissions to our Consultation Paper. </w:t>
      </w:r>
      <w:r w:rsidR="00D756F3" w:rsidRPr="009424A4">
        <w:t xml:space="preserve"> </w:t>
      </w:r>
      <w:r w:rsidR="007C0F24" w:rsidRPr="009424A4">
        <w:t>We are currently reviewing these submissions in detail, and will incorporate this feedback into our final recommendations to Government. Initial indications suggest wide spread support for the proposed changes.</w:t>
      </w:r>
      <w:r w:rsidR="007C0F24" w:rsidRPr="006C4ED8">
        <w:t xml:space="preserve"> </w:t>
      </w:r>
      <w:r w:rsidR="006F207B" w:rsidRPr="006C4ED8">
        <w:t xml:space="preserve"> </w:t>
      </w:r>
    </w:p>
    <w:p w14:paraId="152FD297" w14:textId="6A3B85BB" w:rsidR="007B25E1" w:rsidRDefault="00BE3156" w:rsidP="00013485">
      <w:pPr>
        <w:keepNext/>
        <w:keepLines/>
      </w:pPr>
      <w:r w:rsidRPr="009424A4">
        <w:t xml:space="preserve">As at </w:t>
      </w:r>
      <w:r w:rsidR="007B25E1" w:rsidRPr="009424A4">
        <w:t>20 March</w:t>
      </w:r>
      <w:r w:rsidRPr="009424A4">
        <w:t xml:space="preserve"> 2019, there were 16</w:t>
      </w:r>
      <w:r w:rsidR="007B25E1" w:rsidRPr="009424A4">
        <w:t>2</w:t>
      </w:r>
      <w:r w:rsidRPr="009424A4">
        <w:t xml:space="preserve"> signatories of the Code, with </w:t>
      </w:r>
      <w:r w:rsidR="006C4ED8" w:rsidRPr="009424A4">
        <w:t>14</w:t>
      </w:r>
      <w:r w:rsidR="006C4ED8" w:rsidRPr="009424A4">
        <w:t xml:space="preserve">6 </w:t>
      </w:r>
      <w:r w:rsidRPr="009424A4">
        <w:t>of those having published at least one report.</w:t>
      </w:r>
      <w:r w:rsidRPr="006C4ED8">
        <w:t xml:space="preserve"> </w:t>
      </w:r>
      <w:r w:rsidR="007B25E1" w:rsidRPr="006C4ED8">
        <w:t>Some of our signatories are now approaching their third year of reporting under the Code, which is a</w:t>
      </w:r>
      <w:r w:rsidR="007B25E1">
        <w:t xml:space="preserve"> tremendous achievement! </w:t>
      </w:r>
      <w:r w:rsidRPr="007A7F8F">
        <w:t xml:space="preserve">The full register of signatories can be found on the </w:t>
      </w:r>
      <w:hyperlink r:id="rId16" w:history="1">
        <w:r w:rsidRPr="007A7F8F">
          <w:rPr>
            <w:rStyle w:val="Hyperlink"/>
          </w:rPr>
          <w:t xml:space="preserve">Board’s </w:t>
        </w:r>
        <w:r w:rsidRPr="007A7F8F">
          <w:rPr>
            <w:rStyle w:val="Hyperlink"/>
            <w:u w:val="single"/>
          </w:rPr>
          <w:t>website</w:t>
        </w:r>
      </w:hyperlink>
      <w:r w:rsidRPr="007A7F8F">
        <w:t xml:space="preserve">, and links to published reports are available on </w:t>
      </w:r>
      <w:hyperlink r:id="rId17" w:history="1">
        <w:r w:rsidRPr="007A7F8F">
          <w:rPr>
            <w:rStyle w:val="Hyperlink"/>
            <w:u w:val="single"/>
          </w:rPr>
          <w:t>data.gov.au</w:t>
        </w:r>
      </w:hyperlink>
      <w:r w:rsidRPr="007A7F8F">
        <w:t xml:space="preserve">. </w:t>
      </w:r>
    </w:p>
    <w:p w14:paraId="7A9460EE" w14:textId="3047F55B" w:rsidR="00A17662" w:rsidRDefault="007B25E1" w:rsidP="00013485">
      <w:pPr>
        <w:keepNext/>
        <w:keepLines/>
      </w:pPr>
      <w:r>
        <w:t>It is crucial that we keep the conversation going about tax transparency, and its role in encouraging responsible tax practices and building trust in our tax system. To this end, w</w:t>
      </w:r>
      <w:r w:rsidR="00A17662">
        <w:t xml:space="preserve">e strongly encourage all our stakeholders to consider adopting the Code, and to work with your clients to adopt the Code. For further information on the Code or to register your intention to adopt it, please contact us at </w:t>
      </w:r>
      <w:hyperlink r:id="rId18" w:history="1">
        <w:r w:rsidR="00A17662" w:rsidRPr="004274A0">
          <w:rPr>
            <w:rStyle w:val="Hyperlink"/>
            <w:u w:val="single"/>
          </w:rPr>
          <w:t>taxboard@treasury.gov.au</w:t>
        </w:r>
      </w:hyperlink>
      <w:r w:rsidR="00A17662">
        <w:t>.</w:t>
      </w:r>
    </w:p>
    <w:p w14:paraId="69FD76DB" w14:textId="47FED4C9" w:rsidR="00013485" w:rsidRDefault="00013485" w:rsidP="00013485">
      <w:pPr>
        <w:pStyle w:val="Heading2"/>
      </w:pPr>
      <w:r>
        <w:t>Sounding Board update</w:t>
      </w:r>
    </w:p>
    <w:p w14:paraId="7F97FBC2" w14:textId="35B810E8" w:rsidR="00AC7E09" w:rsidRDefault="00556E0A" w:rsidP="00556E0A">
      <w:r>
        <w:t xml:space="preserve">Sounding Board has received two new ideas since my last </w:t>
      </w:r>
      <w:r w:rsidR="00AC7E09">
        <w:t xml:space="preserve">CEO </w:t>
      </w:r>
      <w:r>
        <w:t>update, both of which relate to the superannuation system.</w:t>
      </w:r>
      <w:r w:rsidR="007C0F24">
        <w:t xml:space="preserve"> At the March Board meeting, t</w:t>
      </w:r>
      <w:r>
        <w:t xml:space="preserve">he Board </w:t>
      </w:r>
      <w:r w:rsidR="00AC7E09">
        <w:t xml:space="preserve">noted </w:t>
      </w:r>
      <w:r w:rsidR="00841F18">
        <w:t xml:space="preserve">that superannuation has been a </w:t>
      </w:r>
      <w:r>
        <w:t>recurr</w:t>
      </w:r>
      <w:r w:rsidR="00AC7E09">
        <w:t>ing</w:t>
      </w:r>
      <w:r>
        <w:t xml:space="preserve"> theme on the platform</w:t>
      </w:r>
      <w:r w:rsidR="00AC7E09">
        <w:t xml:space="preserve"> - there are currently seven (7) ideas noted on </w:t>
      </w:r>
      <w:r w:rsidR="001138D6">
        <w:t xml:space="preserve">the theme of </w:t>
      </w:r>
      <w:r w:rsidR="00AC7E09">
        <w:t>superannuation, including:</w:t>
      </w:r>
    </w:p>
    <w:p w14:paraId="6735B79D" w14:textId="6C1ADB93" w:rsidR="00AC7E09" w:rsidRDefault="001138D6" w:rsidP="00AC7E09">
      <w:pPr>
        <w:pStyle w:val="Bullet"/>
      </w:pPr>
      <w:r>
        <w:t>T</w:t>
      </w:r>
      <w:r w:rsidR="00AC7E09">
        <w:t>he treatment of excess super contributions;</w:t>
      </w:r>
    </w:p>
    <w:p w14:paraId="54A3D89E" w14:textId="5D6693D5" w:rsidR="00AC7E09" w:rsidRDefault="00AC7E09" w:rsidP="00AC7E09">
      <w:pPr>
        <w:pStyle w:val="Bullet"/>
      </w:pPr>
      <w:r>
        <w:t>The exclusion of unpaid annual leave and long service leave from the superannuation guarantee charge calculations and system;</w:t>
      </w:r>
    </w:p>
    <w:p w14:paraId="2784E40B" w14:textId="77777777" w:rsidR="00AC7E09" w:rsidRDefault="00AC7E09" w:rsidP="00AC7E09">
      <w:pPr>
        <w:pStyle w:val="Bullet"/>
      </w:pPr>
      <w:r>
        <w:t>Cumbersome and bureaucratic superannuation system for those with portfolio careers - especially non-executive directors;</w:t>
      </w:r>
    </w:p>
    <w:p w14:paraId="12D1EF95" w14:textId="56E96D77" w:rsidR="00AC7E09" w:rsidRDefault="00AC7E09" w:rsidP="00AC7E09">
      <w:pPr>
        <w:pStyle w:val="Bullet"/>
      </w:pPr>
      <w:r>
        <w:t xml:space="preserve">Simplification of the superannuation guarantee charge </w:t>
      </w:r>
      <w:r w:rsidR="001138D6">
        <w:t>regime for SMEs;</w:t>
      </w:r>
      <w:r w:rsidR="009424A4">
        <w:t xml:space="preserve"> </w:t>
      </w:r>
      <w:r>
        <w:t>and</w:t>
      </w:r>
    </w:p>
    <w:p w14:paraId="1AE0F009" w14:textId="77777777" w:rsidR="00AC7E09" w:rsidRDefault="00AC7E09" w:rsidP="00AC7E09">
      <w:pPr>
        <w:pStyle w:val="Bullet"/>
      </w:pPr>
      <w:r>
        <w:t>Replacing the current requirement for an actuary certificate for exempt current pension income with a statutory formula to reduce compliance costs.</w:t>
      </w:r>
    </w:p>
    <w:p w14:paraId="732D782E" w14:textId="1ADA6872" w:rsidR="001138D6" w:rsidRDefault="00AC7E09" w:rsidP="00556E0A">
      <w:pPr>
        <w:rPr>
          <w:u w:val="single"/>
        </w:rPr>
      </w:pPr>
      <w:r>
        <w:lastRenderedPageBreak/>
        <w:t xml:space="preserve">We will be writing to specific industry associations for their thoughts </w:t>
      </w:r>
      <w:r w:rsidR="001138D6">
        <w:t xml:space="preserve">and </w:t>
      </w:r>
      <w:r>
        <w:t>observations</w:t>
      </w:r>
      <w:r w:rsidR="001138D6">
        <w:t xml:space="preserve"> on these ideas</w:t>
      </w:r>
      <w:r w:rsidR="00841F18">
        <w:t xml:space="preserve">, </w:t>
      </w:r>
      <w:r>
        <w:t>but invite you to comment directly on Sounding Board</w:t>
      </w:r>
      <w:r w:rsidR="001138D6">
        <w:t xml:space="preserve"> - either on the themes raised or specific suggestions for improvement</w:t>
      </w:r>
      <w:r>
        <w:t>.</w:t>
      </w:r>
      <w:r w:rsidDel="00AC7E09">
        <w:t xml:space="preserve"> </w:t>
      </w:r>
    </w:p>
    <w:p w14:paraId="77265736" w14:textId="2D893F27" w:rsidR="00C6333A" w:rsidRDefault="001138D6" w:rsidP="00C6333A">
      <w:pPr>
        <w:rPr>
          <w:u w:val="single"/>
        </w:rPr>
      </w:pPr>
      <w:r>
        <w:t xml:space="preserve">I would like to remind you </w:t>
      </w:r>
      <w:r w:rsidR="00C6333A">
        <w:t xml:space="preserve">that you </w:t>
      </w:r>
      <w:r>
        <w:t xml:space="preserve">can share your ideas for tax law simplification and regulatory reform via the Sounding Board website. </w:t>
      </w:r>
      <w:r w:rsidR="009424A4">
        <w:t xml:space="preserve"> </w:t>
      </w:r>
      <w:r>
        <w:t xml:space="preserve">You can also comment on and vote for ideas posted by other stakeholders. </w:t>
      </w:r>
      <w:r w:rsidR="009424A4">
        <w:t xml:space="preserve"> </w:t>
      </w:r>
      <w:r>
        <w:t xml:space="preserve">Regulatory reform </w:t>
      </w:r>
      <w:r w:rsidR="00C6333A">
        <w:t xml:space="preserve">and red tape reduction </w:t>
      </w:r>
      <w:r>
        <w:t xml:space="preserve">is an ongoing focus for the Board, and we are keen for your help in identifying opportunities to reduce red tape in the tax system. </w:t>
      </w:r>
      <w:r w:rsidR="00C6333A">
        <w:t xml:space="preserve"> To view these ideas and others, and join the discussion, please visit: </w:t>
      </w:r>
      <w:hyperlink r:id="rId19" w:history="1">
        <w:r w:rsidR="00C6333A" w:rsidRPr="007C0F24">
          <w:rPr>
            <w:rStyle w:val="Hyperlink"/>
            <w:u w:val="single"/>
          </w:rPr>
          <w:t>https://taxboard.ideascale.com/</w:t>
        </w:r>
      </w:hyperlink>
      <w:r w:rsidR="00C6333A" w:rsidRPr="007C0F24">
        <w:t xml:space="preserve"> . </w:t>
      </w:r>
      <w:r w:rsidR="00C6333A">
        <w:rPr>
          <w:u w:val="single"/>
        </w:rPr>
        <w:t xml:space="preserve"> </w:t>
      </w:r>
    </w:p>
    <w:p w14:paraId="5AE9B156" w14:textId="77777777" w:rsidR="003464B7" w:rsidRDefault="003464B7">
      <w:pPr>
        <w:spacing w:before="0" w:after="200" w:line="276" w:lineRule="auto"/>
        <w:rPr>
          <w:b/>
          <w:color w:val="C00000"/>
          <w:sz w:val="40"/>
          <w:szCs w:val="48"/>
        </w:rPr>
      </w:pPr>
      <w:r>
        <w:br w:type="page"/>
      </w:r>
    </w:p>
    <w:p w14:paraId="5A4DE36B" w14:textId="57C9234F" w:rsidR="001138D6" w:rsidRDefault="001138D6" w:rsidP="00D76983">
      <w:pPr>
        <w:pStyle w:val="Heading2"/>
      </w:pPr>
      <w:r>
        <w:lastRenderedPageBreak/>
        <w:t>Future Pipeline of Projects</w:t>
      </w:r>
    </w:p>
    <w:p w14:paraId="6B357709" w14:textId="29AF6BF4" w:rsidR="001138D6" w:rsidRPr="009424A4" w:rsidRDefault="001138D6" w:rsidP="009424A4">
      <w:pPr>
        <w:pStyle w:val="Bullet"/>
        <w:numPr>
          <w:ilvl w:val="0"/>
          <w:numId w:val="0"/>
        </w:numPr>
        <w:rPr>
          <w:szCs w:val="21"/>
        </w:rPr>
      </w:pPr>
      <w:r w:rsidRPr="009424A4">
        <w:rPr>
          <w:szCs w:val="21"/>
        </w:rPr>
        <w:t>The Board is conscious that a caretaker period and conventions will soon commence and accordingly, we are not expecting to commence any new Projects before the next</w:t>
      </w:r>
      <w:r w:rsidR="00DC5753">
        <w:rPr>
          <w:szCs w:val="21"/>
        </w:rPr>
        <w:t xml:space="preserve"> Federal</w:t>
      </w:r>
      <w:r w:rsidRPr="009424A4">
        <w:rPr>
          <w:szCs w:val="21"/>
        </w:rPr>
        <w:t xml:space="preserve"> election.  However, this is a great opportunity for the Board to reflect on What’s Next.  We would welcome your thoughts and ideas on the tax system priorities for review and improvement.</w:t>
      </w:r>
    </w:p>
    <w:p w14:paraId="6339A686" w14:textId="3172B190" w:rsidR="001138D6" w:rsidRDefault="001138D6" w:rsidP="001138D6">
      <w:pPr>
        <w:pStyle w:val="Bullet"/>
        <w:numPr>
          <w:ilvl w:val="0"/>
          <w:numId w:val="0"/>
        </w:numPr>
        <w:rPr>
          <w:szCs w:val="21"/>
        </w:rPr>
      </w:pPr>
      <w:r>
        <w:rPr>
          <w:szCs w:val="21"/>
        </w:rPr>
        <w:t xml:space="preserve">One suggestion, which was received directly from a stakeholder, is for the Board to consider a simplification or rewrite of Division 230 of the </w:t>
      </w:r>
      <w:r w:rsidRPr="006F207B">
        <w:rPr>
          <w:i/>
          <w:szCs w:val="21"/>
        </w:rPr>
        <w:t>Income Tax Assessment Act 1997</w:t>
      </w:r>
      <w:r>
        <w:rPr>
          <w:szCs w:val="21"/>
        </w:rPr>
        <w:t xml:space="preserve"> (relating to the taxation of financial arrangements, or TOFA). The Board noted that extensive simplification amendments to the TOFA re</w:t>
      </w:r>
      <w:r w:rsidR="009424A4">
        <w:rPr>
          <w:szCs w:val="21"/>
        </w:rPr>
        <w:t>gime were announced in the 2016</w:t>
      </w:r>
      <w:r w:rsidR="009424A4">
        <w:rPr>
          <w:szCs w:val="21"/>
        </w:rPr>
        <w:noBreakHyphen/>
      </w:r>
      <w:r>
        <w:rPr>
          <w:szCs w:val="21"/>
        </w:rPr>
        <w:t>17 Federal Budget (and previously) and so agreed that i</w:t>
      </w:r>
      <w:bookmarkStart w:id="0" w:name="_GoBack"/>
      <w:bookmarkEnd w:id="0"/>
      <w:r>
        <w:rPr>
          <w:szCs w:val="21"/>
        </w:rPr>
        <w:t>t would maintain a watching brief on this area and consider this further in the second half of 2019.  We would be interested in your feedback on this topic - we will post the idea to Sounding Board.</w:t>
      </w:r>
    </w:p>
    <w:p w14:paraId="4F64B56C" w14:textId="77777777" w:rsidR="001138D6" w:rsidRPr="009424A4" w:rsidRDefault="001138D6" w:rsidP="009424A4">
      <w:pPr>
        <w:rPr>
          <w:sz w:val="21"/>
          <w:szCs w:val="21"/>
        </w:rPr>
      </w:pPr>
    </w:p>
    <w:p w14:paraId="7D573E36" w14:textId="77777777" w:rsidR="00D76983" w:rsidRDefault="00D76983" w:rsidP="00D76983">
      <w:pPr>
        <w:pStyle w:val="Heading2"/>
      </w:pPr>
      <w:r>
        <w:t>2019 Meeting Dates</w:t>
      </w:r>
    </w:p>
    <w:p w14:paraId="16FA91D5" w14:textId="32835D55" w:rsidR="00D76983" w:rsidRDefault="00D76983" w:rsidP="00D76983">
      <w:pPr>
        <w:rPr>
          <w:sz w:val="21"/>
          <w:szCs w:val="21"/>
        </w:rPr>
      </w:pPr>
      <w:r>
        <w:rPr>
          <w:sz w:val="21"/>
          <w:szCs w:val="21"/>
        </w:rPr>
        <w:t>The Board</w:t>
      </w:r>
      <w:r w:rsidR="00013485">
        <w:rPr>
          <w:sz w:val="21"/>
          <w:szCs w:val="21"/>
        </w:rPr>
        <w:t xml:space="preserve">’s meetings for the remainder of </w:t>
      </w:r>
      <w:r>
        <w:rPr>
          <w:sz w:val="21"/>
          <w:szCs w:val="21"/>
        </w:rPr>
        <w:t xml:space="preserve">2019 </w:t>
      </w:r>
      <w:r w:rsidR="00013485">
        <w:rPr>
          <w:sz w:val="21"/>
          <w:szCs w:val="21"/>
        </w:rPr>
        <w:t xml:space="preserve">are </w:t>
      </w:r>
      <w:r>
        <w:rPr>
          <w:sz w:val="21"/>
          <w:szCs w:val="21"/>
        </w:rPr>
        <w:t>as follows:</w:t>
      </w:r>
    </w:p>
    <w:tbl>
      <w:tblPr>
        <w:tblStyle w:val="TableGrid"/>
        <w:tblW w:w="46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527"/>
      </w:tblGrid>
      <w:tr w:rsidR="00E76AFA" w14:paraId="5F08AA26" w14:textId="77777777" w:rsidTr="007A642B">
        <w:tc>
          <w:tcPr>
            <w:tcW w:w="2245" w:type="pct"/>
            <w:hideMark/>
          </w:tcPr>
          <w:p w14:paraId="25B967BB" w14:textId="102DFFB4" w:rsidR="00E76AFA" w:rsidRDefault="00E76AFA" w:rsidP="00D76983">
            <w:pPr>
              <w:pStyle w:val="Bullet"/>
            </w:pPr>
            <w:r>
              <w:t>11 April – hosted by EY Brisbane</w:t>
            </w:r>
          </w:p>
        </w:tc>
        <w:tc>
          <w:tcPr>
            <w:tcW w:w="2755" w:type="pct"/>
            <w:hideMark/>
          </w:tcPr>
          <w:p w14:paraId="54CD321F" w14:textId="77777777" w:rsidR="00E76AFA" w:rsidRDefault="00E76AFA" w:rsidP="00D76983">
            <w:pPr>
              <w:pStyle w:val="Bullet"/>
            </w:pPr>
            <w:r>
              <w:t>12 September – hosted by Deloitte Sydney</w:t>
            </w:r>
          </w:p>
        </w:tc>
      </w:tr>
      <w:tr w:rsidR="00E76AFA" w14:paraId="3C0F3BF2" w14:textId="77777777" w:rsidTr="00CF54D8">
        <w:tc>
          <w:tcPr>
            <w:tcW w:w="2245" w:type="pct"/>
          </w:tcPr>
          <w:p w14:paraId="6A745A4E" w14:textId="48C74F11" w:rsidR="00E76AFA" w:rsidRDefault="00E76AFA" w:rsidP="00D76983">
            <w:pPr>
              <w:pStyle w:val="Bullet"/>
            </w:pPr>
            <w:r>
              <w:t>30 May – hosted by Treasury Canberra</w:t>
            </w:r>
          </w:p>
        </w:tc>
        <w:tc>
          <w:tcPr>
            <w:tcW w:w="2755" w:type="pct"/>
          </w:tcPr>
          <w:p w14:paraId="0CB94EC3" w14:textId="77777777" w:rsidR="00E76AFA" w:rsidRDefault="00E76AFA" w:rsidP="00D76983">
            <w:pPr>
              <w:pStyle w:val="Bullet"/>
            </w:pPr>
            <w:r>
              <w:t>17 October – hosted by KPMG Perth</w:t>
            </w:r>
          </w:p>
        </w:tc>
      </w:tr>
      <w:tr w:rsidR="00E76AFA" w14:paraId="4AB52DF2" w14:textId="77777777" w:rsidTr="00CF54D8">
        <w:tc>
          <w:tcPr>
            <w:tcW w:w="2245" w:type="pct"/>
          </w:tcPr>
          <w:p w14:paraId="2F7B9A17" w14:textId="74A4D418" w:rsidR="00E76AFA" w:rsidRDefault="00E76AFA" w:rsidP="00D76983">
            <w:pPr>
              <w:pStyle w:val="Bullet"/>
            </w:pPr>
            <w:r>
              <w:t>4 July – hosted by PwC Melbourne</w:t>
            </w:r>
          </w:p>
        </w:tc>
        <w:tc>
          <w:tcPr>
            <w:tcW w:w="2755" w:type="pct"/>
          </w:tcPr>
          <w:p w14:paraId="33D342C4" w14:textId="77777777" w:rsidR="00E76AFA" w:rsidRDefault="00E76AFA" w:rsidP="00D76983">
            <w:pPr>
              <w:pStyle w:val="Bullet"/>
            </w:pPr>
            <w:r>
              <w:t>21 November – hosted by Baker McKenzie Sydney</w:t>
            </w:r>
          </w:p>
        </w:tc>
      </w:tr>
      <w:tr w:rsidR="00E76AFA" w14:paraId="11638508" w14:textId="77777777" w:rsidTr="00CF54D8">
        <w:tc>
          <w:tcPr>
            <w:tcW w:w="2245" w:type="pct"/>
          </w:tcPr>
          <w:p w14:paraId="23B08777" w14:textId="58B2FB89" w:rsidR="00E76AFA" w:rsidRDefault="00E76AFA" w:rsidP="00D76983">
            <w:pPr>
              <w:pStyle w:val="Bullet"/>
            </w:pPr>
            <w:r>
              <w:t>8 August – hosted by Deloitte Adelaide</w:t>
            </w:r>
          </w:p>
        </w:tc>
        <w:tc>
          <w:tcPr>
            <w:tcW w:w="2755" w:type="pct"/>
          </w:tcPr>
          <w:p w14:paraId="46499EF2" w14:textId="272CC5E1" w:rsidR="00E76AFA" w:rsidRDefault="00FB4FF2" w:rsidP="00D76983">
            <w:pPr>
              <w:pStyle w:val="Bullet"/>
            </w:pPr>
            <w:r>
              <w:t xml:space="preserve">13 </w:t>
            </w:r>
            <w:r w:rsidR="00E76AFA">
              <w:t>December – hosted by BDO Melbourne</w:t>
            </w:r>
          </w:p>
        </w:tc>
      </w:tr>
    </w:tbl>
    <w:p w14:paraId="3DE3D38A" w14:textId="77777777" w:rsidR="00526F77" w:rsidRDefault="00526F77" w:rsidP="00526F77">
      <w:pPr>
        <w:pStyle w:val="Heading2"/>
      </w:pPr>
      <w:r>
        <w:t>Thank You</w:t>
      </w:r>
      <w:r w:rsidR="007A642B">
        <w:t>!</w:t>
      </w:r>
    </w:p>
    <w:p w14:paraId="68371C16" w14:textId="6ECE7750" w:rsidR="00526F77" w:rsidRPr="005A3E43" w:rsidRDefault="00526F77" w:rsidP="00526F77">
      <w:pPr>
        <w:keepNext/>
        <w:keepLines/>
      </w:pPr>
      <w:r w:rsidRPr="005A3E43">
        <w:lastRenderedPageBreak/>
        <w:t xml:space="preserve">The Board would </w:t>
      </w:r>
      <w:r w:rsidR="00A309F6" w:rsidRPr="005A3E43">
        <w:t xml:space="preserve">once again like </w:t>
      </w:r>
      <w:r w:rsidR="003756D7" w:rsidRPr="005A3E43">
        <w:t>to thank</w:t>
      </w:r>
      <w:r w:rsidRPr="005A3E43">
        <w:t xml:space="preserve"> </w:t>
      </w:r>
      <w:r w:rsidR="00E76AFA">
        <w:t>CAANZ</w:t>
      </w:r>
      <w:r w:rsidR="00C813D1" w:rsidRPr="005A3E43">
        <w:t xml:space="preserve"> for hosting the Board meeting and lunch</w:t>
      </w:r>
      <w:r w:rsidR="003464B7">
        <w:t xml:space="preserve"> discussions</w:t>
      </w:r>
      <w:r w:rsidR="00C813D1" w:rsidRPr="005A3E43">
        <w:t xml:space="preserve"> with stakeholders. </w:t>
      </w:r>
    </w:p>
    <w:p w14:paraId="253D78B9" w14:textId="77777777" w:rsidR="007A642B" w:rsidRPr="005A3E43" w:rsidRDefault="00526F77" w:rsidP="00526F77">
      <w:pPr>
        <w:keepNext/>
        <w:keepLines/>
      </w:pPr>
      <w:r w:rsidRPr="005A3E43">
        <w:t xml:space="preserve">We value your feedback, so please stay in touch. </w:t>
      </w:r>
      <w:r w:rsidR="00C813D1" w:rsidRPr="005A3E43">
        <w:t xml:space="preserve">You can contact me directly at any time using the details below. </w:t>
      </w:r>
      <w:r w:rsidRPr="005A3E43">
        <w:t xml:space="preserve">You can </w:t>
      </w:r>
      <w:r w:rsidR="00C813D1" w:rsidRPr="005A3E43">
        <w:t xml:space="preserve">also </w:t>
      </w:r>
      <w:r w:rsidRPr="005A3E43">
        <w:t xml:space="preserve">keep up to date </w:t>
      </w:r>
      <w:r w:rsidR="00C813D1" w:rsidRPr="005A3E43">
        <w:t xml:space="preserve">with the Board’s activities </w:t>
      </w:r>
      <w:r w:rsidRPr="005A3E43">
        <w:t xml:space="preserve">via the </w:t>
      </w:r>
      <w:hyperlink r:id="rId20" w:history="1">
        <w:r w:rsidRPr="005A3E43">
          <w:rPr>
            <w:rStyle w:val="Hyperlink"/>
            <w:u w:val="single"/>
          </w:rPr>
          <w:t>Board’s website</w:t>
        </w:r>
      </w:hyperlink>
      <w:r w:rsidRPr="005A3E43">
        <w:t xml:space="preserve">, or follow us on </w:t>
      </w:r>
      <w:hyperlink r:id="rId21" w:history="1">
        <w:r w:rsidRPr="005A3E43">
          <w:rPr>
            <w:rStyle w:val="Hyperlink"/>
            <w:u w:val="single"/>
          </w:rPr>
          <w:t>LinkedIn</w:t>
        </w:r>
      </w:hyperlink>
      <w:r w:rsidR="00A309F6" w:rsidRPr="005A3E43">
        <w:t>.</w:t>
      </w:r>
    </w:p>
    <w:p w14:paraId="424D06EE" w14:textId="77777777" w:rsidR="001172BC" w:rsidRPr="00BD2FF3" w:rsidRDefault="001172BC" w:rsidP="002256FA"/>
    <w:p w14:paraId="200FBB5E" w14:textId="77777777" w:rsidR="001172BC" w:rsidRPr="00BD2FF3" w:rsidRDefault="001172BC" w:rsidP="00DC718E">
      <w:pPr>
        <w:spacing w:after="0"/>
      </w:pPr>
      <w:r w:rsidRPr="00BD2FF3">
        <w:t>Kind regards</w:t>
      </w:r>
    </w:p>
    <w:p w14:paraId="1693D600" w14:textId="77777777" w:rsidR="001172BC" w:rsidRPr="00BD2FF3" w:rsidRDefault="001172BC" w:rsidP="00DC718E">
      <w:pPr>
        <w:spacing w:before="0" w:after="480"/>
      </w:pPr>
      <w:r w:rsidRPr="00BD2FF3">
        <w:t>Karen Payne</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14:paraId="2298C1CD" w14:textId="77777777" w:rsidTr="00FF5BB1">
        <w:trPr>
          <w:trHeight w:val="1077"/>
          <w:jc w:val="center"/>
        </w:trPr>
        <w:tc>
          <w:tcPr>
            <w:tcW w:w="709" w:type="dxa"/>
            <w:tcBorders>
              <w:bottom w:val="nil"/>
            </w:tcBorders>
            <w:shd w:val="clear" w:color="auto" w:fill="DBE5F1" w:themeFill="accent1" w:themeFillTint="33"/>
            <w:vAlign w:val="center"/>
          </w:tcPr>
          <w:p w14:paraId="4085711A" w14:textId="77777777" w:rsidR="00B85592" w:rsidRPr="00793807" w:rsidRDefault="00B85592" w:rsidP="00FF5BB1">
            <w:pPr>
              <w:rPr>
                <w:sz w:val="20"/>
              </w:rPr>
            </w:pPr>
          </w:p>
        </w:tc>
        <w:tc>
          <w:tcPr>
            <w:tcW w:w="4536" w:type="dxa"/>
            <w:tcBorders>
              <w:bottom w:val="nil"/>
            </w:tcBorders>
            <w:shd w:val="clear" w:color="auto" w:fill="DBE5F1" w:themeFill="accent1" w:themeFillTint="33"/>
            <w:vAlign w:val="center"/>
          </w:tcPr>
          <w:p w14:paraId="5A50C7A3" w14:textId="77777777" w:rsidR="00B85592" w:rsidRPr="00793807" w:rsidRDefault="00B85592" w:rsidP="00FF5BB1">
            <w:pPr>
              <w:pStyle w:val="Footer"/>
              <w:jc w:val="left"/>
              <w:rPr>
                <w:sz w:val="20"/>
                <w:lang w:eastAsia="en-AU"/>
              </w:rPr>
            </w:pPr>
            <w:r w:rsidRPr="00793807">
              <w:rPr>
                <w:sz w:val="20"/>
                <w:lang w:eastAsia="en-AU"/>
              </w:rPr>
              <w:t>Karen Payne</w:t>
            </w:r>
          </w:p>
          <w:p w14:paraId="6807A635" w14:textId="77777777" w:rsidR="00B85592" w:rsidRPr="00793807" w:rsidRDefault="00B85592" w:rsidP="00FF5BB1">
            <w:pPr>
              <w:pStyle w:val="Footer"/>
              <w:jc w:val="left"/>
              <w:rPr>
                <w:sz w:val="20"/>
              </w:rPr>
            </w:pPr>
            <w:r w:rsidRPr="00793807">
              <w:rPr>
                <w:sz w:val="20"/>
                <w:lang w:eastAsia="en-AU"/>
              </w:rPr>
              <w:t>Chief Executive Officer</w:t>
            </w:r>
            <w:r w:rsidRPr="00793807">
              <w:rPr>
                <w:sz w:val="20"/>
                <w:lang w:eastAsia="en-AU"/>
              </w:rPr>
              <w:br/>
              <w:t>Board of Taxation</w:t>
            </w:r>
          </w:p>
        </w:tc>
        <w:tc>
          <w:tcPr>
            <w:tcW w:w="4536" w:type="dxa"/>
            <w:tcBorders>
              <w:bottom w:val="nil"/>
            </w:tcBorders>
            <w:shd w:val="clear" w:color="auto" w:fill="DBE5F1" w:themeFill="accent1" w:themeFillTint="33"/>
            <w:vAlign w:val="center"/>
          </w:tcPr>
          <w:p w14:paraId="088031F9" w14:textId="77777777" w:rsidR="00BD2FF3" w:rsidRPr="00793807" w:rsidRDefault="00BD2FF3" w:rsidP="00FF5BB1">
            <w:pPr>
              <w:pStyle w:val="Footer"/>
              <w:jc w:val="left"/>
              <w:rPr>
                <w:sz w:val="20"/>
                <w:lang w:eastAsia="en-AU"/>
              </w:rPr>
            </w:pPr>
            <w:r w:rsidRPr="00793807">
              <w:rPr>
                <w:sz w:val="20"/>
                <w:lang w:eastAsia="en-AU"/>
              </w:rPr>
              <w:t>phone:  +61 2 6263 2122</w:t>
            </w:r>
          </w:p>
          <w:p w14:paraId="3909D475" w14:textId="15DDD485" w:rsidR="00BD2FF3" w:rsidRPr="00793807" w:rsidRDefault="00BD2FF3" w:rsidP="00FF5BB1">
            <w:pPr>
              <w:pStyle w:val="Footer"/>
              <w:jc w:val="left"/>
              <w:rPr>
                <w:sz w:val="20"/>
                <w:lang w:eastAsia="en-AU"/>
              </w:rPr>
            </w:pPr>
            <w:r w:rsidRPr="00793807">
              <w:rPr>
                <w:sz w:val="20"/>
                <w:lang w:eastAsia="en-AU"/>
              </w:rPr>
              <w:t xml:space="preserve">mobile: </w:t>
            </w:r>
            <w:r w:rsidR="00016612">
              <w:rPr>
                <w:sz w:val="20"/>
                <w:lang w:eastAsia="en-AU"/>
              </w:rPr>
              <w:t xml:space="preserve">  </w:t>
            </w:r>
            <w:r w:rsidRPr="00793807">
              <w:rPr>
                <w:sz w:val="20"/>
                <w:lang w:eastAsia="en-AU"/>
              </w:rPr>
              <w:t>0405 843 880</w:t>
            </w:r>
          </w:p>
          <w:p w14:paraId="49284C6B" w14:textId="7A2EA92A" w:rsidR="00B85592" w:rsidRPr="00793807" w:rsidRDefault="00BD2FF3" w:rsidP="00FF5BB1">
            <w:pPr>
              <w:pStyle w:val="Footer"/>
              <w:jc w:val="left"/>
              <w:rPr>
                <w:sz w:val="20"/>
                <w:lang w:eastAsia="en-AU"/>
              </w:rPr>
            </w:pPr>
            <w:r w:rsidRPr="00793807">
              <w:rPr>
                <w:sz w:val="20"/>
                <w:lang w:eastAsia="en-AU"/>
              </w:rPr>
              <w:t xml:space="preserve">email: </w:t>
            </w:r>
            <w:r w:rsidR="00016612">
              <w:rPr>
                <w:sz w:val="20"/>
                <w:lang w:eastAsia="en-AU"/>
              </w:rPr>
              <w:t xml:space="preserve"> </w:t>
            </w:r>
            <w:hyperlink r:id="rId22" w:history="1">
              <w:r w:rsidRPr="00793807">
                <w:rPr>
                  <w:rStyle w:val="Hyperlink"/>
                  <w:sz w:val="20"/>
                  <w:lang w:eastAsia="en-AU"/>
                </w:rPr>
                <w:t>karen.payne@treasury.gov.au</w:t>
              </w:r>
            </w:hyperlink>
          </w:p>
        </w:tc>
        <w:tc>
          <w:tcPr>
            <w:tcW w:w="709" w:type="dxa"/>
            <w:tcBorders>
              <w:bottom w:val="nil"/>
            </w:tcBorders>
            <w:shd w:val="clear" w:color="auto" w:fill="DBE5F1" w:themeFill="accent1" w:themeFillTint="33"/>
            <w:vAlign w:val="center"/>
          </w:tcPr>
          <w:p w14:paraId="2A087C64" w14:textId="77777777" w:rsidR="00B85592" w:rsidRPr="00793807" w:rsidRDefault="00B85592" w:rsidP="00FF5BB1">
            <w:pPr>
              <w:rPr>
                <w:sz w:val="20"/>
              </w:rPr>
            </w:pPr>
          </w:p>
        </w:tc>
      </w:tr>
      <w:tr w:rsidR="00B85592" w14:paraId="1598D166" w14:textId="77777777" w:rsidTr="000B25B3">
        <w:trPr>
          <w:jc w:val="center"/>
        </w:trPr>
        <w:tc>
          <w:tcPr>
            <w:tcW w:w="10490" w:type="dxa"/>
            <w:gridSpan w:val="4"/>
            <w:tcBorders>
              <w:top w:val="nil"/>
              <w:bottom w:val="nil"/>
            </w:tcBorders>
            <w:shd w:val="clear" w:color="auto" w:fill="auto"/>
            <w:tcMar>
              <w:left w:w="0" w:type="dxa"/>
              <w:right w:w="0" w:type="dxa"/>
            </w:tcMar>
          </w:tcPr>
          <w:p w14:paraId="594F9529" w14:textId="77777777" w:rsidR="00B85592" w:rsidRDefault="00B85592" w:rsidP="002256FA">
            <w:r>
              <w:rPr>
                <w:noProof/>
                <w:lang w:eastAsia="en-AU"/>
              </w:rPr>
              <w:drawing>
                <wp:inline distT="0" distB="0" distL="0" distR="0" wp14:anchorId="029DFE31" wp14:editId="022D47B1">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5D1A2EDE" w14:textId="77777777" w:rsidR="000C5F43" w:rsidRDefault="000C5F43" w:rsidP="000C5F43">
            <w:pPr>
              <w:pStyle w:val="Footer"/>
            </w:pPr>
            <w:r>
              <w:t xml:space="preserve">Treasury Building, Langton Crescent, PARKES  ACT  2600   •   Telephone: 02 6263 4366   •   Email: </w:t>
            </w:r>
            <w:hyperlink r:id="rId24" w:history="1">
              <w:r w:rsidR="00DA4E2C">
                <w:rPr>
                  <w:rStyle w:val="Hyperlink"/>
                </w:rPr>
                <w:t>taxboard@treasury.gov.au</w:t>
              </w:r>
            </w:hyperlink>
          </w:p>
          <w:p w14:paraId="5084E6D8" w14:textId="77777777" w:rsidR="000C5F43" w:rsidRDefault="000C5F43" w:rsidP="000C5F43">
            <w:pPr>
              <w:pStyle w:val="Footer"/>
            </w:pPr>
            <w:r>
              <w:t xml:space="preserve">Website: </w:t>
            </w:r>
            <w:hyperlink r:id="rId25" w:history="1">
              <w:r w:rsidRPr="00225511">
                <w:rPr>
                  <w:rStyle w:val="Hyperlink"/>
                </w:rPr>
                <w:t>taxboard.gov.au</w:t>
              </w:r>
            </w:hyperlink>
            <w:r>
              <w:t xml:space="preserve">   •   Sounding Board: </w:t>
            </w:r>
            <w:hyperlink r:id="rId26" w:history="1">
              <w:r w:rsidRPr="00225511">
                <w:rPr>
                  <w:rStyle w:val="Hyperlink"/>
                </w:rPr>
                <w:t>taxboard.ideascale.com</w:t>
              </w:r>
            </w:hyperlink>
          </w:p>
        </w:tc>
      </w:tr>
    </w:tbl>
    <w:p w14:paraId="22A6033C" w14:textId="77777777" w:rsidR="001010C1" w:rsidRPr="0098345D" w:rsidRDefault="001010C1" w:rsidP="002256FA"/>
    <w:sectPr w:rsidR="001010C1" w:rsidRPr="0098345D" w:rsidSect="00401E28">
      <w:headerReference w:type="default" r:id="rId27"/>
      <w:pgSz w:w="11906" w:h="16838"/>
      <w:pgMar w:top="720" w:right="720" w:bottom="127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6F39C" w14:textId="77777777" w:rsidR="006C4BA2" w:rsidRDefault="006C4BA2" w:rsidP="002256FA">
      <w:r>
        <w:separator/>
      </w:r>
    </w:p>
  </w:endnote>
  <w:endnote w:type="continuationSeparator" w:id="0">
    <w:p w14:paraId="5B92A630" w14:textId="77777777" w:rsidR="006C4BA2" w:rsidRDefault="006C4BA2" w:rsidP="002256FA">
      <w:r>
        <w:continuationSeparator/>
      </w:r>
    </w:p>
  </w:endnote>
  <w:endnote w:type="continuationNotice" w:id="1">
    <w:p w14:paraId="7434769A" w14:textId="77777777" w:rsidR="006C4BA2" w:rsidRDefault="006C4B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67A4A" w14:textId="77777777" w:rsidR="006C4BA2" w:rsidRDefault="006C4BA2" w:rsidP="002256FA">
      <w:r>
        <w:separator/>
      </w:r>
    </w:p>
  </w:footnote>
  <w:footnote w:type="continuationSeparator" w:id="0">
    <w:p w14:paraId="7FFAD7DF" w14:textId="77777777" w:rsidR="006C4BA2" w:rsidRDefault="006C4BA2" w:rsidP="002256FA">
      <w:r>
        <w:continuationSeparator/>
      </w:r>
    </w:p>
  </w:footnote>
  <w:footnote w:type="continuationNotice" w:id="1">
    <w:p w14:paraId="723D17D9" w14:textId="77777777" w:rsidR="006C4BA2" w:rsidRDefault="006C4BA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6221" w14:textId="5AB94BF6" w:rsidR="006C4BA2" w:rsidRPr="009B5E81" w:rsidRDefault="006C4BA2" w:rsidP="009B5E81">
    <w:pPr>
      <w:pStyle w:val="Header"/>
    </w:pPr>
    <w:r w:rsidRPr="009B5E81">
      <w:fldChar w:fldCharType="begin"/>
    </w:r>
    <w:r w:rsidRPr="009B5E81">
      <w:instrText xml:space="preserve"> PAGE   \* MERGEFORMAT </w:instrText>
    </w:r>
    <w:r w:rsidRPr="009B5E81">
      <w:fldChar w:fldCharType="separate"/>
    </w:r>
    <w:r w:rsidR="009424A4">
      <w:rPr>
        <w:noProof/>
      </w:rPr>
      <w:t>3</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B2"/>
    <w:rsid w:val="00000B59"/>
    <w:rsid w:val="00013485"/>
    <w:rsid w:val="00015D61"/>
    <w:rsid w:val="00016612"/>
    <w:rsid w:val="00040316"/>
    <w:rsid w:val="00040F85"/>
    <w:rsid w:val="000557EE"/>
    <w:rsid w:val="00072389"/>
    <w:rsid w:val="00087452"/>
    <w:rsid w:val="00096437"/>
    <w:rsid w:val="000B25B3"/>
    <w:rsid w:val="000C042C"/>
    <w:rsid w:val="000C5F43"/>
    <w:rsid w:val="000E07A0"/>
    <w:rsid w:val="000E24E1"/>
    <w:rsid w:val="001010C1"/>
    <w:rsid w:val="001017D7"/>
    <w:rsid w:val="001128E7"/>
    <w:rsid w:val="001138D6"/>
    <w:rsid w:val="001172BC"/>
    <w:rsid w:val="00132F20"/>
    <w:rsid w:val="00185198"/>
    <w:rsid w:val="001A7DE5"/>
    <w:rsid w:val="001D44CB"/>
    <w:rsid w:val="00203700"/>
    <w:rsid w:val="002141D6"/>
    <w:rsid w:val="00225511"/>
    <w:rsid w:val="002256FA"/>
    <w:rsid w:val="0026597C"/>
    <w:rsid w:val="002B1565"/>
    <w:rsid w:val="00315E92"/>
    <w:rsid w:val="003464B7"/>
    <w:rsid w:val="0035507D"/>
    <w:rsid w:val="00355336"/>
    <w:rsid w:val="00357FAE"/>
    <w:rsid w:val="0037030B"/>
    <w:rsid w:val="003716D5"/>
    <w:rsid w:val="003756D7"/>
    <w:rsid w:val="003919C7"/>
    <w:rsid w:val="003962D2"/>
    <w:rsid w:val="003A2D24"/>
    <w:rsid w:val="003A708C"/>
    <w:rsid w:val="003B3CE9"/>
    <w:rsid w:val="003B54CA"/>
    <w:rsid w:val="003C52B8"/>
    <w:rsid w:val="003C7A43"/>
    <w:rsid w:val="00401E28"/>
    <w:rsid w:val="004127D6"/>
    <w:rsid w:val="00414090"/>
    <w:rsid w:val="00416D07"/>
    <w:rsid w:val="00424B5A"/>
    <w:rsid w:val="004274A0"/>
    <w:rsid w:val="0043294F"/>
    <w:rsid w:val="00442510"/>
    <w:rsid w:val="004815C3"/>
    <w:rsid w:val="00493D67"/>
    <w:rsid w:val="004A7EC7"/>
    <w:rsid w:val="004B13B4"/>
    <w:rsid w:val="004E19B2"/>
    <w:rsid w:val="00502495"/>
    <w:rsid w:val="00526F77"/>
    <w:rsid w:val="00532964"/>
    <w:rsid w:val="00556E0A"/>
    <w:rsid w:val="00560055"/>
    <w:rsid w:val="00593BB9"/>
    <w:rsid w:val="005A3E43"/>
    <w:rsid w:val="005A720B"/>
    <w:rsid w:val="005B32D7"/>
    <w:rsid w:val="005C3E7B"/>
    <w:rsid w:val="005C7482"/>
    <w:rsid w:val="005E3509"/>
    <w:rsid w:val="005F0C46"/>
    <w:rsid w:val="006075E6"/>
    <w:rsid w:val="00616CF9"/>
    <w:rsid w:val="0062405C"/>
    <w:rsid w:val="00630B7E"/>
    <w:rsid w:val="006441ED"/>
    <w:rsid w:val="00646DB0"/>
    <w:rsid w:val="00656D54"/>
    <w:rsid w:val="00666104"/>
    <w:rsid w:val="00695B8C"/>
    <w:rsid w:val="006C4BA2"/>
    <w:rsid w:val="006C4ED8"/>
    <w:rsid w:val="006D7551"/>
    <w:rsid w:val="006E2B7B"/>
    <w:rsid w:val="006F207B"/>
    <w:rsid w:val="00704189"/>
    <w:rsid w:val="00705478"/>
    <w:rsid w:val="00717E23"/>
    <w:rsid w:val="00761C62"/>
    <w:rsid w:val="00793807"/>
    <w:rsid w:val="007A642B"/>
    <w:rsid w:val="007A7F8F"/>
    <w:rsid w:val="007B25E1"/>
    <w:rsid w:val="007C0F24"/>
    <w:rsid w:val="007D4A89"/>
    <w:rsid w:val="00841F18"/>
    <w:rsid w:val="008553E6"/>
    <w:rsid w:val="008566F3"/>
    <w:rsid w:val="008627AD"/>
    <w:rsid w:val="008775EA"/>
    <w:rsid w:val="00897A49"/>
    <w:rsid w:val="008B6AB8"/>
    <w:rsid w:val="008B7B17"/>
    <w:rsid w:val="008F50FB"/>
    <w:rsid w:val="0093389F"/>
    <w:rsid w:val="009424A4"/>
    <w:rsid w:val="009469D2"/>
    <w:rsid w:val="00956175"/>
    <w:rsid w:val="0098345D"/>
    <w:rsid w:val="009B13E9"/>
    <w:rsid w:val="009B5E81"/>
    <w:rsid w:val="009C43EC"/>
    <w:rsid w:val="009E37DC"/>
    <w:rsid w:val="00A17662"/>
    <w:rsid w:val="00A22F53"/>
    <w:rsid w:val="00A309F6"/>
    <w:rsid w:val="00A420E7"/>
    <w:rsid w:val="00A546CE"/>
    <w:rsid w:val="00A81085"/>
    <w:rsid w:val="00AA2C28"/>
    <w:rsid w:val="00AA6353"/>
    <w:rsid w:val="00AC7E09"/>
    <w:rsid w:val="00B604B4"/>
    <w:rsid w:val="00B74CEA"/>
    <w:rsid w:val="00B82079"/>
    <w:rsid w:val="00B82D01"/>
    <w:rsid w:val="00B85592"/>
    <w:rsid w:val="00BB7C68"/>
    <w:rsid w:val="00BC41A5"/>
    <w:rsid w:val="00BD2FF3"/>
    <w:rsid w:val="00BE039B"/>
    <w:rsid w:val="00BE3156"/>
    <w:rsid w:val="00BE51B8"/>
    <w:rsid w:val="00C1430D"/>
    <w:rsid w:val="00C274F4"/>
    <w:rsid w:val="00C561DC"/>
    <w:rsid w:val="00C6333A"/>
    <w:rsid w:val="00C653FA"/>
    <w:rsid w:val="00C75D9F"/>
    <w:rsid w:val="00C813D1"/>
    <w:rsid w:val="00CA2558"/>
    <w:rsid w:val="00CC6C83"/>
    <w:rsid w:val="00CD25D6"/>
    <w:rsid w:val="00CD6056"/>
    <w:rsid w:val="00CF54D8"/>
    <w:rsid w:val="00D062A6"/>
    <w:rsid w:val="00D12DCE"/>
    <w:rsid w:val="00D22CE2"/>
    <w:rsid w:val="00D56B93"/>
    <w:rsid w:val="00D756F3"/>
    <w:rsid w:val="00D76983"/>
    <w:rsid w:val="00D936BD"/>
    <w:rsid w:val="00DA4E2C"/>
    <w:rsid w:val="00DC29C4"/>
    <w:rsid w:val="00DC5753"/>
    <w:rsid w:val="00DC718E"/>
    <w:rsid w:val="00DE77A2"/>
    <w:rsid w:val="00E11A7E"/>
    <w:rsid w:val="00E120E0"/>
    <w:rsid w:val="00E312C1"/>
    <w:rsid w:val="00E31C91"/>
    <w:rsid w:val="00E76AFA"/>
    <w:rsid w:val="00E96490"/>
    <w:rsid w:val="00F32231"/>
    <w:rsid w:val="00F63A1A"/>
    <w:rsid w:val="00F65DC1"/>
    <w:rsid w:val="00FA18BE"/>
    <w:rsid w:val="00FA777B"/>
    <w:rsid w:val="00FB4FF2"/>
    <w:rsid w:val="00FD3F49"/>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DED76E"/>
  <w15:docId w15:val="{2FC9E94D-3A75-4D2D-8414-4E4A0E1E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CommentReference">
    <w:name w:val="annotation reference"/>
    <w:basedOn w:val="DefaultParagraphFont"/>
    <w:uiPriority w:val="99"/>
    <w:semiHidden/>
    <w:unhideWhenUsed/>
    <w:rsid w:val="00A309F6"/>
    <w:rPr>
      <w:sz w:val="16"/>
      <w:szCs w:val="16"/>
    </w:rPr>
  </w:style>
  <w:style w:type="paragraph" w:styleId="CommentText">
    <w:name w:val="annotation text"/>
    <w:basedOn w:val="Normal"/>
    <w:link w:val="CommentTextChar"/>
    <w:uiPriority w:val="99"/>
    <w:semiHidden/>
    <w:unhideWhenUsed/>
    <w:rsid w:val="00A309F6"/>
    <w:rPr>
      <w:sz w:val="20"/>
      <w:szCs w:val="20"/>
    </w:rPr>
  </w:style>
  <w:style w:type="character" w:customStyle="1" w:styleId="CommentTextChar">
    <w:name w:val="Comment Text Char"/>
    <w:basedOn w:val="DefaultParagraphFont"/>
    <w:link w:val="CommentText"/>
    <w:uiPriority w:val="99"/>
    <w:semiHidden/>
    <w:rsid w:val="00A309F6"/>
    <w:rPr>
      <w:sz w:val="20"/>
      <w:szCs w:val="20"/>
    </w:rPr>
  </w:style>
  <w:style w:type="paragraph" w:styleId="CommentSubject">
    <w:name w:val="annotation subject"/>
    <w:basedOn w:val="CommentText"/>
    <w:next w:val="CommentText"/>
    <w:link w:val="CommentSubjectChar"/>
    <w:uiPriority w:val="99"/>
    <w:semiHidden/>
    <w:unhideWhenUsed/>
    <w:rsid w:val="00A309F6"/>
    <w:rPr>
      <w:b/>
      <w:bCs/>
    </w:rPr>
  </w:style>
  <w:style w:type="character" w:customStyle="1" w:styleId="CommentSubjectChar">
    <w:name w:val="Comment Subject Char"/>
    <w:basedOn w:val="CommentTextChar"/>
    <w:link w:val="CommentSubject"/>
    <w:uiPriority w:val="99"/>
    <w:semiHidden/>
    <w:rsid w:val="00A30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9764">
      <w:bodyDiv w:val="1"/>
      <w:marLeft w:val="0"/>
      <w:marRight w:val="0"/>
      <w:marTop w:val="0"/>
      <w:marBottom w:val="0"/>
      <w:divBdr>
        <w:top w:val="none" w:sz="0" w:space="0" w:color="auto"/>
        <w:left w:val="none" w:sz="0" w:space="0" w:color="auto"/>
        <w:bottom w:val="none" w:sz="0" w:space="0" w:color="auto"/>
        <w:right w:val="none" w:sz="0" w:space="0" w:color="auto"/>
      </w:divBdr>
    </w:div>
    <w:div w:id="548301197">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867718542">
      <w:bodyDiv w:val="1"/>
      <w:marLeft w:val="0"/>
      <w:marRight w:val="0"/>
      <w:marTop w:val="0"/>
      <w:marBottom w:val="0"/>
      <w:divBdr>
        <w:top w:val="none" w:sz="0" w:space="0" w:color="auto"/>
        <w:left w:val="none" w:sz="0" w:space="0" w:color="auto"/>
        <w:bottom w:val="none" w:sz="0" w:space="0" w:color="auto"/>
        <w:right w:val="none" w:sz="0" w:space="0" w:color="auto"/>
      </w:divBdr>
    </w:div>
    <w:div w:id="950358665">
      <w:bodyDiv w:val="1"/>
      <w:marLeft w:val="0"/>
      <w:marRight w:val="0"/>
      <w:marTop w:val="0"/>
      <w:marBottom w:val="0"/>
      <w:divBdr>
        <w:top w:val="none" w:sz="0" w:space="0" w:color="auto"/>
        <w:left w:val="none" w:sz="0" w:space="0" w:color="auto"/>
        <w:bottom w:val="none" w:sz="0" w:space="0" w:color="auto"/>
        <w:right w:val="none" w:sz="0" w:space="0" w:color="auto"/>
      </w:divBdr>
    </w:div>
    <w:div w:id="1132821814">
      <w:bodyDiv w:val="1"/>
      <w:marLeft w:val="0"/>
      <w:marRight w:val="0"/>
      <w:marTop w:val="0"/>
      <w:marBottom w:val="0"/>
      <w:divBdr>
        <w:top w:val="none" w:sz="0" w:space="0" w:color="auto"/>
        <w:left w:val="none" w:sz="0" w:space="0" w:color="auto"/>
        <w:bottom w:val="none" w:sz="0" w:space="0" w:color="auto"/>
        <w:right w:val="none" w:sz="0" w:space="0" w:color="auto"/>
      </w:divBdr>
    </w:div>
    <w:div w:id="1197809640">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40487431">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taxboard@treasury.gov.au" TargetMode="External"/><Relationship Id="rId26" Type="http://schemas.openxmlformats.org/officeDocument/2006/relationships/hyperlink" Target="http://www.taxboard.ideascale.com/" TargetMode="External"/><Relationship Id="rId3" Type="http://schemas.openxmlformats.org/officeDocument/2006/relationships/customXml" Target="../customXml/item3.xml"/><Relationship Id="rId21" Type="http://schemas.openxmlformats.org/officeDocument/2006/relationships/hyperlink" Target="https://www.linkedin.com/company/boardoftax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ata.gov.au/dataset/voluntary-tax-transparency-code" TargetMode="External"/><Relationship Id="rId25" Type="http://schemas.openxmlformats.org/officeDocument/2006/relationships/hyperlink" Target="http://www.taxboard.gov.au/" TargetMode="External"/><Relationship Id="rId2" Type="http://schemas.openxmlformats.org/officeDocument/2006/relationships/customXml" Target="../customXml/item2.xml"/><Relationship Id="rId16" Type="http://schemas.openxmlformats.org/officeDocument/2006/relationships/hyperlink" Target="http://taxboard.gov.au/current-activities/transparency-code-register/" TargetMode="External"/><Relationship Id="rId20" Type="http://schemas.openxmlformats.org/officeDocument/2006/relationships/hyperlink" Target="http://taxboard.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axboard@treasury.gov.au" TargetMode="External"/><Relationship Id="rId5" Type="http://schemas.openxmlformats.org/officeDocument/2006/relationships/customXml" Target="../customXml/item5.xml"/><Relationship Id="rId15" Type="http://schemas.openxmlformats.org/officeDocument/2006/relationships/hyperlink" Target="http://taxboard.gov.au/consultation/post-implementation-review-of-the-voluntary-tax-transparency-code/"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taxboard.ideascale.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axboard@treasury.gov.au" TargetMode="External"/><Relationship Id="rId22" Type="http://schemas.openxmlformats.org/officeDocument/2006/relationships/hyperlink" Target="mailto:karen.payne@treasury.gov.au"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77E00A071A4186ADD306261BF2C56B"/>
        <w:category>
          <w:name w:val="General"/>
          <w:gallery w:val="placeholder"/>
        </w:category>
        <w:types>
          <w:type w:val="bbPlcHdr"/>
        </w:types>
        <w:behaviors>
          <w:behavior w:val="content"/>
        </w:behaviors>
        <w:guid w:val="{BE40B6C8-4639-4799-8D52-F63D201E5CFF}"/>
      </w:docPartPr>
      <w:docPartBody>
        <w:p w:rsidR="00EB14D9" w:rsidRDefault="00A4138E">
          <w:pPr>
            <w:pStyle w:val="3877E00A071A4186ADD306261BF2C56B"/>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8E"/>
    <w:rsid w:val="00996DEB"/>
    <w:rsid w:val="00A4138E"/>
    <w:rsid w:val="00BD187D"/>
    <w:rsid w:val="00C8410D"/>
    <w:rsid w:val="00EB1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A90A0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2A88EB68D1457C835033A442CC0FB2">
    <w:name w:val="AC2A88EB68D1457C835033A442CC0FB2"/>
  </w:style>
  <w:style w:type="paragraph" w:customStyle="1" w:styleId="3877E00A071A4186ADD306261BF2C56B">
    <w:name w:val="3877E00A071A4186ADD306261BF2C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18741" ma:contentTypeDescription="" ma:contentTypeScope="" ma:versionID="2385268f7a4515d5f1e6914fb0b1cbdf">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2019RG-356-9047</_dlc_DocId>
    <_dlc_DocIdUrl xmlns="0f563589-9cf9-4143-b1eb-fb0534803d38">
      <Url>http://tweb/sites/rg/bots/boards/_layouts/15/DocIdRedir.aspx?ID=2019RG-356-9047</Url>
      <Description>2019RG-356-9047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2.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3.xml><?xml version="1.0" encoding="utf-8"?>
<ds:datastoreItem xmlns:ds="http://schemas.openxmlformats.org/officeDocument/2006/customXml" ds:itemID="{05485FCB-39F6-4591-9E84-DE4156696BD3}">
  <ds:schemaRefs>
    <ds:schemaRef ds:uri="office.server.policy"/>
  </ds:schemaRefs>
</ds:datastoreItem>
</file>

<file path=customXml/itemProps4.xml><?xml version="1.0" encoding="utf-8"?>
<ds:datastoreItem xmlns:ds="http://schemas.openxmlformats.org/officeDocument/2006/customXml" ds:itemID="{40352EDC-B050-4484-9B6B-A2572EAF7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204F58-9936-43C8-BCA0-589AD3836680}">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0f563589-9cf9-4143-b1eb-fb0534803d38"/>
    <ds:schemaRef ds:uri="http://schemas.microsoft.com/sharepoint/v4"/>
    <ds:schemaRef ds:uri="9f7bc583-7cbe-45b9-a2bd-8bbb6543b37e"/>
    <ds:schemaRef ds:uri="http://schemas.microsoft.com/sharepoint/v3"/>
  </ds:schemaRefs>
</ds:datastoreItem>
</file>

<file path=customXml/itemProps6.xml><?xml version="1.0" encoding="utf-8"?>
<ds:datastoreItem xmlns:ds="http://schemas.openxmlformats.org/officeDocument/2006/customXml" ds:itemID="{BBCBC711-7F82-41A4-AFE7-FD69BEE5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379</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Muscat, Patricia</dc:creator>
  <cp:lastModifiedBy>Atkinson, Paul</cp:lastModifiedBy>
  <cp:revision>15</cp:revision>
  <cp:lastPrinted>2018-11-28T05:09:00Z</cp:lastPrinted>
  <dcterms:created xsi:type="dcterms:W3CDTF">2019-03-18T04:46:00Z</dcterms:created>
  <dcterms:modified xsi:type="dcterms:W3CDTF">2019-03-27T23:04:00Z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RecordPoint_WorkflowType">
    <vt:lpwstr>ActiveSubmitStub</vt:lpwstr>
  </property>
  <property fmtid="{D5CDD505-2E9C-101B-9397-08002B2CF9AE}" pid="5" name="RecordPoint_ActiveItemListId">
    <vt:lpwstr>{d6775dc5-8a38-4781-95bf-d3f0d1237c48}</vt:lpwstr>
  </property>
  <property fmtid="{D5CDD505-2E9C-101B-9397-08002B2CF9AE}" pid="6" name="RecordPoint_ActiveItemWebId">
    <vt:lpwstr>{cebcee45-40e2-45ca-9d22-89ff5bfe4e7b}</vt:lpwstr>
  </property>
  <property fmtid="{D5CDD505-2E9C-101B-9397-08002B2CF9AE}" pid="7" name="RecordPoint_ActiveItemSiteId">
    <vt:lpwstr>{5b52b9a5-e5b2-4521-8814-a1e24ca2869d}</vt:lpwstr>
  </property>
  <property fmtid="{D5CDD505-2E9C-101B-9397-08002B2CF9AE}" pid="8" name="_AdHocReviewCycleID">
    <vt:i4>-1823594661</vt:i4>
  </property>
  <property fmtid="{D5CDD505-2E9C-101B-9397-08002B2CF9AE}" pid="9" name="_NewReviewCycle">
    <vt:lpwstr/>
  </property>
  <property fmtid="{D5CDD505-2E9C-101B-9397-08002B2CF9AE}" pid="10" name="_EmailSubject">
    <vt:lpwstr>New CEO Update for BoT Website [SEC=UNCLASSIFIED]</vt:lpwstr>
  </property>
  <property fmtid="{D5CDD505-2E9C-101B-9397-08002B2CF9AE}" pid="11" name="_AuthorEmail">
    <vt:lpwstr>Paul.Atkinson@TREASURY.GOV.AU</vt:lpwstr>
  </property>
  <property fmtid="{D5CDD505-2E9C-101B-9397-08002B2CF9AE}" pid="12" name="_AuthorEmailDisplayName">
    <vt:lpwstr>Atkinson, Paul</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PreviousAdHocReviewCycleID">
    <vt:i4>-2034461595</vt:i4>
  </property>
  <property fmtid="{D5CDD505-2E9C-101B-9397-08002B2CF9AE}" pid="17" name="_dlc_DocIdItemGuid">
    <vt:lpwstr>701a8e83-b3f6-4676-b57f-477ec731759a</vt:lpwstr>
  </property>
  <property fmtid="{D5CDD505-2E9C-101B-9397-08002B2CF9AE}" pid="18" name="RecordPoint_ActiveItemUniqueId">
    <vt:lpwstr>{701a8e83-b3f6-4676-b57f-477ec731759a}</vt:lpwstr>
  </property>
  <property fmtid="{D5CDD505-2E9C-101B-9397-08002B2CF9AE}" pid="19" name="RecordPoint_RecordNumberSubmitted">
    <vt:lpwstr>R0002027109</vt:lpwstr>
  </property>
  <property fmtid="{D5CDD505-2E9C-101B-9397-08002B2CF9AE}" pid="20" name="RecordPoint_SubmissionCompleted">
    <vt:lpwstr>2019-03-27T15:50:41.1865386+11:00</vt:lpwstr>
  </property>
</Properties>
</file>