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B9F66" w14:textId="77777777" w:rsidR="001172BC" w:rsidRPr="002256FA" w:rsidRDefault="001172BC" w:rsidP="00C75D9F">
      <w:pPr>
        <w:pStyle w:val="Heading1"/>
        <w:spacing w:before="0"/>
      </w:pPr>
      <w:r w:rsidRPr="000C5F43">
        <w:rPr>
          <w:noProof/>
          <w:lang w:eastAsia="en-AU"/>
        </w:rPr>
        <w:drawing>
          <wp:anchor distT="0" distB="0" distL="114300" distR="114300" simplePos="0" relativeHeight="251658240" behindDoc="0" locked="0" layoutInCell="1" allowOverlap="1" wp14:anchorId="251CF8A0" wp14:editId="637AC6CC">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ABA0964A2D5A48F09095F64324C882E9"/>
          </w:placeholder>
          <w:date w:fullDate="2018-09-17T00:00:00Z">
            <w:dateFormat w:val="MMMM yyyy"/>
            <w:lid w:val="en-AU"/>
            <w:storeMappedDataAs w:val="dateTime"/>
            <w:calendar w:val="gregorian"/>
          </w:date>
        </w:sdtPr>
        <w:sdtEndPr/>
        <w:sdtContent>
          <w:r w:rsidR="00E35A6A">
            <w:t>September 2018</w:t>
          </w:r>
        </w:sdtContent>
      </w:sdt>
    </w:p>
    <w:p w14:paraId="674ED256" w14:textId="77777777" w:rsidR="001172BC" w:rsidRPr="00BD2FF3" w:rsidRDefault="001172BC" w:rsidP="002256FA">
      <w:r w:rsidRPr="00BD2FF3">
        <w:t xml:space="preserve">Dear </w:t>
      </w:r>
      <w:r w:rsidRPr="002256FA">
        <w:t>Stakeholders</w:t>
      </w:r>
      <w:r w:rsidRPr="00BD2FF3">
        <w:t>,</w:t>
      </w:r>
    </w:p>
    <w:p w14:paraId="55E82C9F" w14:textId="52496B15" w:rsidR="001172BC" w:rsidRDefault="00DD4A1C" w:rsidP="002256FA">
      <w:r>
        <w:t xml:space="preserve">The Board of Taxation (the Board) held its September Board meeting </w:t>
      </w:r>
      <w:r w:rsidR="00CB100D">
        <w:t xml:space="preserve">recently </w:t>
      </w:r>
      <w:r>
        <w:t>in Sydney</w:t>
      </w:r>
      <w:r w:rsidR="00CB100D">
        <w:t>. PwC</w:t>
      </w:r>
      <w:r>
        <w:t xml:space="preserve"> hosted </w:t>
      </w:r>
      <w:r w:rsidR="00CB100D">
        <w:t>the Board meeting and a discussion over lunch with stakeholders</w:t>
      </w:r>
      <w:r>
        <w:t>. The Board wishes to thank the partners</w:t>
      </w:r>
      <w:r w:rsidR="00CB100D">
        <w:t>,</w:t>
      </w:r>
      <w:r>
        <w:t xml:space="preserve"> staff </w:t>
      </w:r>
      <w:r w:rsidR="00CB100D">
        <w:t xml:space="preserve">and guests </w:t>
      </w:r>
      <w:r>
        <w:t>of PwC</w:t>
      </w:r>
      <w:r w:rsidR="00CB100D">
        <w:t xml:space="preserve"> </w:t>
      </w:r>
      <w:r w:rsidR="00E46255">
        <w:t>–</w:t>
      </w:r>
      <w:r w:rsidR="00CB100D">
        <w:t xml:space="preserve"> especially</w:t>
      </w:r>
      <w:r w:rsidR="00E46255">
        <w:t xml:space="preserve"> </w:t>
      </w:r>
      <w:r w:rsidR="00CB100D">
        <w:t>Pete Calleja, Australian Tax Leader</w:t>
      </w:r>
      <w:r w:rsidR="00211CCD">
        <w:t xml:space="preserve"> and his Executive Assistant, Tracey Williams</w:t>
      </w:r>
      <w:r w:rsidR="00CB100D">
        <w:t>.</w:t>
      </w:r>
    </w:p>
    <w:p w14:paraId="6D8B1037" w14:textId="1E753508" w:rsidR="00DD4A1C" w:rsidRDefault="00DD4A1C" w:rsidP="002256FA">
      <w:r>
        <w:t>At the Board’s meeting</w:t>
      </w:r>
      <w:r w:rsidR="00AF4B90">
        <w:t xml:space="preserve">, </w:t>
      </w:r>
      <w:r w:rsidR="00DC2F09">
        <w:t>the Board</w:t>
      </w:r>
      <w:r w:rsidR="00AF4B90">
        <w:t xml:space="preserve"> continued to discuss </w:t>
      </w:r>
      <w:r w:rsidR="00CB100D">
        <w:t xml:space="preserve">the </w:t>
      </w:r>
      <w:r w:rsidR="00AF4B90">
        <w:t>progress and direction of our current projects</w:t>
      </w:r>
      <w:r w:rsidR="00784BC9">
        <w:t>, and received an update from the Chair on his ongoing involvement in the implementation of measures relating to the black economy</w:t>
      </w:r>
      <w:r w:rsidR="00AF4B90">
        <w:t>.</w:t>
      </w:r>
      <w:r w:rsidR="00080EE2">
        <w:t xml:space="preserve"> </w:t>
      </w:r>
      <w:r w:rsidR="00CB100D">
        <w:t>T</w:t>
      </w:r>
      <w:r w:rsidR="00DC2F09">
        <w:t>he Board</w:t>
      </w:r>
      <w:r w:rsidR="00AF4B90">
        <w:t xml:space="preserve"> </w:t>
      </w:r>
      <w:r w:rsidR="00CB100D">
        <w:t xml:space="preserve">also </w:t>
      </w:r>
      <w:r w:rsidR="00AF4B90">
        <w:t>met with stakeholders to share an update on our current work program, and sought feedback on issues facing the business community and tax profession. Thank you to all who attended and provided insights over lunch</w:t>
      </w:r>
      <w:r w:rsidR="008B4D06">
        <w:t xml:space="preserve"> </w:t>
      </w:r>
      <w:r w:rsidR="00E46255">
        <w:t xml:space="preserve">– </w:t>
      </w:r>
      <w:r w:rsidR="008B4D06">
        <w:t>it</w:t>
      </w:r>
      <w:r w:rsidR="00E46255">
        <w:t xml:space="preserve"> </w:t>
      </w:r>
      <w:r w:rsidR="008B4D06">
        <w:t xml:space="preserve">was very useful. Some key themes from these discussions </w:t>
      </w:r>
      <w:r w:rsidR="0027691C">
        <w:t>are</w:t>
      </w:r>
      <w:r w:rsidR="008B4D06">
        <w:t xml:space="preserve"> set out below.</w:t>
      </w:r>
    </w:p>
    <w:p w14:paraId="4704A182" w14:textId="46710DBB" w:rsidR="001172BC" w:rsidRPr="001172BC" w:rsidRDefault="00DD4A1C" w:rsidP="001172BC">
      <w:pPr>
        <w:pStyle w:val="Heading2"/>
      </w:pPr>
      <w:r>
        <w:t>Overview of current agenda</w:t>
      </w:r>
    </w:p>
    <w:p w14:paraId="17B4D896" w14:textId="5498BC96" w:rsidR="001172BC" w:rsidRDefault="00353898" w:rsidP="00656D54">
      <w:r>
        <w:t>The</w:t>
      </w:r>
      <w:r w:rsidR="008B4D06">
        <w:t xml:space="preserve"> following is an overview of our</w:t>
      </w:r>
      <w:r>
        <w:t xml:space="preserve"> current work program, </w:t>
      </w:r>
      <w:r w:rsidR="008B4D06">
        <w:t xml:space="preserve">which </w:t>
      </w:r>
      <w:r>
        <w:t>includ</w:t>
      </w:r>
      <w:r w:rsidR="008B4D06">
        <w:t>es</w:t>
      </w:r>
      <w:r>
        <w:t>:</w:t>
      </w:r>
    </w:p>
    <w:p w14:paraId="31828CF3" w14:textId="217D1380" w:rsidR="00353898" w:rsidRDefault="00322AB0" w:rsidP="00353898">
      <w:pPr>
        <w:pStyle w:val="Bullet"/>
      </w:pPr>
      <w:r>
        <w:t>R</w:t>
      </w:r>
      <w:r w:rsidR="00353898">
        <w:t>eview of small business tax concessions</w:t>
      </w:r>
      <w:r w:rsidR="00060A95">
        <w:t>;</w:t>
      </w:r>
    </w:p>
    <w:p w14:paraId="4ABECA39" w14:textId="7205474B" w:rsidR="00322AB0" w:rsidRDefault="00322AB0" w:rsidP="00784BC9">
      <w:pPr>
        <w:pStyle w:val="Bullet"/>
      </w:pPr>
      <w:r>
        <w:t>R</w:t>
      </w:r>
      <w:r w:rsidR="00353898">
        <w:t xml:space="preserve">eview </w:t>
      </w:r>
      <w:r w:rsidR="00060A95">
        <w:t>Voluntary T</w:t>
      </w:r>
      <w:r w:rsidR="00353898">
        <w:t xml:space="preserve">ax </w:t>
      </w:r>
      <w:r w:rsidR="00060A95">
        <w:t>T</w:t>
      </w:r>
      <w:r w:rsidR="00353898">
        <w:t xml:space="preserve">ransparency </w:t>
      </w:r>
      <w:r w:rsidR="00060A95">
        <w:t>Code</w:t>
      </w:r>
      <w:r w:rsidR="00021665">
        <w:t xml:space="preserve"> (the Code)</w:t>
      </w:r>
      <w:r w:rsidR="00817E54">
        <w:t xml:space="preserve"> and</w:t>
      </w:r>
      <w:r w:rsidR="00021665">
        <w:t xml:space="preserve"> a</w:t>
      </w:r>
      <w:r w:rsidR="00060A95">
        <w:t xml:space="preserve"> broader consideration of tax transparency trends </w:t>
      </w:r>
      <w:r w:rsidR="00353898">
        <w:t>in Australia and globally</w:t>
      </w:r>
      <w:r w:rsidR="00060A95">
        <w:t>;</w:t>
      </w:r>
    </w:p>
    <w:p w14:paraId="4DE796EC" w14:textId="71301D98" w:rsidR="00353898" w:rsidRDefault="00353898" w:rsidP="00353898">
      <w:pPr>
        <w:pStyle w:val="Bullet"/>
      </w:pPr>
      <w:r>
        <w:t>Consideration of certain aspects of not-for-profit tax concessions</w:t>
      </w:r>
      <w:r w:rsidR="00060A95">
        <w:t>;</w:t>
      </w:r>
    </w:p>
    <w:p w14:paraId="033707BA" w14:textId="265FE54D" w:rsidR="00060A95" w:rsidRDefault="00060A95" w:rsidP="00353898">
      <w:pPr>
        <w:pStyle w:val="Bullet"/>
      </w:pPr>
      <w:r>
        <w:t xml:space="preserve">Further work on tax residency for individuals; </w:t>
      </w:r>
    </w:p>
    <w:p w14:paraId="5077FD41" w14:textId="0287B444" w:rsidR="00784BC9" w:rsidRDefault="00BB2881" w:rsidP="00353898">
      <w:pPr>
        <w:pStyle w:val="Bullet"/>
      </w:pPr>
      <w:r>
        <w:t>Fringe Benefits Tax (</w:t>
      </w:r>
      <w:r w:rsidR="00353898">
        <w:t>FBT</w:t>
      </w:r>
      <w:r>
        <w:t>)</w:t>
      </w:r>
      <w:r w:rsidR="00353898">
        <w:t xml:space="preserve"> compliance cost </w:t>
      </w:r>
      <w:r w:rsidR="0024348A">
        <w:t xml:space="preserve">and international practice </w:t>
      </w:r>
      <w:r w:rsidR="00353898">
        <w:t>review</w:t>
      </w:r>
      <w:r w:rsidR="00784BC9">
        <w:t>;</w:t>
      </w:r>
    </w:p>
    <w:p w14:paraId="737A6B34" w14:textId="5642A78B" w:rsidR="00F66E6F" w:rsidRDefault="00784BC9" w:rsidP="00353898">
      <w:pPr>
        <w:pStyle w:val="Bullet"/>
      </w:pPr>
      <w:r>
        <w:t xml:space="preserve">Review of </w:t>
      </w:r>
      <w:r w:rsidR="00DC2F09">
        <w:t xml:space="preserve">aspects of </w:t>
      </w:r>
      <w:r>
        <w:t>the taxation of agriculture</w:t>
      </w:r>
      <w:r w:rsidR="00F66E6F">
        <w:t xml:space="preserve">; </w:t>
      </w:r>
    </w:p>
    <w:p w14:paraId="15B319D9" w14:textId="465A019E" w:rsidR="00F66E6F" w:rsidRDefault="00F66E6F" w:rsidP="00A65001">
      <w:pPr>
        <w:pStyle w:val="Bullet"/>
      </w:pPr>
      <w:r>
        <w:t xml:space="preserve">Consideration of </w:t>
      </w:r>
      <w:r w:rsidR="00060A95">
        <w:t>the interaction of tax and accounting concepts</w:t>
      </w:r>
      <w:r>
        <w:t>;</w:t>
      </w:r>
      <w:r w:rsidR="00060A95">
        <w:t xml:space="preserve"> and </w:t>
      </w:r>
    </w:p>
    <w:p w14:paraId="07F0A568" w14:textId="05FCE12B" w:rsidR="00060A95" w:rsidRDefault="00F66E6F" w:rsidP="00A65001">
      <w:pPr>
        <w:pStyle w:val="Bullet"/>
      </w:pPr>
      <w:r>
        <w:t>T</w:t>
      </w:r>
      <w:r w:rsidR="00060A95">
        <w:t>he Sounding Board.</w:t>
      </w:r>
    </w:p>
    <w:p w14:paraId="2076C142" w14:textId="5F866255" w:rsidR="00DC2F09" w:rsidRPr="00BD2FF3" w:rsidRDefault="00DC2F09" w:rsidP="00060A95">
      <w:pPr>
        <w:pStyle w:val="Bullet"/>
        <w:numPr>
          <w:ilvl w:val="0"/>
          <w:numId w:val="0"/>
        </w:numPr>
      </w:pPr>
      <w:r>
        <w:t>Further information on the status of some of our projects is set out below.</w:t>
      </w:r>
    </w:p>
    <w:p w14:paraId="1214FC7B" w14:textId="5AC0AC35" w:rsidR="00857C9A" w:rsidRDefault="00857C9A" w:rsidP="00784BC9">
      <w:pPr>
        <w:pStyle w:val="Heading2"/>
      </w:pPr>
      <w:r>
        <w:t>Review of small business tax concessions</w:t>
      </w:r>
    </w:p>
    <w:p w14:paraId="251C293E" w14:textId="19031491" w:rsidR="00857C9A" w:rsidRDefault="00857C9A" w:rsidP="00857C9A">
      <w:pPr>
        <w:pStyle w:val="PlainText"/>
      </w:pPr>
      <w:r>
        <w:t xml:space="preserve">The consultation period for this review has now concluded and Dr Pizzacalla, the Reference Group and the Board have begun developing the final report.  The review has attracted a great deal of interest and the submissions have given the Board some great insights into what matters most to small business.  Our sincere thanks to those who have participated in the review. </w:t>
      </w:r>
    </w:p>
    <w:p w14:paraId="4466FCD9" w14:textId="77777777" w:rsidR="00857C9A" w:rsidRDefault="00857C9A" w:rsidP="00857C9A">
      <w:pPr>
        <w:pStyle w:val="PlainText"/>
      </w:pPr>
    </w:p>
    <w:p w14:paraId="30DE49C4" w14:textId="58F4F3F9" w:rsidR="00857C9A" w:rsidRDefault="00857C9A" w:rsidP="00A65001">
      <w:pPr>
        <w:pStyle w:val="PlainText"/>
      </w:pPr>
      <w:r>
        <w:t xml:space="preserve">The review is operating to a revised timetable that will see the Board delivering its </w:t>
      </w:r>
      <w:r w:rsidR="00E46255">
        <w:t xml:space="preserve">final </w:t>
      </w:r>
      <w:r>
        <w:t xml:space="preserve">report in the New Year.  </w:t>
      </w:r>
      <w:r w:rsidR="00211CCD">
        <w:t>However, t</w:t>
      </w:r>
      <w:r w:rsidR="00E46255">
        <w:t>he Board is also</w:t>
      </w:r>
      <w:r>
        <w:t xml:space="preserve"> working closely with Treasury to share </w:t>
      </w:r>
      <w:r w:rsidR="00211CCD">
        <w:t xml:space="preserve">some </w:t>
      </w:r>
      <w:r>
        <w:t>insights gained through consultation</w:t>
      </w:r>
      <w:r w:rsidR="00211CCD">
        <w:t xml:space="preserve">s to date.  This </w:t>
      </w:r>
      <w:r w:rsidR="00E46255">
        <w:t>real time</w:t>
      </w:r>
      <w:r w:rsidR="00211CCD">
        <w:t xml:space="preserve"> input is a useful way to contribute to ideas develop</w:t>
      </w:r>
      <w:r w:rsidR="00FD1763">
        <w:t>ment</w:t>
      </w:r>
      <w:r>
        <w:t xml:space="preserve">. </w:t>
      </w:r>
    </w:p>
    <w:p w14:paraId="76A8FE32" w14:textId="77777777" w:rsidR="00E46255" w:rsidRDefault="00E46255" w:rsidP="00A65001">
      <w:pPr>
        <w:pStyle w:val="PlainText"/>
      </w:pPr>
    </w:p>
    <w:p w14:paraId="78DB28B3" w14:textId="46DCC2FC" w:rsidR="00784BC9" w:rsidRPr="005B32D7" w:rsidRDefault="00784BC9" w:rsidP="00784BC9">
      <w:pPr>
        <w:pStyle w:val="Heading2"/>
      </w:pPr>
      <w:r>
        <w:lastRenderedPageBreak/>
        <w:t>FBT compliance cost and international practice review</w:t>
      </w:r>
    </w:p>
    <w:p w14:paraId="720696F2" w14:textId="15493EF9" w:rsidR="008B4D06" w:rsidRDefault="00BB2881" w:rsidP="00A65001">
      <w:r>
        <w:t xml:space="preserve">The Board is continuing work on its review of compliance costs associated with FBT obligations for employers. As previously highlighted, the Board will be conducting two surveys to collect </w:t>
      </w:r>
      <w:r w:rsidR="008B4D06">
        <w:t xml:space="preserve">evidence and </w:t>
      </w:r>
      <w:r>
        <w:t>data to inform its recommendations</w:t>
      </w:r>
      <w:r w:rsidR="008B4D06">
        <w:t>, as follows:</w:t>
      </w:r>
    </w:p>
    <w:p w14:paraId="0874CB75" w14:textId="0FAA912C" w:rsidR="008B4D06" w:rsidRDefault="008B4D06" w:rsidP="00A65001">
      <w:pPr>
        <w:pStyle w:val="ListParagraph"/>
        <w:numPr>
          <w:ilvl w:val="0"/>
          <w:numId w:val="11"/>
        </w:numPr>
        <w:ind w:left="426" w:hanging="426"/>
      </w:pPr>
      <w:r>
        <w:t xml:space="preserve">Taxpayers selected to participate in an </w:t>
      </w:r>
      <w:r w:rsidRPr="00857C9A">
        <w:rPr>
          <w:b/>
          <w:bCs/>
        </w:rPr>
        <w:t>FBT Compliance Cost Survey</w:t>
      </w:r>
      <w:r>
        <w:t xml:space="preserve">. If you are selected, the ATO will send an invitation to you on behalf of the Board. </w:t>
      </w:r>
    </w:p>
    <w:p w14:paraId="36CE2CC5" w14:textId="4918F9AF" w:rsidR="008B4D06" w:rsidRDefault="008B4D06" w:rsidP="00A65001">
      <w:pPr>
        <w:pStyle w:val="ListParagraph"/>
        <w:numPr>
          <w:ilvl w:val="0"/>
          <w:numId w:val="11"/>
        </w:numPr>
        <w:ind w:left="426" w:hanging="426"/>
      </w:pPr>
      <w:r>
        <w:t xml:space="preserve">Taxpayers and advisers who volunteer to participant in the Board’s </w:t>
      </w:r>
      <w:r w:rsidRPr="006441C1">
        <w:rPr>
          <w:b/>
        </w:rPr>
        <w:t>Public Survey</w:t>
      </w:r>
      <w:r>
        <w:t xml:space="preserve"> on FBT compliance costs. </w:t>
      </w:r>
    </w:p>
    <w:p w14:paraId="7F3FADE0" w14:textId="3AE86071" w:rsidR="00784BC9" w:rsidRDefault="00BB2881" w:rsidP="00784BC9">
      <w:r>
        <w:t xml:space="preserve">A link to the </w:t>
      </w:r>
      <w:r w:rsidR="00F66E6F">
        <w:t>Public S</w:t>
      </w:r>
      <w:r>
        <w:t xml:space="preserve">urvey will </w:t>
      </w:r>
      <w:r w:rsidR="008B4D06">
        <w:t xml:space="preserve">soon </w:t>
      </w:r>
      <w:r>
        <w:t xml:space="preserve">be available on the </w:t>
      </w:r>
      <w:hyperlink r:id="rId14" w:history="1">
        <w:r w:rsidRPr="00BB2881">
          <w:rPr>
            <w:rStyle w:val="Hyperlink"/>
            <w:u w:val="single"/>
          </w:rPr>
          <w:t>Board’s website</w:t>
        </w:r>
      </w:hyperlink>
      <w:r>
        <w:t>.</w:t>
      </w:r>
    </w:p>
    <w:p w14:paraId="08E271BD" w14:textId="21FF203E" w:rsidR="00E46255" w:rsidRPr="00E46255" w:rsidRDefault="00BB2881" w:rsidP="00A65001">
      <w:r>
        <w:t>Whilst developing these surveys, the Board is also gather</w:t>
      </w:r>
      <w:r w:rsidR="00FE408E">
        <w:t>ing</w:t>
      </w:r>
      <w:r>
        <w:t xml:space="preserve"> </w:t>
      </w:r>
      <w:r w:rsidR="008B4D06">
        <w:t xml:space="preserve">evidence and </w:t>
      </w:r>
      <w:r>
        <w:t>data</w:t>
      </w:r>
      <w:r w:rsidR="00FE408E">
        <w:t xml:space="preserve"> on international experiences </w:t>
      </w:r>
      <w:r w:rsidR="008B4D06">
        <w:t xml:space="preserve">with </w:t>
      </w:r>
      <w:r w:rsidR="00FE408E">
        <w:t xml:space="preserve">the taxation of non-cash benefits provided to employees. This information will be used for comparison purposes, to assist the Board in identifying areas where compliance costs could be </w:t>
      </w:r>
      <w:r w:rsidR="008B4D06">
        <w:t xml:space="preserve">improved or </w:t>
      </w:r>
      <w:r w:rsidR="00FE408E">
        <w:t xml:space="preserve">reduced. </w:t>
      </w:r>
    </w:p>
    <w:p w14:paraId="142E6501" w14:textId="4BA37ED3" w:rsidR="00E46255" w:rsidRDefault="00E46255" w:rsidP="00784BC9">
      <w:pPr>
        <w:pStyle w:val="Heading2"/>
      </w:pPr>
      <w:r>
        <w:t>Tax residency for individuals</w:t>
      </w:r>
    </w:p>
    <w:p w14:paraId="46EC9BC6" w14:textId="6C368F3D" w:rsidR="007F5A2F" w:rsidRDefault="007F5A2F" w:rsidP="007F5A2F">
      <w:r>
        <w:t xml:space="preserve">A </w:t>
      </w:r>
      <w:hyperlink r:id="rId15" w:history="1">
        <w:r w:rsidRPr="00A65001">
          <w:rPr>
            <w:rStyle w:val="Hyperlink"/>
            <w:u w:val="single"/>
          </w:rPr>
          <w:t>Consultation Guide</w:t>
        </w:r>
      </w:hyperlink>
      <w:r>
        <w:t xml:space="preserve"> on </w:t>
      </w:r>
      <w:r w:rsidR="00211CCD">
        <w:t xml:space="preserve">the Board’s ongoing work on </w:t>
      </w:r>
      <w:r>
        <w:t xml:space="preserve">tax residency for individuals is now available on the Board’s website. The Consultation Guide invites stakeholders to consider a series of design principles for modernising and simplifying the individual tax residency rules. The design principles include consideration of a ‘two-step’ approach, using a bright-line test based on time spent in Australia followed by a test based on an individual’s personal circumstances, as well as considering integrity issues. </w:t>
      </w:r>
    </w:p>
    <w:p w14:paraId="48A1A85C" w14:textId="7116599B" w:rsidR="00E46255" w:rsidRPr="00E46255" w:rsidRDefault="007F5A2F" w:rsidP="00A65001">
      <w:r>
        <w:t xml:space="preserve">Written submissions can be made to the Board by 26 October 2018. The Board will also be hosting open consultation sessions during October – if you have already registered your interest, we will soon be in touch with dates, times and locations. To keep updated, please follow the Board on LinkedIn or register your interest to be involved by emailing us </w:t>
      </w:r>
      <w:r w:rsidR="00F66E6F">
        <w:t xml:space="preserve">at </w:t>
      </w:r>
      <w:hyperlink r:id="rId16" w:history="1">
        <w:r w:rsidR="00F66E6F" w:rsidRPr="00021665">
          <w:rPr>
            <w:rStyle w:val="Hyperlink"/>
            <w:u w:val="single"/>
          </w:rPr>
          <w:t>taxboard@treasury.gov.au</w:t>
        </w:r>
      </w:hyperlink>
      <w:r w:rsidR="00F66E6F">
        <w:rPr>
          <w:rStyle w:val="Hyperlink"/>
          <w:u w:val="single"/>
        </w:rPr>
        <w:t>.</w:t>
      </w:r>
    </w:p>
    <w:p w14:paraId="38791590" w14:textId="57F9C63C" w:rsidR="00080EE2" w:rsidRPr="005B32D7" w:rsidRDefault="00080EE2" w:rsidP="00784BC9">
      <w:pPr>
        <w:pStyle w:val="Heading2"/>
      </w:pPr>
      <w:r>
        <w:t>Taxation of agriculture</w:t>
      </w:r>
    </w:p>
    <w:p w14:paraId="183D03FD" w14:textId="313AEED6" w:rsidR="00080EE2" w:rsidRPr="00BD2FF3" w:rsidRDefault="00FE408E" w:rsidP="00080EE2">
      <w:r>
        <w:t>Following the release of a research report on the taxation of the agricultural sector by the Australian Government Rural Industries Research and Development Corporation in December 2016, the Board was approached by stakeholder</w:t>
      </w:r>
      <w:r w:rsidR="002B57A4">
        <w:t>s</w:t>
      </w:r>
      <w:r>
        <w:t xml:space="preserve"> to consider some of the issues raised in the report. Over the past several months, the Board has been </w:t>
      </w:r>
      <w:r w:rsidR="00963EDC">
        <w:t>considering</w:t>
      </w:r>
      <w:r>
        <w:t xml:space="preserve"> on a number of discrete tax issues relevant to the sector</w:t>
      </w:r>
      <w:r w:rsidR="00963EDC">
        <w:t xml:space="preserve">, and recently shared </w:t>
      </w:r>
      <w:r w:rsidR="008B4D06">
        <w:t xml:space="preserve">this </w:t>
      </w:r>
      <w:r w:rsidR="00963EDC">
        <w:t xml:space="preserve">work </w:t>
      </w:r>
      <w:r w:rsidR="008B4D06">
        <w:t xml:space="preserve">and observations </w:t>
      </w:r>
      <w:r w:rsidR="00963EDC">
        <w:t xml:space="preserve">with the Federal Government’s Joint Agency Drought Taskforce. </w:t>
      </w:r>
    </w:p>
    <w:p w14:paraId="0FE5BC99" w14:textId="03995BE8" w:rsidR="001172BC" w:rsidRPr="005B32D7" w:rsidRDefault="00080EE2" w:rsidP="001172BC">
      <w:pPr>
        <w:pStyle w:val="Heading2"/>
      </w:pPr>
      <w:r>
        <w:t>Tax and accounting</w:t>
      </w:r>
    </w:p>
    <w:p w14:paraId="7B8105B5" w14:textId="19B988F5" w:rsidR="001172BC" w:rsidRDefault="002B57A4" w:rsidP="002256FA">
      <w:r>
        <w:t xml:space="preserve">The Board has an ongoing project to consider opportunities for greater alignment between tax and accounting outcomes to reduce </w:t>
      </w:r>
      <w:r w:rsidR="0027691C">
        <w:t xml:space="preserve">the </w:t>
      </w:r>
      <w:r>
        <w:t>compliance and administrative burden on taxpayers that produce financial statements. As part of this work stream, the Board has been considering the taxation implications of new accounting standards including:</w:t>
      </w:r>
    </w:p>
    <w:p w14:paraId="2B41073E" w14:textId="67DC627B" w:rsidR="002B57A4" w:rsidRDefault="002B57A4" w:rsidP="002B57A4">
      <w:pPr>
        <w:pStyle w:val="Bullet"/>
      </w:pPr>
      <w:r>
        <w:t xml:space="preserve">AASB 15 </w:t>
      </w:r>
      <w:r w:rsidRPr="002B57A4">
        <w:rPr>
          <w:i/>
        </w:rPr>
        <w:t>Revenue from Contracts with Customers</w:t>
      </w:r>
      <w:r>
        <w:t xml:space="preserve">; </w:t>
      </w:r>
    </w:p>
    <w:p w14:paraId="791438CA" w14:textId="0CBAFBB4" w:rsidR="002B57A4" w:rsidRDefault="002B57A4" w:rsidP="002B57A4">
      <w:pPr>
        <w:pStyle w:val="Bullet"/>
      </w:pPr>
      <w:r>
        <w:t xml:space="preserve">AASB 16 </w:t>
      </w:r>
      <w:r w:rsidRPr="002B57A4">
        <w:rPr>
          <w:i/>
        </w:rPr>
        <w:t>Leases</w:t>
      </w:r>
      <w:r>
        <w:t>; and</w:t>
      </w:r>
    </w:p>
    <w:p w14:paraId="5F1ECB31" w14:textId="2A325159" w:rsidR="002B57A4" w:rsidRDefault="002B57A4" w:rsidP="002B57A4">
      <w:pPr>
        <w:pStyle w:val="Bullet"/>
      </w:pPr>
      <w:r>
        <w:t xml:space="preserve">AASB 17 </w:t>
      </w:r>
      <w:r w:rsidRPr="002B57A4">
        <w:rPr>
          <w:i/>
        </w:rPr>
        <w:t>Insurance Contracts</w:t>
      </w:r>
      <w:r>
        <w:t>.</w:t>
      </w:r>
    </w:p>
    <w:p w14:paraId="7C56D4E5" w14:textId="3CE95E23" w:rsidR="002B57A4" w:rsidRDefault="002B57A4" w:rsidP="002B57A4">
      <w:pPr>
        <w:pStyle w:val="Bullet"/>
        <w:numPr>
          <w:ilvl w:val="0"/>
          <w:numId w:val="0"/>
        </w:numPr>
      </w:pPr>
      <w:r>
        <w:t>The Board will continue to work with Treasury and the ATO to ensure that the tax impacts of these, and other new accounting standards, are well understood, and recommend changes to the tax law</w:t>
      </w:r>
      <w:r w:rsidR="0027691C">
        <w:t>, as</w:t>
      </w:r>
      <w:r>
        <w:t xml:space="preserve"> required. </w:t>
      </w:r>
    </w:p>
    <w:p w14:paraId="121AC038" w14:textId="77777777" w:rsidR="002A494A" w:rsidRPr="00BD2FF3" w:rsidRDefault="002A494A" w:rsidP="002B57A4">
      <w:pPr>
        <w:pStyle w:val="Bullet"/>
        <w:numPr>
          <w:ilvl w:val="0"/>
          <w:numId w:val="0"/>
        </w:numPr>
      </w:pPr>
    </w:p>
    <w:p w14:paraId="1FC4DF93" w14:textId="7A0832EA" w:rsidR="001172BC" w:rsidRPr="005B32D7" w:rsidRDefault="00080EE2" w:rsidP="001172BC">
      <w:pPr>
        <w:pStyle w:val="Heading2"/>
      </w:pPr>
      <w:r>
        <w:lastRenderedPageBreak/>
        <w:t>Tax transparency</w:t>
      </w:r>
    </w:p>
    <w:p w14:paraId="5EC1D6C1" w14:textId="61522B78" w:rsidR="001172BC" w:rsidRDefault="00080EE2" w:rsidP="00080EE2">
      <w:r>
        <w:t xml:space="preserve">The Board continues to monitor take up of the Code. As at </w:t>
      </w:r>
      <w:r w:rsidR="00817E54">
        <w:t>19</w:t>
      </w:r>
      <w:r>
        <w:t xml:space="preserve"> September 2018, there were </w:t>
      </w:r>
      <w:r w:rsidR="00817E54">
        <w:t>148</w:t>
      </w:r>
      <w:r>
        <w:t xml:space="preserve"> signatories to the Code, of which </w:t>
      </w:r>
      <w:r w:rsidR="00817E54">
        <w:t>1</w:t>
      </w:r>
      <w:r w:rsidR="006F3F81">
        <w:t>23</w:t>
      </w:r>
      <w:r>
        <w:t xml:space="preserve"> have published at least one tax transparency report. The full register of signatories can be found on the </w:t>
      </w:r>
      <w:hyperlink r:id="rId17" w:history="1">
        <w:r w:rsidRPr="00080EE2">
          <w:rPr>
            <w:rStyle w:val="Hyperlink"/>
            <w:u w:val="single"/>
          </w:rPr>
          <w:t>Board’s website</w:t>
        </w:r>
      </w:hyperlink>
      <w:r>
        <w:t xml:space="preserve">, and links to published reports on </w:t>
      </w:r>
      <w:hyperlink r:id="rId18" w:history="1">
        <w:r w:rsidRPr="00080EE2">
          <w:rPr>
            <w:rStyle w:val="Hyperlink"/>
            <w:u w:val="single"/>
          </w:rPr>
          <w:t>data.gov.au</w:t>
        </w:r>
      </w:hyperlink>
      <w:r>
        <w:t xml:space="preserve">. </w:t>
      </w:r>
      <w:r w:rsidR="00817E54">
        <w:t xml:space="preserve">The Code is continuing to gather momentum, with signatories to the Code now covering </w:t>
      </w:r>
      <w:r w:rsidR="00FE408E">
        <w:t>appro</w:t>
      </w:r>
      <w:bookmarkStart w:id="0" w:name="_GoBack"/>
      <w:bookmarkEnd w:id="0"/>
      <w:r w:rsidR="00FE408E">
        <w:t>ximately</w:t>
      </w:r>
      <w:r w:rsidR="00817E54">
        <w:t xml:space="preserve"> 80% of the market capitalisation of the ASX200.</w:t>
      </w:r>
      <w:r w:rsidR="00BB2881">
        <w:t xml:space="preserve"> </w:t>
      </w:r>
      <w:r>
        <w:t>The Board encourage</w:t>
      </w:r>
      <w:r w:rsidR="00BB2881">
        <w:t>s</w:t>
      </w:r>
      <w:r>
        <w:t xml:space="preserve"> you to adopt the Code and support and assist your clients</w:t>
      </w:r>
      <w:r w:rsidR="00021665">
        <w:t xml:space="preserve"> </w:t>
      </w:r>
      <w:r>
        <w:t>to adopt it. It is as simple as sending us an email setting out your groups’ intentions! For</w:t>
      </w:r>
      <w:r w:rsidR="00021665">
        <w:t xml:space="preserve"> </w:t>
      </w:r>
      <w:r>
        <w:t>further information on the Code or to register your intention to adopt it, please contact us</w:t>
      </w:r>
      <w:r w:rsidR="00021665">
        <w:t xml:space="preserve"> </w:t>
      </w:r>
      <w:r>
        <w:t xml:space="preserve">at </w:t>
      </w:r>
      <w:hyperlink r:id="rId19" w:history="1">
        <w:r w:rsidR="00021665" w:rsidRPr="00021665">
          <w:rPr>
            <w:rStyle w:val="Hyperlink"/>
            <w:u w:val="single"/>
          </w:rPr>
          <w:t>taxboard@treasury.gov.au</w:t>
        </w:r>
      </w:hyperlink>
      <w:r>
        <w:t>.</w:t>
      </w:r>
    </w:p>
    <w:p w14:paraId="213DCB1E" w14:textId="57873001" w:rsidR="00080EE2" w:rsidRPr="00BD2FF3" w:rsidRDefault="00322AB0" w:rsidP="002256FA">
      <w:r>
        <w:t xml:space="preserve">As highlighted in the last CEO update, the Board is </w:t>
      </w:r>
      <w:r w:rsidR="00BB2881">
        <w:t>tracking</w:t>
      </w:r>
      <w:r>
        <w:t xml:space="preserve"> local and global developments on tax transparency, with a view to recommending improvements </w:t>
      </w:r>
      <w:r w:rsidR="0027691C">
        <w:t xml:space="preserve">to </w:t>
      </w:r>
      <w:r>
        <w:t>the Code. We are also meeting with different stakeholder groups to collect</w:t>
      </w:r>
      <w:r w:rsidR="00817E54">
        <w:t xml:space="preserve"> feedback on the Code and views on the future of tax transparency in Australia. If you have insights you would like to share</w:t>
      </w:r>
      <w:r w:rsidR="00BB2881">
        <w:t xml:space="preserve"> with the Board</w:t>
      </w:r>
      <w:r w:rsidR="00817E54">
        <w:t xml:space="preserve">, please feel free to contact </w:t>
      </w:r>
      <w:r w:rsidR="00BB2881">
        <w:t>us directly</w:t>
      </w:r>
      <w:r w:rsidR="00817E54">
        <w:t xml:space="preserve"> at </w:t>
      </w:r>
      <w:hyperlink r:id="rId20" w:history="1">
        <w:r w:rsidR="00817E54" w:rsidRPr="00021665">
          <w:rPr>
            <w:rStyle w:val="Hyperlink"/>
            <w:u w:val="single"/>
          </w:rPr>
          <w:t>taxboard@treasury.gov.au</w:t>
        </w:r>
      </w:hyperlink>
      <w:r w:rsidR="00817E54">
        <w:t>.</w:t>
      </w:r>
    </w:p>
    <w:p w14:paraId="4D588779" w14:textId="3522967B" w:rsidR="001172BC" w:rsidRPr="005B32D7" w:rsidRDefault="00AF4B90" w:rsidP="001172BC">
      <w:pPr>
        <w:pStyle w:val="Heading2"/>
      </w:pPr>
      <w:r>
        <w:t>Proposed meeting dates for 2019</w:t>
      </w:r>
    </w:p>
    <w:p w14:paraId="5852133C" w14:textId="44C46C2A" w:rsidR="001172BC" w:rsidRDefault="00AF4B90" w:rsidP="00656D54">
      <w:r>
        <w:t xml:space="preserve">The Board has proposed the following dates and locations for their meetings in 2019. </w:t>
      </w:r>
      <w:r w:rsidR="00FD04B0">
        <w:t>Any changes will be reflected on the Board’s website.</w:t>
      </w:r>
    </w:p>
    <w:p w14:paraId="3E7654CF" w14:textId="44DDFE61" w:rsidR="00FD04B0" w:rsidRDefault="00FD04B0" w:rsidP="00656D54">
      <w:r>
        <w:t>13 February 2019 – Melbourne</w:t>
      </w:r>
      <w:r>
        <w:tab/>
      </w:r>
      <w:r>
        <w:tab/>
        <w:t>4 July 2019 – Melbourne</w:t>
      </w:r>
      <w:r>
        <w:tab/>
        <w:t xml:space="preserve"> </w:t>
      </w:r>
      <w:r>
        <w:tab/>
        <w:t>17 October 2019 – Perth</w:t>
      </w:r>
    </w:p>
    <w:p w14:paraId="7B46326D" w14:textId="54F1D664" w:rsidR="00FD04B0" w:rsidRDefault="00FD04B0" w:rsidP="00656D54">
      <w:r>
        <w:t>14 March 2019 – Sydney</w:t>
      </w:r>
      <w:r>
        <w:tab/>
      </w:r>
      <w:r>
        <w:tab/>
        <w:t>8 August 2019 – Adelaide</w:t>
      </w:r>
      <w:r>
        <w:tab/>
      </w:r>
      <w:r>
        <w:tab/>
        <w:t>21 November 2019 – Sydney</w:t>
      </w:r>
    </w:p>
    <w:p w14:paraId="4C75EE78" w14:textId="06F3EAC6" w:rsidR="00FD04B0" w:rsidRDefault="00FD04B0" w:rsidP="00656D54">
      <w:r>
        <w:t>11 April 2019 – Brisbane</w:t>
      </w:r>
      <w:r>
        <w:tab/>
      </w:r>
      <w:r>
        <w:tab/>
        <w:t>12 September 2019 – Sydney</w:t>
      </w:r>
      <w:r>
        <w:tab/>
      </w:r>
      <w:r>
        <w:tab/>
        <w:t xml:space="preserve">19 December 2019 – Melbourne </w:t>
      </w:r>
    </w:p>
    <w:p w14:paraId="4A224DF3" w14:textId="16E3BBD8" w:rsidR="00FD04B0" w:rsidRPr="00BD2FF3" w:rsidRDefault="00FD04B0" w:rsidP="00656D54">
      <w:r>
        <w:t>30 May 2019 – Canberra</w:t>
      </w:r>
    </w:p>
    <w:p w14:paraId="5FB8BC50" w14:textId="7DA78C04" w:rsidR="001172BC" w:rsidRPr="005B32D7" w:rsidRDefault="00DD4A1C" w:rsidP="001172BC">
      <w:pPr>
        <w:pStyle w:val="Heading2"/>
      </w:pPr>
      <w:r>
        <w:t>Thank You</w:t>
      </w:r>
    </w:p>
    <w:p w14:paraId="15539DB5" w14:textId="2D11222F" w:rsidR="00353898" w:rsidRDefault="00AF4B90" w:rsidP="00AF4B90">
      <w:r>
        <w:t>The Board would like to</w:t>
      </w:r>
      <w:r w:rsidR="00353898">
        <w:t xml:space="preserve"> again </w:t>
      </w:r>
      <w:r>
        <w:t xml:space="preserve">thank PwC for hosting the Board </w:t>
      </w:r>
      <w:r w:rsidR="00322AB0">
        <w:t xml:space="preserve">meeting and stakeholder lunch, </w:t>
      </w:r>
      <w:r>
        <w:t xml:space="preserve">and all those who participated in </w:t>
      </w:r>
      <w:r w:rsidR="0027691C">
        <w:t xml:space="preserve">the </w:t>
      </w:r>
      <w:r>
        <w:t>discussions over</w:t>
      </w:r>
      <w:r w:rsidR="00353898">
        <w:t xml:space="preserve"> </w:t>
      </w:r>
      <w:r>
        <w:t xml:space="preserve">lunch. </w:t>
      </w:r>
      <w:r w:rsidR="0027691C">
        <w:t xml:space="preserve"> We value this informal feedback and insights.</w:t>
      </w:r>
    </w:p>
    <w:p w14:paraId="2FC2CF29" w14:textId="43D5D63C" w:rsidR="00AF4B90" w:rsidRDefault="00AF4B90" w:rsidP="00AF4B90">
      <w:r>
        <w:t xml:space="preserve">The next Board meeting will be held in Perth on </w:t>
      </w:r>
      <w:r w:rsidR="00353898">
        <w:t>18 October 2018, hosted by KPMG.</w:t>
      </w:r>
    </w:p>
    <w:p w14:paraId="4D1D28E5" w14:textId="0AE1D6B2" w:rsidR="001172BC" w:rsidRDefault="00322AB0" w:rsidP="00AF4B90">
      <w:r>
        <w:t xml:space="preserve">We value your feedback, so please stay in touch. </w:t>
      </w:r>
      <w:r w:rsidR="003E0127">
        <w:t xml:space="preserve"> </w:t>
      </w:r>
      <w:r>
        <w:t xml:space="preserve">You can keep up to date via the </w:t>
      </w:r>
      <w:hyperlink r:id="rId21" w:history="1">
        <w:r w:rsidRPr="00322AB0">
          <w:rPr>
            <w:rStyle w:val="Hyperlink"/>
            <w:u w:val="single"/>
          </w:rPr>
          <w:t>Board’s website</w:t>
        </w:r>
      </w:hyperlink>
      <w:r>
        <w:t xml:space="preserve">, or follow us on </w:t>
      </w:r>
      <w:hyperlink r:id="rId22" w:history="1">
        <w:r w:rsidRPr="00322AB0">
          <w:rPr>
            <w:rStyle w:val="Hyperlink"/>
            <w:u w:val="single"/>
          </w:rPr>
          <w:t>LinkedIn</w:t>
        </w:r>
      </w:hyperlink>
      <w:r>
        <w:t>.</w:t>
      </w:r>
    </w:p>
    <w:p w14:paraId="0C065D02" w14:textId="77777777" w:rsidR="00211CCD" w:rsidRPr="00BD2FF3" w:rsidRDefault="00211CCD" w:rsidP="00AF4B90"/>
    <w:p w14:paraId="67D3967F" w14:textId="3924674B" w:rsidR="001172BC" w:rsidRPr="00BD2FF3" w:rsidRDefault="001172BC" w:rsidP="002256FA">
      <w:r w:rsidRPr="00BD2FF3">
        <w:t>Kind regards</w:t>
      </w:r>
      <w:r w:rsidR="00DF4A57">
        <w:br/>
      </w:r>
    </w:p>
    <w:p w14:paraId="3B417269" w14:textId="77777777" w:rsidR="001172BC" w:rsidRDefault="001172BC" w:rsidP="00C75D9F">
      <w:pPr>
        <w:spacing w:after="480"/>
      </w:pPr>
      <w:r w:rsidRPr="00BD2FF3">
        <w:t>Karen Payne</w:t>
      </w:r>
    </w:p>
    <w:p w14:paraId="4CD3E55A" w14:textId="77777777" w:rsidR="00DF4A57" w:rsidRPr="00BD2FF3" w:rsidRDefault="00DF4A57" w:rsidP="00C75D9F">
      <w:pPr>
        <w:spacing w:after="480"/>
      </w:pP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6851E2EA" w14:textId="77777777" w:rsidTr="00FF5BB1">
        <w:trPr>
          <w:trHeight w:val="1077"/>
          <w:jc w:val="center"/>
        </w:trPr>
        <w:tc>
          <w:tcPr>
            <w:tcW w:w="709" w:type="dxa"/>
            <w:tcBorders>
              <w:bottom w:val="nil"/>
            </w:tcBorders>
            <w:shd w:val="clear" w:color="auto" w:fill="DBE5F1" w:themeFill="accent1" w:themeFillTint="33"/>
            <w:vAlign w:val="center"/>
          </w:tcPr>
          <w:p w14:paraId="58CEEBAD"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15343B45" w14:textId="77777777" w:rsidR="00B85592" w:rsidRPr="00793807" w:rsidRDefault="00B85592" w:rsidP="00DF4A57">
            <w:pPr>
              <w:pStyle w:val="Footer"/>
              <w:jc w:val="left"/>
              <w:rPr>
                <w:sz w:val="20"/>
                <w:lang w:eastAsia="en-AU"/>
              </w:rPr>
            </w:pPr>
            <w:r w:rsidRPr="00793807">
              <w:rPr>
                <w:sz w:val="20"/>
                <w:lang w:eastAsia="en-AU"/>
              </w:rPr>
              <w:t>Karen Payne</w:t>
            </w:r>
          </w:p>
          <w:p w14:paraId="0FD27D5E" w14:textId="77777777" w:rsidR="00B85592" w:rsidRPr="00793807" w:rsidRDefault="00B85592" w:rsidP="00DF4A57">
            <w:pPr>
              <w:pStyle w:val="Footer"/>
              <w:jc w:val="left"/>
              <w:rPr>
                <w:sz w:val="20"/>
              </w:rPr>
            </w:pPr>
            <w:r w:rsidRPr="00793807">
              <w:rPr>
                <w:sz w:val="20"/>
                <w:lang w:eastAsia="en-AU"/>
              </w:rPr>
              <w:t>Chief Executive Officer</w:t>
            </w:r>
            <w:r w:rsidRPr="00793807">
              <w:rPr>
                <w:sz w:val="20"/>
                <w:lang w:eastAsia="en-AU"/>
              </w:rPr>
              <w:br/>
              <w:t>Board of Taxation</w:t>
            </w:r>
          </w:p>
        </w:tc>
        <w:tc>
          <w:tcPr>
            <w:tcW w:w="4536" w:type="dxa"/>
            <w:tcBorders>
              <w:bottom w:val="nil"/>
            </w:tcBorders>
            <w:shd w:val="clear" w:color="auto" w:fill="DBE5F1" w:themeFill="accent1" w:themeFillTint="33"/>
            <w:vAlign w:val="center"/>
          </w:tcPr>
          <w:p w14:paraId="19203493" w14:textId="77777777" w:rsidR="00BD2FF3" w:rsidRPr="00793807" w:rsidRDefault="00BD2FF3" w:rsidP="00FF5BB1">
            <w:pPr>
              <w:pStyle w:val="Footer"/>
              <w:jc w:val="left"/>
              <w:rPr>
                <w:sz w:val="20"/>
                <w:lang w:eastAsia="en-AU"/>
              </w:rPr>
            </w:pPr>
            <w:r w:rsidRPr="00793807">
              <w:rPr>
                <w:sz w:val="20"/>
                <w:lang w:eastAsia="en-AU"/>
              </w:rPr>
              <w:t>phone:  +61 2 6263 2122</w:t>
            </w:r>
          </w:p>
          <w:p w14:paraId="038DB270" w14:textId="77777777" w:rsidR="00BD2FF3" w:rsidRPr="00793807" w:rsidRDefault="00BD2FF3" w:rsidP="00FF5BB1">
            <w:pPr>
              <w:pStyle w:val="Footer"/>
              <w:jc w:val="left"/>
              <w:rPr>
                <w:sz w:val="20"/>
                <w:lang w:eastAsia="en-AU"/>
              </w:rPr>
            </w:pPr>
            <w:r w:rsidRPr="00793807">
              <w:rPr>
                <w:sz w:val="20"/>
                <w:lang w:eastAsia="en-AU"/>
              </w:rPr>
              <w:t>mobile: 0405 843 880</w:t>
            </w:r>
          </w:p>
          <w:p w14:paraId="6E032DA7" w14:textId="77777777" w:rsidR="00B85592" w:rsidRPr="00793807" w:rsidRDefault="00BD2FF3" w:rsidP="00FF5BB1">
            <w:pPr>
              <w:pStyle w:val="Footer"/>
              <w:jc w:val="left"/>
              <w:rPr>
                <w:sz w:val="20"/>
                <w:lang w:eastAsia="en-AU"/>
              </w:rPr>
            </w:pPr>
            <w:r w:rsidRPr="00793807">
              <w:rPr>
                <w:sz w:val="20"/>
                <w:lang w:eastAsia="en-AU"/>
              </w:rPr>
              <w:t xml:space="preserve">email: </w:t>
            </w:r>
            <w:hyperlink r:id="rId23" w:history="1">
              <w:r w:rsidRPr="00793807">
                <w:rPr>
                  <w:rStyle w:val="Hyperlink"/>
                  <w:sz w:val="20"/>
                  <w:lang w:eastAsia="en-AU"/>
                </w:rPr>
                <w:t>karen.payne@treasury.gov.au</w:t>
              </w:r>
            </w:hyperlink>
          </w:p>
        </w:tc>
        <w:tc>
          <w:tcPr>
            <w:tcW w:w="709" w:type="dxa"/>
            <w:tcBorders>
              <w:bottom w:val="nil"/>
            </w:tcBorders>
            <w:shd w:val="clear" w:color="auto" w:fill="DBE5F1" w:themeFill="accent1" w:themeFillTint="33"/>
            <w:vAlign w:val="center"/>
          </w:tcPr>
          <w:p w14:paraId="0AFB5E00" w14:textId="77777777" w:rsidR="00B85592" w:rsidRPr="00793807" w:rsidRDefault="00B85592" w:rsidP="00FF5BB1">
            <w:pPr>
              <w:rPr>
                <w:sz w:val="20"/>
              </w:rPr>
            </w:pPr>
          </w:p>
        </w:tc>
      </w:tr>
      <w:tr w:rsidR="00B85592" w14:paraId="5910F1CB" w14:textId="77777777" w:rsidTr="000B25B3">
        <w:trPr>
          <w:jc w:val="center"/>
        </w:trPr>
        <w:tc>
          <w:tcPr>
            <w:tcW w:w="10490" w:type="dxa"/>
            <w:gridSpan w:val="4"/>
            <w:tcBorders>
              <w:top w:val="nil"/>
              <w:bottom w:val="nil"/>
            </w:tcBorders>
            <w:shd w:val="clear" w:color="auto" w:fill="auto"/>
            <w:tcMar>
              <w:left w:w="0" w:type="dxa"/>
              <w:right w:w="0" w:type="dxa"/>
            </w:tcMar>
          </w:tcPr>
          <w:p w14:paraId="287B1EB3" w14:textId="77777777" w:rsidR="00B85592" w:rsidRDefault="00B85592" w:rsidP="002256FA">
            <w:r>
              <w:rPr>
                <w:noProof/>
                <w:lang w:eastAsia="en-AU"/>
              </w:rPr>
              <w:drawing>
                <wp:inline distT="0" distB="0" distL="0" distR="0" wp14:anchorId="7829748B" wp14:editId="21C2191E">
                  <wp:extent cx="6657584" cy="137786"/>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930679" cy="143438"/>
                          </a:xfrm>
                          <a:prstGeom prst="rect">
                            <a:avLst/>
                          </a:prstGeom>
                        </pic:spPr>
                      </pic:pic>
                    </a:graphicData>
                  </a:graphic>
                </wp:inline>
              </w:drawing>
            </w:r>
          </w:p>
          <w:p w14:paraId="16557DE4" w14:textId="77777777" w:rsidR="000C5F43" w:rsidRDefault="000C5F43" w:rsidP="000C5F43">
            <w:pPr>
              <w:pStyle w:val="Footer"/>
            </w:pPr>
            <w:r>
              <w:t xml:space="preserve">Treasury Building, Langton Crescent, PARKES  ACT  2600   •   Telephone: 02 6263 4366   •   Email: </w:t>
            </w:r>
            <w:hyperlink r:id="rId25" w:history="1">
              <w:r w:rsidR="00DA4E2C">
                <w:rPr>
                  <w:rStyle w:val="Hyperlink"/>
                </w:rPr>
                <w:t>taxboard@treasury.gov.au</w:t>
              </w:r>
            </w:hyperlink>
          </w:p>
          <w:p w14:paraId="68CB4488" w14:textId="77777777" w:rsidR="000C5F43" w:rsidRDefault="000C5F43" w:rsidP="000C5F43">
            <w:pPr>
              <w:pStyle w:val="Footer"/>
            </w:pPr>
            <w:r>
              <w:t xml:space="preserve">Website: </w:t>
            </w:r>
            <w:hyperlink r:id="rId26" w:history="1">
              <w:r w:rsidRPr="00225511">
                <w:rPr>
                  <w:rStyle w:val="Hyperlink"/>
                </w:rPr>
                <w:t>taxboard.gov.au</w:t>
              </w:r>
            </w:hyperlink>
            <w:r>
              <w:t xml:space="preserve">   •   Sounding Board: </w:t>
            </w:r>
            <w:hyperlink r:id="rId27" w:history="1">
              <w:r w:rsidRPr="00225511">
                <w:rPr>
                  <w:rStyle w:val="Hyperlink"/>
                </w:rPr>
                <w:t>taxboard.ideascale.com</w:t>
              </w:r>
            </w:hyperlink>
          </w:p>
        </w:tc>
      </w:tr>
    </w:tbl>
    <w:p w14:paraId="7A18D129" w14:textId="77777777" w:rsidR="001010C1" w:rsidRPr="0098345D" w:rsidRDefault="001010C1" w:rsidP="002256FA"/>
    <w:sectPr w:rsidR="001010C1" w:rsidRPr="0098345D" w:rsidSect="00BD2FF3">
      <w:headerReference w:type="default" r:id="rId2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44368" w14:textId="77777777" w:rsidR="00517519" w:rsidRDefault="00517519" w:rsidP="002256FA">
      <w:r>
        <w:separator/>
      </w:r>
    </w:p>
  </w:endnote>
  <w:endnote w:type="continuationSeparator" w:id="0">
    <w:p w14:paraId="14E8C527" w14:textId="77777777" w:rsidR="00517519" w:rsidRDefault="00517519" w:rsidP="002256FA">
      <w:r>
        <w:continuationSeparator/>
      </w:r>
    </w:p>
  </w:endnote>
  <w:endnote w:type="continuationNotice" w:id="1">
    <w:p w14:paraId="6438040E" w14:textId="77777777" w:rsidR="00E60558" w:rsidRDefault="00E605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26B40" w14:textId="77777777" w:rsidR="00517519" w:rsidRDefault="00517519" w:rsidP="002256FA">
      <w:r>
        <w:separator/>
      </w:r>
    </w:p>
  </w:footnote>
  <w:footnote w:type="continuationSeparator" w:id="0">
    <w:p w14:paraId="0A529899" w14:textId="77777777" w:rsidR="00517519" w:rsidRDefault="00517519" w:rsidP="002256FA">
      <w:r>
        <w:continuationSeparator/>
      </w:r>
    </w:p>
  </w:footnote>
  <w:footnote w:type="continuationNotice" w:id="1">
    <w:p w14:paraId="07F0A5F8" w14:textId="77777777" w:rsidR="00E60558" w:rsidRDefault="00E6055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2B7B" w14:textId="77777777" w:rsidR="00517519" w:rsidRPr="009B5E81" w:rsidRDefault="00517519" w:rsidP="009B5E81">
    <w:pPr>
      <w:pStyle w:val="Header"/>
    </w:pPr>
    <w:r w:rsidRPr="009B5E81">
      <w:fldChar w:fldCharType="begin"/>
    </w:r>
    <w:r w:rsidRPr="009B5E81">
      <w:instrText xml:space="preserve"> PAGE   \* MERGEFORMAT </w:instrText>
    </w:r>
    <w:r w:rsidRPr="009B5E81">
      <w:fldChar w:fldCharType="separate"/>
    </w:r>
    <w:r w:rsidR="006F3F81">
      <w:rPr>
        <w:noProof/>
      </w:rPr>
      <w:t>3</w:t>
    </w:r>
    <w:r w:rsidRPr="009B5E8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7E01041"/>
    <w:multiLevelType w:val="hybridMultilevel"/>
    <w:tmpl w:val="2788DF1A"/>
    <w:lvl w:ilvl="0" w:tplc="7FE0431E">
      <w:start w:val="1"/>
      <w:numFmt w:val="bullet"/>
      <w:pStyle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4ACD6392"/>
    <w:multiLevelType w:val="hybridMultilevel"/>
    <w:tmpl w:val="32C04148"/>
    <w:lvl w:ilvl="0" w:tplc="0C09000F">
      <w:start w:val="1"/>
      <w:numFmt w:val="decimal"/>
      <w:lvlText w:val="%1."/>
      <w:lvlJc w:val="left"/>
      <w:pPr>
        <w:ind w:left="-180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7">
    <w:nsid w:val="686F3463"/>
    <w:multiLevelType w:val="hybridMultilevel"/>
    <w:tmpl w:val="C43CB8DE"/>
    <w:lvl w:ilvl="0" w:tplc="685C0F48">
      <w:start w:val="1"/>
      <w:numFmt w:val="decimal"/>
      <w:lvlText w:val="%1."/>
      <w:lvlJc w:val="left"/>
      <w:pPr>
        <w:ind w:left="1875" w:hanging="360"/>
      </w:pPr>
      <w:rPr>
        <w:rFonts w:hint="default"/>
      </w:rPr>
    </w:lvl>
    <w:lvl w:ilvl="1" w:tplc="0C090019" w:tentative="1">
      <w:start w:val="1"/>
      <w:numFmt w:val="lowerLetter"/>
      <w:lvlText w:val="%2."/>
      <w:lvlJc w:val="left"/>
      <w:pPr>
        <w:ind w:left="2595" w:hanging="360"/>
      </w:pPr>
    </w:lvl>
    <w:lvl w:ilvl="2" w:tplc="0C09001B" w:tentative="1">
      <w:start w:val="1"/>
      <w:numFmt w:val="lowerRoman"/>
      <w:lvlText w:val="%3."/>
      <w:lvlJc w:val="right"/>
      <w:pPr>
        <w:ind w:left="3315" w:hanging="180"/>
      </w:pPr>
    </w:lvl>
    <w:lvl w:ilvl="3" w:tplc="0C09000F" w:tentative="1">
      <w:start w:val="1"/>
      <w:numFmt w:val="decimal"/>
      <w:lvlText w:val="%4."/>
      <w:lvlJc w:val="left"/>
      <w:pPr>
        <w:ind w:left="4035" w:hanging="360"/>
      </w:pPr>
    </w:lvl>
    <w:lvl w:ilvl="4" w:tplc="0C090019" w:tentative="1">
      <w:start w:val="1"/>
      <w:numFmt w:val="lowerLetter"/>
      <w:lvlText w:val="%5."/>
      <w:lvlJc w:val="left"/>
      <w:pPr>
        <w:ind w:left="4755" w:hanging="360"/>
      </w:pPr>
    </w:lvl>
    <w:lvl w:ilvl="5" w:tplc="0C09001B" w:tentative="1">
      <w:start w:val="1"/>
      <w:numFmt w:val="lowerRoman"/>
      <w:lvlText w:val="%6."/>
      <w:lvlJc w:val="right"/>
      <w:pPr>
        <w:ind w:left="5475" w:hanging="180"/>
      </w:pPr>
    </w:lvl>
    <w:lvl w:ilvl="6" w:tplc="0C09000F" w:tentative="1">
      <w:start w:val="1"/>
      <w:numFmt w:val="decimal"/>
      <w:lvlText w:val="%7."/>
      <w:lvlJc w:val="left"/>
      <w:pPr>
        <w:ind w:left="6195" w:hanging="360"/>
      </w:pPr>
    </w:lvl>
    <w:lvl w:ilvl="7" w:tplc="0C090019" w:tentative="1">
      <w:start w:val="1"/>
      <w:numFmt w:val="lowerLetter"/>
      <w:lvlText w:val="%8."/>
      <w:lvlJc w:val="left"/>
      <w:pPr>
        <w:ind w:left="6915" w:hanging="360"/>
      </w:pPr>
    </w:lvl>
    <w:lvl w:ilvl="8" w:tplc="0C09001B" w:tentative="1">
      <w:start w:val="1"/>
      <w:numFmt w:val="lowerRoman"/>
      <w:lvlText w:val="%9."/>
      <w:lvlJc w:val="right"/>
      <w:pPr>
        <w:ind w:left="7635" w:hanging="180"/>
      </w:p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6A"/>
    <w:rsid w:val="00021665"/>
    <w:rsid w:val="00060A95"/>
    <w:rsid w:val="00080EE2"/>
    <w:rsid w:val="0008128A"/>
    <w:rsid w:val="000B25B3"/>
    <w:rsid w:val="000C5F43"/>
    <w:rsid w:val="000E07A0"/>
    <w:rsid w:val="001010C1"/>
    <w:rsid w:val="001172BC"/>
    <w:rsid w:val="00211CCD"/>
    <w:rsid w:val="00225511"/>
    <w:rsid w:val="002256FA"/>
    <w:rsid w:val="00241104"/>
    <w:rsid w:val="0024343D"/>
    <w:rsid w:val="0024348A"/>
    <w:rsid w:val="0027691C"/>
    <w:rsid w:val="00293C30"/>
    <w:rsid w:val="002A494A"/>
    <w:rsid w:val="002B57A4"/>
    <w:rsid w:val="00315E92"/>
    <w:rsid w:val="00322AB0"/>
    <w:rsid w:val="00353898"/>
    <w:rsid w:val="0035507D"/>
    <w:rsid w:val="00355336"/>
    <w:rsid w:val="003A2D24"/>
    <w:rsid w:val="003E0127"/>
    <w:rsid w:val="0043294F"/>
    <w:rsid w:val="004A7EC7"/>
    <w:rsid w:val="00517519"/>
    <w:rsid w:val="005842DB"/>
    <w:rsid w:val="005A720B"/>
    <w:rsid w:val="005B32D7"/>
    <w:rsid w:val="006075E6"/>
    <w:rsid w:val="006441C1"/>
    <w:rsid w:val="00656D54"/>
    <w:rsid w:val="006F3F81"/>
    <w:rsid w:val="00704189"/>
    <w:rsid w:val="00784BC9"/>
    <w:rsid w:val="00793807"/>
    <w:rsid w:val="007F5A2F"/>
    <w:rsid w:val="00817E54"/>
    <w:rsid w:val="00857C9A"/>
    <w:rsid w:val="008B4D06"/>
    <w:rsid w:val="00963EDC"/>
    <w:rsid w:val="0097705E"/>
    <w:rsid w:val="0098345D"/>
    <w:rsid w:val="009B5E81"/>
    <w:rsid w:val="00A65001"/>
    <w:rsid w:val="00AF4B90"/>
    <w:rsid w:val="00B85592"/>
    <w:rsid w:val="00BB2881"/>
    <w:rsid w:val="00BD2FF3"/>
    <w:rsid w:val="00C274F4"/>
    <w:rsid w:val="00C75D9F"/>
    <w:rsid w:val="00CB100D"/>
    <w:rsid w:val="00D12DCE"/>
    <w:rsid w:val="00D801BA"/>
    <w:rsid w:val="00DA4E2C"/>
    <w:rsid w:val="00DC2F09"/>
    <w:rsid w:val="00DD4A1C"/>
    <w:rsid w:val="00DE77A2"/>
    <w:rsid w:val="00DF4A57"/>
    <w:rsid w:val="00E35A6A"/>
    <w:rsid w:val="00E46255"/>
    <w:rsid w:val="00E60558"/>
    <w:rsid w:val="00F66E6F"/>
    <w:rsid w:val="00FA777B"/>
    <w:rsid w:val="00FD04B0"/>
    <w:rsid w:val="00FD1763"/>
    <w:rsid w:val="00FE408E"/>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2C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CommentReference">
    <w:name w:val="annotation reference"/>
    <w:basedOn w:val="DefaultParagraphFont"/>
    <w:uiPriority w:val="99"/>
    <w:semiHidden/>
    <w:unhideWhenUsed/>
    <w:rsid w:val="00BB2881"/>
    <w:rPr>
      <w:sz w:val="16"/>
      <w:szCs w:val="16"/>
    </w:rPr>
  </w:style>
  <w:style w:type="paragraph" w:styleId="CommentText">
    <w:name w:val="annotation text"/>
    <w:basedOn w:val="Normal"/>
    <w:link w:val="CommentTextChar"/>
    <w:uiPriority w:val="99"/>
    <w:semiHidden/>
    <w:unhideWhenUsed/>
    <w:rsid w:val="00BB2881"/>
    <w:rPr>
      <w:sz w:val="20"/>
      <w:szCs w:val="20"/>
    </w:rPr>
  </w:style>
  <w:style w:type="character" w:customStyle="1" w:styleId="CommentTextChar">
    <w:name w:val="Comment Text Char"/>
    <w:basedOn w:val="DefaultParagraphFont"/>
    <w:link w:val="CommentText"/>
    <w:uiPriority w:val="99"/>
    <w:semiHidden/>
    <w:rsid w:val="00BB2881"/>
    <w:rPr>
      <w:sz w:val="20"/>
      <w:szCs w:val="20"/>
    </w:rPr>
  </w:style>
  <w:style w:type="paragraph" w:styleId="CommentSubject">
    <w:name w:val="annotation subject"/>
    <w:basedOn w:val="CommentText"/>
    <w:next w:val="CommentText"/>
    <w:link w:val="CommentSubjectChar"/>
    <w:uiPriority w:val="99"/>
    <w:semiHidden/>
    <w:unhideWhenUsed/>
    <w:rsid w:val="00BB2881"/>
    <w:rPr>
      <w:b/>
      <w:bCs/>
    </w:rPr>
  </w:style>
  <w:style w:type="character" w:customStyle="1" w:styleId="CommentSubjectChar">
    <w:name w:val="Comment Subject Char"/>
    <w:basedOn w:val="CommentTextChar"/>
    <w:link w:val="CommentSubject"/>
    <w:uiPriority w:val="99"/>
    <w:semiHidden/>
    <w:rsid w:val="00BB2881"/>
    <w:rPr>
      <w:b/>
      <w:bCs/>
      <w:sz w:val="20"/>
      <w:szCs w:val="20"/>
    </w:rPr>
  </w:style>
  <w:style w:type="paragraph" w:styleId="PlainText">
    <w:name w:val="Plain Text"/>
    <w:basedOn w:val="Normal"/>
    <w:link w:val="PlainTextChar"/>
    <w:uiPriority w:val="99"/>
    <w:unhideWhenUsed/>
    <w:rsid w:val="00857C9A"/>
    <w:pPr>
      <w:spacing w:before="0" w:after="0"/>
    </w:pPr>
    <w:rPr>
      <w:rFonts w:ascii="Calibri" w:hAnsi="Calibri" w:cs="Consolas"/>
      <w:szCs w:val="21"/>
    </w:rPr>
  </w:style>
  <w:style w:type="character" w:customStyle="1" w:styleId="PlainTextChar">
    <w:name w:val="Plain Text Char"/>
    <w:basedOn w:val="DefaultParagraphFont"/>
    <w:link w:val="PlainText"/>
    <w:uiPriority w:val="99"/>
    <w:rsid w:val="00857C9A"/>
    <w:rPr>
      <w:rFonts w:ascii="Calibri" w:hAnsi="Calibri" w:cs="Consolas"/>
      <w:szCs w:val="21"/>
    </w:rPr>
  </w:style>
  <w:style w:type="paragraph" w:styleId="Revision">
    <w:name w:val="Revision"/>
    <w:hidden/>
    <w:uiPriority w:val="99"/>
    <w:semiHidden/>
    <w:rsid w:val="00E46255"/>
    <w:pPr>
      <w:spacing w:after="0" w:line="240" w:lineRule="auto"/>
    </w:pPr>
  </w:style>
  <w:style w:type="character" w:styleId="FollowedHyperlink">
    <w:name w:val="FollowedHyperlink"/>
    <w:basedOn w:val="DefaultParagraphFont"/>
    <w:uiPriority w:val="99"/>
    <w:semiHidden/>
    <w:unhideWhenUsed/>
    <w:rsid w:val="00F66E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CommentReference">
    <w:name w:val="annotation reference"/>
    <w:basedOn w:val="DefaultParagraphFont"/>
    <w:uiPriority w:val="99"/>
    <w:semiHidden/>
    <w:unhideWhenUsed/>
    <w:rsid w:val="00BB2881"/>
    <w:rPr>
      <w:sz w:val="16"/>
      <w:szCs w:val="16"/>
    </w:rPr>
  </w:style>
  <w:style w:type="paragraph" w:styleId="CommentText">
    <w:name w:val="annotation text"/>
    <w:basedOn w:val="Normal"/>
    <w:link w:val="CommentTextChar"/>
    <w:uiPriority w:val="99"/>
    <w:semiHidden/>
    <w:unhideWhenUsed/>
    <w:rsid w:val="00BB2881"/>
    <w:rPr>
      <w:sz w:val="20"/>
      <w:szCs w:val="20"/>
    </w:rPr>
  </w:style>
  <w:style w:type="character" w:customStyle="1" w:styleId="CommentTextChar">
    <w:name w:val="Comment Text Char"/>
    <w:basedOn w:val="DefaultParagraphFont"/>
    <w:link w:val="CommentText"/>
    <w:uiPriority w:val="99"/>
    <w:semiHidden/>
    <w:rsid w:val="00BB2881"/>
    <w:rPr>
      <w:sz w:val="20"/>
      <w:szCs w:val="20"/>
    </w:rPr>
  </w:style>
  <w:style w:type="paragraph" w:styleId="CommentSubject">
    <w:name w:val="annotation subject"/>
    <w:basedOn w:val="CommentText"/>
    <w:next w:val="CommentText"/>
    <w:link w:val="CommentSubjectChar"/>
    <w:uiPriority w:val="99"/>
    <w:semiHidden/>
    <w:unhideWhenUsed/>
    <w:rsid w:val="00BB2881"/>
    <w:rPr>
      <w:b/>
      <w:bCs/>
    </w:rPr>
  </w:style>
  <w:style w:type="character" w:customStyle="1" w:styleId="CommentSubjectChar">
    <w:name w:val="Comment Subject Char"/>
    <w:basedOn w:val="CommentTextChar"/>
    <w:link w:val="CommentSubject"/>
    <w:uiPriority w:val="99"/>
    <w:semiHidden/>
    <w:rsid w:val="00BB2881"/>
    <w:rPr>
      <w:b/>
      <w:bCs/>
      <w:sz w:val="20"/>
      <w:szCs w:val="20"/>
    </w:rPr>
  </w:style>
  <w:style w:type="paragraph" w:styleId="PlainText">
    <w:name w:val="Plain Text"/>
    <w:basedOn w:val="Normal"/>
    <w:link w:val="PlainTextChar"/>
    <w:uiPriority w:val="99"/>
    <w:unhideWhenUsed/>
    <w:rsid w:val="00857C9A"/>
    <w:pPr>
      <w:spacing w:before="0" w:after="0"/>
    </w:pPr>
    <w:rPr>
      <w:rFonts w:ascii="Calibri" w:hAnsi="Calibri" w:cs="Consolas"/>
      <w:szCs w:val="21"/>
    </w:rPr>
  </w:style>
  <w:style w:type="character" w:customStyle="1" w:styleId="PlainTextChar">
    <w:name w:val="Plain Text Char"/>
    <w:basedOn w:val="DefaultParagraphFont"/>
    <w:link w:val="PlainText"/>
    <w:uiPriority w:val="99"/>
    <w:rsid w:val="00857C9A"/>
    <w:rPr>
      <w:rFonts w:ascii="Calibri" w:hAnsi="Calibri" w:cs="Consolas"/>
      <w:szCs w:val="21"/>
    </w:rPr>
  </w:style>
  <w:style w:type="paragraph" w:styleId="Revision">
    <w:name w:val="Revision"/>
    <w:hidden/>
    <w:uiPriority w:val="99"/>
    <w:semiHidden/>
    <w:rsid w:val="00E46255"/>
    <w:pPr>
      <w:spacing w:after="0" w:line="240" w:lineRule="auto"/>
    </w:pPr>
  </w:style>
  <w:style w:type="character" w:styleId="FollowedHyperlink">
    <w:name w:val="FollowedHyperlink"/>
    <w:basedOn w:val="DefaultParagraphFont"/>
    <w:uiPriority w:val="99"/>
    <w:semiHidden/>
    <w:unhideWhenUsed/>
    <w:rsid w:val="00F66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7531">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679113146">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data.gov.au/dataset/voluntary-tax-transparency-code" TargetMode="External"/><Relationship Id="rId26" Type="http://schemas.openxmlformats.org/officeDocument/2006/relationships/hyperlink" Target="http://www.taxboard.gov.au/" TargetMode="External"/><Relationship Id="rId3" Type="http://schemas.openxmlformats.org/officeDocument/2006/relationships/customXml" Target="../customXml/item3.xml"/><Relationship Id="rId21" Type="http://schemas.openxmlformats.org/officeDocument/2006/relationships/hyperlink" Target="http://taxboard.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taxboard.gov.au/current-activities/transparency-code-register/" TargetMode="External"/><Relationship Id="rId25" Type="http://schemas.openxmlformats.org/officeDocument/2006/relationships/hyperlink" Target="mailto:taxboard@treasury.gov.au" TargetMode="External"/><Relationship Id="rId2" Type="http://schemas.openxmlformats.org/officeDocument/2006/relationships/customXml" Target="../customXml/item2.xml"/><Relationship Id="rId16" Type="http://schemas.openxmlformats.org/officeDocument/2006/relationships/hyperlink" Target="mailto:taxboard@treasury.gov.au" TargetMode="External"/><Relationship Id="rId20" Type="http://schemas.openxmlformats.org/officeDocument/2006/relationships/hyperlink" Target="mailto:taxboard@treasury.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hyperlink" Target="http://taxboard.gov.au/consultation/reforming-the-income-tax-residency-rules-for-individuals/" TargetMode="External"/><Relationship Id="rId23" Type="http://schemas.openxmlformats.org/officeDocument/2006/relationships/hyperlink" Target="mailto:karen.payne@treasury.gov.au"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taxboard@treasury.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axboard.gov.au/consultation/fringe-benefits-tax-compliance-cost-review/" TargetMode="External"/><Relationship Id="rId22" Type="http://schemas.openxmlformats.org/officeDocument/2006/relationships/hyperlink" Target="https://www.linkedin.com/company/boardoftaxation/" TargetMode="External"/><Relationship Id="rId27" Type="http://schemas.openxmlformats.org/officeDocument/2006/relationships/hyperlink" Target="http://www.taxboard.ideascale.com/"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A0964A2D5A48F09095F64324C882E9"/>
        <w:category>
          <w:name w:val="General"/>
          <w:gallery w:val="placeholder"/>
        </w:category>
        <w:types>
          <w:type w:val="bbPlcHdr"/>
        </w:types>
        <w:behaviors>
          <w:behavior w:val="content"/>
        </w:behaviors>
        <w:guid w:val="{85F22546-6B17-4AA1-B6F1-571E387BCB49}"/>
      </w:docPartPr>
      <w:docPartBody>
        <w:p w14:paraId="01A4EBAC" w14:textId="77777777" w:rsidR="00F10D54" w:rsidRDefault="00F10D54">
          <w:pPr>
            <w:pStyle w:val="ABA0964A2D5A48F09095F64324C882E9"/>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54"/>
    <w:rsid w:val="00F10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A4EBA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A0964A2D5A48F09095F64324C882E9">
    <w:name w:val="ABA0964A2D5A48F09095F64324C882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A0964A2D5A48F09095F64324C882E9">
    <w:name w:val="ABA0964A2D5A48F09095F64324C88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2018RG-356-7960</_dlc_DocId>
    <_dlc_DocIdUrl xmlns="0f563589-9cf9-4143-b1eb-fb0534803d38">
      <Url>http://tweb/sites/rg/bots/boards/_layouts/15/DocIdRedir.aspx?ID=2018RG-356-7960</Url>
      <Description>2018RG-356-7960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15177" ma:contentTypeDescription="" ma:contentTypeScope="" ma:versionID="b0927a91e59cc0f9d6fbdb619fd4140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04F58-9936-43C8-BCA0-589AD3836680}">
  <ds:schemaRefs>
    <ds:schemaRef ds:uri="http://schemas.microsoft.com/sharepoint/v4"/>
    <ds:schemaRef ds:uri="0f563589-9cf9-4143-b1eb-fb0534803d38"/>
    <ds:schemaRef ds:uri="9f7bc583-7cbe-45b9-a2bd-8bbb6543b37e"/>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3.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4.xml><?xml version="1.0" encoding="utf-8"?>
<ds:datastoreItem xmlns:ds="http://schemas.openxmlformats.org/officeDocument/2006/customXml" ds:itemID="{4F3B146D-65AE-4085-B628-4D6F5FE32E25}">
  <ds:schemaRefs>
    <ds:schemaRef ds:uri="office.server.policy"/>
  </ds:schemaRefs>
</ds:datastoreItem>
</file>

<file path=customXml/itemProps5.xml><?xml version="1.0" encoding="utf-8"?>
<ds:datastoreItem xmlns:ds="http://schemas.openxmlformats.org/officeDocument/2006/customXml" ds:itemID="{3688D11F-DAE4-4DC0-B61E-C310D0B6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1172</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Muscat, Patricia</dc:creator>
  <cp:lastModifiedBy>Atkinson, Paul</cp:lastModifiedBy>
  <cp:revision>24</cp:revision>
  <cp:lastPrinted>2016-09-18T23:30:00Z</cp:lastPrinted>
  <dcterms:created xsi:type="dcterms:W3CDTF">2018-09-17T08:10:00Z</dcterms:created>
  <dcterms:modified xsi:type="dcterms:W3CDTF">2018-10-29T21:44:00Z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92ddc60b-1f3f-421c-b8c5-4eaa55c9b514</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UniqueId">
    <vt:lpwstr>{92ddc60b-1f3f-421c-b8c5-4eaa55c9b514}</vt:lpwstr>
  </property>
  <property fmtid="{D5CDD505-2E9C-101B-9397-08002B2CF9AE}" pid="8" name="RecordPoint_ActiveItemWebId">
    <vt:lpwstr>{cebcee45-40e2-45ca-9d22-89ff5bfe4e7b}</vt:lpwstr>
  </property>
  <property fmtid="{D5CDD505-2E9C-101B-9397-08002B2CF9AE}" pid="9" name="RecordPoint_ActiveItemSiteId">
    <vt:lpwstr>{5b52b9a5-e5b2-4521-8814-a1e24ca2869d}</vt:lpwstr>
  </property>
  <property fmtid="{D5CDD505-2E9C-101B-9397-08002B2CF9AE}" pid="10" name="RecordPoint_RecordNumberSubmitted">
    <vt:lpwstr>R0001876352</vt:lpwstr>
  </property>
  <property fmtid="{D5CDD505-2E9C-101B-9397-08002B2CF9AE}" pid="11" name="RecordPoint_SubmissionCompleted">
    <vt:lpwstr>2018-09-27T15:06:13.7778546+10:00</vt:lpwstr>
  </property>
  <property fmtid="{D5CDD505-2E9C-101B-9397-08002B2CF9AE}" pid="12" name="_AdHocReviewCycleID">
    <vt:i4>2100197868</vt:i4>
  </property>
  <property fmtid="{D5CDD505-2E9C-101B-9397-08002B2CF9AE}" pid="13" name="_NewReviewCycle">
    <vt:lpwstr/>
  </property>
  <property fmtid="{D5CDD505-2E9C-101B-9397-08002B2CF9AE}" pid="14" name="_EmailSubject">
    <vt:lpwstr>Request: Board of Taxation Newsletter [SEC=UNCLASSIFIED]</vt:lpwstr>
  </property>
  <property fmtid="{D5CDD505-2E9C-101B-9397-08002B2CF9AE}" pid="15" name="_AuthorEmail">
    <vt:lpwstr>Paul.Atkinson@TREASURY.GOV.AU</vt:lpwstr>
  </property>
  <property fmtid="{D5CDD505-2E9C-101B-9397-08002B2CF9AE}" pid="16" name="_AuthorEmailDisplayName">
    <vt:lpwstr>Atkinson, Paul</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PreviousAdHocReviewCycleID">
    <vt:i4>-1447918375</vt:i4>
  </property>
  <property fmtid="{D5CDD505-2E9C-101B-9397-08002B2CF9AE}" pid="21" name="_ReviewingToolsShownOnce">
    <vt:lpwstr/>
  </property>
</Properties>
</file>