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6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40"/>
        <w:gridCol w:w="25"/>
        <w:gridCol w:w="28"/>
        <w:gridCol w:w="18"/>
        <w:gridCol w:w="102"/>
        <w:gridCol w:w="2511"/>
        <w:gridCol w:w="6964"/>
        <w:gridCol w:w="182"/>
        <w:gridCol w:w="28"/>
        <w:gridCol w:w="104"/>
        <w:gridCol w:w="277"/>
        <w:gridCol w:w="18"/>
        <w:gridCol w:w="161"/>
      </w:tblGrid>
      <w:tr w:rsidR="00DE77A2" w14:paraId="2D29DC04" w14:textId="77777777" w:rsidTr="002454A1">
        <w:trPr>
          <w:gridBefore w:val="1"/>
          <w:wBefore w:w="108" w:type="dxa"/>
          <w:jc w:val="center"/>
        </w:trPr>
        <w:tc>
          <w:tcPr>
            <w:tcW w:w="10758" w:type="dxa"/>
            <w:gridSpan w:val="13"/>
            <w:tcMar>
              <w:left w:w="0" w:type="dxa"/>
              <w:right w:w="0" w:type="dxa"/>
            </w:tcMar>
          </w:tcPr>
          <w:p w14:paraId="2658866D" w14:textId="210DCC73" w:rsidR="00DE77A2" w:rsidRDefault="00DE77A2" w:rsidP="002256FA">
            <w:bookmarkStart w:id="0" w:name="_GoBack"/>
            <w:bookmarkEnd w:id="0"/>
            <w:r>
              <w:rPr>
                <w:noProof/>
                <w:lang w:eastAsia="en-AU"/>
              </w:rPr>
              <w:drawing>
                <wp:inline distT="0" distB="0" distL="0" distR="0" wp14:anchorId="4E8C267F" wp14:editId="4D1715C1">
                  <wp:extent cx="6828312" cy="151681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9">
                            <a:extLst>
                              <a:ext uri="{28A0092B-C50C-407E-A947-70E740481C1C}">
                                <a14:useLocalDpi xmlns:a14="http://schemas.microsoft.com/office/drawing/2010/main" val="0"/>
                              </a:ext>
                            </a:extLst>
                          </a:blip>
                          <a:stretch>
                            <a:fillRect/>
                          </a:stretch>
                        </pic:blipFill>
                        <pic:spPr>
                          <a:xfrm>
                            <a:off x="0" y="0"/>
                            <a:ext cx="6830049" cy="1517204"/>
                          </a:xfrm>
                          <a:prstGeom prst="rect">
                            <a:avLst/>
                          </a:prstGeom>
                        </pic:spPr>
                      </pic:pic>
                    </a:graphicData>
                  </a:graphic>
                </wp:inline>
              </w:drawing>
            </w:r>
          </w:p>
        </w:tc>
      </w:tr>
      <w:tr w:rsidR="00DE77A2" w:rsidRPr="00BD2FF3" w14:paraId="3FAA2B33" w14:textId="77777777" w:rsidTr="002454A1">
        <w:trPr>
          <w:gridBefore w:val="1"/>
          <w:wBefore w:w="108" w:type="dxa"/>
          <w:jc w:val="center"/>
        </w:trPr>
        <w:tc>
          <w:tcPr>
            <w:tcW w:w="513" w:type="dxa"/>
            <w:gridSpan w:val="5"/>
            <w:shd w:val="clear" w:color="auto" w:fill="1F497D" w:themeFill="text2"/>
          </w:tcPr>
          <w:p w14:paraId="39EA45D1" w14:textId="77777777" w:rsidR="00DE77A2" w:rsidRPr="00BD2FF3" w:rsidRDefault="00DE77A2" w:rsidP="002256FA"/>
        </w:tc>
        <w:tc>
          <w:tcPr>
            <w:tcW w:w="9789" w:type="dxa"/>
            <w:gridSpan w:val="5"/>
            <w:shd w:val="clear" w:color="auto" w:fill="1F497D" w:themeFill="text2"/>
          </w:tcPr>
          <w:p w14:paraId="6B853DE3" w14:textId="48539FB6" w:rsidR="00DE77A2" w:rsidRPr="002256FA" w:rsidRDefault="00DE77A2" w:rsidP="007E1CC0">
            <w:pPr>
              <w:pStyle w:val="Heading1"/>
              <w:outlineLvl w:val="0"/>
            </w:pPr>
            <w:r w:rsidRPr="002256FA">
              <w:t>CEO Update –</w:t>
            </w:r>
            <w:r w:rsidR="005854D4">
              <w:t xml:space="preserve"> </w:t>
            </w:r>
            <w:r w:rsidR="007E1CC0">
              <w:t>May</w:t>
            </w:r>
            <w:r w:rsidR="005854D4">
              <w:t xml:space="preserve"> 2018</w:t>
            </w:r>
          </w:p>
        </w:tc>
        <w:tc>
          <w:tcPr>
            <w:tcW w:w="456" w:type="dxa"/>
            <w:gridSpan w:val="3"/>
            <w:shd w:val="clear" w:color="auto" w:fill="1F497D" w:themeFill="text2"/>
          </w:tcPr>
          <w:p w14:paraId="71A41AEF" w14:textId="77777777" w:rsidR="00DE77A2" w:rsidRPr="00BD2FF3" w:rsidRDefault="00DE77A2" w:rsidP="002256FA"/>
        </w:tc>
      </w:tr>
      <w:tr w:rsidR="00DE77A2" w:rsidRPr="00292DBB" w14:paraId="7F6A94CC" w14:textId="77777777" w:rsidTr="002454A1">
        <w:trPr>
          <w:gridBefore w:val="1"/>
          <w:wBefore w:w="108" w:type="dxa"/>
          <w:jc w:val="center"/>
        </w:trPr>
        <w:tc>
          <w:tcPr>
            <w:tcW w:w="513" w:type="dxa"/>
            <w:gridSpan w:val="5"/>
          </w:tcPr>
          <w:p w14:paraId="7E481E69" w14:textId="77777777" w:rsidR="00DE77A2" w:rsidRPr="00292DBB" w:rsidRDefault="00DE77A2" w:rsidP="002256FA"/>
        </w:tc>
        <w:tc>
          <w:tcPr>
            <w:tcW w:w="9789" w:type="dxa"/>
            <w:gridSpan w:val="5"/>
          </w:tcPr>
          <w:p w14:paraId="2FC3AF03" w14:textId="3D0AF8C3" w:rsidR="00DE77A2" w:rsidRPr="00587A7D" w:rsidRDefault="00DD348D" w:rsidP="002B61FE">
            <w:pPr>
              <w:spacing w:before="0" w:line="300" w:lineRule="exact"/>
            </w:pPr>
            <w:r w:rsidRPr="00587A7D">
              <w:br/>
            </w:r>
            <w:r w:rsidR="00DE77A2" w:rsidRPr="00587A7D">
              <w:t xml:space="preserve">Dear </w:t>
            </w:r>
            <w:r w:rsidR="005B32D7" w:rsidRPr="00587A7D">
              <w:t>Stakeholders</w:t>
            </w:r>
            <w:r w:rsidR="00DE77A2" w:rsidRPr="00587A7D">
              <w:t>,</w:t>
            </w:r>
          </w:p>
          <w:p w14:paraId="3127FB48" w14:textId="1924FFCA" w:rsidR="004C322A" w:rsidRPr="00587A7D" w:rsidRDefault="007E1CC0" w:rsidP="00512598">
            <w:pPr>
              <w:jc w:val="both"/>
            </w:pPr>
            <w:r w:rsidRPr="00587A7D">
              <w:t>Since my last update t</w:t>
            </w:r>
            <w:r w:rsidR="00546C73" w:rsidRPr="00587A7D">
              <w:t xml:space="preserve">he </w:t>
            </w:r>
            <w:r w:rsidR="00B0301E" w:rsidRPr="00587A7D">
              <w:t>B</w:t>
            </w:r>
            <w:r w:rsidR="00546C73" w:rsidRPr="00587A7D">
              <w:t xml:space="preserve">oard of Taxation </w:t>
            </w:r>
            <w:r w:rsidR="00F04C9A" w:rsidRPr="00587A7D">
              <w:t xml:space="preserve">(the Board) </w:t>
            </w:r>
            <w:r w:rsidRPr="00587A7D">
              <w:t xml:space="preserve">has </w:t>
            </w:r>
            <w:r w:rsidR="00986BE1" w:rsidRPr="00587A7D">
              <w:t xml:space="preserve">held </w:t>
            </w:r>
            <w:r w:rsidR="003651F1" w:rsidRPr="00587A7D">
              <w:t xml:space="preserve">a </w:t>
            </w:r>
            <w:r w:rsidRPr="00587A7D">
              <w:t xml:space="preserve">meeting in Sydney </w:t>
            </w:r>
            <w:r w:rsidR="00986BE1" w:rsidRPr="00587A7D">
              <w:t xml:space="preserve">on </w:t>
            </w:r>
            <w:r w:rsidR="000735E9" w:rsidRPr="00587A7D">
              <w:t xml:space="preserve">Thursday </w:t>
            </w:r>
            <w:r w:rsidR="004C322A" w:rsidRPr="00587A7D">
              <w:t>22 March</w:t>
            </w:r>
            <w:r w:rsidR="00986BE1" w:rsidRPr="00587A7D">
              <w:t xml:space="preserve"> at the </w:t>
            </w:r>
            <w:r w:rsidR="004C322A" w:rsidRPr="00587A7D">
              <w:t>offices of KPMG</w:t>
            </w:r>
            <w:r w:rsidRPr="00587A7D">
              <w:t xml:space="preserve"> and in Brisbane on 19 April 2018 hosted by Rio Tinto.</w:t>
            </w:r>
            <w:r w:rsidR="00986BE1" w:rsidRPr="00587A7D">
              <w:t xml:space="preserve"> </w:t>
            </w:r>
            <w:r w:rsidR="004C322A" w:rsidRPr="00587A7D">
              <w:t>Thank you to KPMG</w:t>
            </w:r>
            <w:r w:rsidR="00986BE1" w:rsidRPr="00587A7D">
              <w:t xml:space="preserve"> </w:t>
            </w:r>
            <w:r w:rsidRPr="00587A7D">
              <w:t>and Rio</w:t>
            </w:r>
            <w:r w:rsidR="000F7F7C">
              <w:t> </w:t>
            </w:r>
            <w:r w:rsidRPr="00587A7D">
              <w:t xml:space="preserve">Tinto </w:t>
            </w:r>
            <w:r w:rsidR="00986BE1" w:rsidRPr="00587A7D">
              <w:t xml:space="preserve">for </w:t>
            </w:r>
            <w:r w:rsidR="004C322A" w:rsidRPr="00587A7D">
              <w:t>hosting the Board and the stakeholder discussions over lunch.</w:t>
            </w:r>
          </w:p>
          <w:p w14:paraId="389947B8" w14:textId="70F7BA77" w:rsidR="004C322A" w:rsidRPr="00587A7D" w:rsidRDefault="00512598" w:rsidP="00512598">
            <w:pPr>
              <w:jc w:val="both"/>
            </w:pPr>
            <w:r w:rsidRPr="00587A7D">
              <w:t>At the Board’s meeting</w:t>
            </w:r>
            <w:r w:rsidR="007E1CC0" w:rsidRPr="00587A7D">
              <w:t>s</w:t>
            </w:r>
            <w:r w:rsidRPr="00587A7D">
              <w:t xml:space="preserve">, we discussed the progress and direction of our current projects and </w:t>
            </w:r>
            <w:r w:rsidR="004C322A" w:rsidRPr="00587A7D">
              <w:t>work program</w:t>
            </w:r>
            <w:r w:rsidR="0091071A" w:rsidRPr="00587A7D">
              <w:t xml:space="preserve"> and our Budget submission</w:t>
            </w:r>
            <w:r w:rsidR="004C322A" w:rsidRPr="00587A7D">
              <w:t>.</w:t>
            </w:r>
            <w:r w:rsidR="003651F1" w:rsidRPr="00587A7D">
              <w:t xml:space="preserve">  </w:t>
            </w:r>
            <w:r w:rsidR="008C6ECE" w:rsidRPr="00587A7D">
              <w:t>W</w:t>
            </w:r>
            <w:r w:rsidR="003651F1" w:rsidRPr="00587A7D">
              <w:t xml:space="preserve">e </w:t>
            </w:r>
            <w:r w:rsidR="007C77DF" w:rsidRPr="00587A7D">
              <w:t xml:space="preserve">have been </w:t>
            </w:r>
            <w:r w:rsidR="003651F1" w:rsidRPr="00587A7D">
              <w:t>work</w:t>
            </w:r>
            <w:r w:rsidR="007C77DF" w:rsidRPr="00587A7D">
              <w:t>ing</w:t>
            </w:r>
            <w:r w:rsidR="003651F1" w:rsidRPr="00587A7D">
              <w:t xml:space="preserve"> ‘behind the scenes’ </w:t>
            </w:r>
            <w:r w:rsidR="007C77DF" w:rsidRPr="00587A7D">
              <w:t>on</w:t>
            </w:r>
            <w:r w:rsidR="003651F1" w:rsidRPr="00587A7D">
              <w:t xml:space="preserve"> a number of th</w:t>
            </w:r>
            <w:r w:rsidR="007C77DF" w:rsidRPr="00587A7D">
              <w:t xml:space="preserve">ese </w:t>
            </w:r>
            <w:r w:rsidR="00A47BDB" w:rsidRPr="00587A7D">
              <w:t xml:space="preserve">projects prior to the Budget – so as not to raise market expectations about </w:t>
            </w:r>
            <w:r w:rsidR="008C6ECE" w:rsidRPr="00587A7D">
              <w:t>potential</w:t>
            </w:r>
            <w:r w:rsidR="00A47BDB" w:rsidRPr="00587A7D">
              <w:t xml:space="preserve"> Budget </w:t>
            </w:r>
            <w:r w:rsidR="008C6ECE" w:rsidRPr="00587A7D">
              <w:t xml:space="preserve">measures.  </w:t>
            </w:r>
            <w:r w:rsidR="00E64531" w:rsidRPr="00587A7D">
              <w:t>We can now share further details on important (new) reviews on small business</w:t>
            </w:r>
            <w:r w:rsidR="00F26204">
              <w:t xml:space="preserve"> and </w:t>
            </w:r>
            <w:r w:rsidR="00E64531" w:rsidRPr="00587A7D">
              <w:t>FBT.</w:t>
            </w:r>
          </w:p>
          <w:p w14:paraId="4490E19B" w14:textId="063D1A1A" w:rsidR="00546C73" w:rsidRPr="00292DBB" w:rsidRDefault="00AD30CB" w:rsidP="00CE3836">
            <w:pPr>
              <w:jc w:val="both"/>
            </w:pPr>
            <w:r w:rsidRPr="00587A7D">
              <w:t xml:space="preserve">The Board met with </w:t>
            </w:r>
            <w:r w:rsidR="00B43F70" w:rsidRPr="00587A7D">
              <w:t xml:space="preserve">various </w:t>
            </w:r>
            <w:r w:rsidRPr="00587A7D">
              <w:t xml:space="preserve">stakeholders and its advisory panel over lunch </w:t>
            </w:r>
            <w:r w:rsidR="007E1CC0" w:rsidRPr="00587A7D">
              <w:t xml:space="preserve">in </w:t>
            </w:r>
            <w:r w:rsidR="00A47BDB" w:rsidRPr="00587A7D">
              <w:t xml:space="preserve">both </w:t>
            </w:r>
            <w:r w:rsidR="007E1CC0" w:rsidRPr="00587A7D">
              <w:t xml:space="preserve">Sydney and Brisbane </w:t>
            </w:r>
            <w:r w:rsidRPr="00587A7D">
              <w:t xml:space="preserve">to provide an update on our projects and to hear about taxation issues affecting the business community and tax profession.  </w:t>
            </w:r>
            <w:r w:rsidR="00512598" w:rsidRPr="00587A7D">
              <w:t>Some further details are set out below.</w:t>
            </w:r>
            <w:r w:rsidR="002C7DA6" w:rsidRPr="00292DBB">
              <w:t xml:space="preserve"> </w:t>
            </w:r>
          </w:p>
        </w:tc>
        <w:tc>
          <w:tcPr>
            <w:tcW w:w="456" w:type="dxa"/>
            <w:gridSpan w:val="3"/>
          </w:tcPr>
          <w:p w14:paraId="052BE130" w14:textId="77777777" w:rsidR="00DE77A2" w:rsidRPr="00292DBB" w:rsidRDefault="00DE77A2" w:rsidP="002256FA"/>
        </w:tc>
      </w:tr>
      <w:tr w:rsidR="005B32D7" w:rsidRPr="005B32D7" w14:paraId="6B5FE549" w14:textId="77777777" w:rsidTr="002454A1">
        <w:trPr>
          <w:gridBefore w:val="1"/>
          <w:wBefore w:w="108" w:type="dxa"/>
          <w:jc w:val="center"/>
        </w:trPr>
        <w:tc>
          <w:tcPr>
            <w:tcW w:w="513" w:type="dxa"/>
            <w:gridSpan w:val="5"/>
            <w:shd w:val="clear" w:color="auto" w:fill="auto"/>
          </w:tcPr>
          <w:p w14:paraId="0A0775CB" w14:textId="6B613103" w:rsidR="00DE77A2" w:rsidRPr="005B32D7" w:rsidRDefault="00DE77A2" w:rsidP="002256FA"/>
        </w:tc>
        <w:tc>
          <w:tcPr>
            <w:tcW w:w="9789" w:type="dxa"/>
            <w:gridSpan w:val="5"/>
            <w:shd w:val="clear" w:color="auto" w:fill="auto"/>
          </w:tcPr>
          <w:p w14:paraId="5B3EA95D" w14:textId="076D09E0" w:rsidR="00DE77A2" w:rsidRPr="005B32D7" w:rsidRDefault="004021EC" w:rsidP="00FF30E5">
            <w:pPr>
              <w:pStyle w:val="Heading2"/>
              <w:spacing w:before="60" w:after="60"/>
              <w:outlineLvl w:val="1"/>
            </w:pPr>
            <w:r>
              <w:t>Agenda of work</w:t>
            </w:r>
          </w:p>
        </w:tc>
        <w:tc>
          <w:tcPr>
            <w:tcW w:w="456" w:type="dxa"/>
            <w:gridSpan w:val="3"/>
            <w:shd w:val="clear" w:color="auto" w:fill="auto"/>
          </w:tcPr>
          <w:p w14:paraId="0DF42C9B" w14:textId="77777777" w:rsidR="00DE77A2" w:rsidRPr="005B32D7" w:rsidRDefault="00DE77A2" w:rsidP="002256FA"/>
        </w:tc>
      </w:tr>
      <w:tr w:rsidR="00DE77A2" w:rsidRPr="00292DBB" w14:paraId="194D8302" w14:textId="77777777" w:rsidTr="002454A1">
        <w:trPr>
          <w:gridBefore w:val="1"/>
          <w:wBefore w:w="108" w:type="dxa"/>
          <w:jc w:val="center"/>
        </w:trPr>
        <w:tc>
          <w:tcPr>
            <w:tcW w:w="513" w:type="dxa"/>
            <w:gridSpan w:val="5"/>
          </w:tcPr>
          <w:p w14:paraId="58EC1D73" w14:textId="77777777" w:rsidR="00DE77A2" w:rsidRPr="00292DBB" w:rsidRDefault="00DE77A2" w:rsidP="002256FA"/>
        </w:tc>
        <w:tc>
          <w:tcPr>
            <w:tcW w:w="9789" w:type="dxa"/>
            <w:gridSpan w:val="5"/>
          </w:tcPr>
          <w:p w14:paraId="6C0B10CD" w14:textId="0628B791" w:rsidR="001A5F7D" w:rsidRPr="00587A7D" w:rsidRDefault="002A2827" w:rsidP="002B61FE">
            <w:pPr>
              <w:spacing w:before="0" w:line="300" w:lineRule="exact"/>
            </w:pPr>
            <w:r w:rsidRPr="00587A7D">
              <w:t>The Board discuss</w:t>
            </w:r>
            <w:r w:rsidR="00AD30CB" w:rsidRPr="00587A7D">
              <w:t>ed</w:t>
            </w:r>
            <w:r w:rsidR="000735E9" w:rsidRPr="00587A7D">
              <w:t xml:space="preserve"> </w:t>
            </w:r>
            <w:r w:rsidR="001A5F7D" w:rsidRPr="00587A7D">
              <w:t>the scop</w:t>
            </w:r>
            <w:r w:rsidR="00BE3509" w:rsidRPr="00587A7D">
              <w:t xml:space="preserve">e and content </w:t>
            </w:r>
            <w:r w:rsidR="00311917" w:rsidRPr="00587A7D">
              <w:t xml:space="preserve">of </w:t>
            </w:r>
            <w:r w:rsidR="00BE3509" w:rsidRPr="00587A7D">
              <w:t>a number of projects</w:t>
            </w:r>
            <w:r w:rsidR="004021EC" w:rsidRPr="00587A7D">
              <w:t xml:space="preserve"> </w:t>
            </w:r>
            <w:r w:rsidR="002F1EE3" w:rsidRPr="00587A7D">
              <w:t>and assignments</w:t>
            </w:r>
            <w:r w:rsidR="00BE3509" w:rsidRPr="00587A7D">
              <w:t>, including</w:t>
            </w:r>
            <w:r w:rsidR="00311917" w:rsidRPr="00587A7D">
              <w:t>:</w:t>
            </w:r>
            <w:r w:rsidR="001A5F7D" w:rsidRPr="00587A7D">
              <w:t xml:space="preserve"> </w:t>
            </w:r>
          </w:p>
          <w:p w14:paraId="3E6F4EBC" w14:textId="5BAC30C6" w:rsidR="001A5F7D" w:rsidRPr="00587A7D" w:rsidRDefault="001A5F7D" w:rsidP="00FF30E5">
            <w:pPr>
              <w:pStyle w:val="Bullet"/>
              <w:numPr>
                <w:ilvl w:val="0"/>
                <w:numId w:val="13"/>
              </w:numPr>
              <w:spacing w:before="0" w:after="100" w:line="300" w:lineRule="exact"/>
              <w:ind w:left="714" w:hanging="357"/>
            </w:pPr>
            <w:r w:rsidRPr="00587A7D">
              <w:t xml:space="preserve">A review of </w:t>
            </w:r>
            <w:r w:rsidR="00311917" w:rsidRPr="00587A7D">
              <w:t>s</w:t>
            </w:r>
            <w:r w:rsidRPr="00587A7D">
              <w:t xml:space="preserve">mall </w:t>
            </w:r>
            <w:r w:rsidR="00311917" w:rsidRPr="00587A7D">
              <w:t>b</w:t>
            </w:r>
            <w:r w:rsidRPr="00587A7D">
              <w:t>usiness tax concessions;</w:t>
            </w:r>
          </w:p>
          <w:p w14:paraId="2AD84922" w14:textId="77777777" w:rsidR="00E64531" w:rsidRPr="00587A7D" w:rsidRDefault="00E64531" w:rsidP="00FF30E5">
            <w:pPr>
              <w:pStyle w:val="ListParagraph"/>
              <w:numPr>
                <w:ilvl w:val="0"/>
                <w:numId w:val="13"/>
              </w:numPr>
              <w:spacing w:before="0" w:after="100" w:line="300" w:lineRule="exact"/>
              <w:ind w:left="714" w:hanging="357"/>
            </w:pPr>
            <w:r w:rsidRPr="00587A7D">
              <w:t>Reviewing fringe benefits tax (FBT) compliance costs, including international comparisons;</w:t>
            </w:r>
          </w:p>
          <w:p w14:paraId="5612D30F" w14:textId="77777777" w:rsidR="00E64531" w:rsidRPr="00587A7D" w:rsidRDefault="00E64531" w:rsidP="00FF30E5">
            <w:pPr>
              <w:pStyle w:val="Bullet"/>
              <w:numPr>
                <w:ilvl w:val="0"/>
                <w:numId w:val="13"/>
              </w:numPr>
              <w:spacing w:before="0" w:after="100" w:line="300" w:lineRule="exact"/>
              <w:ind w:left="714" w:hanging="357"/>
            </w:pPr>
            <w:r w:rsidRPr="00587A7D">
              <w:t>Post</w:t>
            </w:r>
            <w:r w:rsidRPr="00587A7D">
              <w:noBreakHyphen/>
              <w:t>implementation review of contingent consideration rules (earn out arrangements);</w:t>
            </w:r>
          </w:p>
          <w:p w14:paraId="2AD0315B" w14:textId="2B37DC63" w:rsidR="001A5F7D" w:rsidRPr="00587A7D" w:rsidRDefault="001A5F7D" w:rsidP="00FF30E5">
            <w:pPr>
              <w:pStyle w:val="Bullet"/>
              <w:numPr>
                <w:ilvl w:val="0"/>
                <w:numId w:val="13"/>
              </w:numPr>
              <w:spacing w:before="0" w:after="100" w:line="300" w:lineRule="exact"/>
              <w:ind w:left="714" w:hanging="357"/>
            </w:pPr>
            <w:r w:rsidRPr="00587A7D">
              <w:t>A comparison of the taxing rights for real property under Australia’s double tax agreements and domestic laws</w:t>
            </w:r>
            <w:r w:rsidR="00311917" w:rsidRPr="00587A7D">
              <w:t>;</w:t>
            </w:r>
          </w:p>
          <w:p w14:paraId="347A085C" w14:textId="6316F00B" w:rsidR="002A2827" w:rsidRPr="00587A7D" w:rsidRDefault="00B43F70" w:rsidP="00FF30E5">
            <w:pPr>
              <w:pStyle w:val="ListParagraph"/>
              <w:numPr>
                <w:ilvl w:val="0"/>
                <w:numId w:val="13"/>
              </w:numPr>
              <w:spacing w:before="0" w:after="100" w:line="300" w:lineRule="exact"/>
              <w:ind w:left="714" w:hanging="357"/>
            </w:pPr>
            <w:r w:rsidRPr="00587A7D">
              <w:t xml:space="preserve">A review of </w:t>
            </w:r>
            <w:r w:rsidR="00570C36" w:rsidRPr="00587A7D">
              <w:t xml:space="preserve">tax measures to promote </w:t>
            </w:r>
            <w:r w:rsidRPr="00587A7D">
              <w:t xml:space="preserve">ASX listings of </w:t>
            </w:r>
            <w:r w:rsidR="00570C36" w:rsidRPr="00587A7D">
              <w:t>innovation</w:t>
            </w:r>
            <w:r w:rsidRPr="00587A7D">
              <w:t xml:space="preserve"> companies</w:t>
            </w:r>
            <w:r w:rsidR="004B43F2" w:rsidRPr="00587A7D">
              <w:t>;</w:t>
            </w:r>
          </w:p>
          <w:p w14:paraId="7514EC2B" w14:textId="6D6E60EE" w:rsidR="007F3F3E" w:rsidRPr="00587A7D" w:rsidRDefault="007F3F3E" w:rsidP="00FF30E5">
            <w:pPr>
              <w:pStyle w:val="ListParagraph"/>
              <w:numPr>
                <w:ilvl w:val="0"/>
                <w:numId w:val="13"/>
              </w:numPr>
              <w:spacing w:before="0" w:after="100" w:line="300" w:lineRule="exact"/>
              <w:ind w:left="714" w:hanging="357"/>
            </w:pPr>
            <w:r w:rsidRPr="00587A7D">
              <w:t xml:space="preserve">A review of </w:t>
            </w:r>
            <w:r w:rsidR="00E45A1D" w:rsidRPr="00587A7D">
              <w:t>t</w:t>
            </w:r>
            <w:r w:rsidRPr="00587A7D">
              <w:t xml:space="preserve">ax and </w:t>
            </w:r>
            <w:r w:rsidR="00E45A1D" w:rsidRPr="00587A7D">
              <w:t>a</w:t>
            </w:r>
            <w:r w:rsidRPr="00587A7D">
              <w:t>griculture</w:t>
            </w:r>
            <w:r w:rsidR="00E45A1D" w:rsidRPr="00587A7D">
              <w:t>;</w:t>
            </w:r>
            <w:r w:rsidRPr="00587A7D">
              <w:t xml:space="preserve"> </w:t>
            </w:r>
          </w:p>
          <w:p w14:paraId="34C4A014" w14:textId="5C59C886" w:rsidR="00507698" w:rsidRPr="00587A7D" w:rsidRDefault="00507698" w:rsidP="00FF30E5">
            <w:pPr>
              <w:pStyle w:val="ListParagraph"/>
              <w:numPr>
                <w:ilvl w:val="0"/>
                <w:numId w:val="13"/>
              </w:numPr>
              <w:spacing w:before="0" w:after="100" w:line="300" w:lineRule="exact"/>
              <w:ind w:left="714" w:hanging="357"/>
            </w:pPr>
            <w:r w:rsidRPr="00587A7D">
              <w:t>Taxation and the digital economy;</w:t>
            </w:r>
            <w:r w:rsidR="00F04C9A" w:rsidRPr="00587A7D">
              <w:t xml:space="preserve"> and</w:t>
            </w:r>
          </w:p>
          <w:p w14:paraId="010BA6EA" w14:textId="76E1B5E7" w:rsidR="00507698" w:rsidRPr="00587A7D" w:rsidRDefault="00507698" w:rsidP="00FF30E5">
            <w:pPr>
              <w:pStyle w:val="ListParagraph"/>
              <w:numPr>
                <w:ilvl w:val="0"/>
                <w:numId w:val="13"/>
              </w:numPr>
              <w:spacing w:before="0" w:after="100" w:line="300" w:lineRule="exact"/>
              <w:ind w:left="714" w:hanging="357"/>
            </w:pPr>
            <w:r w:rsidRPr="00587A7D">
              <w:t xml:space="preserve">Reviewing aspects of the taxation of </w:t>
            </w:r>
            <w:r w:rsidR="00B43F70" w:rsidRPr="00587A7D">
              <w:t>the not-for-profit sector</w:t>
            </w:r>
            <w:r w:rsidR="00E64531" w:rsidRPr="00587A7D">
              <w:t>.</w:t>
            </w:r>
          </w:p>
          <w:p w14:paraId="40331CE9" w14:textId="6809C5E1" w:rsidR="00951C82" w:rsidRPr="00292DBB" w:rsidRDefault="00B95A8D" w:rsidP="000F7F7C">
            <w:pPr>
              <w:pStyle w:val="Bullet"/>
              <w:numPr>
                <w:ilvl w:val="0"/>
                <w:numId w:val="0"/>
              </w:numPr>
              <w:spacing w:before="0" w:line="300" w:lineRule="exact"/>
              <w:jc w:val="both"/>
            </w:pPr>
            <w:r w:rsidRPr="00587A7D">
              <w:t>Please contact the Board if you would like to share your views or be involved</w:t>
            </w:r>
            <w:r w:rsidR="00936A8A" w:rsidRPr="00587A7D">
              <w:t xml:space="preserve"> in any of these projects</w:t>
            </w:r>
            <w:r w:rsidRPr="00587A7D">
              <w:t>.</w:t>
            </w:r>
            <w:r w:rsidR="00181BBB" w:rsidRPr="00587A7D">
              <w:t xml:space="preserve"> </w:t>
            </w:r>
            <w:r w:rsidR="000F7F7C">
              <w:t xml:space="preserve"> </w:t>
            </w:r>
            <w:r w:rsidR="00570C36" w:rsidRPr="00587A7D">
              <w:t xml:space="preserve">We have already </w:t>
            </w:r>
            <w:r w:rsidR="00AD30CB" w:rsidRPr="00587A7D">
              <w:t xml:space="preserve">received some expressions of interest from </w:t>
            </w:r>
            <w:r w:rsidR="00570C36" w:rsidRPr="00587A7D">
              <w:t xml:space="preserve">stakeholders and we </w:t>
            </w:r>
            <w:r w:rsidR="00CC34BD" w:rsidRPr="00587A7D">
              <w:t>keep a register of your interest so that we can contact you at the appropriate time.</w:t>
            </w:r>
          </w:p>
        </w:tc>
        <w:tc>
          <w:tcPr>
            <w:tcW w:w="456" w:type="dxa"/>
            <w:gridSpan w:val="3"/>
          </w:tcPr>
          <w:p w14:paraId="03E8E95F" w14:textId="77777777" w:rsidR="00DE77A2" w:rsidRPr="00292DBB" w:rsidRDefault="00DE77A2" w:rsidP="002256FA"/>
        </w:tc>
      </w:tr>
      <w:tr w:rsidR="00986BE1" w:rsidRPr="005B32D7" w14:paraId="3A783780" w14:textId="77777777" w:rsidTr="002454A1">
        <w:trPr>
          <w:gridAfter w:val="1"/>
          <w:wAfter w:w="161" w:type="dxa"/>
          <w:jc w:val="center"/>
        </w:trPr>
        <w:tc>
          <w:tcPr>
            <w:tcW w:w="448" w:type="dxa"/>
            <w:gridSpan w:val="2"/>
            <w:shd w:val="clear" w:color="auto" w:fill="auto"/>
          </w:tcPr>
          <w:p w14:paraId="2FA25252" w14:textId="66F48132" w:rsidR="00986BE1" w:rsidRPr="005B32D7" w:rsidRDefault="00986BE1" w:rsidP="008E4DB5"/>
        </w:tc>
        <w:tc>
          <w:tcPr>
            <w:tcW w:w="9858" w:type="dxa"/>
            <w:gridSpan w:val="8"/>
            <w:shd w:val="clear" w:color="auto" w:fill="auto"/>
          </w:tcPr>
          <w:p w14:paraId="013CE3E4" w14:textId="237266CA" w:rsidR="00986BE1" w:rsidRPr="005B32D7" w:rsidRDefault="004C322A" w:rsidP="00FF30E5">
            <w:pPr>
              <w:pStyle w:val="Heading2"/>
              <w:spacing w:before="60" w:after="60"/>
              <w:outlineLvl w:val="1"/>
            </w:pPr>
            <w:r>
              <w:t>A Review of Small Business Concessions</w:t>
            </w:r>
          </w:p>
        </w:tc>
        <w:tc>
          <w:tcPr>
            <w:tcW w:w="399" w:type="dxa"/>
            <w:gridSpan w:val="3"/>
            <w:shd w:val="clear" w:color="auto" w:fill="auto"/>
          </w:tcPr>
          <w:p w14:paraId="17FF5BFA" w14:textId="77777777" w:rsidR="00986BE1" w:rsidRPr="005B32D7" w:rsidRDefault="00986BE1" w:rsidP="008E4DB5"/>
        </w:tc>
      </w:tr>
      <w:tr w:rsidR="00986BE1" w:rsidRPr="00292DBB" w14:paraId="7D59C4F5" w14:textId="77777777" w:rsidTr="002454A1">
        <w:trPr>
          <w:gridAfter w:val="1"/>
          <w:wAfter w:w="161" w:type="dxa"/>
          <w:jc w:val="center"/>
        </w:trPr>
        <w:tc>
          <w:tcPr>
            <w:tcW w:w="448" w:type="dxa"/>
            <w:gridSpan w:val="2"/>
          </w:tcPr>
          <w:p w14:paraId="30F5F8E3" w14:textId="77777777" w:rsidR="00986BE1" w:rsidRPr="00292DBB" w:rsidRDefault="00986BE1" w:rsidP="008E4DB5"/>
        </w:tc>
        <w:tc>
          <w:tcPr>
            <w:tcW w:w="9858" w:type="dxa"/>
            <w:gridSpan w:val="8"/>
          </w:tcPr>
          <w:p w14:paraId="1F56E282" w14:textId="10892044" w:rsidR="004C322A" w:rsidRDefault="00C04A17" w:rsidP="000F7F7C">
            <w:pPr>
              <w:jc w:val="both"/>
            </w:pPr>
            <w:r w:rsidRPr="00587A7D">
              <w:t>The Board</w:t>
            </w:r>
            <w:r w:rsidR="00A47BDB" w:rsidRPr="00587A7D">
              <w:t xml:space="preserve">’s review is to </w:t>
            </w:r>
            <w:r w:rsidR="002673A2" w:rsidRPr="00587A7D">
              <w:t xml:space="preserve">identify ways to improve small business tax concessions to ensure they remain effective, easily accessible, and well-targeted. </w:t>
            </w:r>
            <w:r w:rsidR="000F7F7C">
              <w:t xml:space="preserve"> </w:t>
            </w:r>
            <w:r w:rsidR="002673A2" w:rsidRPr="00587A7D">
              <w:t>The Board believes that a well-designed regime of tax concessions and subsidies, targeted to assist with the specific challenges faced by small business, can play an important role in helping small businesses at all stages of their business lifecyc</w:t>
            </w:r>
            <w:r w:rsidR="001F02F6" w:rsidRPr="00587A7D">
              <w:t>le;</w:t>
            </w:r>
            <w:r w:rsidR="002673A2" w:rsidRPr="00587A7D">
              <w:t xml:space="preserve"> from the crucial start-up </w:t>
            </w:r>
            <w:r w:rsidR="002673A2" w:rsidRPr="00587A7D">
              <w:lastRenderedPageBreak/>
              <w:t xml:space="preserve">phase through to maturity and the retirement of business owners. </w:t>
            </w:r>
          </w:p>
          <w:p w14:paraId="5DB23B07" w14:textId="77777777" w:rsidR="00C7072C" w:rsidRPr="00587A7D" w:rsidRDefault="00C7072C" w:rsidP="000F7F7C">
            <w:pPr>
              <w:jc w:val="both"/>
            </w:pPr>
          </w:p>
          <w:p w14:paraId="6759F45B" w14:textId="7D3F56F3" w:rsidR="00986BE1" w:rsidRPr="00292DBB" w:rsidRDefault="002673A2" w:rsidP="000F7F7C">
            <w:pPr>
              <w:jc w:val="both"/>
            </w:pPr>
            <w:r w:rsidRPr="00587A7D">
              <w:t xml:space="preserve">A reference group of small business, professional and academic stakeholders is generously volunteering their time and expertise to assist the Board with this review. A Consultation Guide will be published </w:t>
            </w:r>
            <w:r w:rsidR="00A47BDB" w:rsidRPr="00587A7D">
              <w:t>shortly</w:t>
            </w:r>
            <w:r w:rsidRPr="00587A7D">
              <w:t>.</w:t>
            </w:r>
            <w:r w:rsidR="00FF30E5">
              <w:t xml:space="preserve"> </w:t>
            </w:r>
            <w:r w:rsidRPr="00587A7D">
              <w:t xml:space="preserve"> It will set out the current suite of small business tax concessions, the Board’s proposed principles for evaluating and improving the framework of small business tax relief, and questions for the small business community. Most importantly, it will explain our consultation process</w:t>
            </w:r>
            <w:r w:rsidR="001F02F6" w:rsidRPr="00587A7D">
              <w:t>.</w:t>
            </w:r>
            <w:r w:rsidRPr="00587A7D">
              <w:t xml:space="preserve"> </w:t>
            </w:r>
            <w:r w:rsidR="00A43D9F" w:rsidRPr="00587A7D">
              <w:t xml:space="preserve">Your contributions will inform the Board’s final report to Government in </w:t>
            </w:r>
            <w:r w:rsidR="00AE18FE">
              <w:t>October</w:t>
            </w:r>
            <w:r w:rsidR="00AE18FE" w:rsidRPr="00587A7D">
              <w:t xml:space="preserve"> </w:t>
            </w:r>
            <w:r w:rsidR="00FF30E5">
              <w:t>2018.</w:t>
            </w:r>
          </w:p>
        </w:tc>
        <w:tc>
          <w:tcPr>
            <w:tcW w:w="399" w:type="dxa"/>
            <w:gridSpan w:val="3"/>
          </w:tcPr>
          <w:p w14:paraId="01002360" w14:textId="77777777" w:rsidR="00986BE1" w:rsidRPr="00292DBB" w:rsidRDefault="00986BE1" w:rsidP="008E4DB5"/>
        </w:tc>
      </w:tr>
      <w:tr w:rsidR="00E111A3" w:rsidRPr="005B32D7" w14:paraId="01EEFB3F" w14:textId="77777777" w:rsidTr="002454A1">
        <w:trPr>
          <w:gridAfter w:val="1"/>
          <w:wAfter w:w="161" w:type="dxa"/>
          <w:jc w:val="center"/>
        </w:trPr>
        <w:tc>
          <w:tcPr>
            <w:tcW w:w="448" w:type="dxa"/>
            <w:gridSpan w:val="2"/>
            <w:shd w:val="clear" w:color="auto" w:fill="auto"/>
          </w:tcPr>
          <w:p w14:paraId="0C24DE5F" w14:textId="31286392" w:rsidR="00E111A3" w:rsidRPr="005B32D7" w:rsidRDefault="00E111A3" w:rsidP="00EA62C5"/>
        </w:tc>
        <w:tc>
          <w:tcPr>
            <w:tcW w:w="9858" w:type="dxa"/>
            <w:gridSpan w:val="8"/>
            <w:shd w:val="clear" w:color="auto" w:fill="auto"/>
          </w:tcPr>
          <w:p w14:paraId="7D739D07" w14:textId="633B9C3B" w:rsidR="00E111A3" w:rsidRPr="005B32D7" w:rsidRDefault="00306CE5" w:rsidP="00FF30E5">
            <w:pPr>
              <w:pStyle w:val="Heading2"/>
              <w:spacing w:before="60" w:after="60"/>
              <w:outlineLvl w:val="1"/>
            </w:pPr>
            <w:r>
              <w:t xml:space="preserve">A </w:t>
            </w:r>
            <w:r w:rsidR="004C322A" w:rsidRPr="004C322A">
              <w:t>Review</w:t>
            </w:r>
            <w:r w:rsidR="005A749C">
              <w:t xml:space="preserve"> of</w:t>
            </w:r>
            <w:r w:rsidR="004C322A" w:rsidRPr="004C322A">
              <w:t xml:space="preserve"> FBT compliance costs</w:t>
            </w:r>
          </w:p>
        </w:tc>
        <w:tc>
          <w:tcPr>
            <w:tcW w:w="399" w:type="dxa"/>
            <w:gridSpan w:val="3"/>
            <w:shd w:val="clear" w:color="auto" w:fill="auto"/>
          </w:tcPr>
          <w:p w14:paraId="575C106D" w14:textId="77777777" w:rsidR="00E111A3" w:rsidRPr="005B32D7" w:rsidRDefault="00E111A3" w:rsidP="00EA62C5"/>
        </w:tc>
      </w:tr>
      <w:tr w:rsidR="00E111A3" w:rsidRPr="00292DBB" w14:paraId="137C44D9" w14:textId="77777777" w:rsidTr="002454A1">
        <w:trPr>
          <w:gridAfter w:val="1"/>
          <w:wAfter w:w="161" w:type="dxa"/>
          <w:jc w:val="center"/>
        </w:trPr>
        <w:tc>
          <w:tcPr>
            <w:tcW w:w="448" w:type="dxa"/>
            <w:gridSpan w:val="2"/>
          </w:tcPr>
          <w:p w14:paraId="4829449A" w14:textId="77777777" w:rsidR="00E111A3" w:rsidRPr="00292DBB" w:rsidRDefault="00E111A3" w:rsidP="00EA62C5"/>
        </w:tc>
        <w:tc>
          <w:tcPr>
            <w:tcW w:w="9858" w:type="dxa"/>
            <w:gridSpan w:val="8"/>
          </w:tcPr>
          <w:p w14:paraId="4D66EC7B" w14:textId="759034E4" w:rsidR="004C322A" w:rsidRPr="00587A7D" w:rsidRDefault="007E5EC7" w:rsidP="004C322A">
            <w:r w:rsidRPr="00587A7D">
              <w:t xml:space="preserve">The Board </w:t>
            </w:r>
            <w:r w:rsidR="00A47BDB" w:rsidRPr="00587A7D">
              <w:t>will</w:t>
            </w:r>
            <w:r w:rsidRPr="00587A7D">
              <w:t xml:space="preserve"> review the </w:t>
            </w:r>
            <w:r w:rsidR="00A81C23" w:rsidRPr="00587A7D">
              <w:t xml:space="preserve">compliance </w:t>
            </w:r>
            <w:r w:rsidRPr="00587A7D">
              <w:t xml:space="preserve">costs </w:t>
            </w:r>
            <w:r w:rsidR="00F32DCA" w:rsidRPr="00587A7D">
              <w:t>associated with</w:t>
            </w:r>
            <w:r w:rsidRPr="00587A7D">
              <w:t xml:space="preserve"> obligation</w:t>
            </w:r>
            <w:r w:rsidR="00A81C23" w:rsidRPr="00587A7D">
              <w:t>s</w:t>
            </w:r>
            <w:r w:rsidRPr="00587A7D">
              <w:t xml:space="preserve"> under </w:t>
            </w:r>
            <w:r w:rsidR="00F32DCA" w:rsidRPr="00587A7D">
              <w:t xml:space="preserve">the </w:t>
            </w:r>
            <w:r w:rsidRPr="00587A7D">
              <w:t>FBT legislation</w:t>
            </w:r>
            <w:r w:rsidR="00F8585B" w:rsidRPr="00587A7D">
              <w:t xml:space="preserve">.  We will also </w:t>
            </w:r>
            <w:r w:rsidRPr="00587A7D">
              <w:t xml:space="preserve">examine the approach in </w:t>
            </w:r>
            <w:r w:rsidR="00F8585B" w:rsidRPr="00587A7D">
              <w:t xml:space="preserve">some </w:t>
            </w:r>
            <w:r w:rsidRPr="00587A7D">
              <w:t xml:space="preserve">comparable countries </w:t>
            </w:r>
            <w:r w:rsidR="00F8585B" w:rsidRPr="00587A7D">
              <w:t xml:space="preserve">in respect of </w:t>
            </w:r>
            <w:r w:rsidRPr="00587A7D">
              <w:t>tax</w:t>
            </w:r>
            <w:r w:rsidR="00F8585B" w:rsidRPr="00587A7D">
              <w:t xml:space="preserve">ing </w:t>
            </w:r>
            <w:r w:rsidRPr="00587A7D">
              <w:t>fringe benefits provide</w:t>
            </w:r>
            <w:r w:rsidR="00F8585B" w:rsidRPr="00587A7D">
              <w:t>d by employers t</w:t>
            </w:r>
            <w:r w:rsidRPr="00587A7D">
              <w:t>o their employees.</w:t>
            </w:r>
          </w:p>
          <w:p w14:paraId="7239A1EF" w14:textId="703A623A" w:rsidR="004C322A" w:rsidRPr="00587A7D" w:rsidRDefault="00B76E9F" w:rsidP="00F23171">
            <w:r w:rsidRPr="00587A7D">
              <w:t xml:space="preserve">The Board will provide more </w:t>
            </w:r>
            <w:r w:rsidR="00900C23" w:rsidRPr="00587A7D">
              <w:t>information on this review</w:t>
            </w:r>
            <w:r w:rsidRPr="00587A7D">
              <w:t xml:space="preserve"> in the coming weeks.</w:t>
            </w:r>
            <w:r w:rsidR="00F8585B" w:rsidRPr="00587A7D">
              <w:t xml:space="preserve">  Please contact us to register your interest in this project (if you have not already).</w:t>
            </w:r>
          </w:p>
        </w:tc>
        <w:tc>
          <w:tcPr>
            <w:tcW w:w="399" w:type="dxa"/>
            <w:gridSpan w:val="3"/>
          </w:tcPr>
          <w:p w14:paraId="28064470" w14:textId="77777777" w:rsidR="00E111A3" w:rsidRPr="00292DBB" w:rsidRDefault="00E111A3" w:rsidP="00EA62C5"/>
        </w:tc>
      </w:tr>
      <w:tr w:rsidR="007F3F3E" w:rsidRPr="00BD2FF3" w14:paraId="44099D7D" w14:textId="77777777" w:rsidTr="002454A1">
        <w:trPr>
          <w:gridAfter w:val="1"/>
          <w:wAfter w:w="161" w:type="dxa"/>
          <w:jc w:val="center"/>
        </w:trPr>
        <w:tc>
          <w:tcPr>
            <w:tcW w:w="448" w:type="dxa"/>
            <w:gridSpan w:val="2"/>
          </w:tcPr>
          <w:p w14:paraId="0C05FEB8" w14:textId="3F9AF25E" w:rsidR="007F3F3E" w:rsidRPr="00BD2FF3" w:rsidRDefault="007F3F3E" w:rsidP="00FF30E5">
            <w:pPr>
              <w:pStyle w:val="Heading2"/>
              <w:spacing w:before="60" w:after="60"/>
              <w:outlineLvl w:val="1"/>
            </w:pPr>
          </w:p>
        </w:tc>
        <w:tc>
          <w:tcPr>
            <w:tcW w:w="9858" w:type="dxa"/>
            <w:gridSpan w:val="8"/>
          </w:tcPr>
          <w:p w14:paraId="5D0988C2" w14:textId="38CC276B" w:rsidR="007F3F3E" w:rsidRDefault="007F3F3E" w:rsidP="00FF30E5">
            <w:pPr>
              <w:pStyle w:val="Heading2"/>
              <w:spacing w:before="60" w:after="60"/>
              <w:outlineLvl w:val="1"/>
            </w:pPr>
            <w:r w:rsidRPr="00FF30E5">
              <w:t>Tax and Agriculture</w:t>
            </w:r>
          </w:p>
        </w:tc>
        <w:tc>
          <w:tcPr>
            <w:tcW w:w="399" w:type="dxa"/>
            <w:gridSpan w:val="3"/>
          </w:tcPr>
          <w:p w14:paraId="51D06D9A" w14:textId="77777777" w:rsidR="007F3F3E" w:rsidRPr="00BD2FF3" w:rsidRDefault="007F3F3E" w:rsidP="001B7038"/>
        </w:tc>
      </w:tr>
      <w:tr w:rsidR="007F3F3E" w:rsidRPr="00292DBB" w14:paraId="723B8E81" w14:textId="77777777" w:rsidTr="002454A1">
        <w:trPr>
          <w:gridAfter w:val="1"/>
          <w:wAfter w:w="161" w:type="dxa"/>
          <w:jc w:val="center"/>
        </w:trPr>
        <w:tc>
          <w:tcPr>
            <w:tcW w:w="448" w:type="dxa"/>
            <w:gridSpan w:val="2"/>
          </w:tcPr>
          <w:p w14:paraId="3FEB9782" w14:textId="77777777" w:rsidR="007F3F3E" w:rsidRPr="00292DBB" w:rsidRDefault="007F3F3E" w:rsidP="001B7038"/>
        </w:tc>
        <w:tc>
          <w:tcPr>
            <w:tcW w:w="9858" w:type="dxa"/>
            <w:gridSpan w:val="8"/>
          </w:tcPr>
          <w:p w14:paraId="0B6544F9" w14:textId="77777777" w:rsidR="008C6ECE" w:rsidRPr="00587A7D" w:rsidRDefault="00A00E73">
            <w:pPr>
              <w:keepNext/>
              <w:keepLines/>
              <w:spacing w:before="240" w:after="240"/>
              <w:outlineLvl w:val="1"/>
            </w:pPr>
            <w:r w:rsidRPr="00587A7D">
              <w:t xml:space="preserve">In December 2016 a report entitled </w:t>
            </w:r>
            <w:hyperlink r:id="rId10" w:history="1">
              <w:r w:rsidRPr="00587A7D">
                <w:rPr>
                  <w:i/>
                  <w:u w:val="single"/>
                </w:rPr>
                <w:t>Tax in Agriculture – a collaborative research project for the agricultural sector</w:t>
              </w:r>
            </w:hyperlink>
            <w:r w:rsidRPr="00587A7D">
              <w:t>, commissione</w:t>
            </w:r>
            <w:r w:rsidR="000A3276" w:rsidRPr="00587A7D">
              <w:t>d by the Australian Government ‘</w:t>
            </w:r>
            <w:r w:rsidRPr="00587A7D">
              <w:t>Rural Industries Research and Development Corporation</w:t>
            </w:r>
            <w:r w:rsidR="000A3276" w:rsidRPr="00587A7D">
              <w:t>’</w:t>
            </w:r>
            <w:r w:rsidRPr="00587A7D">
              <w:t xml:space="preserve"> (RIRDC) and prepared by Boyce Chartered Accountants and </w:t>
            </w:r>
            <w:r w:rsidR="000A3276" w:rsidRPr="00587A7D">
              <w:t>Su McCluskey was released (the</w:t>
            </w:r>
            <w:r w:rsidR="000A3276" w:rsidRPr="00587A7D">
              <w:rPr>
                <w:b/>
              </w:rPr>
              <w:t xml:space="preserve"> </w:t>
            </w:r>
            <w:r w:rsidRPr="00587A7D">
              <w:t xml:space="preserve">Report). </w:t>
            </w:r>
          </w:p>
          <w:p w14:paraId="38DD8778" w14:textId="643728AF" w:rsidR="007F3F3E" w:rsidRPr="00292DBB" w:rsidRDefault="008C6ECE" w:rsidP="00587A7D">
            <w:pPr>
              <w:keepNext/>
              <w:keepLines/>
            </w:pPr>
            <w:r w:rsidRPr="00587A7D">
              <w:t xml:space="preserve">The Board has reviewed the Report and subsequently held a number of scoping discussions to understand whether there are any additional issues that are applicable to the sector and whether to investigate all or some or none of the issues raised. </w:t>
            </w:r>
          </w:p>
        </w:tc>
        <w:tc>
          <w:tcPr>
            <w:tcW w:w="399" w:type="dxa"/>
            <w:gridSpan w:val="3"/>
          </w:tcPr>
          <w:p w14:paraId="25A2D113" w14:textId="77777777" w:rsidR="007F3F3E" w:rsidRPr="00292DBB" w:rsidRDefault="007F3F3E" w:rsidP="001B7038"/>
        </w:tc>
      </w:tr>
      <w:tr w:rsidR="007704CF" w:rsidRPr="005B32D7" w14:paraId="7978185D" w14:textId="77777777" w:rsidTr="002454A1">
        <w:trPr>
          <w:gridAfter w:val="1"/>
          <w:wAfter w:w="161" w:type="dxa"/>
          <w:jc w:val="center"/>
        </w:trPr>
        <w:tc>
          <w:tcPr>
            <w:tcW w:w="448" w:type="dxa"/>
            <w:gridSpan w:val="2"/>
            <w:shd w:val="clear" w:color="auto" w:fill="auto"/>
          </w:tcPr>
          <w:p w14:paraId="299C697D" w14:textId="7BE5FBC2" w:rsidR="007704CF" w:rsidRPr="005B32D7" w:rsidRDefault="007704CF" w:rsidP="00FF30E5">
            <w:pPr>
              <w:pStyle w:val="Heading2"/>
              <w:spacing w:before="60" w:after="60"/>
              <w:outlineLvl w:val="1"/>
            </w:pPr>
          </w:p>
        </w:tc>
        <w:tc>
          <w:tcPr>
            <w:tcW w:w="9858" w:type="dxa"/>
            <w:gridSpan w:val="8"/>
            <w:shd w:val="clear" w:color="auto" w:fill="auto"/>
          </w:tcPr>
          <w:p w14:paraId="7087AE7C" w14:textId="77777777" w:rsidR="007704CF" w:rsidRPr="005B32D7" w:rsidRDefault="007704CF" w:rsidP="00FF30E5">
            <w:pPr>
              <w:pStyle w:val="Heading2"/>
              <w:spacing w:before="60" w:after="60"/>
              <w:outlineLvl w:val="1"/>
            </w:pPr>
            <w:r w:rsidRPr="00FF30E5">
              <w:t>A comparison of the taxing rights for real property under Australia’s double tax agreements and domestic laws</w:t>
            </w:r>
          </w:p>
        </w:tc>
        <w:tc>
          <w:tcPr>
            <w:tcW w:w="399" w:type="dxa"/>
            <w:gridSpan w:val="3"/>
            <w:shd w:val="clear" w:color="auto" w:fill="auto"/>
          </w:tcPr>
          <w:p w14:paraId="203DAF3A" w14:textId="40F849C5" w:rsidR="007704CF" w:rsidRPr="005B32D7" w:rsidRDefault="007704CF" w:rsidP="00536B6A"/>
        </w:tc>
      </w:tr>
      <w:tr w:rsidR="007704CF" w:rsidRPr="00292DBB" w14:paraId="3E8F379D" w14:textId="77777777" w:rsidTr="002454A1">
        <w:trPr>
          <w:gridAfter w:val="1"/>
          <w:wAfter w:w="161" w:type="dxa"/>
          <w:jc w:val="center"/>
        </w:trPr>
        <w:tc>
          <w:tcPr>
            <w:tcW w:w="448" w:type="dxa"/>
            <w:gridSpan w:val="2"/>
          </w:tcPr>
          <w:p w14:paraId="0F4B8EE4" w14:textId="77777777" w:rsidR="007704CF" w:rsidRPr="00587A7D" w:rsidRDefault="007704CF" w:rsidP="000F7F7C">
            <w:pPr>
              <w:jc w:val="both"/>
            </w:pPr>
          </w:p>
        </w:tc>
        <w:tc>
          <w:tcPr>
            <w:tcW w:w="9858" w:type="dxa"/>
            <w:gridSpan w:val="8"/>
          </w:tcPr>
          <w:p w14:paraId="60B571E8" w14:textId="77777777" w:rsidR="007704CF" w:rsidRPr="00587A7D" w:rsidRDefault="007704CF" w:rsidP="000F7F7C">
            <w:pPr>
              <w:jc w:val="both"/>
            </w:pPr>
            <w:r w:rsidRPr="00587A7D">
              <w:t>The Board is undertaking an international comparison of the taxing rights reserved under Australia’s international double taxation agreements for the purposes of a comparison with Australian domestic taxation laws.  This is a research project only, intended to identify and note any material differences and understand the historical context.</w:t>
            </w:r>
          </w:p>
        </w:tc>
        <w:tc>
          <w:tcPr>
            <w:tcW w:w="399" w:type="dxa"/>
            <w:gridSpan w:val="3"/>
          </w:tcPr>
          <w:p w14:paraId="2BDFAA26" w14:textId="77777777" w:rsidR="007704CF" w:rsidRPr="00587A7D" w:rsidRDefault="007704CF" w:rsidP="00536B6A"/>
        </w:tc>
      </w:tr>
      <w:tr w:rsidR="00F8585B" w:rsidRPr="005B32D7" w14:paraId="5058073A" w14:textId="77777777" w:rsidTr="002454A1">
        <w:trPr>
          <w:jc w:val="center"/>
        </w:trPr>
        <w:tc>
          <w:tcPr>
            <w:tcW w:w="519" w:type="dxa"/>
            <w:gridSpan w:val="5"/>
            <w:shd w:val="clear" w:color="auto" w:fill="auto"/>
          </w:tcPr>
          <w:p w14:paraId="2B6F57B7" w14:textId="24E0BC45" w:rsidR="00F8585B" w:rsidRPr="005B32D7" w:rsidRDefault="00F8585B" w:rsidP="00536B6A"/>
        </w:tc>
        <w:tc>
          <w:tcPr>
            <w:tcW w:w="9891" w:type="dxa"/>
            <w:gridSpan w:val="6"/>
            <w:shd w:val="clear" w:color="auto" w:fill="auto"/>
          </w:tcPr>
          <w:p w14:paraId="6984E4C4" w14:textId="77777777" w:rsidR="00F8585B" w:rsidRPr="005B32D7" w:rsidRDefault="00F8585B" w:rsidP="00FF30E5">
            <w:pPr>
              <w:pStyle w:val="Heading2"/>
              <w:spacing w:before="60" w:after="60"/>
              <w:outlineLvl w:val="1"/>
            </w:pPr>
            <w:r>
              <w:t>Contingent consideration</w:t>
            </w:r>
          </w:p>
        </w:tc>
        <w:tc>
          <w:tcPr>
            <w:tcW w:w="456" w:type="dxa"/>
            <w:gridSpan w:val="3"/>
            <w:shd w:val="clear" w:color="auto" w:fill="auto"/>
          </w:tcPr>
          <w:p w14:paraId="2A491283" w14:textId="5CA37C28" w:rsidR="00F8585B" w:rsidRPr="005B32D7" w:rsidRDefault="00F8585B" w:rsidP="00536B6A"/>
        </w:tc>
      </w:tr>
      <w:tr w:rsidR="00F8585B" w:rsidRPr="00292DBB" w14:paraId="4B300998" w14:textId="77777777" w:rsidTr="002454A1">
        <w:trPr>
          <w:jc w:val="center"/>
        </w:trPr>
        <w:tc>
          <w:tcPr>
            <w:tcW w:w="519" w:type="dxa"/>
            <w:gridSpan w:val="5"/>
          </w:tcPr>
          <w:p w14:paraId="5C1A1B87" w14:textId="77777777" w:rsidR="00F8585B" w:rsidRPr="00292DBB" w:rsidRDefault="00F8585B" w:rsidP="00536B6A"/>
        </w:tc>
        <w:tc>
          <w:tcPr>
            <w:tcW w:w="9891" w:type="dxa"/>
            <w:gridSpan w:val="6"/>
          </w:tcPr>
          <w:p w14:paraId="709EF39D" w14:textId="3320BA82" w:rsidR="00F8585B" w:rsidRPr="00587A7D" w:rsidRDefault="00F8585B" w:rsidP="00536B6A">
            <w:pPr>
              <w:pStyle w:val="Bullet"/>
              <w:numPr>
                <w:ilvl w:val="0"/>
                <w:numId w:val="0"/>
              </w:numPr>
              <w:spacing w:before="0" w:line="300" w:lineRule="exact"/>
            </w:pPr>
            <w:r w:rsidRPr="00587A7D">
              <w:t xml:space="preserve">The Working Group </w:t>
            </w:r>
            <w:r w:rsidR="00A47BDB" w:rsidRPr="00587A7D">
              <w:t xml:space="preserve">is nearing completion of </w:t>
            </w:r>
            <w:r w:rsidRPr="00587A7D">
              <w:t xml:space="preserve">this project. The Working Group is focusing on its review of the CGT look-through earnout rules as well as considering the observations it has made throughout this project regarding other aspects of deferred contingent consideration arrangements. </w:t>
            </w:r>
          </w:p>
          <w:p w14:paraId="1CF4CB9E" w14:textId="77777777" w:rsidR="00F8585B" w:rsidRPr="00587A7D" w:rsidRDefault="00F8585B" w:rsidP="00536B6A">
            <w:pPr>
              <w:pStyle w:val="Bullet"/>
              <w:numPr>
                <w:ilvl w:val="0"/>
                <w:numId w:val="0"/>
              </w:numPr>
              <w:spacing w:before="0" w:line="300" w:lineRule="exact"/>
            </w:pPr>
            <w:r w:rsidRPr="00587A7D">
              <w:t>We anticipate this work will be provided to Government for their consideration in the first half of 2018.  We are grateful to the stakeholder engagement that has assisted to progress this work.</w:t>
            </w:r>
          </w:p>
        </w:tc>
        <w:tc>
          <w:tcPr>
            <w:tcW w:w="456" w:type="dxa"/>
            <w:gridSpan w:val="3"/>
          </w:tcPr>
          <w:p w14:paraId="7634305B" w14:textId="77777777" w:rsidR="00F8585B" w:rsidRPr="00292DBB" w:rsidRDefault="00F8585B" w:rsidP="00536B6A"/>
        </w:tc>
      </w:tr>
      <w:tr w:rsidR="004C322A" w:rsidRPr="00BD2FF3" w14:paraId="7558EFEC" w14:textId="77777777" w:rsidTr="002454A1">
        <w:trPr>
          <w:gridAfter w:val="1"/>
          <w:wAfter w:w="161" w:type="dxa"/>
          <w:jc w:val="center"/>
        </w:trPr>
        <w:tc>
          <w:tcPr>
            <w:tcW w:w="448" w:type="dxa"/>
            <w:gridSpan w:val="2"/>
          </w:tcPr>
          <w:p w14:paraId="50975801" w14:textId="461EB9BD" w:rsidR="004C322A" w:rsidRPr="00BD2FF3" w:rsidRDefault="004C322A" w:rsidP="00657B86"/>
        </w:tc>
        <w:tc>
          <w:tcPr>
            <w:tcW w:w="9858" w:type="dxa"/>
            <w:gridSpan w:val="8"/>
          </w:tcPr>
          <w:p w14:paraId="591801A4" w14:textId="01031B7B" w:rsidR="004C322A" w:rsidRDefault="004C322A" w:rsidP="00FF30E5">
            <w:pPr>
              <w:pStyle w:val="Heading2"/>
              <w:spacing w:before="60" w:after="60"/>
              <w:outlineLvl w:val="1"/>
            </w:pPr>
            <w:r w:rsidRPr="00FF30E5">
              <w:t>Taxation of Digital Economy</w:t>
            </w:r>
          </w:p>
        </w:tc>
        <w:tc>
          <w:tcPr>
            <w:tcW w:w="399" w:type="dxa"/>
            <w:gridSpan w:val="3"/>
          </w:tcPr>
          <w:p w14:paraId="0903E445" w14:textId="77777777" w:rsidR="004C322A" w:rsidRPr="00BD2FF3" w:rsidRDefault="004C322A" w:rsidP="00657B86"/>
        </w:tc>
      </w:tr>
      <w:tr w:rsidR="004C322A" w:rsidRPr="00292DBB" w14:paraId="24249500" w14:textId="77777777" w:rsidTr="002454A1">
        <w:trPr>
          <w:gridAfter w:val="1"/>
          <w:wAfter w:w="161" w:type="dxa"/>
          <w:jc w:val="center"/>
        </w:trPr>
        <w:tc>
          <w:tcPr>
            <w:tcW w:w="448" w:type="dxa"/>
            <w:gridSpan w:val="2"/>
          </w:tcPr>
          <w:p w14:paraId="46A327DB" w14:textId="77777777" w:rsidR="004C322A" w:rsidRPr="00587A7D" w:rsidRDefault="004C322A" w:rsidP="00657B86"/>
        </w:tc>
        <w:tc>
          <w:tcPr>
            <w:tcW w:w="9858" w:type="dxa"/>
            <w:gridSpan w:val="8"/>
          </w:tcPr>
          <w:p w14:paraId="4A469861" w14:textId="7305EF88" w:rsidR="005A749C" w:rsidRPr="00587A7D" w:rsidRDefault="005A749C" w:rsidP="000F7F7C">
            <w:pPr>
              <w:jc w:val="both"/>
            </w:pPr>
            <w:r w:rsidRPr="00587A7D">
              <w:t xml:space="preserve">The Board </w:t>
            </w:r>
            <w:r w:rsidR="00F44709" w:rsidRPr="00587A7D">
              <w:t xml:space="preserve">is undertaking a </w:t>
            </w:r>
            <w:r w:rsidR="001B7038" w:rsidRPr="00587A7D">
              <w:t>self</w:t>
            </w:r>
            <w:r w:rsidR="001B7038" w:rsidRPr="00587A7D">
              <w:noBreakHyphen/>
              <w:t xml:space="preserve">initiated </w:t>
            </w:r>
            <w:r w:rsidRPr="00587A7D">
              <w:t>watching brief in relation to international developments responding to disruption</w:t>
            </w:r>
            <w:r w:rsidR="005854D4" w:rsidRPr="00587A7D">
              <w:t xml:space="preserve"> within the tax system</w:t>
            </w:r>
            <w:r w:rsidRPr="00587A7D">
              <w:t xml:space="preserve"> by the digital economy.  The Board noted several recent developments</w:t>
            </w:r>
            <w:r w:rsidR="001B7038" w:rsidRPr="00587A7D">
              <w:t xml:space="preserve"> at </w:t>
            </w:r>
            <w:r w:rsidR="00B820EC" w:rsidRPr="00587A7D">
              <w:t xml:space="preserve">both </w:t>
            </w:r>
            <w:r w:rsidR="001B7038" w:rsidRPr="00587A7D">
              <w:t xml:space="preserve">the March </w:t>
            </w:r>
            <w:r w:rsidR="00B820EC" w:rsidRPr="00587A7D">
              <w:t xml:space="preserve">and April </w:t>
            </w:r>
            <w:r w:rsidR="005854D4" w:rsidRPr="00587A7D">
              <w:t>Board</w:t>
            </w:r>
            <w:r w:rsidRPr="00587A7D">
              <w:t xml:space="preserve"> </w:t>
            </w:r>
            <w:r w:rsidR="001B7038" w:rsidRPr="00587A7D">
              <w:t>meeting</w:t>
            </w:r>
            <w:r w:rsidR="00B820EC" w:rsidRPr="00587A7D">
              <w:t>s</w:t>
            </w:r>
            <w:r w:rsidR="001B7038" w:rsidRPr="00587A7D">
              <w:t xml:space="preserve">, </w:t>
            </w:r>
            <w:r w:rsidRPr="00587A7D">
              <w:t>including:</w:t>
            </w:r>
          </w:p>
          <w:p w14:paraId="4437B6AB" w14:textId="57677DB9" w:rsidR="00762806" w:rsidRPr="00587A7D" w:rsidRDefault="00762806" w:rsidP="000F7F7C">
            <w:pPr>
              <w:pStyle w:val="ListParagraph"/>
              <w:numPr>
                <w:ilvl w:val="0"/>
                <w:numId w:val="26"/>
              </w:numPr>
              <w:jc w:val="both"/>
            </w:pPr>
            <w:r w:rsidRPr="00587A7D">
              <w:lastRenderedPageBreak/>
              <w:t>The OECD’s Interim Report</w:t>
            </w:r>
            <w:r w:rsidR="001B7038" w:rsidRPr="00587A7D">
              <w:t xml:space="preserve"> on Tax Challenges Arising from Digitalisation;</w:t>
            </w:r>
          </w:p>
          <w:p w14:paraId="43790389" w14:textId="384F18D2" w:rsidR="001B7038" w:rsidRPr="00587A7D" w:rsidRDefault="001B7038" w:rsidP="000F7F7C">
            <w:pPr>
              <w:pStyle w:val="ListParagraph"/>
              <w:numPr>
                <w:ilvl w:val="0"/>
                <w:numId w:val="26"/>
              </w:numPr>
              <w:jc w:val="both"/>
            </w:pPr>
            <w:r w:rsidRPr="00587A7D">
              <w:t>The European Commission’s Digital Tax Package;</w:t>
            </w:r>
          </w:p>
          <w:p w14:paraId="3D65290B" w14:textId="77777777" w:rsidR="00B820EC" w:rsidRPr="00587A7D" w:rsidRDefault="00F32913" w:rsidP="000F7F7C">
            <w:pPr>
              <w:pStyle w:val="ListParagraph"/>
              <w:jc w:val="both"/>
            </w:pPr>
            <w:r w:rsidRPr="00587A7D">
              <w:t>A</w:t>
            </w:r>
            <w:r w:rsidR="001B7038" w:rsidRPr="00587A7D">
              <w:t xml:space="preserve"> var</w:t>
            </w:r>
            <w:r w:rsidRPr="00587A7D">
              <w:t xml:space="preserve">iety of </w:t>
            </w:r>
            <w:r w:rsidR="001B7038" w:rsidRPr="00587A7D">
              <w:t xml:space="preserve">unilateral international responses to different aspects of the digitalisation of the global economy (including equalisation levies, ‘web’ taxes, </w:t>
            </w:r>
            <w:r w:rsidRPr="00587A7D">
              <w:t xml:space="preserve">advertising taxes, royalty and other </w:t>
            </w:r>
            <w:r w:rsidR="001B7038" w:rsidRPr="00587A7D">
              <w:t>withholding taxes and digital taxable presences</w:t>
            </w:r>
            <w:r w:rsidRPr="00587A7D">
              <w:t xml:space="preserve"> or virtual permanent establishments</w:t>
            </w:r>
            <w:r w:rsidR="00F44709" w:rsidRPr="00587A7D">
              <w:t>)</w:t>
            </w:r>
            <w:r w:rsidR="001B7038" w:rsidRPr="00587A7D">
              <w:t>.</w:t>
            </w:r>
          </w:p>
          <w:p w14:paraId="7C3CE155" w14:textId="608AE8DF" w:rsidR="00B820EC" w:rsidRPr="00AE18FE" w:rsidRDefault="00B820EC" w:rsidP="000F7F7C">
            <w:pPr>
              <w:jc w:val="both"/>
            </w:pPr>
            <w:r w:rsidRPr="00587A7D">
              <w:t>The Board notes th</w:t>
            </w:r>
            <w:r w:rsidR="008C6ECE" w:rsidRPr="00587A7D">
              <w:t xml:space="preserve">e Government announced </w:t>
            </w:r>
            <w:r w:rsidRPr="00587A7D">
              <w:t>as part o</w:t>
            </w:r>
            <w:r w:rsidR="008C6ECE" w:rsidRPr="00587A7D">
              <w:t>f</w:t>
            </w:r>
            <w:r w:rsidRPr="00587A7D">
              <w:t xml:space="preserve"> the 2018-19 Budget </w:t>
            </w:r>
            <w:r w:rsidR="008C6ECE" w:rsidRPr="00587A7D">
              <w:t>that</w:t>
            </w:r>
            <w:r w:rsidRPr="00587A7D">
              <w:t xml:space="preserve"> </w:t>
            </w:r>
            <w:r w:rsidR="008C6ECE" w:rsidRPr="00587A7D">
              <w:t xml:space="preserve">a discussion paper </w:t>
            </w:r>
            <w:r w:rsidRPr="00587A7D">
              <w:t xml:space="preserve">will </w:t>
            </w:r>
            <w:r w:rsidR="008C6ECE" w:rsidRPr="00587A7D">
              <w:t xml:space="preserve">be released for the purposes of consulting </w:t>
            </w:r>
            <w:r w:rsidRPr="00587A7D">
              <w:t xml:space="preserve">on </w:t>
            </w:r>
            <w:r w:rsidR="008C6ECE" w:rsidRPr="00587A7D">
              <w:t xml:space="preserve">recent international developments and </w:t>
            </w:r>
            <w:r w:rsidRPr="00587A7D">
              <w:t xml:space="preserve">how </w:t>
            </w:r>
            <w:r w:rsidR="008C6ECE" w:rsidRPr="00587A7D">
              <w:t>digital businesses are taxed in Australia.</w:t>
            </w:r>
          </w:p>
        </w:tc>
        <w:tc>
          <w:tcPr>
            <w:tcW w:w="399" w:type="dxa"/>
            <w:gridSpan w:val="3"/>
          </w:tcPr>
          <w:p w14:paraId="469D85D8" w14:textId="77777777" w:rsidR="004C322A" w:rsidRPr="00587A7D" w:rsidRDefault="004C322A" w:rsidP="00657B86"/>
        </w:tc>
      </w:tr>
      <w:tr w:rsidR="0091071A" w:rsidRPr="005B32D7" w14:paraId="0598572D" w14:textId="77777777" w:rsidTr="002454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1" w:type="dxa"/>
        </w:trPr>
        <w:tc>
          <w:tcPr>
            <w:tcW w:w="448" w:type="dxa"/>
            <w:gridSpan w:val="2"/>
            <w:tcBorders>
              <w:top w:val="nil"/>
              <w:left w:val="nil"/>
              <w:bottom w:val="nil"/>
              <w:right w:val="nil"/>
            </w:tcBorders>
          </w:tcPr>
          <w:p w14:paraId="20E5D53D" w14:textId="77777777" w:rsidR="0091071A" w:rsidRPr="005B32D7" w:rsidRDefault="0091071A" w:rsidP="001B7038"/>
        </w:tc>
        <w:tc>
          <w:tcPr>
            <w:tcW w:w="9858" w:type="dxa"/>
            <w:gridSpan w:val="8"/>
            <w:tcBorders>
              <w:top w:val="nil"/>
              <w:left w:val="nil"/>
              <w:bottom w:val="nil"/>
              <w:right w:val="nil"/>
            </w:tcBorders>
          </w:tcPr>
          <w:p w14:paraId="2C324154" w14:textId="77777777" w:rsidR="0091071A" w:rsidRPr="005B32D7" w:rsidRDefault="0091071A" w:rsidP="00FF30E5">
            <w:pPr>
              <w:pStyle w:val="Heading2"/>
              <w:spacing w:before="60" w:after="60"/>
              <w:outlineLvl w:val="1"/>
            </w:pPr>
            <w:r w:rsidRPr="00FF30E5">
              <w:t>Sounding Board</w:t>
            </w:r>
          </w:p>
        </w:tc>
        <w:tc>
          <w:tcPr>
            <w:tcW w:w="399" w:type="dxa"/>
            <w:gridSpan w:val="3"/>
            <w:tcBorders>
              <w:top w:val="nil"/>
              <w:left w:val="nil"/>
              <w:bottom w:val="nil"/>
              <w:right w:val="nil"/>
            </w:tcBorders>
          </w:tcPr>
          <w:p w14:paraId="1F0107E3" w14:textId="77777777" w:rsidR="0091071A" w:rsidRPr="005B32D7" w:rsidRDefault="0091071A" w:rsidP="001B7038"/>
        </w:tc>
      </w:tr>
      <w:tr w:rsidR="0091071A" w:rsidRPr="00292DBB" w14:paraId="60D51214" w14:textId="77777777" w:rsidTr="002454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1" w:type="dxa"/>
        </w:trPr>
        <w:tc>
          <w:tcPr>
            <w:tcW w:w="448" w:type="dxa"/>
            <w:gridSpan w:val="2"/>
            <w:tcBorders>
              <w:top w:val="nil"/>
              <w:left w:val="nil"/>
              <w:bottom w:val="nil"/>
              <w:right w:val="nil"/>
            </w:tcBorders>
          </w:tcPr>
          <w:p w14:paraId="4055064E" w14:textId="77777777" w:rsidR="0091071A" w:rsidRPr="00587A7D" w:rsidRDefault="0091071A" w:rsidP="001B7038"/>
        </w:tc>
        <w:tc>
          <w:tcPr>
            <w:tcW w:w="9858" w:type="dxa"/>
            <w:gridSpan w:val="8"/>
            <w:tcBorders>
              <w:top w:val="nil"/>
              <w:left w:val="nil"/>
              <w:bottom w:val="nil"/>
              <w:right w:val="nil"/>
            </w:tcBorders>
          </w:tcPr>
          <w:p w14:paraId="53BB0A81" w14:textId="6771F19B" w:rsidR="0091071A" w:rsidRPr="00587A7D" w:rsidRDefault="0091071A" w:rsidP="001B7038">
            <w:pPr>
              <w:spacing w:before="0" w:line="300" w:lineRule="exact"/>
            </w:pPr>
            <w:r w:rsidRPr="00587A7D">
              <w:t xml:space="preserve">The Board discussed </w:t>
            </w:r>
            <w:r w:rsidR="005854D4" w:rsidRPr="00587A7D">
              <w:t xml:space="preserve">a </w:t>
            </w:r>
            <w:r w:rsidRPr="00587A7D">
              <w:t xml:space="preserve">new idea recently posted to Sounding Board and a number of ideas that are currently under consideration by the Board.  Please see the Sounding Board site to make comments on existing ideas or to post your own new ideas – </w:t>
            </w:r>
            <w:hyperlink r:id="rId11" w:history="1">
              <w:r w:rsidRPr="00587A7D">
                <w:rPr>
                  <w:rStyle w:val="Hyperlink"/>
                </w:rPr>
                <w:t>https://taxboard.ideascale.com/</w:t>
              </w:r>
            </w:hyperlink>
            <w:r w:rsidRPr="00587A7D">
              <w:t>. The Sounding Board continues to be a standing agenda item at every Board meeting.</w:t>
            </w:r>
          </w:p>
          <w:p w14:paraId="689822BD" w14:textId="3845D030" w:rsidR="00662AD2" w:rsidRPr="00587A7D" w:rsidRDefault="00662AD2" w:rsidP="001B7038">
            <w:pPr>
              <w:spacing w:before="0" w:line="300" w:lineRule="exact"/>
            </w:pPr>
            <w:r w:rsidRPr="00587A7D">
              <w:t>It was agreed that two ideas from Sounding Board relat</w:t>
            </w:r>
            <w:r w:rsidR="00F32DCA" w:rsidRPr="00587A7D">
              <w:t>ing</w:t>
            </w:r>
            <w:r w:rsidRPr="00587A7D">
              <w:t xml:space="preserve"> to Fringe Benefits Tax will be investigated as part of the Board’s new FBT compliance costs project.  </w:t>
            </w:r>
          </w:p>
          <w:p w14:paraId="18DFB794" w14:textId="70D6FDB1" w:rsidR="007704CF" w:rsidRPr="00587A7D" w:rsidRDefault="0091071A" w:rsidP="00F32DCA">
            <w:pPr>
              <w:spacing w:before="0" w:line="300" w:lineRule="exact"/>
            </w:pPr>
            <w:r w:rsidRPr="00587A7D">
              <w:t xml:space="preserve">The Board also </w:t>
            </w:r>
            <w:r w:rsidR="005854D4" w:rsidRPr="00587A7D">
              <w:t xml:space="preserve">decided that a review of Sounding Board and how it is being utilised would be undertaken in time for consideration at the Board’s November meeting.  If you have any thoughts or feedback </w:t>
            </w:r>
            <w:r w:rsidR="000B1154" w:rsidRPr="00587A7D">
              <w:t xml:space="preserve">on your experience with Sounding Board and its operation, </w:t>
            </w:r>
            <w:r w:rsidR="00F32DCA" w:rsidRPr="00587A7D">
              <w:t>we are interested to hear from you.</w:t>
            </w:r>
          </w:p>
        </w:tc>
        <w:tc>
          <w:tcPr>
            <w:tcW w:w="399" w:type="dxa"/>
            <w:gridSpan w:val="3"/>
            <w:tcBorders>
              <w:top w:val="nil"/>
              <w:left w:val="nil"/>
              <w:bottom w:val="nil"/>
              <w:right w:val="nil"/>
            </w:tcBorders>
          </w:tcPr>
          <w:p w14:paraId="5992690E" w14:textId="77777777" w:rsidR="0091071A" w:rsidRPr="00587A7D" w:rsidRDefault="0091071A" w:rsidP="001B7038"/>
        </w:tc>
      </w:tr>
      <w:tr w:rsidR="006404BD" w:rsidRPr="00BD2FF3" w14:paraId="7EBDCE58" w14:textId="77777777" w:rsidTr="002454A1">
        <w:trPr>
          <w:gridAfter w:val="1"/>
          <w:wAfter w:w="161" w:type="dxa"/>
          <w:jc w:val="center"/>
        </w:trPr>
        <w:tc>
          <w:tcPr>
            <w:tcW w:w="473" w:type="dxa"/>
            <w:gridSpan w:val="3"/>
          </w:tcPr>
          <w:p w14:paraId="151E4F57" w14:textId="3948CF06" w:rsidR="006404BD" w:rsidRPr="00BD2FF3" w:rsidRDefault="006404BD" w:rsidP="00657B86"/>
        </w:tc>
        <w:tc>
          <w:tcPr>
            <w:tcW w:w="9805" w:type="dxa"/>
            <w:gridSpan w:val="6"/>
          </w:tcPr>
          <w:p w14:paraId="46D67434" w14:textId="1D0B83C7" w:rsidR="006404BD" w:rsidRPr="00FF30E5" w:rsidRDefault="006404BD" w:rsidP="00FF30E5">
            <w:pPr>
              <w:pStyle w:val="Heading2"/>
              <w:spacing w:before="60" w:after="60"/>
              <w:outlineLvl w:val="1"/>
            </w:pPr>
            <w:r w:rsidRPr="00FF30E5">
              <w:t>Tax Transparency Code</w:t>
            </w:r>
          </w:p>
        </w:tc>
        <w:tc>
          <w:tcPr>
            <w:tcW w:w="427" w:type="dxa"/>
            <w:gridSpan w:val="4"/>
          </w:tcPr>
          <w:p w14:paraId="2C34C030" w14:textId="77777777" w:rsidR="006404BD" w:rsidRPr="00BD2FF3" w:rsidRDefault="006404BD" w:rsidP="00657B86"/>
        </w:tc>
      </w:tr>
      <w:tr w:rsidR="006404BD" w:rsidRPr="00292DBB" w14:paraId="40BBFAB2" w14:textId="77777777" w:rsidTr="002454A1">
        <w:trPr>
          <w:gridAfter w:val="1"/>
          <w:wAfter w:w="161" w:type="dxa"/>
          <w:jc w:val="center"/>
        </w:trPr>
        <w:tc>
          <w:tcPr>
            <w:tcW w:w="473" w:type="dxa"/>
            <w:gridSpan w:val="3"/>
          </w:tcPr>
          <w:p w14:paraId="131E3F0E" w14:textId="77777777" w:rsidR="006404BD" w:rsidRPr="00587A7D" w:rsidRDefault="006404BD" w:rsidP="00657B86"/>
        </w:tc>
        <w:tc>
          <w:tcPr>
            <w:tcW w:w="9805" w:type="dxa"/>
            <w:gridSpan w:val="6"/>
          </w:tcPr>
          <w:p w14:paraId="5AD24ED3" w14:textId="6F735AE1" w:rsidR="006404BD" w:rsidRDefault="006404BD" w:rsidP="000F7F7C">
            <w:pPr>
              <w:jc w:val="both"/>
            </w:pPr>
            <w:r w:rsidRPr="00587A7D">
              <w:t xml:space="preserve">The Board continues to discuss the take-up of the Voluntary Tax Transparency Code (the Code). </w:t>
            </w:r>
            <w:r w:rsidR="000F7F7C">
              <w:t xml:space="preserve"> </w:t>
            </w:r>
            <w:r w:rsidRPr="00587A7D">
              <w:t xml:space="preserve">As at </w:t>
            </w:r>
            <w:r w:rsidR="007E1CC0" w:rsidRPr="00587A7D">
              <w:t>15</w:t>
            </w:r>
            <w:r w:rsidR="000F7F7C">
              <w:t> </w:t>
            </w:r>
            <w:r w:rsidR="007E1CC0" w:rsidRPr="00587A7D">
              <w:t>May</w:t>
            </w:r>
            <w:r w:rsidR="005854D4" w:rsidRPr="00587A7D">
              <w:t xml:space="preserve"> 2018</w:t>
            </w:r>
            <w:r w:rsidRPr="00587A7D">
              <w:t xml:space="preserve">, there were </w:t>
            </w:r>
            <w:r w:rsidR="005854D4" w:rsidRPr="00587A7D">
              <w:t>13</w:t>
            </w:r>
            <w:r w:rsidR="007E1CC0" w:rsidRPr="00587A7D">
              <w:t>6</w:t>
            </w:r>
            <w:r w:rsidR="005854D4" w:rsidRPr="00587A7D">
              <w:t xml:space="preserve"> </w:t>
            </w:r>
            <w:r w:rsidRPr="00587A7D">
              <w:t xml:space="preserve">signatories to the Code and </w:t>
            </w:r>
            <w:r w:rsidR="005854D4" w:rsidRPr="00587A7D">
              <w:t>1</w:t>
            </w:r>
            <w:r w:rsidR="007E1CC0" w:rsidRPr="00587A7D">
              <w:t>13</w:t>
            </w:r>
            <w:r w:rsidR="005854D4" w:rsidRPr="00587A7D">
              <w:t xml:space="preserve"> </w:t>
            </w:r>
            <w:r w:rsidRPr="00587A7D">
              <w:t>signatories have published a tax transparency report. As new signatories sign up to the Code, the Board will provide an introductory guide to assist companies understand the “best practice” for the preparation and pub</w:t>
            </w:r>
            <w:r w:rsidR="00D65CF2" w:rsidRPr="00587A7D">
              <w:t xml:space="preserve">lication of their entities Code.  </w:t>
            </w:r>
          </w:p>
          <w:p w14:paraId="1C1EC700" w14:textId="4BCD5999" w:rsidR="00B10087" w:rsidRPr="00587A7D" w:rsidRDefault="00B10087" w:rsidP="000F7F7C">
            <w:pPr>
              <w:jc w:val="both"/>
            </w:pPr>
            <w:r>
              <w:t>As part of the 2018/2019 Budget announcements, the Government announced that it would support the Black Economy Taskforce recommendation to increase the integrity of Government procurement processes (Recommendation 9.1).  This will include a requirement that for large contracts, tenderers must also provide evidence of their tax record, including the fact that they have adopted the Tax Transparency Code requirements.</w:t>
            </w:r>
          </w:p>
          <w:p w14:paraId="0A65C18C" w14:textId="5ED6FC59" w:rsidR="00B10087" w:rsidRPr="00587A7D" w:rsidRDefault="006404BD" w:rsidP="002454A1">
            <w:pPr>
              <w:jc w:val="both"/>
            </w:pPr>
            <w:r w:rsidRPr="00587A7D">
              <w:t xml:space="preserve">The Board encourages you to adopt the Code and support and assist your clients to adopt it. </w:t>
            </w:r>
            <w:r w:rsidR="00F74106" w:rsidRPr="00587A7D">
              <w:t xml:space="preserve"> </w:t>
            </w:r>
            <w:r w:rsidRPr="00587A7D">
              <w:t xml:space="preserve">It is as simple as sending us an email setting out your groups’ intentions! </w:t>
            </w:r>
            <w:r w:rsidR="00F74106" w:rsidRPr="00587A7D">
              <w:t xml:space="preserve"> </w:t>
            </w:r>
            <w:r w:rsidRPr="00587A7D">
              <w:t xml:space="preserve">For further information on the Code or to register your intention to adopt it, please contact us at </w:t>
            </w:r>
            <w:hyperlink r:id="rId12" w:history="1">
              <w:r w:rsidRPr="00587A7D">
                <w:rPr>
                  <w:rStyle w:val="Hyperlink"/>
                </w:rPr>
                <w:t>taxboard@treasury.gov.au</w:t>
              </w:r>
            </w:hyperlink>
            <w:r w:rsidRPr="00587A7D">
              <w:rPr>
                <w:rStyle w:val="Hyperlink"/>
              </w:rPr>
              <w:t>.</w:t>
            </w:r>
            <w:r w:rsidR="00D65CF2" w:rsidRPr="00587A7D">
              <w:t xml:space="preserve"> </w:t>
            </w:r>
          </w:p>
        </w:tc>
        <w:tc>
          <w:tcPr>
            <w:tcW w:w="427" w:type="dxa"/>
            <w:gridSpan w:val="4"/>
          </w:tcPr>
          <w:p w14:paraId="7CBED9F1" w14:textId="77777777" w:rsidR="006404BD" w:rsidRPr="00587A7D" w:rsidRDefault="006404BD" w:rsidP="00657B86"/>
        </w:tc>
      </w:tr>
      <w:tr w:rsidR="006404BD" w:rsidRPr="00BD2FF3" w14:paraId="51AE0221" w14:textId="77777777" w:rsidTr="002454A1">
        <w:trPr>
          <w:gridAfter w:val="1"/>
          <w:wAfter w:w="161" w:type="dxa"/>
          <w:jc w:val="center"/>
        </w:trPr>
        <w:tc>
          <w:tcPr>
            <w:tcW w:w="473" w:type="dxa"/>
            <w:gridSpan w:val="3"/>
          </w:tcPr>
          <w:p w14:paraId="2E5F0FC1" w14:textId="5D20338F" w:rsidR="006404BD" w:rsidRDefault="006404BD" w:rsidP="00657B86"/>
        </w:tc>
        <w:tc>
          <w:tcPr>
            <w:tcW w:w="9805" w:type="dxa"/>
            <w:gridSpan w:val="6"/>
          </w:tcPr>
          <w:p w14:paraId="0FEC21E1" w14:textId="1F843954" w:rsidR="006404BD" w:rsidRPr="00FF30E5" w:rsidRDefault="006404BD" w:rsidP="00FF30E5">
            <w:pPr>
              <w:pStyle w:val="Heading2"/>
              <w:spacing w:before="60" w:after="60"/>
              <w:outlineLvl w:val="1"/>
            </w:pPr>
            <w:r w:rsidRPr="00FF30E5">
              <w:t>Our meeting dates for 2018</w:t>
            </w:r>
          </w:p>
        </w:tc>
        <w:tc>
          <w:tcPr>
            <w:tcW w:w="427" w:type="dxa"/>
            <w:gridSpan w:val="4"/>
          </w:tcPr>
          <w:p w14:paraId="70DC6224" w14:textId="77777777" w:rsidR="006404BD" w:rsidRDefault="006404BD" w:rsidP="00657B86"/>
        </w:tc>
      </w:tr>
      <w:tr w:rsidR="006404BD" w:rsidRPr="00292DBB" w14:paraId="5DB26B1C" w14:textId="77777777" w:rsidTr="002454A1">
        <w:trPr>
          <w:gridAfter w:val="1"/>
          <w:wAfter w:w="161" w:type="dxa"/>
          <w:jc w:val="center"/>
        </w:trPr>
        <w:tc>
          <w:tcPr>
            <w:tcW w:w="473" w:type="dxa"/>
            <w:gridSpan w:val="3"/>
          </w:tcPr>
          <w:p w14:paraId="40E8B95D" w14:textId="77777777" w:rsidR="006404BD" w:rsidRPr="00587A7D" w:rsidRDefault="006404BD" w:rsidP="00657B86"/>
        </w:tc>
        <w:tc>
          <w:tcPr>
            <w:tcW w:w="9805" w:type="dxa"/>
            <w:gridSpan w:val="6"/>
          </w:tcPr>
          <w:p w14:paraId="3B1C00F3" w14:textId="4FE96DA8" w:rsidR="006404BD" w:rsidRPr="00587A7D" w:rsidRDefault="006404BD" w:rsidP="0091071A">
            <w:r w:rsidRPr="00587A7D">
              <w:t>The Board meeting dates and locations for 2018</w:t>
            </w:r>
            <w:r w:rsidR="0091071A" w:rsidRPr="00587A7D">
              <w:t xml:space="preserve"> are set out below</w:t>
            </w:r>
            <w:r w:rsidRPr="00587A7D">
              <w:t>.</w:t>
            </w:r>
            <w:r w:rsidR="0091071A" w:rsidRPr="00587A7D">
              <w:t xml:space="preserve">  </w:t>
            </w:r>
            <w:r w:rsidRPr="00587A7D">
              <w:t>Any updates will be reflected on the Board’s website.</w:t>
            </w:r>
          </w:p>
        </w:tc>
        <w:tc>
          <w:tcPr>
            <w:tcW w:w="427" w:type="dxa"/>
            <w:gridSpan w:val="4"/>
          </w:tcPr>
          <w:p w14:paraId="3C5D2DCA" w14:textId="77777777" w:rsidR="006404BD" w:rsidRPr="00587A7D" w:rsidRDefault="006404BD" w:rsidP="00657B86"/>
        </w:tc>
      </w:tr>
      <w:tr w:rsidR="006404BD" w:rsidRPr="00292DBB" w14:paraId="2A9C5695" w14:textId="77777777" w:rsidTr="002454A1">
        <w:trPr>
          <w:gridAfter w:val="1"/>
          <w:wAfter w:w="161" w:type="dxa"/>
          <w:jc w:val="center"/>
        </w:trPr>
        <w:tc>
          <w:tcPr>
            <w:tcW w:w="473" w:type="dxa"/>
            <w:gridSpan w:val="3"/>
          </w:tcPr>
          <w:p w14:paraId="1E0D8A36" w14:textId="77777777" w:rsidR="006404BD" w:rsidRPr="00587A7D" w:rsidRDefault="006404BD" w:rsidP="00657B86"/>
        </w:tc>
        <w:tc>
          <w:tcPr>
            <w:tcW w:w="9805" w:type="dxa"/>
            <w:gridSpan w:val="6"/>
          </w:tcPr>
          <w:p w14:paraId="637274D5" w14:textId="39BF9DB0" w:rsidR="0091071A" w:rsidRPr="00587A7D" w:rsidRDefault="0091071A" w:rsidP="0091071A">
            <w:pPr>
              <w:tabs>
                <w:tab w:val="left" w:pos="3230"/>
                <w:tab w:val="left" w:pos="6632"/>
              </w:tabs>
              <w:spacing w:before="0" w:after="200"/>
            </w:pPr>
            <w:r w:rsidRPr="00587A7D">
              <w:t>No January meeting</w:t>
            </w:r>
            <w:r w:rsidRPr="00587A7D">
              <w:tab/>
              <w:t>25 May – Canberra</w:t>
            </w:r>
            <w:r w:rsidRPr="00587A7D">
              <w:tab/>
              <w:t>13 September – Sydney</w:t>
            </w:r>
          </w:p>
          <w:p w14:paraId="619CD1B1" w14:textId="258AB23D" w:rsidR="005A749C" w:rsidRPr="00587A7D" w:rsidRDefault="0091071A" w:rsidP="0091071A">
            <w:pPr>
              <w:tabs>
                <w:tab w:val="left" w:pos="3230"/>
                <w:tab w:val="left" w:pos="6632"/>
              </w:tabs>
              <w:spacing w:before="0" w:after="200"/>
            </w:pPr>
            <w:r w:rsidRPr="00587A7D">
              <w:t>15 February 2018 - Melbourne</w:t>
            </w:r>
            <w:r w:rsidR="005A749C" w:rsidRPr="00587A7D">
              <w:tab/>
            </w:r>
            <w:r w:rsidRPr="00587A7D">
              <w:t>No June meeting</w:t>
            </w:r>
            <w:r w:rsidR="006404BD" w:rsidRPr="00587A7D">
              <w:tab/>
              <w:t>18 October – Perth</w:t>
            </w:r>
          </w:p>
          <w:p w14:paraId="50C8FEDD" w14:textId="1BCE8C54" w:rsidR="005A749C" w:rsidRPr="00587A7D" w:rsidRDefault="0091071A" w:rsidP="0091071A">
            <w:pPr>
              <w:tabs>
                <w:tab w:val="left" w:pos="3230"/>
                <w:tab w:val="left" w:pos="6632"/>
              </w:tabs>
              <w:spacing w:before="0" w:after="200"/>
            </w:pPr>
            <w:r w:rsidRPr="00587A7D">
              <w:t>22 March 2018 - Sydney</w:t>
            </w:r>
            <w:r w:rsidR="005A749C" w:rsidRPr="00587A7D">
              <w:tab/>
            </w:r>
            <w:r w:rsidRPr="00587A7D">
              <w:t>5 July – Melbourne</w:t>
            </w:r>
            <w:r w:rsidR="006404BD" w:rsidRPr="00587A7D">
              <w:tab/>
              <w:t>15 November – Melbourne</w:t>
            </w:r>
          </w:p>
          <w:p w14:paraId="087BF56A" w14:textId="13935165" w:rsidR="006404BD" w:rsidRPr="00587A7D" w:rsidRDefault="0091071A" w:rsidP="0091071A">
            <w:pPr>
              <w:tabs>
                <w:tab w:val="left" w:pos="3230"/>
                <w:tab w:val="left" w:pos="6632"/>
              </w:tabs>
              <w:spacing w:before="0" w:after="200"/>
            </w:pPr>
            <w:r w:rsidRPr="00587A7D">
              <w:t>19 April – Brisbane</w:t>
            </w:r>
            <w:r w:rsidR="005A749C" w:rsidRPr="00587A7D">
              <w:tab/>
            </w:r>
            <w:r w:rsidRPr="00587A7D">
              <w:t>9 August – Adelaide</w:t>
            </w:r>
            <w:r w:rsidR="006404BD" w:rsidRPr="00587A7D">
              <w:tab/>
              <w:t xml:space="preserve">14 December </w:t>
            </w:r>
            <w:r w:rsidR="00F74106" w:rsidRPr="00587A7D">
              <w:t>–</w:t>
            </w:r>
            <w:r w:rsidR="006404BD" w:rsidRPr="00587A7D">
              <w:t xml:space="preserve"> Sydney</w:t>
            </w:r>
          </w:p>
        </w:tc>
        <w:tc>
          <w:tcPr>
            <w:tcW w:w="427" w:type="dxa"/>
            <w:gridSpan w:val="4"/>
          </w:tcPr>
          <w:p w14:paraId="1682950A" w14:textId="77777777" w:rsidR="006404BD" w:rsidRPr="00587A7D" w:rsidRDefault="006404BD" w:rsidP="00657B86"/>
        </w:tc>
      </w:tr>
      <w:tr w:rsidR="006404BD" w:rsidRPr="00BD2FF3" w14:paraId="5BED6209" w14:textId="77777777" w:rsidTr="002454A1">
        <w:trPr>
          <w:gridAfter w:val="1"/>
          <w:wAfter w:w="161" w:type="dxa"/>
          <w:jc w:val="center"/>
        </w:trPr>
        <w:tc>
          <w:tcPr>
            <w:tcW w:w="473" w:type="dxa"/>
            <w:gridSpan w:val="3"/>
          </w:tcPr>
          <w:p w14:paraId="39A6C414" w14:textId="31DBFB66" w:rsidR="006404BD" w:rsidRDefault="006404BD" w:rsidP="00657B86"/>
        </w:tc>
        <w:tc>
          <w:tcPr>
            <w:tcW w:w="9805" w:type="dxa"/>
            <w:gridSpan w:val="6"/>
          </w:tcPr>
          <w:p w14:paraId="4DBD022A" w14:textId="03327769" w:rsidR="006404BD" w:rsidRPr="00F23171" w:rsidRDefault="006404BD" w:rsidP="007704CF">
            <w:pPr>
              <w:pStyle w:val="Heading2"/>
              <w:outlineLvl w:val="1"/>
              <w:rPr>
                <w:sz w:val="24"/>
                <w:szCs w:val="24"/>
              </w:rPr>
            </w:pPr>
            <w:r w:rsidRPr="00B37CE1">
              <w:rPr>
                <w:szCs w:val="40"/>
              </w:rPr>
              <w:t>Thank You</w:t>
            </w:r>
            <w:r>
              <w:rPr>
                <w:szCs w:val="40"/>
              </w:rPr>
              <w:t>!</w:t>
            </w:r>
          </w:p>
        </w:tc>
        <w:tc>
          <w:tcPr>
            <w:tcW w:w="427" w:type="dxa"/>
            <w:gridSpan w:val="4"/>
          </w:tcPr>
          <w:p w14:paraId="6708E95C" w14:textId="77777777" w:rsidR="006404BD" w:rsidRDefault="006404BD" w:rsidP="00657B86"/>
        </w:tc>
      </w:tr>
      <w:tr w:rsidR="006404BD" w:rsidRPr="00292DBB" w14:paraId="7F54894D" w14:textId="77777777" w:rsidTr="002454A1">
        <w:trPr>
          <w:gridAfter w:val="1"/>
          <w:wAfter w:w="161" w:type="dxa"/>
          <w:jc w:val="center"/>
        </w:trPr>
        <w:tc>
          <w:tcPr>
            <w:tcW w:w="473" w:type="dxa"/>
            <w:gridSpan w:val="3"/>
          </w:tcPr>
          <w:p w14:paraId="04D419C9" w14:textId="77777777" w:rsidR="006404BD" w:rsidRPr="00292DBB" w:rsidRDefault="006404BD" w:rsidP="00657B86"/>
        </w:tc>
        <w:tc>
          <w:tcPr>
            <w:tcW w:w="9805" w:type="dxa"/>
            <w:gridSpan w:val="6"/>
          </w:tcPr>
          <w:p w14:paraId="2293B85D" w14:textId="38CB5D3C" w:rsidR="002454A1" w:rsidRPr="00587A7D" w:rsidRDefault="005A749C" w:rsidP="006404BD">
            <w:pPr>
              <w:spacing w:before="0" w:line="300" w:lineRule="exact"/>
            </w:pPr>
            <w:r w:rsidRPr="00587A7D">
              <w:t xml:space="preserve">Thank you to the Partners </w:t>
            </w:r>
            <w:r w:rsidR="005A616B" w:rsidRPr="00587A7D">
              <w:t xml:space="preserve">of KPMG </w:t>
            </w:r>
            <w:r w:rsidR="007E1CC0" w:rsidRPr="00587A7D">
              <w:t xml:space="preserve">and Rio Tinto </w:t>
            </w:r>
            <w:r w:rsidR="005A616B" w:rsidRPr="00587A7D">
              <w:t>for hosting the Board meeting</w:t>
            </w:r>
            <w:r w:rsidR="007E1CC0" w:rsidRPr="00587A7D">
              <w:t>s in March and April</w:t>
            </w:r>
            <w:r w:rsidR="005A616B" w:rsidRPr="00587A7D">
              <w:t xml:space="preserve">.  Thank you also to the Partners </w:t>
            </w:r>
            <w:r w:rsidRPr="00587A7D">
              <w:t>and clients of KPMG</w:t>
            </w:r>
            <w:r w:rsidR="007E1CC0" w:rsidRPr="00587A7D">
              <w:t xml:space="preserve">, </w:t>
            </w:r>
            <w:r w:rsidR="005A616B" w:rsidRPr="00587A7D">
              <w:t xml:space="preserve">our stakeholder advisory panel </w:t>
            </w:r>
            <w:r w:rsidR="007E1CC0" w:rsidRPr="00587A7D">
              <w:t xml:space="preserve">and the Brisbane members of the </w:t>
            </w:r>
            <w:r w:rsidR="00A37EDC" w:rsidRPr="00587A7D">
              <w:t>Corporate</w:t>
            </w:r>
            <w:r w:rsidR="007E1CC0" w:rsidRPr="00587A7D">
              <w:t xml:space="preserve"> Tax Association</w:t>
            </w:r>
            <w:r w:rsidR="007F6B74" w:rsidRPr="00587A7D">
              <w:t xml:space="preserve"> </w:t>
            </w:r>
            <w:r w:rsidRPr="00587A7D">
              <w:t>for an interesting stakeholder discussion.</w:t>
            </w:r>
          </w:p>
          <w:p w14:paraId="46C3316A" w14:textId="38A20ACB" w:rsidR="006404BD" w:rsidRPr="00587A7D" w:rsidRDefault="006404BD" w:rsidP="006404BD">
            <w:pPr>
              <w:spacing w:before="0" w:line="300" w:lineRule="exact"/>
            </w:pPr>
            <w:r w:rsidRPr="00587A7D">
              <w:t xml:space="preserve">Our next Board meeting will be held in </w:t>
            </w:r>
            <w:r w:rsidR="007F6B74" w:rsidRPr="00587A7D">
              <w:t xml:space="preserve">Canberra </w:t>
            </w:r>
            <w:r w:rsidRPr="00587A7D">
              <w:t xml:space="preserve">on </w:t>
            </w:r>
            <w:r w:rsidR="007F6B74" w:rsidRPr="00587A7D">
              <w:t>25 May</w:t>
            </w:r>
            <w:r w:rsidRPr="00587A7D">
              <w:t xml:space="preserve"> 2018. </w:t>
            </w:r>
          </w:p>
          <w:p w14:paraId="57EDE027" w14:textId="310907C9" w:rsidR="006404BD" w:rsidRPr="00AE18FE" w:rsidRDefault="006404BD" w:rsidP="002454A1">
            <w:pPr>
              <w:spacing w:before="0" w:line="300" w:lineRule="exact"/>
            </w:pPr>
            <w:r w:rsidRPr="00587A7D">
              <w:t>Don’t forget, the Board is live on LinkedIn! You can follow TaxBoard for tho</w:t>
            </w:r>
            <w:r w:rsidR="00F74106" w:rsidRPr="00587A7D">
              <w:t>se of you who are on LinkedIn.</w:t>
            </w:r>
          </w:p>
        </w:tc>
        <w:tc>
          <w:tcPr>
            <w:tcW w:w="427" w:type="dxa"/>
            <w:gridSpan w:val="4"/>
          </w:tcPr>
          <w:p w14:paraId="5BBD117B" w14:textId="77777777" w:rsidR="006404BD" w:rsidRPr="00292DBB" w:rsidRDefault="006404BD" w:rsidP="00657B86"/>
        </w:tc>
      </w:tr>
      <w:tr w:rsidR="005A40E0" w:rsidRPr="00BD2FF3" w14:paraId="15033CC3" w14:textId="77777777" w:rsidTr="002454A1">
        <w:tblPrEx>
          <w:tblBorders>
            <w:bottom w:val="single" w:sz="4" w:space="0" w:color="BFBFBF" w:themeColor="background1" w:themeShade="BF"/>
          </w:tblBorders>
          <w:shd w:val="clear" w:color="auto" w:fill="CCDDF1"/>
        </w:tblPrEx>
        <w:trPr>
          <w:gridAfter w:val="2"/>
          <w:wAfter w:w="179" w:type="dxa"/>
          <w:jc w:val="center"/>
        </w:trPr>
        <w:tc>
          <w:tcPr>
            <w:tcW w:w="501" w:type="dxa"/>
            <w:gridSpan w:val="4"/>
            <w:tcBorders>
              <w:bottom w:val="single" w:sz="4" w:space="0" w:color="BFBFBF" w:themeColor="background1" w:themeShade="BF"/>
            </w:tcBorders>
            <w:shd w:val="clear" w:color="auto" w:fill="1F497D" w:themeFill="text2"/>
          </w:tcPr>
          <w:p w14:paraId="74724707" w14:textId="194EC0D8" w:rsidR="005A40E0" w:rsidRPr="00BD2FF3" w:rsidRDefault="005A40E0" w:rsidP="001B7038"/>
        </w:tc>
        <w:tc>
          <w:tcPr>
            <w:tcW w:w="2631" w:type="dxa"/>
            <w:gridSpan w:val="3"/>
            <w:tcBorders>
              <w:bottom w:val="single" w:sz="4" w:space="0" w:color="BFBFBF" w:themeColor="background1" w:themeShade="BF"/>
            </w:tcBorders>
            <w:shd w:val="clear" w:color="auto" w:fill="1F497D" w:themeFill="text2"/>
          </w:tcPr>
          <w:p w14:paraId="5F1BC77C" w14:textId="77777777" w:rsidR="005A40E0" w:rsidRPr="002256FA" w:rsidRDefault="005A40E0" w:rsidP="001B7038">
            <w:pPr>
              <w:ind w:left="43"/>
              <w:rPr>
                <w:color w:val="FFFFFF" w:themeColor="background1"/>
                <w:lang w:eastAsia="en-AU"/>
              </w:rPr>
            </w:pPr>
            <w:r w:rsidRPr="002256FA">
              <w:rPr>
                <w:color w:val="FFFFFF" w:themeColor="background1"/>
                <w:lang w:eastAsia="en-AU"/>
              </w:rPr>
              <w:t>Karen Payne</w:t>
            </w:r>
          </w:p>
          <w:p w14:paraId="47C0C81F" w14:textId="77777777" w:rsidR="005A40E0" w:rsidRPr="002256FA" w:rsidRDefault="005A40E0" w:rsidP="001B7038">
            <w:pPr>
              <w:ind w:left="43"/>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6964" w:type="dxa"/>
            <w:tcBorders>
              <w:bottom w:val="single" w:sz="4" w:space="0" w:color="BFBFBF" w:themeColor="background1" w:themeShade="BF"/>
            </w:tcBorders>
            <w:shd w:val="clear" w:color="auto" w:fill="1F497D" w:themeFill="text2"/>
          </w:tcPr>
          <w:p w14:paraId="49CA3291" w14:textId="77777777" w:rsidR="005A40E0" w:rsidRPr="002256FA" w:rsidRDefault="005A40E0" w:rsidP="001B7038">
            <w:pPr>
              <w:ind w:left="43"/>
              <w:rPr>
                <w:color w:val="FFFFFF" w:themeColor="background1"/>
                <w:lang w:eastAsia="en-AU"/>
              </w:rPr>
            </w:pPr>
            <w:r w:rsidRPr="002256FA">
              <w:rPr>
                <w:color w:val="FFFFFF" w:themeColor="background1"/>
                <w:lang w:eastAsia="en-AU"/>
              </w:rPr>
              <w:t>phone:  +61 2 6263 2122</w:t>
            </w:r>
          </w:p>
          <w:p w14:paraId="6D02AE54" w14:textId="77777777" w:rsidR="005A40E0" w:rsidRPr="002256FA" w:rsidRDefault="005A40E0" w:rsidP="001B7038">
            <w:pPr>
              <w:ind w:left="43"/>
              <w:rPr>
                <w:color w:val="FFFFFF" w:themeColor="background1"/>
                <w:lang w:eastAsia="en-AU"/>
              </w:rPr>
            </w:pPr>
            <w:r w:rsidRPr="002256FA">
              <w:rPr>
                <w:color w:val="FFFFFF" w:themeColor="background1"/>
                <w:lang w:eastAsia="en-AU"/>
              </w:rPr>
              <w:t>mobile: 0405 843 880</w:t>
            </w:r>
          </w:p>
          <w:p w14:paraId="1AE6BB90" w14:textId="77777777" w:rsidR="005A40E0" w:rsidRPr="002256FA" w:rsidRDefault="005A40E0" w:rsidP="001B7038">
            <w:pPr>
              <w:ind w:left="43"/>
              <w:rPr>
                <w:color w:val="FFFFFF" w:themeColor="background1"/>
                <w:lang w:eastAsia="en-AU"/>
              </w:rPr>
            </w:pPr>
            <w:r w:rsidRPr="002256FA">
              <w:rPr>
                <w:color w:val="FFFFFF" w:themeColor="background1"/>
                <w:lang w:eastAsia="en-AU"/>
              </w:rPr>
              <w:t>fax: +61 2 6263 2617</w:t>
            </w:r>
          </w:p>
          <w:p w14:paraId="20B63E22" w14:textId="77777777" w:rsidR="005A40E0" w:rsidRPr="002256FA" w:rsidRDefault="005A40E0" w:rsidP="001B7038">
            <w:pPr>
              <w:ind w:left="43"/>
              <w:rPr>
                <w:color w:val="FFFFFF" w:themeColor="background1"/>
                <w:lang w:eastAsia="en-AU"/>
              </w:rPr>
            </w:pPr>
            <w:r w:rsidRPr="002256FA">
              <w:rPr>
                <w:color w:val="FFFFFF" w:themeColor="background1"/>
                <w:lang w:eastAsia="en-AU"/>
              </w:rPr>
              <w:t xml:space="preserve">email: </w:t>
            </w:r>
            <w:hyperlink r:id="rId13" w:history="1">
              <w:r w:rsidRPr="002256FA">
                <w:rPr>
                  <w:rStyle w:val="Hyperlink"/>
                  <w:color w:val="FFFFFF" w:themeColor="background1"/>
                  <w:lang w:eastAsia="en-AU"/>
                </w:rPr>
                <w:t>karen.payne@treasury.gov.au</w:t>
              </w:r>
            </w:hyperlink>
          </w:p>
        </w:tc>
        <w:tc>
          <w:tcPr>
            <w:tcW w:w="591" w:type="dxa"/>
            <w:gridSpan w:val="4"/>
            <w:tcBorders>
              <w:bottom w:val="single" w:sz="4" w:space="0" w:color="BFBFBF" w:themeColor="background1" w:themeShade="BF"/>
            </w:tcBorders>
            <w:shd w:val="clear" w:color="auto" w:fill="1F497D" w:themeFill="text2"/>
          </w:tcPr>
          <w:p w14:paraId="0A7A6862" w14:textId="77777777" w:rsidR="005A40E0" w:rsidRPr="00BD2FF3" w:rsidRDefault="005A40E0" w:rsidP="001B7038"/>
        </w:tc>
      </w:tr>
      <w:tr w:rsidR="005A40E0" w:rsidRPr="00BD2FF3" w14:paraId="2CF9944B" w14:textId="77777777" w:rsidTr="002454A1">
        <w:tblPrEx>
          <w:tblBorders>
            <w:bottom w:val="single" w:sz="4" w:space="0" w:color="BFBFBF" w:themeColor="background1" w:themeShade="BF"/>
          </w:tblBorders>
          <w:shd w:val="clear" w:color="auto" w:fill="CCDDF1"/>
        </w:tblPrEx>
        <w:trPr>
          <w:gridAfter w:val="2"/>
          <w:wAfter w:w="179" w:type="dxa"/>
          <w:jc w:val="center"/>
        </w:trPr>
        <w:tc>
          <w:tcPr>
            <w:tcW w:w="501" w:type="dxa"/>
            <w:gridSpan w:val="4"/>
            <w:tcBorders>
              <w:top w:val="single" w:sz="4" w:space="0" w:color="BFBFBF" w:themeColor="background1" w:themeShade="BF"/>
              <w:bottom w:val="nil"/>
            </w:tcBorders>
            <w:shd w:val="clear" w:color="auto" w:fill="1F497D" w:themeFill="text2"/>
          </w:tcPr>
          <w:p w14:paraId="383ED16B" w14:textId="77777777" w:rsidR="005A40E0" w:rsidRPr="00BD2FF3" w:rsidRDefault="005A40E0" w:rsidP="001B7038"/>
        </w:tc>
        <w:tc>
          <w:tcPr>
            <w:tcW w:w="2631" w:type="dxa"/>
            <w:gridSpan w:val="3"/>
            <w:tcBorders>
              <w:top w:val="single" w:sz="4" w:space="0" w:color="BFBFBF" w:themeColor="background1" w:themeShade="BF"/>
              <w:bottom w:val="nil"/>
            </w:tcBorders>
            <w:shd w:val="clear" w:color="auto" w:fill="1F497D" w:themeFill="text2"/>
          </w:tcPr>
          <w:p w14:paraId="5CF4C1C6" w14:textId="77777777" w:rsidR="005A40E0" w:rsidRPr="002256FA" w:rsidRDefault="005A40E0" w:rsidP="001B7038">
            <w:pPr>
              <w:ind w:left="43"/>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34BAA2D8" w14:textId="77777777" w:rsidR="005A40E0" w:rsidRPr="002256FA" w:rsidRDefault="005A40E0" w:rsidP="001B7038">
            <w:pPr>
              <w:ind w:left="43"/>
              <w:rPr>
                <w:color w:val="FFFFFF" w:themeColor="background1"/>
                <w:lang w:eastAsia="en-AU"/>
              </w:rPr>
            </w:pPr>
            <w:r w:rsidRPr="002256FA">
              <w:rPr>
                <w:color w:val="FFFFFF" w:themeColor="background1"/>
                <w:lang w:eastAsia="en-AU"/>
              </w:rPr>
              <w:t>100 Market Street, Sydney NSW 2000</w:t>
            </w:r>
          </w:p>
        </w:tc>
        <w:tc>
          <w:tcPr>
            <w:tcW w:w="6964" w:type="dxa"/>
            <w:tcBorders>
              <w:top w:val="single" w:sz="4" w:space="0" w:color="BFBFBF" w:themeColor="background1" w:themeShade="BF"/>
              <w:bottom w:val="nil"/>
            </w:tcBorders>
            <w:shd w:val="clear" w:color="auto" w:fill="1F497D" w:themeFill="text2"/>
          </w:tcPr>
          <w:p w14:paraId="7706111B" w14:textId="77777777" w:rsidR="005A40E0" w:rsidRPr="002256FA" w:rsidRDefault="005A40E0" w:rsidP="001B7038">
            <w:pPr>
              <w:ind w:left="43"/>
              <w:rPr>
                <w:rStyle w:val="Hyperlink"/>
                <w:color w:val="FFFFFF" w:themeColor="background1"/>
                <w:lang w:eastAsia="en-AU"/>
              </w:rPr>
            </w:pPr>
            <w:r w:rsidRPr="002256FA">
              <w:rPr>
                <w:color w:val="FFFFFF" w:themeColor="background1"/>
                <w:lang w:eastAsia="en-AU"/>
              </w:rPr>
              <w:t xml:space="preserve">website: </w:t>
            </w:r>
            <w:hyperlink r:id="rId14" w:history="1">
              <w:r w:rsidRPr="002256FA">
                <w:rPr>
                  <w:rStyle w:val="Hyperlink"/>
                  <w:color w:val="FFFFFF" w:themeColor="background1"/>
                  <w:lang w:eastAsia="en-AU"/>
                </w:rPr>
                <w:t>www.taxboard.gov.au</w:t>
              </w:r>
            </w:hyperlink>
          </w:p>
          <w:p w14:paraId="3ECB3471" w14:textId="77777777" w:rsidR="005A40E0" w:rsidRPr="002256FA" w:rsidRDefault="005A40E0" w:rsidP="001B7038">
            <w:pPr>
              <w:ind w:left="43"/>
              <w:rPr>
                <w:color w:val="FFFFFF" w:themeColor="background1"/>
                <w:lang w:eastAsia="en-AU"/>
              </w:rPr>
            </w:pPr>
            <w:r w:rsidRPr="002256FA">
              <w:rPr>
                <w:color w:val="FFFFFF" w:themeColor="background1"/>
                <w:lang w:eastAsia="en-AU"/>
              </w:rPr>
              <w:t>The Board of Taxation Secretariat</w:t>
            </w:r>
          </w:p>
          <w:p w14:paraId="14A7A1A7" w14:textId="77777777" w:rsidR="005A40E0" w:rsidRPr="002256FA" w:rsidRDefault="005A40E0" w:rsidP="001B7038">
            <w:pPr>
              <w:ind w:left="43"/>
              <w:rPr>
                <w:color w:val="FFFFFF" w:themeColor="background1"/>
              </w:rPr>
            </w:pPr>
            <w:r w:rsidRPr="002256FA">
              <w:rPr>
                <w:color w:val="FFFFFF" w:themeColor="background1"/>
                <w:lang w:eastAsia="en-AU"/>
              </w:rPr>
              <w:t>Langton Crescent, Parkes ACT 2600 Australia</w:t>
            </w:r>
          </w:p>
        </w:tc>
        <w:tc>
          <w:tcPr>
            <w:tcW w:w="591" w:type="dxa"/>
            <w:gridSpan w:val="4"/>
            <w:tcBorders>
              <w:top w:val="single" w:sz="4" w:space="0" w:color="BFBFBF" w:themeColor="background1" w:themeShade="BF"/>
              <w:bottom w:val="nil"/>
            </w:tcBorders>
            <w:shd w:val="clear" w:color="auto" w:fill="1F497D" w:themeFill="text2"/>
          </w:tcPr>
          <w:p w14:paraId="7DF14BE5" w14:textId="77777777" w:rsidR="005A40E0" w:rsidRPr="00BD2FF3" w:rsidRDefault="005A40E0" w:rsidP="001B7038"/>
        </w:tc>
      </w:tr>
      <w:tr w:rsidR="005A40E0" w14:paraId="000CDF5D" w14:textId="77777777" w:rsidTr="002454A1">
        <w:tblPrEx>
          <w:tblBorders>
            <w:bottom w:val="single" w:sz="4" w:space="0" w:color="BFBFBF" w:themeColor="background1" w:themeShade="BF"/>
          </w:tblBorders>
          <w:shd w:val="clear" w:color="auto" w:fill="CCDDF1"/>
        </w:tblPrEx>
        <w:trPr>
          <w:gridAfter w:val="2"/>
          <w:wAfter w:w="179" w:type="dxa"/>
          <w:jc w:val="center"/>
        </w:trPr>
        <w:tc>
          <w:tcPr>
            <w:tcW w:w="10687" w:type="dxa"/>
            <w:gridSpan w:val="12"/>
            <w:tcBorders>
              <w:bottom w:val="nil"/>
            </w:tcBorders>
            <w:shd w:val="clear" w:color="auto" w:fill="auto"/>
            <w:tcMar>
              <w:left w:w="0" w:type="dxa"/>
              <w:right w:w="0" w:type="dxa"/>
            </w:tcMar>
          </w:tcPr>
          <w:p w14:paraId="7DBABDB6" w14:textId="77777777" w:rsidR="005A40E0" w:rsidRDefault="005A40E0" w:rsidP="001B7038">
            <w:r>
              <w:rPr>
                <w:noProof/>
                <w:lang w:eastAsia="en-AU"/>
              </w:rPr>
              <w:drawing>
                <wp:inline distT="0" distB="0" distL="0" distR="0" wp14:anchorId="08E1AA03" wp14:editId="5443E38C">
                  <wp:extent cx="6786748" cy="3087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15">
                            <a:extLst>
                              <a:ext uri="{28A0092B-C50C-407E-A947-70E740481C1C}">
                                <a14:useLocalDpi xmlns:a14="http://schemas.microsoft.com/office/drawing/2010/main" val="0"/>
                              </a:ext>
                            </a:extLst>
                          </a:blip>
                          <a:stretch>
                            <a:fillRect/>
                          </a:stretch>
                        </pic:blipFill>
                        <pic:spPr>
                          <a:xfrm>
                            <a:off x="0" y="0"/>
                            <a:ext cx="6884364" cy="313200"/>
                          </a:xfrm>
                          <a:prstGeom prst="rect">
                            <a:avLst/>
                          </a:prstGeom>
                        </pic:spPr>
                      </pic:pic>
                    </a:graphicData>
                  </a:graphic>
                </wp:inline>
              </w:drawing>
            </w:r>
          </w:p>
        </w:tc>
      </w:tr>
    </w:tbl>
    <w:p w14:paraId="1633713E" w14:textId="6218F9E0" w:rsidR="001010C1" w:rsidRPr="0098345D" w:rsidRDefault="001010C1" w:rsidP="00EF48F9"/>
    <w:sectPr w:rsidR="001010C1" w:rsidRPr="0098345D" w:rsidSect="00F21B9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568"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F2F6A" w15:done="0"/>
  <w15:commentEx w15:paraId="3B9FAEB6" w15:done="0"/>
  <w15:commentEx w15:paraId="78837C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26E2" w14:textId="77777777" w:rsidR="000F7F7C" w:rsidRDefault="000F7F7C" w:rsidP="002256FA">
      <w:r>
        <w:separator/>
      </w:r>
    </w:p>
  </w:endnote>
  <w:endnote w:type="continuationSeparator" w:id="0">
    <w:p w14:paraId="41F24B8C" w14:textId="77777777" w:rsidR="000F7F7C" w:rsidRDefault="000F7F7C" w:rsidP="002256FA">
      <w:r>
        <w:continuationSeparator/>
      </w:r>
    </w:p>
  </w:endnote>
  <w:endnote w:type="continuationNotice" w:id="1">
    <w:p w14:paraId="19602D62" w14:textId="77777777" w:rsidR="000F7F7C" w:rsidRDefault="000F7F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F1C49" w14:textId="77777777" w:rsidR="001B72F9" w:rsidRDefault="001B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5135" w14:textId="77777777" w:rsidR="001B72F9" w:rsidRDefault="001B7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8978" w14:textId="77777777" w:rsidR="001B72F9" w:rsidRDefault="001B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FA47" w14:textId="77777777" w:rsidR="000F7F7C" w:rsidRDefault="000F7F7C" w:rsidP="002256FA">
      <w:r>
        <w:separator/>
      </w:r>
    </w:p>
  </w:footnote>
  <w:footnote w:type="continuationSeparator" w:id="0">
    <w:p w14:paraId="6E085646" w14:textId="77777777" w:rsidR="000F7F7C" w:rsidRDefault="000F7F7C" w:rsidP="002256FA">
      <w:r>
        <w:continuationSeparator/>
      </w:r>
    </w:p>
  </w:footnote>
  <w:footnote w:type="continuationNotice" w:id="1">
    <w:p w14:paraId="22202BD0" w14:textId="77777777" w:rsidR="000F7F7C" w:rsidRDefault="000F7F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67B9" w14:textId="77777777" w:rsidR="001B72F9" w:rsidRDefault="001B7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F063" w14:textId="77777777" w:rsidR="001B72F9" w:rsidRDefault="001B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07C4" w14:textId="77777777" w:rsidR="001B72F9" w:rsidRDefault="001B7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F1942"/>
    <w:multiLevelType w:val="hybridMultilevel"/>
    <w:tmpl w:val="5406D1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8F6B9A"/>
    <w:multiLevelType w:val="multilevel"/>
    <w:tmpl w:val="C9F44B5E"/>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C2DCC"/>
    <w:multiLevelType w:val="multilevel"/>
    <w:tmpl w:val="2C9CA076"/>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C61A81"/>
    <w:multiLevelType w:val="hybridMultilevel"/>
    <w:tmpl w:val="F230C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440C8B"/>
    <w:multiLevelType w:val="multilevel"/>
    <w:tmpl w:val="216A4870"/>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9E277D2"/>
    <w:multiLevelType w:val="hybridMultilevel"/>
    <w:tmpl w:val="0F8A75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3A683E"/>
    <w:multiLevelType w:val="hybridMultilevel"/>
    <w:tmpl w:val="DC3EDD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9482323"/>
    <w:multiLevelType w:val="hybridMultilevel"/>
    <w:tmpl w:val="450A25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1074816"/>
    <w:multiLevelType w:val="hybridMultilevel"/>
    <w:tmpl w:val="84C60E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66BD3AA9"/>
    <w:multiLevelType w:val="hybridMultilevel"/>
    <w:tmpl w:val="4B72B2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8311F1"/>
    <w:multiLevelType w:val="hybridMultilevel"/>
    <w:tmpl w:val="EF7E4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4D7209"/>
    <w:multiLevelType w:val="hybridMultilevel"/>
    <w:tmpl w:val="28663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D76149"/>
    <w:multiLevelType w:val="hybridMultilevel"/>
    <w:tmpl w:val="E7CC1F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13"/>
  </w:num>
  <w:num w:numId="13">
    <w:abstractNumId w:val="11"/>
  </w:num>
  <w:num w:numId="14">
    <w:abstractNumId w:val="14"/>
  </w:num>
  <w:num w:numId="15">
    <w:abstractNumId w:val="13"/>
  </w:num>
  <w:num w:numId="16">
    <w:abstractNumId w:val="17"/>
  </w:num>
  <w:num w:numId="17">
    <w:abstractNumId w:val="3"/>
  </w:num>
  <w:num w:numId="18">
    <w:abstractNumId w:val="10"/>
  </w:num>
  <w:num w:numId="19">
    <w:abstractNumId w:val="15"/>
  </w:num>
  <w:num w:numId="20">
    <w:abstractNumId w:val="4"/>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0"/>
  </w:num>
  <w:num w:numId="25">
    <w:abstractNumId w:val="18"/>
  </w:num>
  <w:num w:numId="26">
    <w:abstractNumId w:val="1"/>
  </w:num>
  <w:num w:numId="27">
    <w:abstractNumId w:val="0"/>
  </w:num>
  <w:num w:numId="2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f, Ann-Maree (RTA)">
    <w15:presenceInfo w15:providerId="AD" w15:userId="S-1-5-21-1659004503-2049760794-839522115-56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73"/>
    <w:rsid w:val="00017247"/>
    <w:rsid w:val="000645D3"/>
    <w:rsid w:val="000735E9"/>
    <w:rsid w:val="000823CC"/>
    <w:rsid w:val="0008456E"/>
    <w:rsid w:val="00085B95"/>
    <w:rsid w:val="00094214"/>
    <w:rsid w:val="000A1C60"/>
    <w:rsid w:val="000A3276"/>
    <w:rsid w:val="000A5086"/>
    <w:rsid w:val="000B1154"/>
    <w:rsid w:val="000C1DB1"/>
    <w:rsid w:val="000C4BA5"/>
    <w:rsid w:val="000E07A0"/>
    <w:rsid w:val="000F7F7C"/>
    <w:rsid w:val="001010C1"/>
    <w:rsid w:val="0010796B"/>
    <w:rsid w:val="001473B3"/>
    <w:rsid w:val="001639DA"/>
    <w:rsid w:val="00181BBB"/>
    <w:rsid w:val="00184E92"/>
    <w:rsid w:val="00192734"/>
    <w:rsid w:val="001A5F7D"/>
    <w:rsid w:val="001A649A"/>
    <w:rsid w:val="001B7038"/>
    <w:rsid w:val="001B72F9"/>
    <w:rsid w:val="001E11B7"/>
    <w:rsid w:val="001F02F6"/>
    <w:rsid w:val="001F55B5"/>
    <w:rsid w:val="001F5CCA"/>
    <w:rsid w:val="001F7CC8"/>
    <w:rsid w:val="00200465"/>
    <w:rsid w:val="0020238A"/>
    <w:rsid w:val="002256FA"/>
    <w:rsid w:val="00227A66"/>
    <w:rsid w:val="0023712D"/>
    <w:rsid w:val="00244A96"/>
    <w:rsid w:val="002454A1"/>
    <w:rsid w:val="00265080"/>
    <w:rsid w:val="002673A2"/>
    <w:rsid w:val="002700A7"/>
    <w:rsid w:val="00292DBB"/>
    <w:rsid w:val="00292F43"/>
    <w:rsid w:val="00293808"/>
    <w:rsid w:val="002957A0"/>
    <w:rsid w:val="00297DF4"/>
    <w:rsid w:val="002A2827"/>
    <w:rsid w:val="002B3B38"/>
    <w:rsid w:val="002B61FE"/>
    <w:rsid w:val="002C7DA6"/>
    <w:rsid w:val="002D7FA0"/>
    <w:rsid w:val="002F0065"/>
    <w:rsid w:val="002F1EE3"/>
    <w:rsid w:val="002F503D"/>
    <w:rsid w:val="00306CE5"/>
    <w:rsid w:val="00311917"/>
    <w:rsid w:val="00314F9B"/>
    <w:rsid w:val="00315E92"/>
    <w:rsid w:val="003220F0"/>
    <w:rsid w:val="0032706C"/>
    <w:rsid w:val="00342E0A"/>
    <w:rsid w:val="0035507D"/>
    <w:rsid w:val="00355336"/>
    <w:rsid w:val="00357235"/>
    <w:rsid w:val="00361BA6"/>
    <w:rsid w:val="003651F1"/>
    <w:rsid w:val="003653E2"/>
    <w:rsid w:val="003776FD"/>
    <w:rsid w:val="003A0D45"/>
    <w:rsid w:val="003A2D24"/>
    <w:rsid w:val="003A3120"/>
    <w:rsid w:val="003A3ECE"/>
    <w:rsid w:val="003B0F25"/>
    <w:rsid w:val="003B6132"/>
    <w:rsid w:val="003B6D2D"/>
    <w:rsid w:val="003F2120"/>
    <w:rsid w:val="004021EC"/>
    <w:rsid w:val="00406A9F"/>
    <w:rsid w:val="0043294F"/>
    <w:rsid w:val="00434EA4"/>
    <w:rsid w:val="00441F9A"/>
    <w:rsid w:val="00444E68"/>
    <w:rsid w:val="00451FFC"/>
    <w:rsid w:val="00456EF6"/>
    <w:rsid w:val="0046080E"/>
    <w:rsid w:val="004625A8"/>
    <w:rsid w:val="00470D11"/>
    <w:rsid w:val="004743F6"/>
    <w:rsid w:val="00481676"/>
    <w:rsid w:val="004A55E2"/>
    <w:rsid w:val="004A7EC7"/>
    <w:rsid w:val="004B3A51"/>
    <w:rsid w:val="004B43F2"/>
    <w:rsid w:val="004B67E6"/>
    <w:rsid w:val="004C322A"/>
    <w:rsid w:val="004C6C9E"/>
    <w:rsid w:val="004E1C6B"/>
    <w:rsid w:val="004F02A5"/>
    <w:rsid w:val="004F3CEC"/>
    <w:rsid w:val="004F4771"/>
    <w:rsid w:val="004F5738"/>
    <w:rsid w:val="00507698"/>
    <w:rsid w:val="00510175"/>
    <w:rsid w:val="00512598"/>
    <w:rsid w:val="00512F57"/>
    <w:rsid w:val="00517E28"/>
    <w:rsid w:val="00531836"/>
    <w:rsid w:val="00536B6A"/>
    <w:rsid w:val="00546C73"/>
    <w:rsid w:val="00570C36"/>
    <w:rsid w:val="005826BB"/>
    <w:rsid w:val="005854D4"/>
    <w:rsid w:val="00587A7D"/>
    <w:rsid w:val="005924CD"/>
    <w:rsid w:val="005A40E0"/>
    <w:rsid w:val="005A616B"/>
    <w:rsid w:val="005A720B"/>
    <w:rsid w:val="005A749C"/>
    <w:rsid w:val="005B1BCA"/>
    <w:rsid w:val="005B32D7"/>
    <w:rsid w:val="005E5E91"/>
    <w:rsid w:val="005F063C"/>
    <w:rsid w:val="00607026"/>
    <w:rsid w:val="00607337"/>
    <w:rsid w:val="006075E6"/>
    <w:rsid w:val="00611C1E"/>
    <w:rsid w:val="006254A9"/>
    <w:rsid w:val="00625711"/>
    <w:rsid w:val="006267A4"/>
    <w:rsid w:val="006272D6"/>
    <w:rsid w:val="006323D5"/>
    <w:rsid w:val="006404BD"/>
    <w:rsid w:val="00652B10"/>
    <w:rsid w:val="00653DA0"/>
    <w:rsid w:val="006559FC"/>
    <w:rsid w:val="00656D54"/>
    <w:rsid w:val="00657B86"/>
    <w:rsid w:val="00662AD2"/>
    <w:rsid w:val="00674660"/>
    <w:rsid w:val="0069382A"/>
    <w:rsid w:val="006B4672"/>
    <w:rsid w:val="006D34AD"/>
    <w:rsid w:val="006D57A3"/>
    <w:rsid w:val="006D7574"/>
    <w:rsid w:val="006E468E"/>
    <w:rsid w:val="006F6ECE"/>
    <w:rsid w:val="00704189"/>
    <w:rsid w:val="00706295"/>
    <w:rsid w:val="00725456"/>
    <w:rsid w:val="007344DB"/>
    <w:rsid w:val="0075475D"/>
    <w:rsid w:val="00762806"/>
    <w:rsid w:val="007632C9"/>
    <w:rsid w:val="007704CF"/>
    <w:rsid w:val="007716EE"/>
    <w:rsid w:val="0079575C"/>
    <w:rsid w:val="007A0342"/>
    <w:rsid w:val="007A05B3"/>
    <w:rsid w:val="007A2A0D"/>
    <w:rsid w:val="007C1863"/>
    <w:rsid w:val="007C292E"/>
    <w:rsid w:val="007C77DF"/>
    <w:rsid w:val="007D5EC6"/>
    <w:rsid w:val="007E1CC0"/>
    <w:rsid w:val="007E3DAC"/>
    <w:rsid w:val="007E5EC7"/>
    <w:rsid w:val="007F3F3E"/>
    <w:rsid w:val="007F6B74"/>
    <w:rsid w:val="00802A02"/>
    <w:rsid w:val="00804A43"/>
    <w:rsid w:val="00816A9E"/>
    <w:rsid w:val="00825BE5"/>
    <w:rsid w:val="008518A1"/>
    <w:rsid w:val="00856C1E"/>
    <w:rsid w:val="00872F96"/>
    <w:rsid w:val="00890E88"/>
    <w:rsid w:val="008A62C5"/>
    <w:rsid w:val="008A7F58"/>
    <w:rsid w:val="008B7BFB"/>
    <w:rsid w:val="008C1047"/>
    <w:rsid w:val="008C2F0A"/>
    <w:rsid w:val="008C6ECE"/>
    <w:rsid w:val="008E4B74"/>
    <w:rsid w:val="008E4DB5"/>
    <w:rsid w:val="00900C23"/>
    <w:rsid w:val="0091071A"/>
    <w:rsid w:val="00916BE1"/>
    <w:rsid w:val="00936A8A"/>
    <w:rsid w:val="00941C54"/>
    <w:rsid w:val="00951C82"/>
    <w:rsid w:val="0098044C"/>
    <w:rsid w:val="0098345D"/>
    <w:rsid w:val="00984523"/>
    <w:rsid w:val="00986BE1"/>
    <w:rsid w:val="009938C6"/>
    <w:rsid w:val="009A22E1"/>
    <w:rsid w:val="009B6356"/>
    <w:rsid w:val="009C2011"/>
    <w:rsid w:val="009C34AE"/>
    <w:rsid w:val="009D7CEF"/>
    <w:rsid w:val="009F79D1"/>
    <w:rsid w:val="00A00E73"/>
    <w:rsid w:val="00A04CDC"/>
    <w:rsid w:val="00A157F6"/>
    <w:rsid w:val="00A16F02"/>
    <w:rsid w:val="00A37EDC"/>
    <w:rsid w:val="00A43D9F"/>
    <w:rsid w:val="00A47BDB"/>
    <w:rsid w:val="00A53417"/>
    <w:rsid w:val="00A55818"/>
    <w:rsid w:val="00A56C59"/>
    <w:rsid w:val="00A57864"/>
    <w:rsid w:val="00A610B7"/>
    <w:rsid w:val="00A66EA5"/>
    <w:rsid w:val="00A73581"/>
    <w:rsid w:val="00A81C23"/>
    <w:rsid w:val="00A85182"/>
    <w:rsid w:val="00A853B8"/>
    <w:rsid w:val="00AA05A6"/>
    <w:rsid w:val="00AC48ED"/>
    <w:rsid w:val="00AD30CB"/>
    <w:rsid w:val="00AE18FE"/>
    <w:rsid w:val="00AE2EC1"/>
    <w:rsid w:val="00AE6764"/>
    <w:rsid w:val="00AE6AF4"/>
    <w:rsid w:val="00AE6F8B"/>
    <w:rsid w:val="00B0301E"/>
    <w:rsid w:val="00B10087"/>
    <w:rsid w:val="00B10341"/>
    <w:rsid w:val="00B23813"/>
    <w:rsid w:val="00B37A1B"/>
    <w:rsid w:val="00B37CE1"/>
    <w:rsid w:val="00B43F70"/>
    <w:rsid w:val="00B55260"/>
    <w:rsid w:val="00B750F2"/>
    <w:rsid w:val="00B75AA8"/>
    <w:rsid w:val="00B76E9F"/>
    <w:rsid w:val="00B820EC"/>
    <w:rsid w:val="00B85592"/>
    <w:rsid w:val="00B95A8D"/>
    <w:rsid w:val="00BA1119"/>
    <w:rsid w:val="00BA4FA7"/>
    <w:rsid w:val="00BB3EEC"/>
    <w:rsid w:val="00BD2FF3"/>
    <w:rsid w:val="00BE3509"/>
    <w:rsid w:val="00BF5B26"/>
    <w:rsid w:val="00C04A17"/>
    <w:rsid w:val="00C274F4"/>
    <w:rsid w:val="00C27D65"/>
    <w:rsid w:val="00C3061A"/>
    <w:rsid w:val="00C4003B"/>
    <w:rsid w:val="00C476BB"/>
    <w:rsid w:val="00C63642"/>
    <w:rsid w:val="00C7072C"/>
    <w:rsid w:val="00C805BB"/>
    <w:rsid w:val="00C81376"/>
    <w:rsid w:val="00C9759C"/>
    <w:rsid w:val="00CB1E4E"/>
    <w:rsid w:val="00CC34BD"/>
    <w:rsid w:val="00CC64E1"/>
    <w:rsid w:val="00CE3836"/>
    <w:rsid w:val="00CE7F7E"/>
    <w:rsid w:val="00D12DCE"/>
    <w:rsid w:val="00D20D73"/>
    <w:rsid w:val="00D231C0"/>
    <w:rsid w:val="00D24CCF"/>
    <w:rsid w:val="00D258DC"/>
    <w:rsid w:val="00D27924"/>
    <w:rsid w:val="00D402FA"/>
    <w:rsid w:val="00D65CF2"/>
    <w:rsid w:val="00D9250B"/>
    <w:rsid w:val="00DA6F58"/>
    <w:rsid w:val="00DC3233"/>
    <w:rsid w:val="00DD348D"/>
    <w:rsid w:val="00DD4393"/>
    <w:rsid w:val="00DE77A2"/>
    <w:rsid w:val="00DF5DE8"/>
    <w:rsid w:val="00E01ACA"/>
    <w:rsid w:val="00E055F3"/>
    <w:rsid w:val="00E111A3"/>
    <w:rsid w:val="00E353D9"/>
    <w:rsid w:val="00E45A1D"/>
    <w:rsid w:val="00E519BC"/>
    <w:rsid w:val="00E64531"/>
    <w:rsid w:val="00E80EC5"/>
    <w:rsid w:val="00EA3310"/>
    <w:rsid w:val="00EA547D"/>
    <w:rsid w:val="00EA62C5"/>
    <w:rsid w:val="00EB2CB9"/>
    <w:rsid w:val="00EB42FC"/>
    <w:rsid w:val="00EB716A"/>
    <w:rsid w:val="00EF48F9"/>
    <w:rsid w:val="00EF6CC0"/>
    <w:rsid w:val="00F04C9A"/>
    <w:rsid w:val="00F12A91"/>
    <w:rsid w:val="00F21B94"/>
    <w:rsid w:val="00F23171"/>
    <w:rsid w:val="00F26204"/>
    <w:rsid w:val="00F26BBC"/>
    <w:rsid w:val="00F32913"/>
    <w:rsid w:val="00F32DCA"/>
    <w:rsid w:val="00F4305B"/>
    <w:rsid w:val="00F4394C"/>
    <w:rsid w:val="00F44709"/>
    <w:rsid w:val="00F66270"/>
    <w:rsid w:val="00F662D6"/>
    <w:rsid w:val="00F731B6"/>
    <w:rsid w:val="00F74106"/>
    <w:rsid w:val="00F777BC"/>
    <w:rsid w:val="00F8521D"/>
    <w:rsid w:val="00F8585B"/>
    <w:rsid w:val="00FA14A0"/>
    <w:rsid w:val="00FA777B"/>
    <w:rsid w:val="00FC74D9"/>
    <w:rsid w:val="00FF3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22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aliases w:val="b Char,b + line Char Char,b Char Char,b1 Char,b + line Char,Body Char,level 1 Char"/>
    <w:basedOn w:val="DefaultParagraphFont"/>
    <w:link w:val="Bullet"/>
    <w:locked/>
    <w:rsid w:val="000E07A0"/>
    <w:rPr>
      <w:rFonts w:ascii="Calibri Light" w:hAnsi="Calibri Light"/>
    </w:rPr>
  </w:style>
  <w:style w:type="paragraph" w:customStyle="1" w:styleId="Bullet">
    <w:name w:val="Bullet"/>
    <w:aliases w:val="b,b + line,b1,Body,level 1"/>
    <w:basedOn w:val="Normal"/>
    <w:link w:val="BulletChar"/>
    <w:qFormat/>
    <w:rsid w:val="000E07A0"/>
    <w:pPr>
      <w:numPr>
        <w:numId w:val="6"/>
      </w:numPr>
    </w:pPr>
  </w:style>
  <w:style w:type="paragraph" w:customStyle="1" w:styleId="Dash">
    <w:name w:val="Dash"/>
    <w:basedOn w:val="Normal"/>
    <w:link w:val="DashChar"/>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 w:type="paragraph" w:customStyle="1" w:styleId="Default">
    <w:name w:val="Default"/>
    <w:link w:val="DefaultChar"/>
    <w:rsid w:val="0098044C"/>
    <w:pPr>
      <w:autoSpaceDE w:val="0"/>
      <w:autoSpaceDN w:val="0"/>
      <w:adjustRightInd w:val="0"/>
      <w:spacing w:after="0" w:line="240" w:lineRule="auto"/>
    </w:pPr>
    <w:rPr>
      <w:rFonts w:ascii="Calibri" w:hAnsi="Calibri" w:cs="Calibri"/>
      <w:color w:val="000000"/>
      <w:sz w:val="24"/>
      <w:szCs w:val="24"/>
    </w:rPr>
  </w:style>
  <w:style w:type="paragraph" w:customStyle="1" w:styleId="OutlineNumbered1">
    <w:name w:val="Outline Numbered 1"/>
    <w:basedOn w:val="Normal"/>
    <w:link w:val="OutlineNumbered1Char"/>
    <w:rsid w:val="00BF5B26"/>
    <w:pPr>
      <w:numPr>
        <w:numId w:val="20"/>
      </w:numPr>
      <w:spacing w:before="0" w:after="240"/>
    </w:pPr>
    <w:rPr>
      <w:rFonts w:ascii="Calibri" w:eastAsia="Times New Roman" w:hAnsi="Calibri" w:cs="Calibri"/>
      <w:sz w:val="24"/>
      <w:szCs w:val="24"/>
      <w:lang w:eastAsia="en-AU"/>
    </w:rPr>
  </w:style>
  <w:style w:type="character" w:customStyle="1" w:styleId="OutlineNumbered1Char">
    <w:name w:val="Outline Numbered 1 Char"/>
    <w:basedOn w:val="DefaultParagraphFont"/>
    <w:link w:val="OutlineNumbered1"/>
    <w:rsid w:val="00BF5B26"/>
    <w:rPr>
      <w:rFonts w:ascii="Calibri" w:eastAsia="Times New Roman" w:hAnsi="Calibri" w:cs="Calibri"/>
      <w:sz w:val="24"/>
      <w:szCs w:val="24"/>
      <w:lang w:eastAsia="en-AU"/>
    </w:rPr>
  </w:style>
  <w:style w:type="paragraph" w:customStyle="1" w:styleId="OutlineNumbered2">
    <w:name w:val="Outline Numbered 2"/>
    <w:basedOn w:val="Normal"/>
    <w:link w:val="OutlineNumbered2Char"/>
    <w:rsid w:val="00BF5B26"/>
    <w:pPr>
      <w:numPr>
        <w:ilvl w:val="1"/>
        <w:numId w:val="20"/>
      </w:numPr>
      <w:spacing w:before="0" w:after="240"/>
    </w:pPr>
    <w:rPr>
      <w:rFonts w:ascii="Calibri" w:eastAsia="Times New Roman" w:hAnsi="Calibri" w:cs="Calibri"/>
      <w:sz w:val="24"/>
      <w:szCs w:val="24"/>
      <w:lang w:eastAsia="en-AU"/>
    </w:rPr>
  </w:style>
  <w:style w:type="paragraph" w:customStyle="1" w:styleId="OutlineNumbered3">
    <w:name w:val="Outline Numbered 3"/>
    <w:basedOn w:val="Normal"/>
    <w:link w:val="OutlineNumbered3Char"/>
    <w:rsid w:val="00BF5B26"/>
    <w:pPr>
      <w:numPr>
        <w:ilvl w:val="2"/>
        <w:numId w:val="20"/>
      </w:numPr>
      <w:spacing w:before="0" w:after="240"/>
    </w:pPr>
    <w:rPr>
      <w:rFonts w:ascii="Calibri" w:eastAsia="Times New Roman" w:hAnsi="Calibri" w:cs="Calibri"/>
      <w:sz w:val="24"/>
      <w:szCs w:val="24"/>
      <w:lang w:eastAsia="en-AU"/>
    </w:rPr>
  </w:style>
  <w:style w:type="character" w:customStyle="1" w:styleId="OutlineNumbered2Char">
    <w:name w:val="Outline Numbered 2 Char"/>
    <w:basedOn w:val="DefaultParagraphFont"/>
    <w:link w:val="OutlineNumbered2"/>
    <w:rsid w:val="005826BB"/>
    <w:rPr>
      <w:rFonts w:ascii="Calibri" w:eastAsia="Times New Roman" w:hAnsi="Calibri" w:cs="Calibri"/>
      <w:sz w:val="24"/>
      <w:szCs w:val="24"/>
      <w:lang w:eastAsia="en-AU"/>
    </w:rPr>
  </w:style>
  <w:style w:type="character" w:customStyle="1" w:styleId="OutlineNumbered3Char">
    <w:name w:val="Outline Numbered 3 Char"/>
    <w:basedOn w:val="DefaultParagraphFont"/>
    <w:link w:val="OutlineNumbered3"/>
    <w:rsid w:val="005826BB"/>
    <w:rPr>
      <w:rFonts w:ascii="Calibri" w:eastAsia="Times New Roman" w:hAnsi="Calibri" w:cs="Calibri"/>
      <w:sz w:val="24"/>
      <w:szCs w:val="24"/>
      <w:lang w:eastAsia="en-AU"/>
    </w:rPr>
  </w:style>
  <w:style w:type="paragraph" w:styleId="FootnoteText">
    <w:name w:val="footnote text"/>
    <w:basedOn w:val="Normal"/>
    <w:link w:val="FootnoteTextChar"/>
    <w:uiPriority w:val="99"/>
    <w:semiHidden/>
    <w:unhideWhenUsed/>
    <w:rsid w:val="00512598"/>
    <w:pPr>
      <w:spacing w:before="0" w:after="0"/>
    </w:pPr>
    <w:rPr>
      <w:sz w:val="20"/>
      <w:szCs w:val="20"/>
    </w:rPr>
  </w:style>
  <w:style w:type="character" w:customStyle="1" w:styleId="FootnoteTextChar">
    <w:name w:val="Footnote Text Char"/>
    <w:basedOn w:val="DefaultParagraphFont"/>
    <w:link w:val="FootnoteText"/>
    <w:uiPriority w:val="99"/>
    <w:semiHidden/>
    <w:rsid w:val="00512598"/>
    <w:rPr>
      <w:rFonts w:ascii="Calibri Light" w:hAnsi="Calibri Light"/>
      <w:sz w:val="20"/>
      <w:szCs w:val="20"/>
    </w:rPr>
  </w:style>
  <w:style w:type="character" w:styleId="FootnoteReference">
    <w:name w:val="footnote reference"/>
    <w:basedOn w:val="DefaultParagraphFont"/>
    <w:uiPriority w:val="99"/>
    <w:semiHidden/>
    <w:unhideWhenUsed/>
    <w:rsid w:val="00512598"/>
    <w:rPr>
      <w:vertAlign w:val="superscript"/>
    </w:rPr>
  </w:style>
  <w:style w:type="character" w:styleId="FollowedHyperlink">
    <w:name w:val="FollowedHyperlink"/>
    <w:basedOn w:val="DefaultParagraphFont"/>
    <w:uiPriority w:val="99"/>
    <w:semiHidden/>
    <w:unhideWhenUsed/>
    <w:rsid w:val="00314F9B"/>
    <w:rPr>
      <w:color w:val="800080" w:themeColor="followedHyperlink"/>
      <w:u w:val="single"/>
    </w:rPr>
  </w:style>
  <w:style w:type="paragraph" w:styleId="Revision">
    <w:name w:val="Revision"/>
    <w:hidden/>
    <w:uiPriority w:val="99"/>
    <w:semiHidden/>
    <w:rsid w:val="00F44709"/>
    <w:pPr>
      <w:spacing w:after="0" w:line="240" w:lineRule="auto"/>
    </w:pPr>
    <w:rPr>
      <w:rFonts w:ascii="Calibri Light" w:hAnsi="Calibri Light"/>
    </w:rPr>
  </w:style>
  <w:style w:type="character" w:customStyle="1" w:styleId="DefaultChar">
    <w:name w:val="Default Char"/>
    <w:basedOn w:val="DefaultParagraphFont"/>
    <w:link w:val="Default"/>
    <w:locked/>
    <w:rsid w:val="00951C82"/>
    <w:rPr>
      <w:rFonts w:ascii="Calibri" w:hAnsi="Calibri" w:cs="Calibri"/>
      <w:color w:val="000000"/>
      <w:sz w:val="24"/>
      <w:szCs w:val="24"/>
    </w:rPr>
  </w:style>
  <w:style w:type="character" w:customStyle="1" w:styleId="DashChar">
    <w:name w:val="Dash Char"/>
    <w:basedOn w:val="DefaultParagraphFont"/>
    <w:link w:val="Dash"/>
    <w:locked/>
    <w:rsid w:val="00951C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aliases w:val="b Char,b + line Char Char,b Char Char,b1 Char,b + line Char,Body Char,level 1 Char"/>
    <w:basedOn w:val="DefaultParagraphFont"/>
    <w:link w:val="Bullet"/>
    <w:locked/>
    <w:rsid w:val="000E07A0"/>
    <w:rPr>
      <w:rFonts w:ascii="Calibri Light" w:hAnsi="Calibri Light"/>
    </w:rPr>
  </w:style>
  <w:style w:type="paragraph" w:customStyle="1" w:styleId="Bullet">
    <w:name w:val="Bullet"/>
    <w:aliases w:val="b,b + line,b1,Body,level 1"/>
    <w:basedOn w:val="Normal"/>
    <w:link w:val="BulletChar"/>
    <w:qFormat/>
    <w:rsid w:val="000E07A0"/>
    <w:pPr>
      <w:numPr>
        <w:numId w:val="6"/>
      </w:numPr>
    </w:pPr>
  </w:style>
  <w:style w:type="paragraph" w:customStyle="1" w:styleId="Dash">
    <w:name w:val="Dash"/>
    <w:basedOn w:val="Normal"/>
    <w:link w:val="DashChar"/>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 w:type="paragraph" w:customStyle="1" w:styleId="Default">
    <w:name w:val="Default"/>
    <w:link w:val="DefaultChar"/>
    <w:rsid w:val="0098044C"/>
    <w:pPr>
      <w:autoSpaceDE w:val="0"/>
      <w:autoSpaceDN w:val="0"/>
      <w:adjustRightInd w:val="0"/>
      <w:spacing w:after="0" w:line="240" w:lineRule="auto"/>
    </w:pPr>
    <w:rPr>
      <w:rFonts w:ascii="Calibri" w:hAnsi="Calibri" w:cs="Calibri"/>
      <w:color w:val="000000"/>
      <w:sz w:val="24"/>
      <w:szCs w:val="24"/>
    </w:rPr>
  </w:style>
  <w:style w:type="paragraph" w:customStyle="1" w:styleId="OutlineNumbered1">
    <w:name w:val="Outline Numbered 1"/>
    <w:basedOn w:val="Normal"/>
    <w:link w:val="OutlineNumbered1Char"/>
    <w:rsid w:val="00BF5B26"/>
    <w:pPr>
      <w:numPr>
        <w:numId w:val="20"/>
      </w:numPr>
      <w:spacing w:before="0" w:after="240"/>
    </w:pPr>
    <w:rPr>
      <w:rFonts w:ascii="Calibri" w:eastAsia="Times New Roman" w:hAnsi="Calibri" w:cs="Calibri"/>
      <w:sz w:val="24"/>
      <w:szCs w:val="24"/>
      <w:lang w:eastAsia="en-AU"/>
    </w:rPr>
  </w:style>
  <w:style w:type="character" w:customStyle="1" w:styleId="OutlineNumbered1Char">
    <w:name w:val="Outline Numbered 1 Char"/>
    <w:basedOn w:val="DefaultParagraphFont"/>
    <w:link w:val="OutlineNumbered1"/>
    <w:rsid w:val="00BF5B26"/>
    <w:rPr>
      <w:rFonts w:ascii="Calibri" w:eastAsia="Times New Roman" w:hAnsi="Calibri" w:cs="Calibri"/>
      <w:sz w:val="24"/>
      <w:szCs w:val="24"/>
      <w:lang w:eastAsia="en-AU"/>
    </w:rPr>
  </w:style>
  <w:style w:type="paragraph" w:customStyle="1" w:styleId="OutlineNumbered2">
    <w:name w:val="Outline Numbered 2"/>
    <w:basedOn w:val="Normal"/>
    <w:link w:val="OutlineNumbered2Char"/>
    <w:rsid w:val="00BF5B26"/>
    <w:pPr>
      <w:numPr>
        <w:ilvl w:val="1"/>
        <w:numId w:val="20"/>
      </w:numPr>
      <w:spacing w:before="0" w:after="240"/>
    </w:pPr>
    <w:rPr>
      <w:rFonts w:ascii="Calibri" w:eastAsia="Times New Roman" w:hAnsi="Calibri" w:cs="Calibri"/>
      <w:sz w:val="24"/>
      <w:szCs w:val="24"/>
      <w:lang w:eastAsia="en-AU"/>
    </w:rPr>
  </w:style>
  <w:style w:type="paragraph" w:customStyle="1" w:styleId="OutlineNumbered3">
    <w:name w:val="Outline Numbered 3"/>
    <w:basedOn w:val="Normal"/>
    <w:link w:val="OutlineNumbered3Char"/>
    <w:rsid w:val="00BF5B26"/>
    <w:pPr>
      <w:numPr>
        <w:ilvl w:val="2"/>
        <w:numId w:val="20"/>
      </w:numPr>
      <w:spacing w:before="0" w:after="240"/>
    </w:pPr>
    <w:rPr>
      <w:rFonts w:ascii="Calibri" w:eastAsia="Times New Roman" w:hAnsi="Calibri" w:cs="Calibri"/>
      <w:sz w:val="24"/>
      <w:szCs w:val="24"/>
      <w:lang w:eastAsia="en-AU"/>
    </w:rPr>
  </w:style>
  <w:style w:type="character" w:customStyle="1" w:styleId="OutlineNumbered2Char">
    <w:name w:val="Outline Numbered 2 Char"/>
    <w:basedOn w:val="DefaultParagraphFont"/>
    <w:link w:val="OutlineNumbered2"/>
    <w:rsid w:val="005826BB"/>
    <w:rPr>
      <w:rFonts w:ascii="Calibri" w:eastAsia="Times New Roman" w:hAnsi="Calibri" w:cs="Calibri"/>
      <w:sz w:val="24"/>
      <w:szCs w:val="24"/>
      <w:lang w:eastAsia="en-AU"/>
    </w:rPr>
  </w:style>
  <w:style w:type="character" w:customStyle="1" w:styleId="OutlineNumbered3Char">
    <w:name w:val="Outline Numbered 3 Char"/>
    <w:basedOn w:val="DefaultParagraphFont"/>
    <w:link w:val="OutlineNumbered3"/>
    <w:rsid w:val="005826BB"/>
    <w:rPr>
      <w:rFonts w:ascii="Calibri" w:eastAsia="Times New Roman" w:hAnsi="Calibri" w:cs="Calibri"/>
      <w:sz w:val="24"/>
      <w:szCs w:val="24"/>
      <w:lang w:eastAsia="en-AU"/>
    </w:rPr>
  </w:style>
  <w:style w:type="paragraph" w:styleId="FootnoteText">
    <w:name w:val="footnote text"/>
    <w:basedOn w:val="Normal"/>
    <w:link w:val="FootnoteTextChar"/>
    <w:uiPriority w:val="99"/>
    <w:semiHidden/>
    <w:unhideWhenUsed/>
    <w:rsid w:val="00512598"/>
    <w:pPr>
      <w:spacing w:before="0" w:after="0"/>
    </w:pPr>
    <w:rPr>
      <w:sz w:val="20"/>
      <w:szCs w:val="20"/>
    </w:rPr>
  </w:style>
  <w:style w:type="character" w:customStyle="1" w:styleId="FootnoteTextChar">
    <w:name w:val="Footnote Text Char"/>
    <w:basedOn w:val="DefaultParagraphFont"/>
    <w:link w:val="FootnoteText"/>
    <w:uiPriority w:val="99"/>
    <w:semiHidden/>
    <w:rsid w:val="00512598"/>
    <w:rPr>
      <w:rFonts w:ascii="Calibri Light" w:hAnsi="Calibri Light"/>
      <w:sz w:val="20"/>
      <w:szCs w:val="20"/>
    </w:rPr>
  </w:style>
  <w:style w:type="character" w:styleId="FootnoteReference">
    <w:name w:val="footnote reference"/>
    <w:basedOn w:val="DefaultParagraphFont"/>
    <w:uiPriority w:val="99"/>
    <w:semiHidden/>
    <w:unhideWhenUsed/>
    <w:rsid w:val="00512598"/>
    <w:rPr>
      <w:vertAlign w:val="superscript"/>
    </w:rPr>
  </w:style>
  <w:style w:type="character" w:styleId="FollowedHyperlink">
    <w:name w:val="FollowedHyperlink"/>
    <w:basedOn w:val="DefaultParagraphFont"/>
    <w:uiPriority w:val="99"/>
    <w:semiHidden/>
    <w:unhideWhenUsed/>
    <w:rsid w:val="00314F9B"/>
    <w:rPr>
      <w:color w:val="800080" w:themeColor="followedHyperlink"/>
      <w:u w:val="single"/>
    </w:rPr>
  </w:style>
  <w:style w:type="paragraph" w:styleId="Revision">
    <w:name w:val="Revision"/>
    <w:hidden/>
    <w:uiPriority w:val="99"/>
    <w:semiHidden/>
    <w:rsid w:val="00F44709"/>
    <w:pPr>
      <w:spacing w:after="0" w:line="240" w:lineRule="auto"/>
    </w:pPr>
    <w:rPr>
      <w:rFonts w:ascii="Calibri Light" w:hAnsi="Calibri Light"/>
    </w:rPr>
  </w:style>
  <w:style w:type="character" w:customStyle="1" w:styleId="DefaultChar">
    <w:name w:val="Default Char"/>
    <w:basedOn w:val="DefaultParagraphFont"/>
    <w:link w:val="Default"/>
    <w:locked/>
    <w:rsid w:val="00951C82"/>
    <w:rPr>
      <w:rFonts w:ascii="Calibri" w:hAnsi="Calibri" w:cs="Calibri"/>
      <w:color w:val="000000"/>
      <w:sz w:val="24"/>
      <w:szCs w:val="24"/>
    </w:rPr>
  </w:style>
  <w:style w:type="character" w:customStyle="1" w:styleId="DashChar">
    <w:name w:val="Dash Char"/>
    <w:basedOn w:val="DefaultParagraphFont"/>
    <w:link w:val="Dash"/>
    <w:locked/>
    <w:rsid w:val="00951C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306">
      <w:bodyDiv w:val="1"/>
      <w:marLeft w:val="0"/>
      <w:marRight w:val="0"/>
      <w:marTop w:val="0"/>
      <w:marBottom w:val="0"/>
      <w:divBdr>
        <w:top w:val="none" w:sz="0" w:space="0" w:color="auto"/>
        <w:left w:val="none" w:sz="0" w:space="0" w:color="auto"/>
        <w:bottom w:val="none" w:sz="0" w:space="0" w:color="auto"/>
        <w:right w:val="none" w:sz="0" w:space="0" w:color="auto"/>
      </w:divBdr>
    </w:div>
    <w:div w:id="270746285">
      <w:bodyDiv w:val="1"/>
      <w:marLeft w:val="0"/>
      <w:marRight w:val="0"/>
      <w:marTop w:val="0"/>
      <w:marBottom w:val="0"/>
      <w:divBdr>
        <w:top w:val="none" w:sz="0" w:space="0" w:color="auto"/>
        <w:left w:val="none" w:sz="0" w:space="0" w:color="auto"/>
        <w:bottom w:val="none" w:sz="0" w:space="0" w:color="auto"/>
        <w:right w:val="none" w:sz="0" w:space="0" w:color="auto"/>
      </w:divBdr>
    </w:div>
    <w:div w:id="366758446">
      <w:bodyDiv w:val="1"/>
      <w:marLeft w:val="0"/>
      <w:marRight w:val="0"/>
      <w:marTop w:val="0"/>
      <w:marBottom w:val="0"/>
      <w:divBdr>
        <w:top w:val="none" w:sz="0" w:space="0" w:color="auto"/>
        <w:left w:val="none" w:sz="0" w:space="0" w:color="auto"/>
        <w:bottom w:val="none" w:sz="0" w:space="0" w:color="auto"/>
        <w:right w:val="none" w:sz="0" w:space="0" w:color="auto"/>
      </w:divBdr>
    </w:div>
    <w:div w:id="402533150">
      <w:bodyDiv w:val="1"/>
      <w:marLeft w:val="0"/>
      <w:marRight w:val="0"/>
      <w:marTop w:val="0"/>
      <w:marBottom w:val="0"/>
      <w:divBdr>
        <w:top w:val="none" w:sz="0" w:space="0" w:color="auto"/>
        <w:left w:val="none" w:sz="0" w:space="0" w:color="auto"/>
        <w:bottom w:val="none" w:sz="0" w:space="0" w:color="auto"/>
        <w:right w:val="none" w:sz="0" w:space="0" w:color="auto"/>
      </w:divBdr>
    </w:div>
    <w:div w:id="471219500">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822040011">
      <w:bodyDiv w:val="1"/>
      <w:marLeft w:val="0"/>
      <w:marRight w:val="0"/>
      <w:marTop w:val="0"/>
      <w:marBottom w:val="0"/>
      <w:divBdr>
        <w:top w:val="none" w:sz="0" w:space="0" w:color="auto"/>
        <w:left w:val="none" w:sz="0" w:space="0" w:color="auto"/>
        <w:bottom w:val="none" w:sz="0" w:space="0" w:color="auto"/>
        <w:right w:val="none" w:sz="0" w:space="0" w:color="auto"/>
      </w:divBdr>
    </w:div>
    <w:div w:id="1007094242">
      <w:bodyDiv w:val="1"/>
      <w:marLeft w:val="0"/>
      <w:marRight w:val="0"/>
      <w:marTop w:val="0"/>
      <w:marBottom w:val="0"/>
      <w:divBdr>
        <w:top w:val="none" w:sz="0" w:space="0" w:color="auto"/>
        <w:left w:val="none" w:sz="0" w:space="0" w:color="auto"/>
        <w:bottom w:val="none" w:sz="0" w:space="0" w:color="auto"/>
        <w:right w:val="none" w:sz="0" w:space="0" w:color="auto"/>
      </w:divBdr>
      <w:divsChild>
        <w:div w:id="1598369623">
          <w:marLeft w:val="0"/>
          <w:marRight w:val="0"/>
          <w:marTop w:val="0"/>
          <w:marBottom w:val="0"/>
          <w:divBdr>
            <w:top w:val="none" w:sz="0" w:space="0" w:color="auto"/>
            <w:left w:val="none" w:sz="0" w:space="0" w:color="auto"/>
            <w:bottom w:val="none" w:sz="0" w:space="0" w:color="auto"/>
            <w:right w:val="none" w:sz="0" w:space="0" w:color="auto"/>
          </w:divBdr>
          <w:divsChild>
            <w:div w:id="348871292">
              <w:marLeft w:val="0"/>
              <w:marRight w:val="0"/>
              <w:marTop w:val="0"/>
              <w:marBottom w:val="0"/>
              <w:divBdr>
                <w:top w:val="none" w:sz="0" w:space="0" w:color="auto"/>
                <w:left w:val="none" w:sz="0" w:space="0" w:color="auto"/>
                <w:bottom w:val="none" w:sz="0" w:space="0" w:color="auto"/>
                <w:right w:val="none" w:sz="0" w:space="0" w:color="auto"/>
              </w:divBdr>
              <w:divsChild>
                <w:div w:id="1774591799">
                  <w:marLeft w:val="0"/>
                  <w:marRight w:val="0"/>
                  <w:marTop w:val="195"/>
                  <w:marBottom w:val="0"/>
                  <w:divBdr>
                    <w:top w:val="none" w:sz="0" w:space="0" w:color="auto"/>
                    <w:left w:val="none" w:sz="0" w:space="0" w:color="auto"/>
                    <w:bottom w:val="none" w:sz="0" w:space="0" w:color="auto"/>
                    <w:right w:val="none" w:sz="0" w:space="0" w:color="auto"/>
                  </w:divBdr>
                  <w:divsChild>
                    <w:div w:id="533614040">
                      <w:marLeft w:val="0"/>
                      <w:marRight w:val="0"/>
                      <w:marTop w:val="0"/>
                      <w:marBottom w:val="0"/>
                      <w:divBdr>
                        <w:top w:val="none" w:sz="0" w:space="0" w:color="auto"/>
                        <w:left w:val="none" w:sz="0" w:space="0" w:color="auto"/>
                        <w:bottom w:val="none" w:sz="0" w:space="0" w:color="auto"/>
                        <w:right w:val="none" w:sz="0" w:space="0" w:color="auto"/>
                      </w:divBdr>
                      <w:divsChild>
                        <w:div w:id="1957055654">
                          <w:marLeft w:val="0"/>
                          <w:marRight w:val="0"/>
                          <w:marTop w:val="0"/>
                          <w:marBottom w:val="0"/>
                          <w:divBdr>
                            <w:top w:val="none" w:sz="0" w:space="0" w:color="auto"/>
                            <w:left w:val="none" w:sz="0" w:space="0" w:color="auto"/>
                            <w:bottom w:val="none" w:sz="0" w:space="0" w:color="auto"/>
                            <w:right w:val="none" w:sz="0" w:space="0" w:color="auto"/>
                          </w:divBdr>
                          <w:divsChild>
                            <w:div w:id="137259662">
                              <w:marLeft w:val="0"/>
                              <w:marRight w:val="0"/>
                              <w:marTop w:val="0"/>
                              <w:marBottom w:val="0"/>
                              <w:divBdr>
                                <w:top w:val="none" w:sz="0" w:space="0" w:color="auto"/>
                                <w:left w:val="none" w:sz="0" w:space="0" w:color="auto"/>
                                <w:bottom w:val="none" w:sz="0" w:space="0" w:color="auto"/>
                                <w:right w:val="none" w:sz="0" w:space="0" w:color="auto"/>
                              </w:divBdr>
                              <w:divsChild>
                                <w:div w:id="1494296148">
                                  <w:marLeft w:val="0"/>
                                  <w:marRight w:val="0"/>
                                  <w:marTop w:val="0"/>
                                  <w:marBottom w:val="0"/>
                                  <w:divBdr>
                                    <w:top w:val="none" w:sz="0" w:space="0" w:color="auto"/>
                                    <w:left w:val="none" w:sz="0" w:space="0" w:color="auto"/>
                                    <w:bottom w:val="none" w:sz="0" w:space="0" w:color="auto"/>
                                    <w:right w:val="none" w:sz="0" w:space="0" w:color="auto"/>
                                  </w:divBdr>
                                  <w:divsChild>
                                    <w:div w:id="1807771174">
                                      <w:marLeft w:val="0"/>
                                      <w:marRight w:val="0"/>
                                      <w:marTop w:val="0"/>
                                      <w:marBottom w:val="0"/>
                                      <w:divBdr>
                                        <w:top w:val="none" w:sz="0" w:space="0" w:color="auto"/>
                                        <w:left w:val="none" w:sz="0" w:space="0" w:color="auto"/>
                                        <w:bottom w:val="none" w:sz="0" w:space="0" w:color="auto"/>
                                        <w:right w:val="none" w:sz="0" w:space="0" w:color="auto"/>
                                      </w:divBdr>
                                      <w:divsChild>
                                        <w:div w:id="304119206">
                                          <w:marLeft w:val="0"/>
                                          <w:marRight w:val="0"/>
                                          <w:marTop w:val="90"/>
                                          <w:marBottom w:val="0"/>
                                          <w:divBdr>
                                            <w:top w:val="none" w:sz="0" w:space="0" w:color="auto"/>
                                            <w:left w:val="none" w:sz="0" w:space="0" w:color="auto"/>
                                            <w:bottom w:val="none" w:sz="0" w:space="0" w:color="auto"/>
                                            <w:right w:val="none" w:sz="0" w:space="0" w:color="auto"/>
                                          </w:divBdr>
                                          <w:divsChild>
                                            <w:div w:id="1364399122">
                                              <w:marLeft w:val="0"/>
                                              <w:marRight w:val="0"/>
                                              <w:marTop w:val="0"/>
                                              <w:marBottom w:val="0"/>
                                              <w:divBdr>
                                                <w:top w:val="none" w:sz="0" w:space="0" w:color="auto"/>
                                                <w:left w:val="none" w:sz="0" w:space="0" w:color="auto"/>
                                                <w:bottom w:val="none" w:sz="0" w:space="0" w:color="auto"/>
                                                <w:right w:val="none" w:sz="0" w:space="0" w:color="auto"/>
                                              </w:divBdr>
                                              <w:divsChild>
                                                <w:div w:id="1216576903">
                                                  <w:marLeft w:val="0"/>
                                                  <w:marRight w:val="0"/>
                                                  <w:marTop w:val="0"/>
                                                  <w:marBottom w:val="0"/>
                                                  <w:divBdr>
                                                    <w:top w:val="none" w:sz="0" w:space="0" w:color="auto"/>
                                                    <w:left w:val="none" w:sz="0" w:space="0" w:color="auto"/>
                                                    <w:bottom w:val="none" w:sz="0" w:space="0" w:color="auto"/>
                                                    <w:right w:val="none" w:sz="0" w:space="0" w:color="auto"/>
                                                  </w:divBdr>
                                                  <w:divsChild>
                                                    <w:div w:id="1545023750">
                                                      <w:marLeft w:val="0"/>
                                                      <w:marRight w:val="0"/>
                                                      <w:marTop w:val="0"/>
                                                      <w:marBottom w:val="180"/>
                                                      <w:divBdr>
                                                        <w:top w:val="none" w:sz="0" w:space="0" w:color="auto"/>
                                                        <w:left w:val="none" w:sz="0" w:space="0" w:color="auto"/>
                                                        <w:bottom w:val="none" w:sz="0" w:space="0" w:color="auto"/>
                                                        <w:right w:val="none" w:sz="0" w:space="0" w:color="auto"/>
                                                      </w:divBdr>
                                                      <w:divsChild>
                                                        <w:div w:id="216279973">
                                                          <w:marLeft w:val="0"/>
                                                          <w:marRight w:val="0"/>
                                                          <w:marTop w:val="0"/>
                                                          <w:marBottom w:val="0"/>
                                                          <w:divBdr>
                                                            <w:top w:val="none" w:sz="0" w:space="0" w:color="auto"/>
                                                            <w:left w:val="none" w:sz="0" w:space="0" w:color="auto"/>
                                                            <w:bottom w:val="none" w:sz="0" w:space="0" w:color="auto"/>
                                                            <w:right w:val="none" w:sz="0" w:space="0" w:color="auto"/>
                                                          </w:divBdr>
                                                          <w:divsChild>
                                                            <w:div w:id="270090712">
                                                              <w:marLeft w:val="0"/>
                                                              <w:marRight w:val="0"/>
                                                              <w:marTop w:val="0"/>
                                                              <w:marBottom w:val="0"/>
                                                              <w:divBdr>
                                                                <w:top w:val="none" w:sz="0" w:space="0" w:color="auto"/>
                                                                <w:left w:val="none" w:sz="0" w:space="0" w:color="auto"/>
                                                                <w:bottom w:val="none" w:sz="0" w:space="0" w:color="auto"/>
                                                                <w:right w:val="none" w:sz="0" w:space="0" w:color="auto"/>
                                                              </w:divBdr>
                                                              <w:divsChild>
                                                                <w:div w:id="2036693244">
                                                                  <w:marLeft w:val="0"/>
                                                                  <w:marRight w:val="0"/>
                                                                  <w:marTop w:val="0"/>
                                                                  <w:marBottom w:val="0"/>
                                                                  <w:divBdr>
                                                                    <w:top w:val="none" w:sz="0" w:space="0" w:color="auto"/>
                                                                    <w:left w:val="none" w:sz="0" w:space="0" w:color="auto"/>
                                                                    <w:bottom w:val="none" w:sz="0" w:space="0" w:color="auto"/>
                                                                    <w:right w:val="none" w:sz="0" w:space="0" w:color="auto"/>
                                                                  </w:divBdr>
                                                                  <w:divsChild>
                                                                    <w:div w:id="1034230472">
                                                                      <w:marLeft w:val="0"/>
                                                                      <w:marRight w:val="0"/>
                                                                      <w:marTop w:val="0"/>
                                                                      <w:marBottom w:val="0"/>
                                                                      <w:divBdr>
                                                                        <w:top w:val="none" w:sz="0" w:space="0" w:color="auto"/>
                                                                        <w:left w:val="none" w:sz="0" w:space="0" w:color="auto"/>
                                                                        <w:bottom w:val="none" w:sz="0" w:space="0" w:color="auto"/>
                                                                        <w:right w:val="none" w:sz="0" w:space="0" w:color="auto"/>
                                                                      </w:divBdr>
                                                                      <w:divsChild>
                                                                        <w:div w:id="1025908162">
                                                                          <w:marLeft w:val="0"/>
                                                                          <w:marRight w:val="0"/>
                                                                          <w:marTop w:val="0"/>
                                                                          <w:marBottom w:val="0"/>
                                                                          <w:divBdr>
                                                                            <w:top w:val="none" w:sz="0" w:space="0" w:color="auto"/>
                                                                            <w:left w:val="none" w:sz="0" w:space="0" w:color="auto"/>
                                                                            <w:bottom w:val="none" w:sz="0" w:space="0" w:color="auto"/>
                                                                            <w:right w:val="none" w:sz="0" w:space="0" w:color="auto"/>
                                                                          </w:divBdr>
                                                                          <w:divsChild>
                                                                            <w:div w:id="633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043875">
      <w:bodyDiv w:val="1"/>
      <w:marLeft w:val="0"/>
      <w:marRight w:val="0"/>
      <w:marTop w:val="0"/>
      <w:marBottom w:val="0"/>
      <w:divBdr>
        <w:top w:val="none" w:sz="0" w:space="0" w:color="auto"/>
        <w:left w:val="none" w:sz="0" w:space="0" w:color="auto"/>
        <w:bottom w:val="none" w:sz="0" w:space="0" w:color="auto"/>
        <w:right w:val="none" w:sz="0" w:space="0" w:color="auto"/>
      </w:divBdr>
    </w:div>
    <w:div w:id="1206061522">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payne@treasury.gov.a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xboard@treasury.gov.au"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board.ideascale.com/"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boyceca.com/news/tax-in-agricultur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axboard.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34E0-3EFA-4C75-B3AF-D95E889C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2018-05-23T23:28:00Z</dcterms:created>
  <dcterms:modified xsi:type="dcterms:W3CDTF">2018-05-23T23:28:00Z</dcterms:modified>
</cp:coreProperties>
</file>