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"/>
        <w:gridCol w:w="9789"/>
        <w:gridCol w:w="452"/>
      </w:tblGrid>
      <w:tr w:rsidR="00DE77A2" w14:paraId="2D29DC04" w14:textId="77777777" w:rsidTr="00F23171">
        <w:trPr>
          <w:jc w:val="center"/>
        </w:trPr>
        <w:tc>
          <w:tcPr>
            <w:tcW w:w="10754" w:type="dxa"/>
            <w:gridSpan w:val="3"/>
            <w:tcMar>
              <w:left w:w="0" w:type="dxa"/>
              <w:right w:w="0" w:type="dxa"/>
            </w:tcMar>
          </w:tcPr>
          <w:p w14:paraId="2658866D" w14:textId="210DCC73" w:rsidR="00DE77A2" w:rsidRDefault="00DE77A2" w:rsidP="002256FA">
            <w:r>
              <w:rPr>
                <w:noProof/>
                <w:lang w:eastAsia="en-AU"/>
              </w:rPr>
              <w:drawing>
                <wp:inline distT="0" distB="0" distL="0" distR="0" wp14:anchorId="4E8C267F" wp14:editId="4D1715C1">
                  <wp:extent cx="6828312" cy="1516818"/>
                  <wp:effectExtent l="0" t="0" r="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T banner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0049" cy="1517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77A2" w:rsidRPr="00BD2FF3" w14:paraId="3FAA2B33" w14:textId="77777777" w:rsidTr="00F23171">
        <w:trPr>
          <w:jc w:val="center"/>
        </w:trPr>
        <w:tc>
          <w:tcPr>
            <w:tcW w:w="513" w:type="dxa"/>
            <w:shd w:val="clear" w:color="auto" w:fill="1F497D" w:themeFill="text2"/>
          </w:tcPr>
          <w:p w14:paraId="39EA45D1" w14:textId="77777777" w:rsidR="00DE77A2" w:rsidRPr="00BD2FF3" w:rsidRDefault="00DE77A2" w:rsidP="002256FA"/>
        </w:tc>
        <w:tc>
          <w:tcPr>
            <w:tcW w:w="9789" w:type="dxa"/>
            <w:shd w:val="clear" w:color="auto" w:fill="1F497D" w:themeFill="text2"/>
          </w:tcPr>
          <w:p w14:paraId="6B853DE3" w14:textId="7D9882BE" w:rsidR="00DE77A2" w:rsidRPr="002256FA" w:rsidRDefault="00DE77A2" w:rsidP="00656D54">
            <w:pPr>
              <w:pStyle w:val="Heading1"/>
              <w:outlineLvl w:val="0"/>
            </w:pPr>
            <w:r w:rsidRPr="002256FA">
              <w:t xml:space="preserve">CEO Update – </w:t>
            </w:r>
            <w:r w:rsidR="00656D54">
              <w:fldChar w:fldCharType="begin"/>
            </w:r>
            <w:r w:rsidR="00656D54">
              <w:instrText xml:space="preserve"> DATE  \@ "MMMM yyyy"  \* MERGEFORMAT </w:instrText>
            </w:r>
            <w:r w:rsidR="00656D54">
              <w:fldChar w:fldCharType="separate"/>
            </w:r>
            <w:r w:rsidR="00D65CF2">
              <w:rPr>
                <w:noProof/>
              </w:rPr>
              <w:t>March 2018</w:t>
            </w:r>
            <w:r w:rsidR="00656D54">
              <w:fldChar w:fldCharType="end"/>
            </w:r>
          </w:p>
        </w:tc>
        <w:tc>
          <w:tcPr>
            <w:tcW w:w="452" w:type="dxa"/>
            <w:shd w:val="clear" w:color="auto" w:fill="1F497D" w:themeFill="text2"/>
          </w:tcPr>
          <w:p w14:paraId="71A41AEF" w14:textId="77777777" w:rsidR="00DE77A2" w:rsidRPr="00BD2FF3" w:rsidRDefault="00DE77A2" w:rsidP="002256FA"/>
        </w:tc>
      </w:tr>
      <w:tr w:rsidR="00DE77A2" w:rsidRPr="00BD2FF3" w14:paraId="7F6A94CC" w14:textId="77777777" w:rsidTr="00F23171">
        <w:trPr>
          <w:jc w:val="center"/>
        </w:trPr>
        <w:tc>
          <w:tcPr>
            <w:tcW w:w="513" w:type="dxa"/>
          </w:tcPr>
          <w:p w14:paraId="7E481E69" w14:textId="77777777" w:rsidR="00DE77A2" w:rsidRPr="00BD2FF3" w:rsidRDefault="00DE77A2" w:rsidP="002256FA"/>
        </w:tc>
        <w:tc>
          <w:tcPr>
            <w:tcW w:w="9789" w:type="dxa"/>
          </w:tcPr>
          <w:p w14:paraId="2FC3AF03" w14:textId="3D0AF8C3" w:rsidR="00DE77A2" w:rsidRPr="00F23171" w:rsidRDefault="00DD348D" w:rsidP="002B61FE">
            <w:pPr>
              <w:spacing w:before="0" w:line="300" w:lineRule="exact"/>
              <w:rPr>
                <w:sz w:val="24"/>
                <w:szCs w:val="24"/>
              </w:rPr>
            </w:pPr>
            <w:r w:rsidRPr="00F23171">
              <w:rPr>
                <w:sz w:val="24"/>
                <w:szCs w:val="24"/>
              </w:rPr>
              <w:br/>
            </w:r>
            <w:r w:rsidR="00DE77A2" w:rsidRPr="00F23171">
              <w:rPr>
                <w:sz w:val="24"/>
                <w:szCs w:val="24"/>
              </w:rPr>
              <w:t xml:space="preserve">Dear </w:t>
            </w:r>
            <w:r w:rsidR="005B32D7" w:rsidRPr="00F23171">
              <w:rPr>
                <w:sz w:val="24"/>
                <w:szCs w:val="24"/>
              </w:rPr>
              <w:t>Stakeholders</w:t>
            </w:r>
            <w:r w:rsidR="00DE77A2" w:rsidRPr="00F23171">
              <w:rPr>
                <w:sz w:val="24"/>
                <w:szCs w:val="24"/>
              </w:rPr>
              <w:t>,</w:t>
            </w:r>
          </w:p>
          <w:p w14:paraId="5466399C" w14:textId="0F400BA4" w:rsidR="00986BE1" w:rsidRPr="00F23171" w:rsidRDefault="00BE3509" w:rsidP="00512598">
            <w:pPr>
              <w:jc w:val="both"/>
              <w:rPr>
                <w:sz w:val="24"/>
                <w:szCs w:val="24"/>
              </w:rPr>
            </w:pPr>
            <w:r w:rsidRPr="00F23171">
              <w:rPr>
                <w:sz w:val="24"/>
                <w:szCs w:val="24"/>
              </w:rPr>
              <w:t>T</w:t>
            </w:r>
            <w:r w:rsidR="00546C73" w:rsidRPr="00F23171">
              <w:rPr>
                <w:sz w:val="24"/>
                <w:szCs w:val="24"/>
              </w:rPr>
              <w:t xml:space="preserve">he </w:t>
            </w:r>
            <w:r w:rsidR="00B0301E" w:rsidRPr="00F23171">
              <w:rPr>
                <w:sz w:val="24"/>
                <w:szCs w:val="24"/>
              </w:rPr>
              <w:t>B</w:t>
            </w:r>
            <w:r w:rsidR="00546C73" w:rsidRPr="00F23171">
              <w:rPr>
                <w:sz w:val="24"/>
                <w:szCs w:val="24"/>
              </w:rPr>
              <w:t xml:space="preserve">oard of Taxation </w:t>
            </w:r>
            <w:r w:rsidR="00F04C9A" w:rsidRPr="00F23171">
              <w:rPr>
                <w:sz w:val="24"/>
                <w:szCs w:val="24"/>
              </w:rPr>
              <w:t xml:space="preserve">(the Board) </w:t>
            </w:r>
            <w:r w:rsidR="00986BE1" w:rsidRPr="00F23171">
              <w:rPr>
                <w:sz w:val="24"/>
                <w:szCs w:val="24"/>
              </w:rPr>
              <w:t xml:space="preserve">held its first meeting for 2018 on </w:t>
            </w:r>
            <w:r w:rsidR="000735E9" w:rsidRPr="00F23171">
              <w:rPr>
                <w:sz w:val="24"/>
                <w:szCs w:val="24"/>
              </w:rPr>
              <w:t xml:space="preserve">Thursday </w:t>
            </w:r>
            <w:r w:rsidR="00512598" w:rsidRPr="00F23171">
              <w:rPr>
                <w:sz w:val="24"/>
                <w:szCs w:val="24"/>
              </w:rPr>
              <w:t>15 February</w:t>
            </w:r>
            <w:r w:rsidR="00986BE1" w:rsidRPr="00F23171">
              <w:rPr>
                <w:sz w:val="24"/>
                <w:szCs w:val="24"/>
              </w:rPr>
              <w:t xml:space="preserve"> at the ATO in Melbourne, Docklands. We thank the ATO for their hospitality</w:t>
            </w:r>
            <w:r w:rsidR="004021EC" w:rsidRPr="00F23171">
              <w:rPr>
                <w:sz w:val="24"/>
                <w:szCs w:val="24"/>
              </w:rPr>
              <w:t xml:space="preserve"> and their ongoing partnership with the Board</w:t>
            </w:r>
            <w:r w:rsidR="00986BE1" w:rsidRPr="00F23171">
              <w:rPr>
                <w:sz w:val="24"/>
                <w:szCs w:val="24"/>
              </w:rPr>
              <w:t xml:space="preserve">. </w:t>
            </w:r>
          </w:p>
          <w:p w14:paraId="222E43F3" w14:textId="222CD9DF" w:rsidR="00512598" w:rsidRPr="00F23171" w:rsidRDefault="00986BE1" w:rsidP="00512598">
            <w:pPr>
              <w:jc w:val="both"/>
              <w:rPr>
                <w:sz w:val="24"/>
                <w:szCs w:val="24"/>
              </w:rPr>
            </w:pPr>
            <w:r w:rsidRPr="00F23171">
              <w:rPr>
                <w:sz w:val="24"/>
                <w:szCs w:val="24"/>
              </w:rPr>
              <w:t>The Board welcomed our newest member, M</w:t>
            </w:r>
            <w:r w:rsidR="00F74106">
              <w:rPr>
                <w:sz w:val="24"/>
                <w:szCs w:val="24"/>
              </w:rPr>
              <w:t>r</w:t>
            </w:r>
            <w:r w:rsidRPr="00F23171">
              <w:rPr>
                <w:sz w:val="24"/>
                <w:szCs w:val="24"/>
              </w:rPr>
              <w:t xml:space="preserve">s Rosheen Garnon and congratulated </w:t>
            </w:r>
            <w:r w:rsidR="00607337">
              <w:rPr>
                <w:sz w:val="24"/>
                <w:szCs w:val="24"/>
              </w:rPr>
              <w:t xml:space="preserve">others on </w:t>
            </w:r>
            <w:r w:rsidRPr="00F23171">
              <w:rPr>
                <w:sz w:val="24"/>
                <w:szCs w:val="24"/>
              </w:rPr>
              <w:t>the</w:t>
            </w:r>
            <w:r w:rsidR="00607337">
              <w:rPr>
                <w:sz w:val="24"/>
                <w:szCs w:val="24"/>
              </w:rPr>
              <w:t>ir</w:t>
            </w:r>
            <w:r w:rsidRPr="00F23171">
              <w:rPr>
                <w:sz w:val="24"/>
                <w:szCs w:val="24"/>
              </w:rPr>
              <w:t xml:space="preserve"> re-appointments </w:t>
            </w:r>
            <w:r w:rsidR="00607337">
              <w:rPr>
                <w:sz w:val="24"/>
                <w:szCs w:val="24"/>
              </w:rPr>
              <w:t xml:space="preserve">- </w:t>
            </w:r>
            <w:r w:rsidRPr="00F23171">
              <w:rPr>
                <w:sz w:val="24"/>
                <w:szCs w:val="24"/>
              </w:rPr>
              <w:t>the Chair</w:t>
            </w:r>
            <w:r w:rsidR="004021EC" w:rsidRPr="00F23171">
              <w:rPr>
                <w:sz w:val="24"/>
                <w:szCs w:val="24"/>
              </w:rPr>
              <w:t xml:space="preserve"> (two years) and both </w:t>
            </w:r>
            <w:r w:rsidR="004021EC" w:rsidRPr="00F23171">
              <w:rPr>
                <w:color w:val="000000"/>
                <w:sz w:val="24"/>
                <w:szCs w:val="24"/>
              </w:rPr>
              <w:t xml:space="preserve">Dr Mark Pizzacalla and Mr Craig Yaxley (three years). </w:t>
            </w:r>
          </w:p>
          <w:p w14:paraId="13AA611F" w14:textId="77777777" w:rsidR="00AD30CB" w:rsidRPr="00F23171" w:rsidRDefault="00512598" w:rsidP="00512598">
            <w:pPr>
              <w:jc w:val="both"/>
              <w:rPr>
                <w:sz w:val="24"/>
                <w:szCs w:val="24"/>
              </w:rPr>
            </w:pPr>
            <w:r w:rsidRPr="00F23171">
              <w:rPr>
                <w:sz w:val="24"/>
                <w:szCs w:val="24"/>
              </w:rPr>
              <w:t xml:space="preserve">At the Board’s meeting, we discussed the progress and direction of our current projects and </w:t>
            </w:r>
            <w:r w:rsidR="00986BE1" w:rsidRPr="00F23171">
              <w:rPr>
                <w:sz w:val="24"/>
                <w:szCs w:val="24"/>
              </w:rPr>
              <w:t xml:space="preserve">what is shaping up to be a very busy 2018 with the newly established agenda of work. </w:t>
            </w:r>
            <w:r w:rsidRPr="00F23171">
              <w:rPr>
                <w:sz w:val="24"/>
                <w:szCs w:val="24"/>
              </w:rPr>
              <w:t>The Board also welcomed the Chair and CEO of the Australian Accounting Standards Board (AASB), Ms Kris Peach, for an update on accounting developments</w:t>
            </w:r>
            <w:r w:rsidR="00986BE1" w:rsidRPr="00F23171">
              <w:rPr>
                <w:sz w:val="24"/>
                <w:szCs w:val="24"/>
              </w:rPr>
              <w:t xml:space="preserve"> and received an update on the </w:t>
            </w:r>
            <w:r w:rsidRPr="00F23171">
              <w:rPr>
                <w:sz w:val="24"/>
                <w:szCs w:val="24"/>
              </w:rPr>
              <w:t xml:space="preserve">additional accounting guidance to support the Tax Transparency Code (the Code). </w:t>
            </w:r>
          </w:p>
          <w:p w14:paraId="4490E19B" w14:textId="1D0FEA45" w:rsidR="00546C73" w:rsidRPr="00BD2FF3" w:rsidRDefault="00AD30CB" w:rsidP="00CE3836">
            <w:pPr>
              <w:jc w:val="both"/>
            </w:pPr>
            <w:r w:rsidRPr="00F23171">
              <w:rPr>
                <w:sz w:val="24"/>
                <w:szCs w:val="24"/>
              </w:rPr>
              <w:t xml:space="preserve">The Board met with </w:t>
            </w:r>
            <w:r w:rsidR="00B43F70" w:rsidRPr="00F23171">
              <w:rPr>
                <w:sz w:val="24"/>
                <w:szCs w:val="24"/>
              </w:rPr>
              <w:t xml:space="preserve">various </w:t>
            </w:r>
            <w:r w:rsidRPr="00F23171">
              <w:rPr>
                <w:sz w:val="24"/>
                <w:szCs w:val="24"/>
              </w:rPr>
              <w:t xml:space="preserve">stakeholders and its advisory panel over lunch to provide an update on our projects and to hear about taxation issues affecting the business community and tax profession.  </w:t>
            </w:r>
            <w:r w:rsidR="00512598" w:rsidRPr="00F23171">
              <w:rPr>
                <w:sz w:val="24"/>
                <w:szCs w:val="24"/>
              </w:rPr>
              <w:t>Some further details are set out below.</w:t>
            </w:r>
            <w:r w:rsidR="002C7DA6">
              <w:t xml:space="preserve"> </w:t>
            </w:r>
          </w:p>
        </w:tc>
        <w:tc>
          <w:tcPr>
            <w:tcW w:w="452" w:type="dxa"/>
          </w:tcPr>
          <w:p w14:paraId="052BE130" w14:textId="77777777" w:rsidR="00DE77A2" w:rsidRPr="00BD2FF3" w:rsidRDefault="00DE77A2" w:rsidP="002256FA"/>
        </w:tc>
      </w:tr>
      <w:tr w:rsidR="005B32D7" w:rsidRPr="005B32D7" w14:paraId="6B5FE549" w14:textId="77777777" w:rsidTr="00F23171">
        <w:trPr>
          <w:jc w:val="center"/>
        </w:trPr>
        <w:tc>
          <w:tcPr>
            <w:tcW w:w="513" w:type="dxa"/>
            <w:shd w:val="clear" w:color="auto" w:fill="auto"/>
          </w:tcPr>
          <w:p w14:paraId="0A0775CB" w14:textId="4F6582CC" w:rsidR="00DE77A2" w:rsidRPr="005B32D7" w:rsidRDefault="00DE77A2" w:rsidP="002256FA"/>
        </w:tc>
        <w:tc>
          <w:tcPr>
            <w:tcW w:w="9789" w:type="dxa"/>
            <w:shd w:val="clear" w:color="auto" w:fill="auto"/>
          </w:tcPr>
          <w:p w14:paraId="5B3EA95D" w14:textId="076D09E0" w:rsidR="00DE77A2" w:rsidRPr="005B32D7" w:rsidRDefault="004021EC" w:rsidP="00EF48F9">
            <w:pPr>
              <w:pStyle w:val="Heading2"/>
              <w:spacing w:after="0"/>
              <w:outlineLvl w:val="1"/>
            </w:pPr>
            <w:r>
              <w:t>Agenda of work</w:t>
            </w:r>
          </w:p>
        </w:tc>
        <w:tc>
          <w:tcPr>
            <w:tcW w:w="452" w:type="dxa"/>
            <w:shd w:val="clear" w:color="auto" w:fill="auto"/>
          </w:tcPr>
          <w:p w14:paraId="0DF42C9B" w14:textId="77777777" w:rsidR="00DE77A2" w:rsidRPr="005B32D7" w:rsidRDefault="00DE77A2" w:rsidP="002256FA"/>
        </w:tc>
      </w:tr>
      <w:tr w:rsidR="00DE77A2" w:rsidRPr="00BD2FF3" w14:paraId="194D8302" w14:textId="77777777" w:rsidTr="00F23171">
        <w:trPr>
          <w:jc w:val="center"/>
        </w:trPr>
        <w:tc>
          <w:tcPr>
            <w:tcW w:w="513" w:type="dxa"/>
          </w:tcPr>
          <w:p w14:paraId="58EC1D73" w14:textId="77777777" w:rsidR="00DE77A2" w:rsidRPr="00BD2FF3" w:rsidRDefault="00DE77A2" w:rsidP="002256FA"/>
        </w:tc>
        <w:tc>
          <w:tcPr>
            <w:tcW w:w="9789" w:type="dxa"/>
          </w:tcPr>
          <w:p w14:paraId="6C0B10CD" w14:textId="0628B791" w:rsidR="001A5F7D" w:rsidRPr="00F23171" w:rsidRDefault="002A2827" w:rsidP="002B61FE">
            <w:pPr>
              <w:spacing w:before="0" w:line="300" w:lineRule="exact"/>
              <w:rPr>
                <w:sz w:val="24"/>
                <w:szCs w:val="24"/>
              </w:rPr>
            </w:pPr>
            <w:r w:rsidRPr="00F23171">
              <w:rPr>
                <w:sz w:val="24"/>
                <w:szCs w:val="24"/>
              </w:rPr>
              <w:t>The Board discuss</w:t>
            </w:r>
            <w:r w:rsidR="00AD30CB" w:rsidRPr="00F23171">
              <w:rPr>
                <w:sz w:val="24"/>
                <w:szCs w:val="24"/>
              </w:rPr>
              <w:t>ed</w:t>
            </w:r>
            <w:r w:rsidR="000735E9" w:rsidRPr="00F23171">
              <w:rPr>
                <w:sz w:val="24"/>
                <w:szCs w:val="24"/>
              </w:rPr>
              <w:t xml:space="preserve"> </w:t>
            </w:r>
            <w:r w:rsidR="001A5F7D" w:rsidRPr="00F23171">
              <w:rPr>
                <w:sz w:val="24"/>
                <w:szCs w:val="24"/>
              </w:rPr>
              <w:t>the scop</w:t>
            </w:r>
            <w:r w:rsidR="00BE3509" w:rsidRPr="00F23171">
              <w:rPr>
                <w:sz w:val="24"/>
                <w:szCs w:val="24"/>
              </w:rPr>
              <w:t xml:space="preserve">e and content </w:t>
            </w:r>
            <w:r w:rsidR="00311917" w:rsidRPr="00F23171">
              <w:rPr>
                <w:sz w:val="24"/>
                <w:szCs w:val="24"/>
              </w:rPr>
              <w:t xml:space="preserve">of </w:t>
            </w:r>
            <w:r w:rsidR="00BE3509" w:rsidRPr="00F23171">
              <w:rPr>
                <w:sz w:val="24"/>
                <w:szCs w:val="24"/>
              </w:rPr>
              <w:t>a number of projects</w:t>
            </w:r>
            <w:r w:rsidR="004021EC" w:rsidRPr="00F23171">
              <w:rPr>
                <w:sz w:val="24"/>
                <w:szCs w:val="24"/>
              </w:rPr>
              <w:t xml:space="preserve"> </w:t>
            </w:r>
            <w:r w:rsidR="002F1EE3" w:rsidRPr="00F23171">
              <w:rPr>
                <w:sz w:val="24"/>
                <w:szCs w:val="24"/>
              </w:rPr>
              <w:t>and assignments</w:t>
            </w:r>
            <w:r w:rsidR="00BE3509" w:rsidRPr="00F23171">
              <w:rPr>
                <w:sz w:val="24"/>
                <w:szCs w:val="24"/>
              </w:rPr>
              <w:t>, including</w:t>
            </w:r>
            <w:r w:rsidR="00311917" w:rsidRPr="00F23171">
              <w:rPr>
                <w:sz w:val="24"/>
                <w:szCs w:val="24"/>
              </w:rPr>
              <w:t>:</w:t>
            </w:r>
            <w:r w:rsidR="001A5F7D" w:rsidRPr="00F23171">
              <w:rPr>
                <w:sz w:val="24"/>
                <w:szCs w:val="24"/>
              </w:rPr>
              <w:t xml:space="preserve"> </w:t>
            </w:r>
          </w:p>
          <w:p w14:paraId="148171AE" w14:textId="77777777" w:rsidR="00B43F70" w:rsidRPr="00F23171" w:rsidRDefault="00B43F70" w:rsidP="00B43F70">
            <w:pPr>
              <w:pStyle w:val="ListParagraph"/>
              <w:numPr>
                <w:ilvl w:val="0"/>
                <w:numId w:val="13"/>
              </w:numPr>
              <w:spacing w:before="0" w:after="120" w:line="300" w:lineRule="exact"/>
              <w:rPr>
                <w:sz w:val="24"/>
                <w:szCs w:val="24"/>
              </w:rPr>
            </w:pPr>
            <w:r w:rsidRPr="00F23171">
              <w:rPr>
                <w:sz w:val="24"/>
                <w:szCs w:val="24"/>
              </w:rPr>
              <w:t>Post implementation review of contingent consideration rules (earn out arrangements);</w:t>
            </w:r>
          </w:p>
          <w:p w14:paraId="3E6F4EBC" w14:textId="5BAC30C6" w:rsidR="001A5F7D" w:rsidRPr="00F23171" w:rsidRDefault="001A5F7D" w:rsidP="002B61FE">
            <w:pPr>
              <w:pStyle w:val="Bullet"/>
              <w:numPr>
                <w:ilvl w:val="0"/>
                <w:numId w:val="13"/>
              </w:numPr>
              <w:spacing w:before="0" w:line="300" w:lineRule="exact"/>
              <w:rPr>
                <w:sz w:val="24"/>
                <w:szCs w:val="24"/>
              </w:rPr>
            </w:pPr>
            <w:r w:rsidRPr="00F23171">
              <w:rPr>
                <w:sz w:val="24"/>
                <w:szCs w:val="24"/>
              </w:rPr>
              <w:t xml:space="preserve">A review of </w:t>
            </w:r>
            <w:r w:rsidR="00311917" w:rsidRPr="00F23171">
              <w:rPr>
                <w:sz w:val="24"/>
                <w:szCs w:val="24"/>
              </w:rPr>
              <w:t>s</w:t>
            </w:r>
            <w:r w:rsidRPr="00F23171">
              <w:rPr>
                <w:sz w:val="24"/>
                <w:szCs w:val="24"/>
              </w:rPr>
              <w:t xml:space="preserve">mall </w:t>
            </w:r>
            <w:r w:rsidR="00311917" w:rsidRPr="00F23171">
              <w:rPr>
                <w:sz w:val="24"/>
                <w:szCs w:val="24"/>
              </w:rPr>
              <w:t>b</w:t>
            </w:r>
            <w:r w:rsidRPr="00F23171">
              <w:rPr>
                <w:sz w:val="24"/>
                <w:szCs w:val="24"/>
              </w:rPr>
              <w:t>usiness tax concessions;</w:t>
            </w:r>
          </w:p>
          <w:p w14:paraId="2AD0315B" w14:textId="77D7FFE2" w:rsidR="001A5F7D" w:rsidRPr="00F23171" w:rsidRDefault="001A5F7D" w:rsidP="002B61FE">
            <w:pPr>
              <w:pStyle w:val="Bullet"/>
              <w:numPr>
                <w:ilvl w:val="0"/>
                <w:numId w:val="13"/>
              </w:numPr>
              <w:spacing w:before="0" w:line="300" w:lineRule="exact"/>
              <w:rPr>
                <w:sz w:val="24"/>
                <w:szCs w:val="24"/>
              </w:rPr>
            </w:pPr>
            <w:r w:rsidRPr="00F23171">
              <w:rPr>
                <w:sz w:val="24"/>
                <w:szCs w:val="24"/>
              </w:rPr>
              <w:t>A comparison of the taxing rights for real property under Australia’s double tax agreements and domestic laws</w:t>
            </w:r>
            <w:r w:rsidR="00311917" w:rsidRPr="00F23171">
              <w:rPr>
                <w:sz w:val="24"/>
                <w:szCs w:val="24"/>
              </w:rPr>
              <w:t>;</w:t>
            </w:r>
          </w:p>
          <w:p w14:paraId="347A085C" w14:textId="6316F00B" w:rsidR="002A2827" w:rsidRPr="00F23171" w:rsidRDefault="00B43F70" w:rsidP="002B61FE">
            <w:pPr>
              <w:pStyle w:val="ListParagraph"/>
              <w:numPr>
                <w:ilvl w:val="0"/>
                <w:numId w:val="13"/>
              </w:numPr>
              <w:spacing w:before="0" w:after="120" w:line="300" w:lineRule="exact"/>
              <w:rPr>
                <w:sz w:val="24"/>
                <w:szCs w:val="24"/>
              </w:rPr>
            </w:pPr>
            <w:r w:rsidRPr="00F23171">
              <w:rPr>
                <w:sz w:val="24"/>
                <w:szCs w:val="24"/>
              </w:rPr>
              <w:t xml:space="preserve">A review of </w:t>
            </w:r>
            <w:r w:rsidR="00570C36" w:rsidRPr="00F23171">
              <w:rPr>
                <w:sz w:val="24"/>
                <w:szCs w:val="24"/>
              </w:rPr>
              <w:t xml:space="preserve">tax measures to promote </w:t>
            </w:r>
            <w:r w:rsidRPr="00F23171">
              <w:rPr>
                <w:sz w:val="24"/>
                <w:szCs w:val="24"/>
              </w:rPr>
              <w:t xml:space="preserve">ASX listings of </w:t>
            </w:r>
            <w:r w:rsidR="00570C36" w:rsidRPr="00F23171">
              <w:rPr>
                <w:sz w:val="24"/>
                <w:szCs w:val="24"/>
              </w:rPr>
              <w:t>innovation</w:t>
            </w:r>
            <w:r w:rsidRPr="00F23171">
              <w:rPr>
                <w:sz w:val="24"/>
                <w:szCs w:val="24"/>
              </w:rPr>
              <w:t xml:space="preserve"> companies</w:t>
            </w:r>
            <w:r w:rsidR="004B43F2" w:rsidRPr="00F23171">
              <w:rPr>
                <w:sz w:val="24"/>
                <w:szCs w:val="24"/>
              </w:rPr>
              <w:t>;</w:t>
            </w:r>
          </w:p>
          <w:p w14:paraId="421CF12D" w14:textId="5A581404" w:rsidR="004B3A51" w:rsidRPr="00F23171" w:rsidRDefault="00507698" w:rsidP="002B61FE">
            <w:pPr>
              <w:pStyle w:val="ListParagraph"/>
              <w:numPr>
                <w:ilvl w:val="0"/>
                <w:numId w:val="13"/>
              </w:numPr>
              <w:spacing w:before="0" w:after="120" w:line="300" w:lineRule="exact"/>
              <w:rPr>
                <w:sz w:val="24"/>
                <w:szCs w:val="24"/>
              </w:rPr>
            </w:pPr>
            <w:r w:rsidRPr="00F23171">
              <w:rPr>
                <w:sz w:val="24"/>
                <w:szCs w:val="24"/>
              </w:rPr>
              <w:t xml:space="preserve">Reviewing fringe benefits tax (FBT) </w:t>
            </w:r>
            <w:r w:rsidR="004B3A51" w:rsidRPr="00F23171">
              <w:rPr>
                <w:sz w:val="24"/>
                <w:szCs w:val="24"/>
              </w:rPr>
              <w:t>compliance</w:t>
            </w:r>
            <w:r w:rsidR="00F662D6" w:rsidRPr="00F23171">
              <w:rPr>
                <w:sz w:val="24"/>
                <w:szCs w:val="24"/>
              </w:rPr>
              <w:t xml:space="preserve"> costs</w:t>
            </w:r>
            <w:r w:rsidR="00AD30CB" w:rsidRPr="00F23171">
              <w:rPr>
                <w:sz w:val="24"/>
                <w:szCs w:val="24"/>
              </w:rPr>
              <w:t>, including international comparisons;</w:t>
            </w:r>
          </w:p>
          <w:p w14:paraId="34C4A014" w14:textId="5F28E7C9" w:rsidR="00507698" w:rsidRPr="00F23171" w:rsidRDefault="00507698" w:rsidP="00507698">
            <w:pPr>
              <w:pStyle w:val="ListParagraph"/>
              <w:numPr>
                <w:ilvl w:val="0"/>
                <w:numId w:val="13"/>
              </w:numPr>
              <w:spacing w:before="0" w:after="120" w:line="300" w:lineRule="exact"/>
              <w:rPr>
                <w:sz w:val="24"/>
                <w:szCs w:val="24"/>
              </w:rPr>
            </w:pPr>
            <w:r w:rsidRPr="00F23171">
              <w:rPr>
                <w:sz w:val="24"/>
                <w:szCs w:val="24"/>
              </w:rPr>
              <w:t>Taxation and the digital economy;</w:t>
            </w:r>
            <w:r w:rsidR="00F04C9A" w:rsidRPr="00F23171">
              <w:rPr>
                <w:sz w:val="24"/>
                <w:szCs w:val="24"/>
              </w:rPr>
              <w:t xml:space="preserve"> and</w:t>
            </w:r>
          </w:p>
          <w:p w14:paraId="010BA6EA" w14:textId="1213F1B6" w:rsidR="00507698" w:rsidRPr="00F23171" w:rsidRDefault="00507698" w:rsidP="00507698">
            <w:pPr>
              <w:pStyle w:val="ListParagraph"/>
              <w:numPr>
                <w:ilvl w:val="0"/>
                <w:numId w:val="13"/>
              </w:numPr>
              <w:spacing w:before="0" w:after="120" w:line="300" w:lineRule="exact"/>
              <w:rPr>
                <w:sz w:val="24"/>
                <w:szCs w:val="24"/>
              </w:rPr>
            </w:pPr>
            <w:r w:rsidRPr="00F23171">
              <w:rPr>
                <w:sz w:val="24"/>
                <w:szCs w:val="24"/>
              </w:rPr>
              <w:t xml:space="preserve">Reviewing aspects of the taxation of </w:t>
            </w:r>
            <w:r w:rsidR="00B43F70" w:rsidRPr="00F23171">
              <w:rPr>
                <w:sz w:val="24"/>
                <w:szCs w:val="24"/>
              </w:rPr>
              <w:t>the not-for-profit sector</w:t>
            </w:r>
            <w:r w:rsidRPr="00F23171">
              <w:rPr>
                <w:sz w:val="24"/>
                <w:szCs w:val="24"/>
              </w:rPr>
              <w:t>.</w:t>
            </w:r>
          </w:p>
          <w:p w14:paraId="40331CE9" w14:textId="29C83004" w:rsidR="00607337" w:rsidRPr="00BD2FF3" w:rsidRDefault="00BA1119" w:rsidP="006F6ECE">
            <w:pPr>
              <w:pStyle w:val="Bullet"/>
              <w:numPr>
                <w:ilvl w:val="0"/>
                <w:numId w:val="0"/>
              </w:numPr>
              <w:spacing w:before="0" w:line="300" w:lineRule="exact"/>
            </w:pPr>
            <w:r w:rsidRPr="00F23171">
              <w:rPr>
                <w:sz w:val="24"/>
                <w:szCs w:val="24"/>
              </w:rPr>
              <w:t xml:space="preserve">Many of these reviews are at the planning stage.  </w:t>
            </w:r>
            <w:r w:rsidR="00B95A8D" w:rsidRPr="00F23171">
              <w:rPr>
                <w:sz w:val="24"/>
                <w:szCs w:val="24"/>
              </w:rPr>
              <w:t>Please contact the Board if you would like to share your views or be involved</w:t>
            </w:r>
            <w:r w:rsidR="00936A8A" w:rsidRPr="00F23171">
              <w:rPr>
                <w:sz w:val="24"/>
                <w:szCs w:val="24"/>
              </w:rPr>
              <w:t xml:space="preserve"> in any of these projects</w:t>
            </w:r>
            <w:r w:rsidR="00B95A8D" w:rsidRPr="00F23171">
              <w:rPr>
                <w:sz w:val="24"/>
                <w:szCs w:val="24"/>
              </w:rPr>
              <w:t>.</w:t>
            </w:r>
            <w:r w:rsidR="00181BBB" w:rsidRPr="00F23171">
              <w:rPr>
                <w:sz w:val="24"/>
                <w:szCs w:val="24"/>
              </w:rPr>
              <w:t xml:space="preserve"> </w:t>
            </w:r>
            <w:r w:rsidR="00570C36" w:rsidRPr="00F23171">
              <w:rPr>
                <w:sz w:val="24"/>
                <w:szCs w:val="24"/>
              </w:rPr>
              <w:t xml:space="preserve">We have already </w:t>
            </w:r>
            <w:r w:rsidR="00AD30CB" w:rsidRPr="00F23171">
              <w:rPr>
                <w:sz w:val="24"/>
                <w:szCs w:val="24"/>
              </w:rPr>
              <w:t xml:space="preserve">received some expressions of interest from </w:t>
            </w:r>
            <w:r w:rsidR="00570C36" w:rsidRPr="00F23171">
              <w:rPr>
                <w:sz w:val="24"/>
                <w:szCs w:val="24"/>
              </w:rPr>
              <w:t xml:space="preserve">stakeholders and we </w:t>
            </w:r>
            <w:r w:rsidR="00CC34BD" w:rsidRPr="00F23171">
              <w:rPr>
                <w:sz w:val="24"/>
                <w:szCs w:val="24"/>
              </w:rPr>
              <w:t>keep a register of your interest so that we can contact you at the appropriate time.</w:t>
            </w:r>
          </w:p>
        </w:tc>
        <w:tc>
          <w:tcPr>
            <w:tcW w:w="452" w:type="dxa"/>
          </w:tcPr>
          <w:p w14:paraId="03E8E95F" w14:textId="77777777" w:rsidR="00DE77A2" w:rsidRPr="00BD2FF3" w:rsidRDefault="00DE77A2" w:rsidP="002256FA"/>
        </w:tc>
      </w:tr>
    </w:tbl>
    <w:p w14:paraId="2CA6E7F8" w14:textId="77777777" w:rsidR="006F6ECE" w:rsidRDefault="006F6ECE">
      <w:r>
        <w:br w:type="page"/>
      </w:r>
    </w:p>
    <w:tbl>
      <w:tblPr>
        <w:tblStyle w:val="TableGrid"/>
        <w:tblW w:w="1086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"/>
        <w:gridCol w:w="71"/>
        <w:gridCol w:w="9797"/>
        <w:gridCol w:w="90"/>
        <w:gridCol w:w="309"/>
        <w:gridCol w:w="147"/>
      </w:tblGrid>
      <w:tr w:rsidR="009A22E1" w:rsidRPr="005B32D7" w14:paraId="251F37E7" w14:textId="77777777" w:rsidTr="0069382A">
        <w:trPr>
          <w:jc w:val="center"/>
        </w:trPr>
        <w:tc>
          <w:tcPr>
            <w:tcW w:w="519" w:type="dxa"/>
            <w:gridSpan w:val="2"/>
            <w:shd w:val="clear" w:color="auto" w:fill="auto"/>
          </w:tcPr>
          <w:p w14:paraId="0E717D03" w14:textId="3C97F536" w:rsidR="009A22E1" w:rsidRPr="005B32D7" w:rsidRDefault="009A22E1" w:rsidP="00657B86"/>
        </w:tc>
        <w:tc>
          <w:tcPr>
            <w:tcW w:w="9887" w:type="dxa"/>
            <w:gridSpan w:val="2"/>
            <w:shd w:val="clear" w:color="auto" w:fill="auto"/>
          </w:tcPr>
          <w:p w14:paraId="32D5A093" w14:textId="77777777" w:rsidR="009A22E1" w:rsidRPr="005B32D7" w:rsidRDefault="009A22E1" w:rsidP="00657B86">
            <w:pPr>
              <w:pStyle w:val="Heading2"/>
              <w:spacing w:before="60" w:after="0"/>
              <w:outlineLvl w:val="1"/>
            </w:pPr>
            <w:r>
              <w:t>Contingent consideration</w:t>
            </w:r>
          </w:p>
        </w:tc>
        <w:tc>
          <w:tcPr>
            <w:tcW w:w="456" w:type="dxa"/>
            <w:gridSpan w:val="2"/>
            <w:shd w:val="clear" w:color="auto" w:fill="auto"/>
          </w:tcPr>
          <w:p w14:paraId="487E01FE" w14:textId="77777777" w:rsidR="009A22E1" w:rsidRPr="005B32D7" w:rsidRDefault="009A22E1" w:rsidP="00657B86"/>
        </w:tc>
      </w:tr>
      <w:tr w:rsidR="009A22E1" w:rsidRPr="00BD2FF3" w14:paraId="6D0F4077" w14:textId="77777777" w:rsidTr="0069382A">
        <w:trPr>
          <w:jc w:val="center"/>
        </w:trPr>
        <w:tc>
          <w:tcPr>
            <w:tcW w:w="519" w:type="dxa"/>
            <w:gridSpan w:val="2"/>
          </w:tcPr>
          <w:p w14:paraId="39B06F76" w14:textId="77777777" w:rsidR="009A22E1" w:rsidRPr="00BD2FF3" w:rsidRDefault="009A22E1" w:rsidP="00657B86"/>
        </w:tc>
        <w:tc>
          <w:tcPr>
            <w:tcW w:w="9887" w:type="dxa"/>
            <w:gridSpan w:val="2"/>
          </w:tcPr>
          <w:p w14:paraId="40B0D3D7" w14:textId="380656C6" w:rsidR="009A22E1" w:rsidRPr="00F23171" w:rsidRDefault="009A22E1" w:rsidP="00570C36">
            <w:pPr>
              <w:pStyle w:val="Bullet"/>
              <w:numPr>
                <w:ilvl w:val="0"/>
                <w:numId w:val="0"/>
              </w:numPr>
              <w:spacing w:before="0" w:line="300" w:lineRule="exact"/>
              <w:rPr>
                <w:sz w:val="24"/>
                <w:szCs w:val="24"/>
              </w:rPr>
            </w:pPr>
            <w:r w:rsidRPr="00F23171">
              <w:rPr>
                <w:sz w:val="24"/>
                <w:szCs w:val="24"/>
              </w:rPr>
              <w:t xml:space="preserve">The Working Group continues </w:t>
            </w:r>
            <w:r w:rsidR="00570C36" w:rsidRPr="00F23171">
              <w:rPr>
                <w:sz w:val="24"/>
                <w:szCs w:val="24"/>
              </w:rPr>
              <w:t xml:space="preserve">to progress this project and anticipates their work will be provided to Government for their consideration in the first </w:t>
            </w:r>
            <w:r w:rsidR="00507698" w:rsidRPr="00F23171">
              <w:rPr>
                <w:sz w:val="24"/>
                <w:szCs w:val="24"/>
              </w:rPr>
              <w:t xml:space="preserve">half </w:t>
            </w:r>
            <w:r w:rsidR="00570C36" w:rsidRPr="00F23171">
              <w:rPr>
                <w:sz w:val="24"/>
                <w:szCs w:val="24"/>
              </w:rPr>
              <w:t xml:space="preserve">of 2018. </w:t>
            </w:r>
            <w:r w:rsidR="00F74106">
              <w:rPr>
                <w:sz w:val="24"/>
                <w:szCs w:val="24"/>
              </w:rPr>
              <w:t xml:space="preserve"> </w:t>
            </w:r>
            <w:r w:rsidR="00570C36" w:rsidRPr="00F23171">
              <w:rPr>
                <w:sz w:val="24"/>
                <w:szCs w:val="24"/>
              </w:rPr>
              <w:t xml:space="preserve">The Working Group is </w:t>
            </w:r>
            <w:r w:rsidR="000735E9" w:rsidRPr="00F23171">
              <w:rPr>
                <w:sz w:val="24"/>
                <w:szCs w:val="24"/>
              </w:rPr>
              <w:t xml:space="preserve">grateful to the stakeholder engagement that has </w:t>
            </w:r>
            <w:r w:rsidR="00F74106">
              <w:rPr>
                <w:sz w:val="24"/>
                <w:szCs w:val="24"/>
              </w:rPr>
              <w:t>assisted to progress this work.</w:t>
            </w:r>
          </w:p>
        </w:tc>
        <w:tc>
          <w:tcPr>
            <w:tcW w:w="456" w:type="dxa"/>
            <w:gridSpan w:val="2"/>
          </w:tcPr>
          <w:p w14:paraId="5ABBAE01" w14:textId="77777777" w:rsidR="009A22E1" w:rsidRPr="00BD2FF3" w:rsidRDefault="009A22E1" w:rsidP="00657B86"/>
        </w:tc>
      </w:tr>
      <w:tr w:rsidR="009A22E1" w:rsidRPr="005B32D7" w14:paraId="29F16451" w14:textId="77777777" w:rsidTr="0069382A">
        <w:trPr>
          <w:gridAfter w:val="1"/>
          <w:wAfter w:w="147" w:type="dxa"/>
          <w:jc w:val="center"/>
        </w:trPr>
        <w:tc>
          <w:tcPr>
            <w:tcW w:w="448" w:type="dxa"/>
            <w:shd w:val="clear" w:color="auto" w:fill="auto"/>
          </w:tcPr>
          <w:p w14:paraId="48B0F638" w14:textId="6526EAE2" w:rsidR="009A22E1" w:rsidRPr="005B32D7" w:rsidRDefault="009A22E1" w:rsidP="00657B86"/>
        </w:tc>
        <w:tc>
          <w:tcPr>
            <w:tcW w:w="9868" w:type="dxa"/>
            <w:gridSpan w:val="2"/>
            <w:shd w:val="clear" w:color="auto" w:fill="auto"/>
          </w:tcPr>
          <w:p w14:paraId="47E28D6C" w14:textId="35016BC6" w:rsidR="009A22E1" w:rsidRPr="005B32D7" w:rsidRDefault="009A22E1" w:rsidP="00657B86">
            <w:pPr>
              <w:pStyle w:val="Heading2"/>
              <w:spacing w:before="60" w:after="0"/>
              <w:outlineLvl w:val="1"/>
            </w:pPr>
            <w:r>
              <w:t>Sounding Board</w:t>
            </w:r>
          </w:p>
        </w:tc>
        <w:tc>
          <w:tcPr>
            <w:tcW w:w="399" w:type="dxa"/>
            <w:gridSpan w:val="2"/>
            <w:shd w:val="clear" w:color="auto" w:fill="auto"/>
          </w:tcPr>
          <w:p w14:paraId="59584239" w14:textId="77777777" w:rsidR="009A22E1" w:rsidRPr="005B32D7" w:rsidRDefault="009A22E1" w:rsidP="00657B86"/>
        </w:tc>
      </w:tr>
      <w:tr w:rsidR="009A22E1" w:rsidRPr="00BD2FF3" w14:paraId="314D9A69" w14:textId="77777777" w:rsidTr="0069382A">
        <w:trPr>
          <w:gridAfter w:val="1"/>
          <w:wAfter w:w="147" w:type="dxa"/>
          <w:jc w:val="center"/>
        </w:trPr>
        <w:tc>
          <w:tcPr>
            <w:tcW w:w="448" w:type="dxa"/>
          </w:tcPr>
          <w:p w14:paraId="2CA24893" w14:textId="77777777" w:rsidR="009A22E1" w:rsidRPr="00BD2FF3" w:rsidRDefault="009A22E1" w:rsidP="00657B86"/>
        </w:tc>
        <w:tc>
          <w:tcPr>
            <w:tcW w:w="9868" w:type="dxa"/>
            <w:gridSpan w:val="2"/>
          </w:tcPr>
          <w:p w14:paraId="68C6FE60" w14:textId="663BBBC0" w:rsidR="009A22E1" w:rsidRPr="00F23171" w:rsidRDefault="009A22E1" w:rsidP="00F74106">
            <w:pPr>
              <w:spacing w:before="0" w:line="300" w:lineRule="exact"/>
              <w:rPr>
                <w:sz w:val="24"/>
                <w:szCs w:val="24"/>
              </w:rPr>
            </w:pPr>
            <w:r w:rsidRPr="00F23171">
              <w:rPr>
                <w:sz w:val="24"/>
                <w:szCs w:val="24"/>
              </w:rPr>
              <w:t>The Board discussed</w:t>
            </w:r>
            <w:r w:rsidR="001473B3" w:rsidRPr="00F23171">
              <w:rPr>
                <w:sz w:val="24"/>
                <w:szCs w:val="24"/>
              </w:rPr>
              <w:t xml:space="preserve"> </w:t>
            </w:r>
            <w:r w:rsidR="00804A43" w:rsidRPr="00F23171">
              <w:rPr>
                <w:sz w:val="24"/>
                <w:szCs w:val="24"/>
              </w:rPr>
              <w:t xml:space="preserve">new ideas recently posted to </w:t>
            </w:r>
            <w:r w:rsidRPr="00F23171">
              <w:rPr>
                <w:sz w:val="24"/>
                <w:szCs w:val="24"/>
              </w:rPr>
              <w:t>Sounding Board</w:t>
            </w:r>
            <w:r w:rsidR="001473B3" w:rsidRPr="00F23171">
              <w:rPr>
                <w:sz w:val="24"/>
                <w:szCs w:val="24"/>
              </w:rPr>
              <w:t xml:space="preserve"> and a number of ideas that are </w:t>
            </w:r>
            <w:r w:rsidR="00406A9F" w:rsidRPr="00F23171">
              <w:rPr>
                <w:sz w:val="24"/>
                <w:szCs w:val="24"/>
              </w:rPr>
              <w:t xml:space="preserve">currently </w:t>
            </w:r>
            <w:r w:rsidR="001473B3" w:rsidRPr="00F23171">
              <w:rPr>
                <w:sz w:val="24"/>
                <w:szCs w:val="24"/>
              </w:rPr>
              <w:t>under consideration</w:t>
            </w:r>
            <w:r w:rsidR="00406A9F" w:rsidRPr="00F23171">
              <w:rPr>
                <w:sz w:val="24"/>
                <w:szCs w:val="24"/>
              </w:rPr>
              <w:t xml:space="preserve"> by the Board</w:t>
            </w:r>
            <w:r w:rsidR="00804A43" w:rsidRPr="00F23171">
              <w:rPr>
                <w:sz w:val="24"/>
                <w:szCs w:val="24"/>
              </w:rPr>
              <w:t>.</w:t>
            </w:r>
            <w:r w:rsidR="00CC34BD" w:rsidRPr="00F23171">
              <w:rPr>
                <w:sz w:val="24"/>
                <w:szCs w:val="24"/>
              </w:rPr>
              <w:t xml:space="preserve"> </w:t>
            </w:r>
            <w:r w:rsidR="00F74106">
              <w:rPr>
                <w:sz w:val="24"/>
                <w:szCs w:val="24"/>
              </w:rPr>
              <w:t xml:space="preserve"> </w:t>
            </w:r>
            <w:r w:rsidRPr="00F23171">
              <w:rPr>
                <w:sz w:val="24"/>
                <w:szCs w:val="24"/>
              </w:rPr>
              <w:t xml:space="preserve">Please see the Sounding Board site </w:t>
            </w:r>
            <w:r w:rsidR="00EA62C5" w:rsidRPr="00F23171">
              <w:rPr>
                <w:sz w:val="24"/>
                <w:szCs w:val="24"/>
              </w:rPr>
              <w:t xml:space="preserve">to make comments on existing ideas or </w:t>
            </w:r>
            <w:r w:rsidR="0098044C" w:rsidRPr="00F23171">
              <w:rPr>
                <w:sz w:val="24"/>
                <w:szCs w:val="24"/>
              </w:rPr>
              <w:t xml:space="preserve">to </w:t>
            </w:r>
            <w:r w:rsidR="00EA62C5" w:rsidRPr="00F23171">
              <w:rPr>
                <w:sz w:val="24"/>
                <w:szCs w:val="24"/>
              </w:rPr>
              <w:t>post your own new ideas</w:t>
            </w:r>
            <w:r w:rsidRPr="00F23171">
              <w:rPr>
                <w:sz w:val="24"/>
                <w:szCs w:val="24"/>
              </w:rPr>
              <w:t xml:space="preserve"> </w:t>
            </w:r>
            <w:r w:rsidR="00311917" w:rsidRPr="00F23171">
              <w:rPr>
                <w:sz w:val="24"/>
                <w:szCs w:val="24"/>
              </w:rPr>
              <w:t>–</w:t>
            </w:r>
            <w:r w:rsidRPr="00F23171">
              <w:rPr>
                <w:sz w:val="24"/>
                <w:szCs w:val="24"/>
              </w:rPr>
              <w:t xml:space="preserve"> </w:t>
            </w:r>
            <w:hyperlink r:id="rId15" w:history="1">
              <w:r w:rsidRPr="00F23171">
                <w:rPr>
                  <w:rStyle w:val="Hyperlink"/>
                  <w:sz w:val="24"/>
                  <w:szCs w:val="24"/>
                </w:rPr>
                <w:t>https://taxboard.ideascale.com/</w:t>
              </w:r>
            </w:hyperlink>
            <w:r w:rsidRPr="00F23171">
              <w:rPr>
                <w:sz w:val="24"/>
                <w:szCs w:val="24"/>
              </w:rPr>
              <w:t xml:space="preserve">.  The Sounding Board continues to be a standing agenda item </w:t>
            </w:r>
            <w:r w:rsidR="00406A9F" w:rsidRPr="00F23171">
              <w:rPr>
                <w:sz w:val="24"/>
                <w:szCs w:val="24"/>
              </w:rPr>
              <w:t xml:space="preserve">at </w:t>
            </w:r>
            <w:r w:rsidRPr="00F23171">
              <w:rPr>
                <w:sz w:val="24"/>
                <w:szCs w:val="24"/>
              </w:rPr>
              <w:t>every Board meeting.</w:t>
            </w:r>
          </w:p>
        </w:tc>
        <w:tc>
          <w:tcPr>
            <w:tcW w:w="399" w:type="dxa"/>
            <w:gridSpan w:val="2"/>
          </w:tcPr>
          <w:p w14:paraId="351993F3" w14:textId="77777777" w:rsidR="009A22E1" w:rsidRPr="00BD2FF3" w:rsidRDefault="009A22E1" w:rsidP="00657B86"/>
        </w:tc>
      </w:tr>
      <w:tr w:rsidR="00986BE1" w:rsidRPr="005B32D7" w14:paraId="3A783780" w14:textId="77777777" w:rsidTr="0069382A">
        <w:trPr>
          <w:gridAfter w:val="1"/>
          <w:wAfter w:w="147" w:type="dxa"/>
          <w:jc w:val="center"/>
        </w:trPr>
        <w:tc>
          <w:tcPr>
            <w:tcW w:w="448" w:type="dxa"/>
            <w:shd w:val="clear" w:color="auto" w:fill="auto"/>
          </w:tcPr>
          <w:p w14:paraId="2FA25252" w14:textId="77777777" w:rsidR="00986BE1" w:rsidRPr="005B32D7" w:rsidRDefault="00986BE1" w:rsidP="008E4DB5"/>
        </w:tc>
        <w:tc>
          <w:tcPr>
            <w:tcW w:w="9868" w:type="dxa"/>
            <w:gridSpan w:val="2"/>
            <w:shd w:val="clear" w:color="auto" w:fill="auto"/>
          </w:tcPr>
          <w:p w14:paraId="013CE3E4" w14:textId="6B82389E" w:rsidR="00986BE1" w:rsidRPr="005B32D7" w:rsidRDefault="00570C36" w:rsidP="00986BE1">
            <w:pPr>
              <w:pStyle w:val="Heading2"/>
              <w:spacing w:before="60" w:after="0"/>
              <w:outlineLvl w:val="1"/>
            </w:pPr>
            <w:r w:rsidRPr="00570C36">
              <w:t>Release of the Board of Taxation's report on Bare Trusts</w:t>
            </w:r>
          </w:p>
        </w:tc>
        <w:tc>
          <w:tcPr>
            <w:tcW w:w="399" w:type="dxa"/>
            <w:gridSpan w:val="2"/>
            <w:shd w:val="clear" w:color="auto" w:fill="auto"/>
          </w:tcPr>
          <w:p w14:paraId="17FF5BFA" w14:textId="77777777" w:rsidR="00986BE1" w:rsidRPr="005B32D7" w:rsidRDefault="00986BE1" w:rsidP="008E4DB5"/>
        </w:tc>
      </w:tr>
      <w:tr w:rsidR="00986BE1" w:rsidRPr="00BD2FF3" w14:paraId="7D59C4F5" w14:textId="77777777" w:rsidTr="0069382A">
        <w:trPr>
          <w:gridAfter w:val="1"/>
          <w:wAfter w:w="147" w:type="dxa"/>
          <w:jc w:val="center"/>
        </w:trPr>
        <w:tc>
          <w:tcPr>
            <w:tcW w:w="448" w:type="dxa"/>
          </w:tcPr>
          <w:p w14:paraId="30F5F8E3" w14:textId="77777777" w:rsidR="00986BE1" w:rsidRPr="00BD2FF3" w:rsidRDefault="00986BE1" w:rsidP="008E4DB5"/>
        </w:tc>
        <w:tc>
          <w:tcPr>
            <w:tcW w:w="9868" w:type="dxa"/>
            <w:gridSpan w:val="2"/>
          </w:tcPr>
          <w:p w14:paraId="6FC69AAA" w14:textId="3833C1EE" w:rsidR="00570C36" w:rsidRPr="00F23171" w:rsidRDefault="008A62C5" w:rsidP="008E4DB5">
            <w:pPr>
              <w:rPr>
                <w:sz w:val="24"/>
                <w:szCs w:val="24"/>
              </w:rPr>
            </w:pPr>
            <w:r w:rsidRPr="00F23171">
              <w:rPr>
                <w:sz w:val="24"/>
                <w:szCs w:val="24"/>
              </w:rPr>
              <w:t xml:space="preserve">The Board of Taxation’s report on Bare Trusts was published </w:t>
            </w:r>
            <w:r w:rsidR="002F1EE3" w:rsidRPr="00F23171">
              <w:rPr>
                <w:sz w:val="24"/>
                <w:szCs w:val="24"/>
              </w:rPr>
              <w:t xml:space="preserve">on </w:t>
            </w:r>
            <w:r w:rsidRPr="00F23171">
              <w:rPr>
                <w:sz w:val="24"/>
                <w:szCs w:val="24"/>
              </w:rPr>
              <w:t>the Board of Taxation’s website this month.</w:t>
            </w:r>
            <w:r w:rsidR="00EB2CB9" w:rsidRPr="00F23171">
              <w:rPr>
                <w:sz w:val="24"/>
                <w:szCs w:val="24"/>
              </w:rPr>
              <w:t xml:space="preserve"> See: </w:t>
            </w:r>
            <w:hyperlink r:id="rId16" w:history="1">
              <w:r w:rsidR="00EB2CB9" w:rsidRPr="00F23171">
                <w:rPr>
                  <w:rStyle w:val="Hyperlink"/>
                  <w:sz w:val="24"/>
                  <w:szCs w:val="24"/>
                </w:rPr>
                <w:t>http://taxboard.gov.au/consultation/tax-treatment-of-bare-trusts/</w:t>
              </w:r>
            </w:hyperlink>
            <w:r w:rsidR="00EB2CB9" w:rsidRPr="00F23171">
              <w:rPr>
                <w:sz w:val="24"/>
                <w:szCs w:val="24"/>
              </w:rPr>
              <w:t xml:space="preserve">. </w:t>
            </w:r>
            <w:r w:rsidRPr="00F23171">
              <w:rPr>
                <w:sz w:val="24"/>
                <w:szCs w:val="24"/>
              </w:rPr>
              <w:t xml:space="preserve"> </w:t>
            </w:r>
            <w:r w:rsidR="00570C36" w:rsidRPr="00F23171">
              <w:rPr>
                <w:sz w:val="24"/>
                <w:szCs w:val="24"/>
              </w:rPr>
              <w:t>The report identifies opportunities to simplify arrangements where the trustee has no or only min</w:t>
            </w:r>
            <w:r w:rsidR="00F74106">
              <w:rPr>
                <w:sz w:val="24"/>
                <w:szCs w:val="24"/>
              </w:rPr>
              <w:t>or powers of active management.</w:t>
            </w:r>
          </w:p>
          <w:p w14:paraId="75809C98" w14:textId="3D3A35D7" w:rsidR="00570C36" w:rsidRPr="00F23171" w:rsidRDefault="00570C36" w:rsidP="008E4DB5">
            <w:pPr>
              <w:rPr>
                <w:sz w:val="24"/>
                <w:szCs w:val="24"/>
              </w:rPr>
            </w:pPr>
            <w:r w:rsidRPr="00F23171">
              <w:rPr>
                <w:sz w:val="24"/>
                <w:szCs w:val="24"/>
              </w:rPr>
              <w:t xml:space="preserve">In her </w:t>
            </w:r>
            <w:hyperlink r:id="rId17" w:history="1">
              <w:r w:rsidRPr="00F23171">
                <w:rPr>
                  <w:rStyle w:val="Hyperlink"/>
                  <w:sz w:val="24"/>
                  <w:szCs w:val="24"/>
                </w:rPr>
                <w:t>press release</w:t>
              </w:r>
            </w:hyperlink>
            <w:r w:rsidRPr="00F23171">
              <w:rPr>
                <w:sz w:val="24"/>
                <w:szCs w:val="24"/>
              </w:rPr>
              <w:t xml:space="preserve">, Minister O’Dwyer noted that the Government will look to progress the recommendations to streamline arrangements for bare trusts as part of the regulatory reform program.  </w:t>
            </w:r>
            <w:r w:rsidR="00AD30CB" w:rsidRPr="00F23171">
              <w:rPr>
                <w:sz w:val="24"/>
                <w:szCs w:val="24"/>
              </w:rPr>
              <w:t>Treasury will undertake further consultation to progress these reforms.</w:t>
            </w:r>
          </w:p>
          <w:p w14:paraId="60F4DA95" w14:textId="687F5DB3" w:rsidR="00570C36" w:rsidRPr="00F23171" w:rsidRDefault="00570C36" w:rsidP="008E4DB5">
            <w:pPr>
              <w:rPr>
                <w:sz w:val="24"/>
                <w:szCs w:val="24"/>
              </w:rPr>
            </w:pPr>
            <w:r w:rsidRPr="00F23171">
              <w:rPr>
                <w:sz w:val="24"/>
                <w:szCs w:val="24"/>
              </w:rPr>
              <w:t xml:space="preserve">The Board thanks again the stakeholders involved in contributing to this important piece of work. </w:t>
            </w:r>
          </w:p>
          <w:p w14:paraId="6759F45B" w14:textId="1C9E9C14" w:rsidR="00986BE1" w:rsidRPr="00BD2FF3" w:rsidRDefault="008A62C5" w:rsidP="00AD30CB">
            <w:r w:rsidRPr="00F23171">
              <w:rPr>
                <w:sz w:val="24"/>
                <w:szCs w:val="24"/>
              </w:rPr>
              <w:t xml:space="preserve">A reminder to our community, a recent Sounding Board contributed by Michael Flynn QC raised the tax uncertainty arising from absolute entitlement. </w:t>
            </w:r>
            <w:r w:rsidR="00F74106">
              <w:rPr>
                <w:sz w:val="24"/>
                <w:szCs w:val="24"/>
              </w:rPr>
              <w:t xml:space="preserve"> </w:t>
            </w:r>
            <w:r w:rsidRPr="00F23171">
              <w:rPr>
                <w:sz w:val="24"/>
                <w:szCs w:val="24"/>
              </w:rPr>
              <w:t xml:space="preserve">We encourage </w:t>
            </w:r>
            <w:r w:rsidR="002F1EE3" w:rsidRPr="00F23171">
              <w:rPr>
                <w:sz w:val="24"/>
                <w:szCs w:val="24"/>
              </w:rPr>
              <w:t xml:space="preserve">the tax profession and </w:t>
            </w:r>
            <w:r w:rsidRPr="00F23171">
              <w:rPr>
                <w:sz w:val="24"/>
                <w:szCs w:val="24"/>
              </w:rPr>
              <w:t xml:space="preserve">community to </w:t>
            </w:r>
            <w:r w:rsidR="002F1EE3" w:rsidRPr="00F23171">
              <w:rPr>
                <w:sz w:val="24"/>
                <w:szCs w:val="24"/>
              </w:rPr>
              <w:t xml:space="preserve">add your comments especially </w:t>
            </w:r>
            <w:r w:rsidRPr="00F23171">
              <w:rPr>
                <w:sz w:val="24"/>
                <w:szCs w:val="24"/>
              </w:rPr>
              <w:t>in relation to Bare Trusts</w:t>
            </w:r>
            <w:r w:rsidR="002F1EE3" w:rsidRPr="00F23171">
              <w:rPr>
                <w:sz w:val="24"/>
                <w:szCs w:val="24"/>
              </w:rPr>
              <w:t>.</w:t>
            </w:r>
          </w:p>
        </w:tc>
        <w:tc>
          <w:tcPr>
            <w:tcW w:w="399" w:type="dxa"/>
            <w:gridSpan w:val="2"/>
          </w:tcPr>
          <w:p w14:paraId="01002360" w14:textId="77777777" w:rsidR="00986BE1" w:rsidRPr="00BD2FF3" w:rsidRDefault="00986BE1" w:rsidP="008E4DB5"/>
        </w:tc>
      </w:tr>
      <w:tr w:rsidR="00E111A3" w:rsidRPr="005B32D7" w14:paraId="01EEFB3F" w14:textId="77777777" w:rsidTr="0069382A">
        <w:trPr>
          <w:gridAfter w:val="1"/>
          <w:wAfter w:w="147" w:type="dxa"/>
          <w:jc w:val="center"/>
        </w:trPr>
        <w:tc>
          <w:tcPr>
            <w:tcW w:w="448" w:type="dxa"/>
            <w:shd w:val="clear" w:color="auto" w:fill="auto"/>
          </w:tcPr>
          <w:p w14:paraId="0C24DE5F" w14:textId="31286392" w:rsidR="00E111A3" w:rsidRPr="005B32D7" w:rsidRDefault="00E111A3" w:rsidP="00EA62C5"/>
        </w:tc>
        <w:tc>
          <w:tcPr>
            <w:tcW w:w="9868" w:type="dxa"/>
            <w:gridSpan w:val="2"/>
            <w:shd w:val="clear" w:color="auto" w:fill="auto"/>
          </w:tcPr>
          <w:p w14:paraId="7D739D07" w14:textId="7029EF84" w:rsidR="00E111A3" w:rsidRPr="005B32D7" w:rsidRDefault="00E111A3" w:rsidP="00EA62C5">
            <w:pPr>
              <w:pStyle w:val="Heading2"/>
              <w:spacing w:before="60" w:after="0"/>
              <w:outlineLvl w:val="1"/>
            </w:pPr>
            <w:r>
              <w:t>Annual Report</w:t>
            </w:r>
          </w:p>
        </w:tc>
        <w:tc>
          <w:tcPr>
            <w:tcW w:w="399" w:type="dxa"/>
            <w:gridSpan w:val="2"/>
            <w:shd w:val="clear" w:color="auto" w:fill="auto"/>
          </w:tcPr>
          <w:p w14:paraId="575C106D" w14:textId="77777777" w:rsidR="00E111A3" w:rsidRPr="005B32D7" w:rsidRDefault="00E111A3" w:rsidP="00EA62C5"/>
        </w:tc>
      </w:tr>
      <w:tr w:rsidR="00E111A3" w:rsidRPr="00BD2FF3" w14:paraId="137C44D9" w14:textId="77777777" w:rsidTr="0069382A">
        <w:trPr>
          <w:gridAfter w:val="1"/>
          <w:wAfter w:w="147" w:type="dxa"/>
          <w:jc w:val="center"/>
        </w:trPr>
        <w:tc>
          <w:tcPr>
            <w:tcW w:w="448" w:type="dxa"/>
          </w:tcPr>
          <w:p w14:paraId="4829449A" w14:textId="77777777" w:rsidR="00E111A3" w:rsidRPr="00BD2FF3" w:rsidRDefault="00E111A3" w:rsidP="00EA62C5"/>
        </w:tc>
        <w:tc>
          <w:tcPr>
            <w:tcW w:w="9868" w:type="dxa"/>
            <w:gridSpan w:val="2"/>
          </w:tcPr>
          <w:p w14:paraId="4D66EC7B" w14:textId="60769FEE" w:rsidR="00F23171" w:rsidRDefault="00E111A3" w:rsidP="00F23171">
            <w:pPr>
              <w:rPr>
                <w:sz w:val="24"/>
                <w:szCs w:val="24"/>
              </w:rPr>
            </w:pPr>
            <w:r w:rsidRPr="00F23171">
              <w:rPr>
                <w:sz w:val="24"/>
                <w:szCs w:val="24"/>
              </w:rPr>
              <w:t>The Board</w:t>
            </w:r>
            <w:r w:rsidR="00F23171">
              <w:rPr>
                <w:sz w:val="24"/>
                <w:szCs w:val="24"/>
              </w:rPr>
              <w:t xml:space="preserve">’s </w:t>
            </w:r>
            <w:r w:rsidR="00986BE1" w:rsidRPr="00F23171">
              <w:rPr>
                <w:sz w:val="24"/>
                <w:szCs w:val="24"/>
              </w:rPr>
              <w:t xml:space="preserve">2016-17 </w:t>
            </w:r>
            <w:r w:rsidRPr="00F23171">
              <w:rPr>
                <w:sz w:val="24"/>
                <w:szCs w:val="24"/>
              </w:rPr>
              <w:t xml:space="preserve">Annual Report </w:t>
            </w:r>
            <w:r w:rsidR="00F23171">
              <w:rPr>
                <w:sz w:val="24"/>
                <w:szCs w:val="24"/>
              </w:rPr>
              <w:t xml:space="preserve">has now been </w:t>
            </w:r>
            <w:r w:rsidR="00F23171" w:rsidRPr="00F23171">
              <w:rPr>
                <w:sz w:val="24"/>
                <w:szCs w:val="24"/>
              </w:rPr>
              <w:t>published.</w:t>
            </w:r>
          </w:p>
          <w:p w14:paraId="7239A1EF" w14:textId="4515E1AD" w:rsidR="00E111A3" w:rsidRPr="00F23171" w:rsidRDefault="00E519BC" w:rsidP="00F23171">
            <w:pPr>
              <w:rPr>
                <w:sz w:val="24"/>
                <w:szCs w:val="24"/>
              </w:rPr>
            </w:pPr>
            <w:r w:rsidRPr="00F23171">
              <w:rPr>
                <w:sz w:val="24"/>
                <w:szCs w:val="24"/>
              </w:rPr>
              <w:t xml:space="preserve">See: </w:t>
            </w:r>
            <w:hyperlink r:id="rId18" w:history="1">
              <w:r w:rsidR="00D65CF2" w:rsidRPr="00E75E2B">
                <w:rPr>
                  <w:rStyle w:val="Hyperlink"/>
                  <w:sz w:val="24"/>
                  <w:szCs w:val="24"/>
                </w:rPr>
                <w:t>http://taxboard.gov.au/publications-and-media/publication/</w:t>
              </w:r>
            </w:hyperlink>
            <w:r w:rsidR="00D65C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9" w:type="dxa"/>
            <w:gridSpan w:val="2"/>
          </w:tcPr>
          <w:p w14:paraId="28064470" w14:textId="77777777" w:rsidR="00E111A3" w:rsidRPr="00BD2FF3" w:rsidRDefault="00E111A3" w:rsidP="00EA62C5"/>
        </w:tc>
      </w:tr>
      <w:tr w:rsidR="009A22E1" w:rsidRPr="005B32D7" w14:paraId="7F9AE094" w14:textId="77777777" w:rsidTr="0069382A">
        <w:trPr>
          <w:gridAfter w:val="1"/>
          <w:wAfter w:w="147" w:type="dxa"/>
          <w:jc w:val="center"/>
        </w:trPr>
        <w:tc>
          <w:tcPr>
            <w:tcW w:w="448" w:type="dxa"/>
            <w:shd w:val="clear" w:color="auto" w:fill="auto"/>
          </w:tcPr>
          <w:p w14:paraId="0BCEACD8" w14:textId="008B0760" w:rsidR="009A22E1" w:rsidRPr="005B32D7" w:rsidRDefault="009A22E1" w:rsidP="00657B86"/>
        </w:tc>
        <w:tc>
          <w:tcPr>
            <w:tcW w:w="9868" w:type="dxa"/>
            <w:gridSpan w:val="2"/>
            <w:shd w:val="clear" w:color="auto" w:fill="auto"/>
          </w:tcPr>
          <w:p w14:paraId="12C98ABA" w14:textId="0A132CCF" w:rsidR="009A22E1" w:rsidRPr="005B32D7" w:rsidRDefault="002F1EE3" w:rsidP="002F1EE3">
            <w:pPr>
              <w:pStyle w:val="Heading2"/>
              <w:spacing w:before="60" w:after="0"/>
              <w:outlineLvl w:val="1"/>
            </w:pPr>
            <w:r>
              <w:rPr>
                <w:szCs w:val="40"/>
              </w:rPr>
              <w:t>AASB Update</w:t>
            </w:r>
          </w:p>
        </w:tc>
        <w:tc>
          <w:tcPr>
            <w:tcW w:w="399" w:type="dxa"/>
            <w:gridSpan w:val="2"/>
            <w:shd w:val="clear" w:color="auto" w:fill="auto"/>
          </w:tcPr>
          <w:p w14:paraId="58DBB425" w14:textId="77777777" w:rsidR="009A22E1" w:rsidRPr="005B32D7" w:rsidRDefault="009A22E1" w:rsidP="00657B86"/>
        </w:tc>
      </w:tr>
      <w:tr w:rsidR="009A22E1" w:rsidRPr="00BD2FF3" w14:paraId="1D5D8800" w14:textId="77777777" w:rsidTr="0069382A">
        <w:trPr>
          <w:gridAfter w:val="1"/>
          <w:wAfter w:w="147" w:type="dxa"/>
          <w:jc w:val="center"/>
        </w:trPr>
        <w:tc>
          <w:tcPr>
            <w:tcW w:w="448" w:type="dxa"/>
          </w:tcPr>
          <w:p w14:paraId="73A6989B" w14:textId="77777777" w:rsidR="009A22E1" w:rsidRPr="00BD2FF3" w:rsidRDefault="009A22E1" w:rsidP="00657B86"/>
        </w:tc>
        <w:tc>
          <w:tcPr>
            <w:tcW w:w="9868" w:type="dxa"/>
            <w:gridSpan w:val="2"/>
          </w:tcPr>
          <w:p w14:paraId="3E9498F0" w14:textId="2F1DA413" w:rsidR="002F1EE3" w:rsidRPr="00F23171" w:rsidRDefault="002F1EE3" w:rsidP="002F1EE3">
            <w:pPr>
              <w:rPr>
                <w:sz w:val="24"/>
                <w:szCs w:val="24"/>
              </w:rPr>
            </w:pPr>
            <w:r w:rsidRPr="00F23171">
              <w:rPr>
                <w:sz w:val="24"/>
                <w:szCs w:val="24"/>
              </w:rPr>
              <w:t>Kris Peach, CEO and Chair of the Australian Accounting Standards Board (AASB) provided an update for the Board on various developments</w:t>
            </w:r>
            <w:r w:rsidR="001473B3" w:rsidRPr="00F23171">
              <w:rPr>
                <w:sz w:val="24"/>
                <w:szCs w:val="24"/>
              </w:rPr>
              <w:t>.</w:t>
            </w:r>
            <w:r w:rsidR="000823CC" w:rsidRPr="00F23171">
              <w:rPr>
                <w:sz w:val="24"/>
                <w:szCs w:val="24"/>
              </w:rPr>
              <w:t xml:space="preserve">  This included a discussion on:</w:t>
            </w:r>
          </w:p>
          <w:p w14:paraId="774BFEE3" w14:textId="51AFDEB3" w:rsidR="002F1EE3" w:rsidRPr="00F23171" w:rsidRDefault="000823CC" w:rsidP="00725456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F23171">
              <w:rPr>
                <w:sz w:val="24"/>
                <w:szCs w:val="24"/>
              </w:rPr>
              <w:t>t</w:t>
            </w:r>
            <w:r w:rsidR="002F1EE3" w:rsidRPr="00F23171">
              <w:rPr>
                <w:sz w:val="24"/>
                <w:szCs w:val="24"/>
              </w:rPr>
              <w:t>he AASB Guidance on the Tax Transparency Code and the reporting of Effective Tax Rate under accounting standards;</w:t>
            </w:r>
          </w:p>
          <w:p w14:paraId="397E49C5" w14:textId="79BFE9BC" w:rsidR="002F1EE3" w:rsidRPr="00F23171" w:rsidRDefault="002F1EE3" w:rsidP="00725456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F23171">
              <w:rPr>
                <w:sz w:val="24"/>
                <w:szCs w:val="24"/>
              </w:rPr>
              <w:t xml:space="preserve">A new leasing standard </w:t>
            </w:r>
            <w:r w:rsidR="000823CC" w:rsidRPr="00F23171">
              <w:rPr>
                <w:sz w:val="24"/>
                <w:szCs w:val="24"/>
              </w:rPr>
              <w:t xml:space="preserve">(AASB 16) </w:t>
            </w:r>
            <w:r w:rsidRPr="00F23171">
              <w:rPr>
                <w:sz w:val="24"/>
                <w:szCs w:val="24"/>
              </w:rPr>
              <w:t>that will require both finance and operating lea</w:t>
            </w:r>
            <w:r w:rsidR="000823CC" w:rsidRPr="00F23171">
              <w:rPr>
                <w:sz w:val="24"/>
                <w:szCs w:val="24"/>
              </w:rPr>
              <w:t>ses to be brought on balance sh</w:t>
            </w:r>
            <w:r w:rsidRPr="00F23171">
              <w:rPr>
                <w:sz w:val="24"/>
                <w:szCs w:val="24"/>
              </w:rPr>
              <w:t>eet;</w:t>
            </w:r>
          </w:p>
          <w:p w14:paraId="18685552" w14:textId="16B6B434" w:rsidR="002F1EE3" w:rsidRPr="00F23171" w:rsidRDefault="002F1EE3" w:rsidP="00725456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F23171">
              <w:rPr>
                <w:sz w:val="24"/>
                <w:szCs w:val="24"/>
              </w:rPr>
              <w:t>A new revenue</w:t>
            </w:r>
            <w:r w:rsidR="000823CC" w:rsidRPr="00F23171">
              <w:rPr>
                <w:sz w:val="24"/>
                <w:szCs w:val="24"/>
              </w:rPr>
              <w:t xml:space="preserve"> recognition standard </w:t>
            </w:r>
            <w:r w:rsidR="004B3A51" w:rsidRPr="00F23171">
              <w:rPr>
                <w:sz w:val="24"/>
                <w:szCs w:val="24"/>
              </w:rPr>
              <w:t xml:space="preserve">which has been developed </w:t>
            </w:r>
            <w:r w:rsidR="000823CC" w:rsidRPr="00F23171">
              <w:rPr>
                <w:sz w:val="24"/>
                <w:szCs w:val="24"/>
              </w:rPr>
              <w:t>jointly with the USA;</w:t>
            </w:r>
          </w:p>
          <w:p w14:paraId="31B4DFAB" w14:textId="745C26C0" w:rsidR="000823CC" w:rsidRPr="00F23171" w:rsidRDefault="004B3A51" w:rsidP="00725456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F23171">
              <w:rPr>
                <w:sz w:val="24"/>
                <w:szCs w:val="24"/>
              </w:rPr>
              <w:t>Valuation standards both internationally and domestically; and</w:t>
            </w:r>
          </w:p>
          <w:p w14:paraId="11D4F93D" w14:textId="77777777" w:rsidR="009A22E1" w:rsidRPr="00F23171" w:rsidRDefault="004B3A51" w:rsidP="00725456">
            <w:pPr>
              <w:pStyle w:val="ListParagraph"/>
              <w:numPr>
                <w:ilvl w:val="0"/>
                <w:numId w:val="25"/>
              </w:numPr>
            </w:pPr>
            <w:r w:rsidRPr="00F23171">
              <w:rPr>
                <w:sz w:val="24"/>
                <w:szCs w:val="24"/>
              </w:rPr>
              <w:t>Financial reporting generally.</w:t>
            </w:r>
          </w:p>
          <w:p w14:paraId="5939627A" w14:textId="45BE5B67" w:rsidR="006F6ECE" w:rsidRPr="00BD2FF3" w:rsidRDefault="006F6ECE" w:rsidP="00F23171">
            <w:pPr>
              <w:pStyle w:val="ListParagraph"/>
              <w:numPr>
                <w:ilvl w:val="0"/>
                <w:numId w:val="0"/>
              </w:numPr>
              <w:ind w:left="720"/>
            </w:pPr>
          </w:p>
        </w:tc>
        <w:tc>
          <w:tcPr>
            <w:tcW w:w="399" w:type="dxa"/>
            <w:gridSpan w:val="2"/>
          </w:tcPr>
          <w:p w14:paraId="0983B904" w14:textId="77777777" w:rsidR="009A22E1" w:rsidRPr="00BD2FF3" w:rsidRDefault="009A22E1" w:rsidP="00657B86"/>
        </w:tc>
      </w:tr>
    </w:tbl>
    <w:p w14:paraId="393AF2DF" w14:textId="77777777" w:rsidR="0069382A" w:rsidRDefault="0069382A">
      <w:r>
        <w:br w:type="page"/>
      </w:r>
    </w:p>
    <w:tbl>
      <w:tblPr>
        <w:tblStyle w:val="TableGrid"/>
        <w:tblW w:w="107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"/>
        <w:gridCol w:w="28"/>
        <w:gridCol w:w="2631"/>
        <w:gridCol w:w="6974"/>
        <w:gridCol w:w="182"/>
        <w:gridCol w:w="409"/>
        <w:gridCol w:w="18"/>
      </w:tblGrid>
      <w:tr w:rsidR="006404BD" w:rsidRPr="00BD2FF3" w14:paraId="7EBDCE58" w14:textId="77777777" w:rsidTr="00451FFC">
        <w:trPr>
          <w:jc w:val="center"/>
        </w:trPr>
        <w:tc>
          <w:tcPr>
            <w:tcW w:w="473" w:type="dxa"/>
          </w:tcPr>
          <w:p w14:paraId="151E4F57" w14:textId="3948CF06" w:rsidR="006404BD" w:rsidRPr="00BD2FF3" w:rsidRDefault="006404BD" w:rsidP="00657B86"/>
        </w:tc>
        <w:tc>
          <w:tcPr>
            <w:tcW w:w="9815" w:type="dxa"/>
            <w:gridSpan w:val="4"/>
          </w:tcPr>
          <w:p w14:paraId="46D67434" w14:textId="1D0B83C7" w:rsidR="006404BD" w:rsidRPr="00DF5DE8" w:rsidRDefault="006404BD" w:rsidP="00DF5DE8">
            <w:pPr>
              <w:pStyle w:val="Heading2"/>
              <w:spacing w:before="60" w:after="0"/>
              <w:outlineLvl w:val="1"/>
              <w:rPr>
                <w:sz w:val="22"/>
                <w:szCs w:val="22"/>
              </w:rPr>
            </w:pPr>
            <w:r w:rsidRPr="006404BD">
              <w:rPr>
                <w:szCs w:val="40"/>
              </w:rPr>
              <w:t>Tax Transparency Code</w:t>
            </w:r>
          </w:p>
        </w:tc>
        <w:tc>
          <w:tcPr>
            <w:tcW w:w="427" w:type="dxa"/>
            <w:gridSpan w:val="2"/>
          </w:tcPr>
          <w:p w14:paraId="2C34C030" w14:textId="77777777" w:rsidR="006404BD" w:rsidRPr="00BD2FF3" w:rsidRDefault="006404BD" w:rsidP="00657B86"/>
        </w:tc>
      </w:tr>
      <w:tr w:rsidR="006404BD" w:rsidRPr="00BD2FF3" w14:paraId="40BBFAB2" w14:textId="77777777" w:rsidTr="00451FFC">
        <w:trPr>
          <w:jc w:val="center"/>
        </w:trPr>
        <w:tc>
          <w:tcPr>
            <w:tcW w:w="473" w:type="dxa"/>
          </w:tcPr>
          <w:p w14:paraId="131E3F0E" w14:textId="77777777" w:rsidR="006404BD" w:rsidRDefault="006404BD" w:rsidP="00657B86"/>
        </w:tc>
        <w:tc>
          <w:tcPr>
            <w:tcW w:w="9815" w:type="dxa"/>
            <w:gridSpan w:val="4"/>
          </w:tcPr>
          <w:p w14:paraId="3030CA6C" w14:textId="77777777" w:rsidR="006404BD" w:rsidRPr="00F23171" w:rsidRDefault="006404BD" w:rsidP="006404BD">
            <w:pPr>
              <w:rPr>
                <w:sz w:val="24"/>
                <w:szCs w:val="24"/>
              </w:rPr>
            </w:pPr>
            <w:r w:rsidRPr="00F23171">
              <w:rPr>
                <w:sz w:val="24"/>
                <w:szCs w:val="24"/>
              </w:rPr>
              <w:t xml:space="preserve">The Board continues to discuss the take-up of the Voluntary Tax Transparency Code (the Code). As at 5 February 2018, there were 126 signatories to the Code and 99 signatories have published a tax transparency report. </w:t>
            </w:r>
          </w:p>
          <w:p w14:paraId="5AD24ED3" w14:textId="2D47E922" w:rsidR="006404BD" w:rsidRPr="00F23171" w:rsidRDefault="006404BD" w:rsidP="006404BD">
            <w:pPr>
              <w:spacing w:before="0" w:line="300" w:lineRule="exact"/>
              <w:rPr>
                <w:sz w:val="24"/>
                <w:szCs w:val="24"/>
              </w:rPr>
            </w:pPr>
            <w:r w:rsidRPr="00F23171">
              <w:rPr>
                <w:sz w:val="24"/>
                <w:szCs w:val="24"/>
              </w:rPr>
              <w:t>As new signatories sign up to the Code, the Board will provide an introductory guide to assist companies understand the “best practice” for the preparation and pub</w:t>
            </w:r>
            <w:r w:rsidR="00D65CF2">
              <w:rPr>
                <w:sz w:val="24"/>
                <w:szCs w:val="24"/>
              </w:rPr>
              <w:t xml:space="preserve">lication of their entities Code.  </w:t>
            </w:r>
          </w:p>
          <w:p w14:paraId="0A65C18C" w14:textId="3AC7861C" w:rsidR="006404BD" w:rsidRDefault="006404BD" w:rsidP="006404BD">
            <w:pPr>
              <w:rPr>
                <w:sz w:val="24"/>
                <w:szCs w:val="24"/>
              </w:rPr>
            </w:pPr>
            <w:r w:rsidRPr="00F23171">
              <w:rPr>
                <w:sz w:val="24"/>
                <w:szCs w:val="24"/>
              </w:rPr>
              <w:t xml:space="preserve">The Board encourages you to adopt the Code and support and assist your clients to adopt it. </w:t>
            </w:r>
            <w:r w:rsidR="00F74106">
              <w:rPr>
                <w:sz w:val="24"/>
                <w:szCs w:val="24"/>
              </w:rPr>
              <w:t xml:space="preserve"> </w:t>
            </w:r>
            <w:r w:rsidRPr="00F23171">
              <w:rPr>
                <w:sz w:val="24"/>
                <w:szCs w:val="24"/>
              </w:rPr>
              <w:t xml:space="preserve">It is as simple as sending us an email setting out your groups’ intentions! </w:t>
            </w:r>
            <w:r w:rsidR="00F74106">
              <w:rPr>
                <w:sz w:val="24"/>
                <w:szCs w:val="24"/>
              </w:rPr>
              <w:t xml:space="preserve"> </w:t>
            </w:r>
            <w:r w:rsidRPr="00F23171">
              <w:rPr>
                <w:sz w:val="24"/>
                <w:szCs w:val="24"/>
              </w:rPr>
              <w:t xml:space="preserve">For further information on the Code or to register your intention to adopt it, please contact us at </w:t>
            </w:r>
            <w:hyperlink r:id="rId19" w:history="1">
              <w:r w:rsidRPr="00F23171">
                <w:rPr>
                  <w:sz w:val="24"/>
                  <w:szCs w:val="24"/>
                </w:rPr>
                <w:t>taxboard@treasury.gov.au</w:t>
              </w:r>
            </w:hyperlink>
            <w:r w:rsidRPr="00F23171">
              <w:rPr>
                <w:sz w:val="24"/>
                <w:szCs w:val="24"/>
              </w:rPr>
              <w:t>.</w:t>
            </w:r>
            <w:r w:rsidR="00D65C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7" w:type="dxa"/>
            <w:gridSpan w:val="2"/>
          </w:tcPr>
          <w:p w14:paraId="7CBED9F1" w14:textId="77777777" w:rsidR="006404BD" w:rsidRDefault="006404BD" w:rsidP="00657B86"/>
        </w:tc>
      </w:tr>
      <w:tr w:rsidR="006404BD" w:rsidRPr="00BD2FF3" w14:paraId="51AE0221" w14:textId="77777777" w:rsidTr="00451FFC">
        <w:trPr>
          <w:jc w:val="center"/>
        </w:trPr>
        <w:tc>
          <w:tcPr>
            <w:tcW w:w="473" w:type="dxa"/>
          </w:tcPr>
          <w:p w14:paraId="2E5F0FC1" w14:textId="77777777" w:rsidR="006404BD" w:rsidRDefault="006404BD" w:rsidP="00657B86"/>
        </w:tc>
        <w:tc>
          <w:tcPr>
            <w:tcW w:w="9815" w:type="dxa"/>
            <w:gridSpan w:val="4"/>
          </w:tcPr>
          <w:p w14:paraId="0FEC21E1" w14:textId="01EFE773" w:rsidR="006404BD" w:rsidRDefault="006404BD" w:rsidP="00DF5DE8">
            <w:pPr>
              <w:pStyle w:val="Heading2"/>
              <w:spacing w:before="60" w:after="0"/>
              <w:outlineLvl w:val="1"/>
              <w:rPr>
                <w:sz w:val="24"/>
                <w:szCs w:val="24"/>
              </w:rPr>
            </w:pPr>
            <w:r>
              <w:rPr>
                <w:szCs w:val="40"/>
              </w:rPr>
              <w:t>Our meeting dates fo</w:t>
            </w:r>
            <w:bookmarkStart w:id="0" w:name="_GoBack"/>
            <w:bookmarkEnd w:id="0"/>
            <w:r>
              <w:rPr>
                <w:szCs w:val="40"/>
              </w:rPr>
              <w:t>r 2018</w:t>
            </w:r>
          </w:p>
        </w:tc>
        <w:tc>
          <w:tcPr>
            <w:tcW w:w="427" w:type="dxa"/>
            <w:gridSpan w:val="2"/>
          </w:tcPr>
          <w:p w14:paraId="70DC6224" w14:textId="77777777" w:rsidR="006404BD" w:rsidRDefault="006404BD" w:rsidP="00657B86"/>
        </w:tc>
      </w:tr>
      <w:tr w:rsidR="006404BD" w:rsidRPr="00BD2FF3" w14:paraId="5DB26B1C" w14:textId="77777777" w:rsidTr="00451FFC">
        <w:trPr>
          <w:jc w:val="center"/>
        </w:trPr>
        <w:tc>
          <w:tcPr>
            <w:tcW w:w="473" w:type="dxa"/>
          </w:tcPr>
          <w:p w14:paraId="40E8B95D" w14:textId="77777777" w:rsidR="006404BD" w:rsidRDefault="006404BD" w:rsidP="00657B86"/>
        </w:tc>
        <w:tc>
          <w:tcPr>
            <w:tcW w:w="9815" w:type="dxa"/>
            <w:gridSpan w:val="4"/>
          </w:tcPr>
          <w:p w14:paraId="3B1C00F3" w14:textId="7FAF237C" w:rsidR="006404BD" w:rsidRDefault="006404BD" w:rsidP="002F1EE3">
            <w:pPr>
              <w:rPr>
                <w:sz w:val="24"/>
                <w:szCs w:val="24"/>
              </w:rPr>
            </w:pPr>
            <w:r w:rsidRPr="00F23171">
              <w:rPr>
                <w:sz w:val="24"/>
                <w:szCs w:val="24"/>
              </w:rPr>
              <w:t xml:space="preserve">The Board intends to meeting on the following dates and locations for their meetings in 2018. </w:t>
            </w:r>
            <w:r w:rsidR="00F74106">
              <w:rPr>
                <w:sz w:val="24"/>
                <w:szCs w:val="24"/>
              </w:rPr>
              <w:br/>
            </w:r>
            <w:r w:rsidRPr="00F23171">
              <w:rPr>
                <w:sz w:val="24"/>
                <w:szCs w:val="24"/>
              </w:rPr>
              <w:t>Any updates will be reflected on the Board’s website.</w:t>
            </w:r>
          </w:p>
        </w:tc>
        <w:tc>
          <w:tcPr>
            <w:tcW w:w="427" w:type="dxa"/>
            <w:gridSpan w:val="2"/>
          </w:tcPr>
          <w:p w14:paraId="3C5D2DCA" w14:textId="77777777" w:rsidR="006404BD" w:rsidRDefault="006404BD" w:rsidP="00657B86"/>
        </w:tc>
      </w:tr>
      <w:tr w:rsidR="006404BD" w:rsidRPr="00BD2FF3" w14:paraId="2A9C5695" w14:textId="77777777" w:rsidTr="00451FFC">
        <w:trPr>
          <w:jc w:val="center"/>
        </w:trPr>
        <w:tc>
          <w:tcPr>
            <w:tcW w:w="473" w:type="dxa"/>
          </w:tcPr>
          <w:p w14:paraId="1E0D8A36" w14:textId="77777777" w:rsidR="006404BD" w:rsidRDefault="006404BD" w:rsidP="00657B86"/>
        </w:tc>
        <w:tc>
          <w:tcPr>
            <w:tcW w:w="9815" w:type="dxa"/>
            <w:gridSpan w:val="4"/>
          </w:tcPr>
          <w:p w14:paraId="6BC6A6B2" w14:textId="77777777" w:rsidR="006404BD" w:rsidRPr="00F23171" w:rsidRDefault="006404BD" w:rsidP="006404BD">
            <w:pPr>
              <w:tabs>
                <w:tab w:val="left" w:pos="2802"/>
                <w:tab w:val="left" w:pos="5645"/>
              </w:tabs>
              <w:spacing w:before="0" w:after="200"/>
              <w:rPr>
                <w:sz w:val="24"/>
                <w:szCs w:val="24"/>
              </w:rPr>
            </w:pPr>
            <w:r>
              <w:t>22 March – Sydney</w:t>
            </w:r>
            <w:r>
              <w:tab/>
            </w:r>
            <w:r w:rsidRPr="00F23171">
              <w:rPr>
                <w:sz w:val="24"/>
                <w:szCs w:val="24"/>
              </w:rPr>
              <w:t>5 July – Melbourne</w:t>
            </w:r>
            <w:r>
              <w:rPr>
                <w:sz w:val="24"/>
                <w:szCs w:val="24"/>
              </w:rPr>
              <w:tab/>
            </w:r>
            <w:r w:rsidRPr="00F23171">
              <w:rPr>
                <w:sz w:val="24"/>
                <w:szCs w:val="24"/>
              </w:rPr>
              <w:t>18 October – Perth</w:t>
            </w:r>
          </w:p>
          <w:p w14:paraId="3EF5FB2B" w14:textId="513A075B" w:rsidR="006404BD" w:rsidRPr="00F23171" w:rsidRDefault="006404BD" w:rsidP="006404BD">
            <w:pPr>
              <w:tabs>
                <w:tab w:val="left" w:pos="2802"/>
                <w:tab w:val="left" w:pos="5645"/>
              </w:tabs>
              <w:spacing w:before="0" w:after="200"/>
              <w:rPr>
                <w:sz w:val="24"/>
                <w:szCs w:val="24"/>
              </w:rPr>
            </w:pPr>
            <w:r>
              <w:t>19 April – Brisbane</w:t>
            </w:r>
            <w:r>
              <w:tab/>
            </w:r>
            <w:r w:rsidRPr="00F23171">
              <w:rPr>
                <w:sz w:val="24"/>
                <w:szCs w:val="24"/>
              </w:rPr>
              <w:t>9 August – Adelaide</w:t>
            </w:r>
            <w:r>
              <w:rPr>
                <w:sz w:val="24"/>
                <w:szCs w:val="24"/>
              </w:rPr>
              <w:tab/>
            </w:r>
            <w:r w:rsidRPr="00F23171">
              <w:rPr>
                <w:sz w:val="24"/>
                <w:szCs w:val="24"/>
              </w:rPr>
              <w:t>15 November – Melbourne</w:t>
            </w:r>
          </w:p>
          <w:p w14:paraId="087BF56A" w14:textId="2EDC3716" w:rsidR="006404BD" w:rsidRPr="00F23171" w:rsidRDefault="006404BD" w:rsidP="00F74106">
            <w:pPr>
              <w:tabs>
                <w:tab w:val="left" w:pos="2830"/>
                <w:tab w:val="left" w:pos="5665"/>
              </w:tabs>
              <w:rPr>
                <w:sz w:val="24"/>
                <w:szCs w:val="24"/>
              </w:rPr>
            </w:pPr>
            <w:r>
              <w:t>25 May – Canberra</w:t>
            </w:r>
            <w:r>
              <w:tab/>
            </w:r>
            <w:r w:rsidRPr="00F23171">
              <w:rPr>
                <w:sz w:val="24"/>
                <w:szCs w:val="24"/>
              </w:rPr>
              <w:t>13 September – Sydney</w:t>
            </w:r>
            <w:r>
              <w:rPr>
                <w:sz w:val="24"/>
                <w:szCs w:val="24"/>
              </w:rPr>
              <w:tab/>
            </w:r>
            <w:r w:rsidRPr="00F23171">
              <w:rPr>
                <w:sz w:val="24"/>
                <w:szCs w:val="24"/>
              </w:rPr>
              <w:t xml:space="preserve">14 December </w:t>
            </w:r>
            <w:r w:rsidR="00F74106">
              <w:rPr>
                <w:sz w:val="24"/>
                <w:szCs w:val="24"/>
              </w:rPr>
              <w:t>–</w:t>
            </w:r>
            <w:r w:rsidRPr="00F23171">
              <w:rPr>
                <w:sz w:val="24"/>
                <w:szCs w:val="24"/>
              </w:rPr>
              <w:t xml:space="preserve"> Sydney</w:t>
            </w:r>
          </w:p>
        </w:tc>
        <w:tc>
          <w:tcPr>
            <w:tcW w:w="427" w:type="dxa"/>
            <w:gridSpan w:val="2"/>
          </w:tcPr>
          <w:p w14:paraId="1682950A" w14:textId="77777777" w:rsidR="006404BD" w:rsidRDefault="006404BD" w:rsidP="00657B86"/>
        </w:tc>
      </w:tr>
      <w:tr w:rsidR="006404BD" w:rsidRPr="00BD2FF3" w14:paraId="5BED6209" w14:textId="77777777" w:rsidTr="00451FFC">
        <w:trPr>
          <w:jc w:val="center"/>
        </w:trPr>
        <w:tc>
          <w:tcPr>
            <w:tcW w:w="473" w:type="dxa"/>
          </w:tcPr>
          <w:p w14:paraId="39A6C414" w14:textId="77777777" w:rsidR="006404BD" w:rsidRDefault="006404BD" w:rsidP="00657B86"/>
        </w:tc>
        <w:tc>
          <w:tcPr>
            <w:tcW w:w="9815" w:type="dxa"/>
            <w:gridSpan w:val="4"/>
          </w:tcPr>
          <w:p w14:paraId="4DBD022A" w14:textId="71F821B8" w:rsidR="006404BD" w:rsidRPr="00F23171" w:rsidRDefault="006404BD" w:rsidP="00DF5DE8">
            <w:pPr>
              <w:pStyle w:val="Heading2"/>
              <w:spacing w:before="60" w:after="0"/>
              <w:outlineLvl w:val="1"/>
              <w:rPr>
                <w:sz w:val="24"/>
                <w:szCs w:val="24"/>
              </w:rPr>
            </w:pPr>
            <w:r w:rsidRPr="00B37CE1">
              <w:rPr>
                <w:szCs w:val="40"/>
              </w:rPr>
              <w:t>Thank You</w:t>
            </w:r>
            <w:r>
              <w:rPr>
                <w:szCs w:val="40"/>
              </w:rPr>
              <w:t xml:space="preserve"> and Stay in Touch!</w:t>
            </w:r>
          </w:p>
        </w:tc>
        <w:tc>
          <w:tcPr>
            <w:tcW w:w="427" w:type="dxa"/>
            <w:gridSpan w:val="2"/>
          </w:tcPr>
          <w:p w14:paraId="6708E95C" w14:textId="77777777" w:rsidR="006404BD" w:rsidRDefault="006404BD" w:rsidP="00657B86"/>
        </w:tc>
      </w:tr>
      <w:tr w:rsidR="006404BD" w:rsidRPr="00BD2FF3" w14:paraId="7F54894D" w14:textId="77777777" w:rsidTr="00451FFC">
        <w:trPr>
          <w:jc w:val="center"/>
        </w:trPr>
        <w:tc>
          <w:tcPr>
            <w:tcW w:w="473" w:type="dxa"/>
          </w:tcPr>
          <w:p w14:paraId="04D419C9" w14:textId="77777777" w:rsidR="006404BD" w:rsidRDefault="006404BD" w:rsidP="00657B86"/>
        </w:tc>
        <w:tc>
          <w:tcPr>
            <w:tcW w:w="9815" w:type="dxa"/>
            <w:gridSpan w:val="4"/>
          </w:tcPr>
          <w:p w14:paraId="5530A8A9" w14:textId="77777777" w:rsidR="006404BD" w:rsidRPr="00F23171" w:rsidRDefault="006404BD" w:rsidP="006404BD">
            <w:pPr>
              <w:spacing w:before="0" w:line="300" w:lineRule="exact"/>
              <w:rPr>
                <w:sz w:val="24"/>
                <w:szCs w:val="24"/>
              </w:rPr>
            </w:pPr>
            <w:r w:rsidRPr="00F23171">
              <w:rPr>
                <w:sz w:val="24"/>
                <w:szCs w:val="24"/>
              </w:rPr>
              <w:t>Thank you for your continued support.  A list of the organisation that the Board has presented to and prepared articles for in 2017 has been uploaded on our website.</w:t>
            </w:r>
          </w:p>
          <w:p w14:paraId="46C3316A" w14:textId="77777777" w:rsidR="006404BD" w:rsidRPr="00F23171" w:rsidRDefault="006404BD" w:rsidP="006404BD">
            <w:pPr>
              <w:spacing w:before="0" w:line="300" w:lineRule="exact"/>
              <w:rPr>
                <w:sz w:val="24"/>
                <w:szCs w:val="24"/>
              </w:rPr>
            </w:pPr>
            <w:r w:rsidRPr="00F23171">
              <w:rPr>
                <w:sz w:val="24"/>
                <w:szCs w:val="24"/>
              </w:rPr>
              <w:t xml:space="preserve">Our next Board meeting will be held in Sydney on 22 March 2018. </w:t>
            </w:r>
          </w:p>
          <w:p w14:paraId="494B7710" w14:textId="20E257F1" w:rsidR="006404BD" w:rsidRPr="00F23171" w:rsidRDefault="006404BD" w:rsidP="006404BD">
            <w:pPr>
              <w:spacing w:before="0" w:line="300" w:lineRule="exact"/>
              <w:rPr>
                <w:sz w:val="24"/>
                <w:szCs w:val="24"/>
              </w:rPr>
            </w:pPr>
            <w:r w:rsidRPr="00F23171">
              <w:rPr>
                <w:sz w:val="24"/>
                <w:szCs w:val="24"/>
              </w:rPr>
              <w:t>Don’t forget, the Board is live on LinkedIn! You can follow TaxBoard for tho</w:t>
            </w:r>
            <w:r w:rsidR="00F74106">
              <w:rPr>
                <w:sz w:val="24"/>
                <w:szCs w:val="24"/>
              </w:rPr>
              <w:t>se of you who are on LinkedIn.</w:t>
            </w:r>
          </w:p>
          <w:p w14:paraId="57EDE027" w14:textId="77777777" w:rsidR="006404BD" w:rsidRPr="00B37CE1" w:rsidRDefault="006404BD" w:rsidP="002F1EE3">
            <w:pPr>
              <w:rPr>
                <w:szCs w:val="40"/>
              </w:rPr>
            </w:pPr>
          </w:p>
        </w:tc>
        <w:tc>
          <w:tcPr>
            <w:tcW w:w="427" w:type="dxa"/>
            <w:gridSpan w:val="2"/>
          </w:tcPr>
          <w:p w14:paraId="5BBD117B" w14:textId="77777777" w:rsidR="006404BD" w:rsidRDefault="006404BD" w:rsidP="00657B86"/>
        </w:tc>
      </w:tr>
      <w:tr w:rsidR="005A40E0" w:rsidRPr="00BD2FF3" w14:paraId="15033CC3" w14:textId="77777777" w:rsidTr="00451FFC">
        <w:tblPrEx>
          <w:tblBorders>
            <w:bottom w:val="single" w:sz="4" w:space="0" w:color="BFBFBF" w:themeColor="background1" w:themeShade="BF"/>
          </w:tblBorders>
          <w:shd w:val="clear" w:color="auto" w:fill="CCDDF1"/>
        </w:tblPrEx>
        <w:trPr>
          <w:gridAfter w:val="1"/>
          <w:wAfter w:w="18" w:type="dxa"/>
          <w:jc w:val="center"/>
        </w:trPr>
        <w:tc>
          <w:tcPr>
            <w:tcW w:w="501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1F497D" w:themeFill="text2"/>
          </w:tcPr>
          <w:p w14:paraId="74724707" w14:textId="77777777" w:rsidR="005A40E0" w:rsidRPr="00BD2FF3" w:rsidRDefault="005A40E0" w:rsidP="007A07E3"/>
        </w:tc>
        <w:tc>
          <w:tcPr>
            <w:tcW w:w="2631" w:type="dxa"/>
            <w:tcBorders>
              <w:bottom w:val="single" w:sz="4" w:space="0" w:color="BFBFBF" w:themeColor="background1" w:themeShade="BF"/>
            </w:tcBorders>
            <w:shd w:val="clear" w:color="auto" w:fill="1F497D" w:themeFill="text2"/>
          </w:tcPr>
          <w:p w14:paraId="5F1BC77C" w14:textId="77777777" w:rsidR="005A40E0" w:rsidRPr="002256FA" w:rsidRDefault="005A40E0" w:rsidP="007A07E3">
            <w:pPr>
              <w:ind w:left="43"/>
              <w:rPr>
                <w:color w:val="FFFFFF" w:themeColor="background1"/>
                <w:lang w:eastAsia="en-AU"/>
              </w:rPr>
            </w:pPr>
            <w:r w:rsidRPr="002256FA">
              <w:rPr>
                <w:color w:val="FFFFFF" w:themeColor="background1"/>
                <w:lang w:eastAsia="en-AU"/>
              </w:rPr>
              <w:t>Karen Payne</w:t>
            </w:r>
          </w:p>
          <w:p w14:paraId="47C0C81F" w14:textId="77777777" w:rsidR="005A40E0" w:rsidRPr="002256FA" w:rsidRDefault="005A40E0" w:rsidP="007A07E3">
            <w:pPr>
              <w:ind w:left="43"/>
              <w:rPr>
                <w:color w:val="FFFFFF" w:themeColor="background1"/>
              </w:rPr>
            </w:pPr>
            <w:r w:rsidRPr="002256FA">
              <w:rPr>
                <w:color w:val="FFFFFF" w:themeColor="background1"/>
                <w:lang w:eastAsia="en-AU"/>
              </w:rPr>
              <w:t>Chief Executive Officer</w:t>
            </w:r>
            <w:r w:rsidRPr="002256FA">
              <w:rPr>
                <w:color w:val="FFFFFF" w:themeColor="background1"/>
                <w:lang w:eastAsia="en-AU"/>
              </w:rPr>
              <w:br/>
              <w:t>Board of Taxation</w:t>
            </w:r>
          </w:p>
        </w:tc>
        <w:tc>
          <w:tcPr>
            <w:tcW w:w="6974" w:type="dxa"/>
            <w:tcBorders>
              <w:bottom w:val="single" w:sz="4" w:space="0" w:color="BFBFBF" w:themeColor="background1" w:themeShade="BF"/>
            </w:tcBorders>
            <w:shd w:val="clear" w:color="auto" w:fill="1F497D" w:themeFill="text2"/>
          </w:tcPr>
          <w:p w14:paraId="49CA3291" w14:textId="77777777" w:rsidR="005A40E0" w:rsidRPr="002256FA" w:rsidRDefault="005A40E0" w:rsidP="007A07E3">
            <w:pPr>
              <w:ind w:left="43"/>
              <w:rPr>
                <w:color w:val="FFFFFF" w:themeColor="background1"/>
                <w:lang w:eastAsia="en-AU"/>
              </w:rPr>
            </w:pPr>
            <w:r w:rsidRPr="002256FA">
              <w:rPr>
                <w:color w:val="FFFFFF" w:themeColor="background1"/>
                <w:lang w:eastAsia="en-AU"/>
              </w:rPr>
              <w:t>phone:  +61 2 6263 2122</w:t>
            </w:r>
          </w:p>
          <w:p w14:paraId="6D02AE54" w14:textId="77777777" w:rsidR="005A40E0" w:rsidRPr="002256FA" w:rsidRDefault="005A40E0" w:rsidP="007A07E3">
            <w:pPr>
              <w:ind w:left="43"/>
              <w:rPr>
                <w:color w:val="FFFFFF" w:themeColor="background1"/>
                <w:lang w:eastAsia="en-AU"/>
              </w:rPr>
            </w:pPr>
            <w:r w:rsidRPr="002256FA">
              <w:rPr>
                <w:color w:val="FFFFFF" w:themeColor="background1"/>
                <w:lang w:eastAsia="en-AU"/>
              </w:rPr>
              <w:t>mobile: 0405 843 880</w:t>
            </w:r>
          </w:p>
          <w:p w14:paraId="1AE6BB90" w14:textId="77777777" w:rsidR="005A40E0" w:rsidRPr="002256FA" w:rsidRDefault="005A40E0" w:rsidP="007A07E3">
            <w:pPr>
              <w:ind w:left="43"/>
              <w:rPr>
                <w:color w:val="FFFFFF" w:themeColor="background1"/>
                <w:lang w:eastAsia="en-AU"/>
              </w:rPr>
            </w:pPr>
            <w:r w:rsidRPr="002256FA">
              <w:rPr>
                <w:color w:val="FFFFFF" w:themeColor="background1"/>
                <w:lang w:eastAsia="en-AU"/>
              </w:rPr>
              <w:t>fax: +61 2 6263 2617</w:t>
            </w:r>
          </w:p>
          <w:p w14:paraId="20B63E22" w14:textId="77777777" w:rsidR="005A40E0" w:rsidRPr="002256FA" w:rsidRDefault="005A40E0" w:rsidP="007A07E3">
            <w:pPr>
              <w:ind w:left="43"/>
              <w:rPr>
                <w:color w:val="FFFFFF" w:themeColor="background1"/>
                <w:lang w:eastAsia="en-AU"/>
              </w:rPr>
            </w:pPr>
            <w:r w:rsidRPr="002256FA">
              <w:rPr>
                <w:color w:val="FFFFFF" w:themeColor="background1"/>
                <w:lang w:eastAsia="en-AU"/>
              </w:rPr>
              <w:t xml:space="preserve">email: </w:t>
            </w:r>
            <w:hyperlink r:id="rId20" w:history="1">
              <w:r w:rsidRPr="002256FA">
                <w:rPr>
                  <w:rStyle w:val="Hyperlink"/>
                  <w:color w:val="FFFFFF" w:themeColor="background1"/>
                  <w:lang w:eastAsia="en-AU"/>
                </w:rPr>
                <w:t>karen.payne@treasury.gov.au</w:t>
              </w:r>
            </w:hyperlink>
          </w:p>
        </w:tc>
        <w:tc>
          <w:tcPr>
            <w:tcW w:w="591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1F497D" w:themeFill="text2"/>
          </w:tcPr>
          <w:p w14:paraId="0A7A6862" w14:textId="77777777" w:rsidR="005A40E0" w:rsidRPr="00BD2FF3" w:rsidRDefault="005A40E0" w:rsidP="007A07E3"/>
        </w:tc>
      </w:tr>
      <w:tr w:rsidR="005A40E0" w:rsidRPr="00BD2FF3" w14:paraId="2CF9944B" w14:textId="77777777" w:rsidTr="00451FFC">
        <w:tblPrEx>
          <w:tblBorders>
            <w:bottom w:val="single" w:sz="4" w:space="0" w:color="BFBFBF" w:themeColor="background1" w:themeShade="BF"/>
          </w:tblBorders>
          <w:shd w:val="clear" w:color="auto" w:fill="CCDDF1"/>
        </w:tblPrEx>
        <w:trPr>
          <w:gridAfter w:val="1"/>
          <w:wAfter w:w="18" w:type="dxa"/>
          <w:jc w:val="center"/>
        </w:trPr>
        <w:tc>
          <w:tcPr>
            <w:tcW w:w="501" w:type="dxa"/>
            <w:gridSpan w:val="2"/>
            <w:tcBorders>
              <w:top w:val="single" w:sz="4" w:space="0" w:color="BFBFBF" w:themeColor="background1" w:themeShade="BF"/>
              <w:bottom w:val="nil"/>
            </w:tcBorders>
            <w:shd w:val="clear" w:color="auto" w:fill="1F497D" w:themeFill="text2"/>
          </w:tcPr>
          <w:p w14:paraId="383ED16B" w14:textId="77777777" w:rsidR="005A40E0" w:rsidRPr="00BD2FF3" w:rsidRDefault="005A40E0" w:rsidP="007A07E3"/>
        </w:tc>
        <w:tc>
          <w:tcPr>
            <w:tcW w:w="2631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1F497D" w:themeFill="text2"/>
          </w:tcPr>
          <w:p w14:paraId="5CF4C1C6" w14:textId="77777777" w:rsidR="005A40E0" w:rsidRPr="002256FA" w:rsidRDefault="005A40E0" w:rsidP="007A07E3">
            <w:pPr>
              <w:ind w:left="43"/>
              <w:rPr>
                <w:color w:val="FFFFFF" w:themeColor="background1"/>
                <w:lang w:eastAsia="en-AU"/>
              </w:rPr>
            </w:pPr>
            <w:r w:rsidRPr="002256FA">
              <w:rPr>
                <w:color w:val="FFFFFF" w:themeColor="background1"/>
              </w:rPr>
              <w:t xml:space="preserve">C/- </w:t>
            </w:r>
            <w:r w:rsidRPr="002256FA">
              <w:rPr>
                <w:color w:val="FFFFFF" w:themeColor="background1"/>
                <w:lang w:eastAsia="en-AU"/>
              </w:rPr>
              <w:t>The Treasury</w:t>
            </w:r>
          </w:p>
          <w:p w14:paraId="34BAA2D8" w14:textId="77777777" w:rsidR="005A40E0" w:rsidRPr="002256FA" w:rsidRDefault="005A40E0" w:rsidP="007A07E3">
            <w:pPr>
              <w:ind w:left="43"/>
              <w:rPr>
                <w:color w:val="FFFFFF" w:themeColor="background1"/>
                <w:lang w:eastAsia="en-AU"/>
              </w:rPr>
            </w:pPr>
            <w:r w:rsidRPr="002256FA">
              <w:rPr>
                <w:color w:val="FFFFFF" w:themeColor="background1"/>
                <w:lang w:eastAsia="en-AU"/>
              </w:rPr>
              <w:t>100 Market Street, Sydney NSW 2000</w:t>
            </w:r>
          </w:p>
        </w:tc>
        <w:tc>
          <w:tcPr>
            <w:tcW w:w="6974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1F497D" w:themeFill="text2"/>
          </w:tcPr>
          <w:p w14:paraId="7706111B" w14:textId="77777777" w:rsidR="005A40E0" w:rsidRPr="002256FA" w:rsidRDefault="005A40E0" w:rsidP="007A07E3">
            <w:pPr>
              <w:ind w:left="43"/>
              <w:rPr>
                <w:rStyle w:val="Hyperlink"/>
                <w:color w:val="FFFFFF" w:themeColor="background1"/>
                <w:lang w:eastAsia="en-AU"/>
              </w:rPr>
            </w:pPr>
            <w:r w:rsidRPr="002256FA">
              <w:rPr>
                <w:color w:val="FFFFFF" w:themeColor="background1"/>
                <w:lang w:eastAsia="en-AU"/>
              </w:rPr>
              <w:t xml:space="preserve">website: </w:t>
            </w:r>
            <w:hyperlink r:id="rId21" w:history="1">
              <w:r w:rsidRPr="002256FA">
                <w:rPr>
                  <w:rStyle w:val="Hyperlink"/>
                  <w:color w:val="FFFFFF" w:themeColor="background1"/>
                  <w:lang w:eastAsia="en-AU"/>
                </w:rPr>
                <w:t>www.taxboard.gov.au</w:t>
              </w:r>
            </w:hyperlink>
          </w:p>
          <w:p w14:paraId="3ECB3471" w14:textId="77777777" w:rsidR="005A40E0" w:rsidRPr="002256FA" w:rsidRDefault="005A40E0" w:rsidP="007A07E3">
            <w:pPr>
              <w:ind w:left="43"/>
              <w:rPr>
                <w:color w:val="FFFFFF" w:themeColor="background1"/>
                <w:lang w:eastAsia="en-AU"/>
              </w:rPr>
            </w:pPr>
            <w:r w:rsidRPr="002256FA">
              <w:rPr>
                <w:color w:val="FFFFFF" w:themeColor="background1"/>
                <w:lang w:eastAsia="en-AU"/>
              </w:rPr>
              <w:t>The Board of Taxation Secretariat</w:t>
            </w:r>
          </w:p>
          <w:p w14:paraId="14A7A1A7" w14:textId="77777777" w:rsidR="005A40E0" w:rsidRPr="002256FA" w:rsidRDefault="005A40E0" w:rsidP="007A07E3">
            <w:pPr>
              <w:ind w:left="43"/>
              <w:rPr>
                <w:color w:val="FFFFFF" w:themeColor="background1"/>
              </w:rPr>
            </w:pPr>
            <w:r w:rsidRPr="002256FA">
              <w:rPr>
                <w:color w:val="FFFFFF" w:themeColor="background1"/>
                <w:lang w:eastAsia="en-AU"/>
              </w:rPr>
              <w:t>Langton Crescent, Parkes ACT 2600 Australia</w:t>
            </w:r>
          </w:p>
        </w:tc>
        <w:tc>
          <w:tcPr>
            <w:tcW w:w="591" w:type="dxa"/>
            <w:gridSpan w:val="2"/>
            <w:tcBorders>
              <w:top w:val="single" w:sz="4" w:space="0" w:color="BFBFBF" w:themeColor="background1" w:themeShade="BF"/>
              <w:bottom w:val="nil"/>
            </w:tcBorders>
            <w:shd w:val="clear" w:color="auto" w:fill="1F497D" w:themeFill="text2"/>
          </w:tcPr>
          <w:p w14:paraId="7DF14BE5" w14:textId="77777777" w:rsidR="005A40E0" w:rsidRPr="00BD2FF3" w:rsidRDefault="005A40E0" w:rsidP="007A07E3"/>
        </w:tc>
      </w:tr>
      <w:tr w:rsidR="005A40E0" w14:paraId="000CDF5D" w14:textId="77777777" w:rsidTr="00451FFC">
        <w:tblPrEx>
          <w:tblBorders>
            <w:bottom w:val="single" w:sz="4" w:space="0" w:color="BFBFBF" w:themeColor="background1" w:themeShade="BF"/>
          </w:tblBorders>
          <w:shd w:val="clear" w:color="auto" w:fill="CCDDF1"/>
        </w:tblPrEx>
        <w:trPr>
          <w:gridAfter w:val="1"/>
          <w:wAfter w:w="18" w:type="dxa"/>
          <w:jc w:val="center"/>
        </w:trPr>
        <w:tc>
          <w:tcPr>
            <w:tcW w:w="10697" w:type="dxa"/>
            <w:gridSpan w:val="6"/>
            <w:tcBorders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BABDB6" w14:textId="77777777" w:rsidR="005A40E0" w:rsidRDefault="005A40E0" w:rsidP="007A07E3">
            <w:r>
              <w:rPr>
                <w:noProof/>
                <w:lang w:eastAsia="en-AU"/>
              </w:rPr>
              <w:drawing>
                <wp:inline distT="0" distB="0" distL="0" distR="0" wp14:anchorId="08E1AA03" wp14:editId="5443E38C">
                  <wp:extent cx="6786748" cy="308759"/>
                  <wp:effectExtent l="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T footer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4364" cy="31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CD1C64" w14:textId="77777777" w:rsidR="00F23171" w:rsidRDefault="00F23171"/>
    <w:p w14:paraId="1633713E" w14:textId="6218F9E0" w:rsidR="001010C1" w:rsidRPr="0098345D" w:rsidRDefault="001010C1" w:rsidP="00EF48F9"/>
    <w:sectPr w:rsidR="001010C1" w:rsidRPr="0098345D" w:rsidSect="00BD2FF3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14F2F6A" w15:done="0"/>
  <w15:commentEx w15:paraId="3B9FAEB6" w15:done="0"/>
  <w15:commentEx w15:paraId="78837CA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1C2857" w14:textId="77777777" w:rsidR="00507698" w:rsidRDefault="00507698" w:rsidP="002256FA">
      <w:r>
        <w:separator/>
      </w:r>
    </w:p>
  </w:endnote>
  <w:endnote w:type="continuationSeparator" w:id="0">
    <w:p w14:paraId="30D70CAB" w14:textId="77777777" w:rsidR="00507698" w:rsidRDefault="00507698" w:rsidP="002256FA">
      <w:r>
        <w:continuationSeparator/>
      </w:r>
    </w:p>
  </w:endnote>
  <w:endnote w:type="continuationNotice" w:id="1">
    <w:p w14:paraId="3AC57EDB" w14:textId="77777777" w:rsidR="00507698" w:rsidRDefault="00507698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56652B" w14:textId="77777777" w:rsidR="00507698" w:rsidRDefault="00507698" w:rsidP="002256FA">
      <w:r>
        <w:separator/>
      </w:r>
    </w:p>
  </w:footnote>
  <w:footnote w:type="continuationSeparator" w:id="0">
    <w:p w14:paraId="5264922C" w14:textId="77777777" w:rsidR="00507698" w:rsidRDefault="00507698" w:rsidP="002256FA">
      <w:r>
        <w:continuationSeparator/>
      </w:r>
    </w:p>
  </w:footnote>
  <w:footnote w:type="continuationNotice" w:id="1">
    <w:p w14:paraId="34302EE7" w14:textId="77777777" w:rsidR="00507698" w:rsidRDefault="00507698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66B3"/>
    <w:multiLevelType w:val="hybridMultilevel"/>
    <w:tmpl w:val="259ACEF4"/>
    <w:lvl w:ilvl="0" w:tplc="E208FD36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2369E"/>
    <w:multiLevelType w:val="hybridMultilevel"/>
    <w:tmpl w:val="0B6EE5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01041"/>
    <w:multiLevelType w:val="hybridMultilevel"/>
    <w:tmpl w:val="2788DF1A"/>
    <w:lvl w:ilvl="0" w:tplc="7FE0431E">
      <w:start w:val="1"/>
      <w:numFmt w:val="bullet"/>
      <w:pStyle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F6B9A"/>
    <w:multiLevelType w:val="multilevel"/>
    <w:tmpl w:val="C9F44B5E"/>
    <w:name w:val="StandardNumberedList"/>
    <w:lvl w:ilvl="0">
      <w:start w:val="1"/>
      <w:numFmt w:val="decimal"/>
      <w:pStyle w:val="OutlineNumbered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OutlineNumbered2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pStyle w:val="OutlineNumbered3"/>
      <w:lvlText w:val="%1.%2.%3.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97D1333"/>
    <w:multiLevelType w:val="hybridMultilevel"/>
    <w:tmpl w:val="8C8E8A8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E6809"/>
    <w:multiLevelType w:val="multilevel"/>
    <w:tmpl w:val="C38C777A"/>
    <w:name w:val="StandardBulletedList"/>
    <w:lvl w:ilvl="0">
      <w:start w:val="1"/>
      <w:numFmt w:val="bullet"/>
      <w:lvlText w:val="•"/>
      <w:lvlJc w:val="left"/>
      <w:pPr>
        <w:tabs>
          <w:tab w:val="num" w:pos="520"/>
        </w:tabs>
        <w:ind w:left="520" w:hanging="520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040"/>
        </w:tabs>
        <w:ind w:left="1040" w:hanging="520"/>
      </w:pPr>
      <w:rPr>
        <w:rFonts w:ascii="Times New Roman" w:hAnsi="Times New Roman" w:cs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560"/>
        </w:tabs>
        <w:ind w:left="1560" w:hanging="52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3C61A81"/>
    <w:multiLevelType w:val="hybridMultilevel"/>
    <w:tmpl w:val="F230CC7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40C8B"/>
    <w:multiLevelType w:val="multilevel"/>
    <w:tmpl w:val="216A4870"/>
    <w:lvl w:ilvl="0">
      <w:start w:val="1"/>
      <w:numFmt w:val="bullet"/>
      <w:lvlText w:val="•"/>
      <w:lvlJc w:val="left"/>
      <w:pPr>
        <w:tabs>
          <w:tab w:val="num" w:pos="520"/>
        </w:tabs>
        <w:ind w:left="520" w:hanging="52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bullet"/>
      <w:lvlText w:val="–"/>
      <w:lvlJc w:val="left"/>
      <w:pPr>
        <w:tabs>
          <w:tab w:val="num" w:pos="1040"/>
        </w:tabs>
        <w:ind w:left="1040" w:hanging="520"/>
      </w:pPr>
      <w:rPr>
        <w:rFonts w:ascii="Times New Roman" w:hAnsi="Times New Roman" w:cs="Times New Roman"/>
        <w:b w:val="0"/>
        <w:i w:val="0"/>
      </w:rPr>
    </w:lvl>
    <w:lvl w:ilvl="2">
      <w:start w:val="1"/>
      <w:numFmt w:val="bullet"/>
      <w:lvlText w:val=":"/>
      <w:lvlJc w:val="left"/>
      <w:pPr>
        <w:tabs>
          <w:tab w:val="num" w:pos="1560"/>
        </w:tabs>
        <w:ind w:left="1560" w:hanging="520"/>
      </w:pPr>
      <w:rPr>
        <w:rFonts w:ascii="Times New Roman" w:hAnsi="Times New Roman" w:cs="Times New Roman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b w:val="0"/>
        <w:i w:val="0"/>
      </w:rPr>
    </w:lvl>
  </w:abstractNum>
  <w:abstractNum w:abstractNumId="8">
    <w:nsid w:val="29E277D2"/>
    <w:multiLevelType w:val="hybridMultilevel"/>
    <w:tmpl w:val="0F8A750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3A683E"/>
    <w:multiLevelType w:val="hybridMultilevel"/>
    <w:tmpl w:val="DC3EDDB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D15EBB"/>
    <w:multiLevelType w:val="hybridMultilevel"/>
    <w:tmpl w:val="103C54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482323"/>
    <w:multiLevelType w:val="hybridMultilevel"/>
    <w:tmpl w:val="450A259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074816"/>
    <w:multiLevelType w:val="hybridMultilevel"/>
    <w:tmpl w:val="84C60E3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6BD3AA9"/>
    <w:multiLevelType w:val="hybridMultilevel"/>
    <w:tmpl w:val="4B72B27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8311F1"/>
    <w:multiLevelType w:val="hybridMultilevel"/>
    <w:tmpl w:val="EF7E49F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4D7209"/>
    <w:multiLevelType w:val="hybridMultilevel"/>
    <w:tmpl w:val="2866345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D76149"/>
    <w:multiLevelType w:val="hybridMultilevel"/>
    <w:tmpl w:val="E7CC1F6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  <w:num w:numId="11">
    <w:abstractNumId w:val="12"/>
  </w:num>
  <w:num w:numId="12">
    <w:abstractNumId w:val="11"/>
  </w:num>
  <w:num w:numId="13">
    <w:abstractNumId w:val="9"/>
  </w:num>
  <w:num w:numId="14">
    <w:abstractNumId w:val="12"/>
  </w:num>
  <w:num w:numId="15">
    <w:abstractNumId w:val="11"/>
  </w:num>
  <w:num w:numId="16">
    <w:abstractNumId w:val="15"/>
  </w:num>
  <w:num w:numId="17">
    <w:abstractNumId w:val="2"/>
  </w:num>
  <w:num w:numId="18">
    <w:abstractNumId w:val="8"/>
  </w:num>
  <w:num w:numId="19">
    <w:abstractNumId w:val="13"/>
  </w:num>
  <w:num w:numId="20">
    <w:abstractNumId w:val="3"/>
  </w:num>
  <w:num w:numId="21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4"/>
  </w:num>
  <w:num w:numId="24">
    <w:abstractNumId w:val="0"/>
  </w:num>
  <w:num w:numId="25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olff, Ann-Maree (RTA)">
    <w15:presenceInfo w15:providerId="AD" w15:userId="S-1-5-21-1659004503-2049760794-839522115-566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20"/>
  <w:characterSpacingControl w:val="doNotCompress"/>
  <w:hdrShapeDefaults>
    <o:shapedefaults v:ext="edit" spidmax="696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C73"/>
    <w:rsid w:val="00017247"/>
    <w:rsid w:val="000645D3"/>
    <w:rsid w:val="000735E9"/>
    <w:rsid w:val="000823CC"/>
    <w:rsid w:val="00085B95"/>
    <w:rsid w:val="00094214"/>
    <w:rsid w:val="000A1C60"/>
    <w:rsid w:val="000A5086"/>
    <w:rsid w:val="000C1DB1"/>
    <w:rsid w:val="000C4BA5"/>
    <w:rsid w:val="000E07A0"/>
    <w:rsid w:val="001010C1"/>
    <w:rsid w:val="0010796B"/>
    <w:rsid w:val="001473B3"/>
    <w:rsid w:val="001639DA"/>
    <w:rsid w:val="00181BBB"/>
    <w:rsid w:val="00184E92"/>
    <w:rsid w:val="00192734"/>
    <w:rsid w:val="001A5F7D"/>
    <w:rsid w:val="001A649A"/>
    <w:rsid w:val="001F55B5"/>
    <w:rsid w:val="001F5CCA"/>
    <w:rsid w:val="001F7CC8"/>
    <w:rsid w:val="00200465"/>
    <w:rsid w:val="0020238A"/>
    <w:rsid w:val="002256FA"/>
    <w:rsid w:val="00227A66"/>
    <w:rsid w:val="002700A7"/>
    <w:rsid w:val="002957A0"/>
    <w:rsid w:val="002A2827"/>
    <w:rsid w:val="002B3B38"/>
    <w:rsid w:val="002B61FE"/>
    <w:rsid w:val="002C7DA6"/>
    <w:rsid w:val="002F0065"/>
    <w:rsid w:val="002F1EE3"/>
    <w:rsid w:val="00311917"/>
    <w:rsid w:val="00314F9B"/>
    <w:rsid w:val="00315E92"/>
    <w:rsid w:val="0032706C"/>
    <w:rsid w:val="0035507D"/>
    <w:rsid w:val="00355336"/>
    <w:rsid w:val="00361BA6"/>
    <w:rsid w:val="003A0D45"/>
    <w:rsid w:val="003A2D24"/>
    <w:rsid w:val="003A3120"/>
    <w:rsid w:val="003A3ECE"/>
    <w:rsid w:val="003B0F25"/>
    <w:rsid w:val="003B6132"/>
    <w:rsid w:val="003B6D2D"/>
    <w:rsid w:val="004021EC"/>
    <w:rsid w:val="00406A9F"/>
    <w:rsid w:val="0043294F"/>
    <w:rsid w:val="00434EA4"/>
    <w:rsid w:val="00451FFC"/>
    <w:rsid w:val="00456EF6"/>
    <w:rsid w:val="0046080E"/>
    <w:rsid w:val="004625A8"/>
    <w:rsid w:val="00481676"/>
    <w:rsid w:val="004A55E2"/>
    <w:rsid w:val="004A7EC7"/>
    <w:rsid w:val="004B3A51"/>
    <w:rsid w:val="004B43F2"/>
    <w:rsid w:val="004E1C6B"/>
    <w:rsid w:val="004F02A5"/>
    <w:rsid w:val="004F4771"/>
    <w:rsid w:val="004F5738"/>
    <w:rsid w:val="00507698"/>
    <w:rsid w:val="00510175"/>
    <w:rsid w:val="00512598"/>
    <w:rsid w:val="00512F57"/>
    <w:rsid w:val="00517E28"/>
    <w:rsid w:val="00546C73"/>
    <w:rsid w:val="00570C36"/>
    <w:rsid w:val="005826BB"/>
    <w:rsid w:val="005A40E0"/>
    <w:rsid w:val="005A720B"/>
    <w:rsid w:val="005B32D7"/>
    <w:rsid w:val="005E5E91"/>
    <w:rsid w:val="00607026"/>
    <w:rsid w:val="00607337"/>
    <w:rsid w:val="006075E6"/>
    <w:rsid w:val="00611C1E"/>
    <w:rsid w:val="00625711"/>
    <w:rsid w:val="006267A4"/>
    <w:rsid w:val="006272D6"/>
    <w:rsid w:val="006323D5"/>
    <w:rsid w:val="006404BD"/>
    <w:rsid w:val="00652B10"/>
    <w:rsid w:val="006559FC"/>
    <w:rsid w:val="00656D54"/>
    <w:rsid w:val="00657B86"/>
    <w:rsid w:val="0069382A"/>
    <w:rsid w:val="006D34AD"/>
    <w:rsid w:val="006D7574"/>
    <w:rsid w:val="006E468E"/>
    <w:rsid w:val="006F6ECE"/>
    <w:rsid w:val="00704189"/>
    <w:rsid w:val="00725456"/>
    <w:rsid w:val="007344DB"/>
    <w:rsid w:val="0075475D"/>
    <w:rsid w:val="007716EE"/>
    <w:rsid w:val="0079575C"/>
    <w:rsid w:val="007A0342"/>
    <w:rsid w:val="007A2A0D"/>
    <w:rsid w:val="007C1863"/>
    <w:rsid w:val="007C292E"/>
    <w:rsid w:val="007D5EC6"/>
    <w:rsid w:val="007E3DAC"/>
    <w:rsid w:val="00804A43"/>
    <w:rsid w:val="00816A9E"/>
    <w:rsid w:val="00825BE5"/>
    <w:rsid w:val="00856C1E"/>
    <w:rsid w:val="00890E88"/>
    <w:rsid w:val="008A62C5"/>
    <w:rsid w:val="008A7F58"/>
    <w:rsid w:val="008B7BFB"/>
    <w:rsid w:val="008C1047"/>
    <w:rsid w:val="008E4B74"/>
    <w:rsid w:val="008E4DB5"/>
    <w:rsid w:val="00916BE1"/>
    <w:rsid w:val="00936A8A"/>
    <w:rsid w:val="0098044C"/>
    <w:rsid w:val="0098345D"/>
    <w:rsid w:val="00984523"/>
    <w:rsid w:val="00986BE1"/>
    <w:rsid w:val="009A22E1"/>
    <w:rsid w:val="009B6356"/>
    <w:rsid w:val="009C2011"/>
    <w:rsid w:val="009C34AE"/>
    <w:rsid w:val="009D7CEF"/>
    <w:rsid w:val="00A04CDC"/>
    <w:rsid w:val="00A157F6"/>
    <w:rsid w:val="00A16F02"/>
    <w:rsid w:val="00A53417"/>
    <w:rsid w:val="00A56C59"/>
    <w:rsid w:val="00A57864"/>
    <w:rsid w:val="00A610B7"/>
    <w:rsid w:val="00A66EA5"/>
    <w:rsid w:val="00A85182"/>
    <w:rsid w:val="00AC48ED"/>
    <w:rsid w:val="00AD30CB"/>
    <w:rsid w:val="00AE6764"/>
    <w:rsid w:val="00AE6AF4"/>
    <w:rsid w:val="00B0301E"/>
    <w:rsid w:val="00B10341"/>
    <w:rsid w:val="00B23813"/>
    <w:rsid w:val="00B37A1B"/>
    <w:rsid w:val="00B37CE1"/>
    <w:rsid w:val="00B43F70"/>
    <w:rsid w:val="00B55260"/>
    <w:rsid w:val="00B750F2"/>
    <w:rsid w:val="00B75AA8"/>
    <w:rsid w:val="00B85592"/>
    <w:rsid w:val="00B95A8D"/>
    <w:rsid w:val="00BA1119"/>
    <w:rsid w:val="00BB3EEC"/>
    <w:rsid w:val="00BD2FF3"/>
    <w:rsid w:val="00BE3509"/>
    <w:rsid w:val="00BF5B26"/>
    <w:rsid w:val="00C274F4"/>
    <w:rsid w:val="00C27D65"/>
    <w:rsid w:val="00C3061A"/>
    <w:rsid w:val="00C476BB"/>
    <w:rsid w:val="00C63642"/>
    <w:rsid w:val="00C805BB"/>
    <w:rsid w:val="00C9759C"/>
    <w:rsid w:val="00CC34BD"/>
    <w:rsid w:val="00CC64E1"/>
    <w:rsid w:val="00CE3836"/>
    <w:rsid w:val="00CE7F7E"/>
    <w:rsid w:val="00D12DCE"/>
    <w:rsid w:val="00D20D73"/>
    <w:rsid w:val="00D231C0"/>
    <w:rsid w:val="00D24CCF"/>
    <w:rsid w:val="00D258DC"/>
    <w:rsid w:val="00D27924"/>
    <w:rsid w:val="00D65CF2"/>
    <w:rsid w:val="00D9250B"/>
    <w:rsid w:val="00DA6F58"/>
    <w:rsid w:val="00DC3233"/>
    <w:rsid w:val="00DD348D"/>
    <w:rsid w:val="00DD4393"/>
    <w:rsid w:val="00DE77A2"/>
    <w:rsid w:val="00DF5DE8"/>
    <w:rsid w:val="00E01ACA"/>
    <w:rsid w:val="00E055F3"/>
    <w:rsid w:val="00E111A3"/>
    <w:rsid w:val="00E353D9"/>
    <w:rsid w:val="00E519BC"/>
    <w:rsid w:val="00E80EC5"/>
    <w:rsid w:val="00EA3310"/>
    <w:rsid w:val="00EA547D"/>
    <w:rsid w:val="00EA62C5"/>
    <w:rsid w:val="00EB2CB9"/>
    <w:rsid w:val="00EB42FC"/>
    <w:rsid w:val="00EB716A"/>
    <w:rsid w:val="00EF48F9"/>
    <w:rsid w:val="00EF6CC0"/>
    <w:rsid w:val="00F04C9A"/>
    <w:rsid w:val="00F23171"/>
    <w:rsid w:val="00F26BBC"/>
    <w:rsid w:val="00F4305B"/>
    <w:rsid w:val="00F4394C"/>
    <w:rsid w:val="00F66270"/>
    <w:rsid w:val="00F662D6"/>
    <w:rsid w:val="00F731B6"/>
    <w:rsid w:val="00F74106"/>
    <w:rsid w:val="00F8521D"/>
    <w:rsid w:val="00FA14A0"/>
    <w:rsid w:val="00FA777B"/>
    <w:rsid w:val="00FC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1226EC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6FA"/>
    <w:pPr>
      <w:spacing w:before="120" w:after="120" w:line="240" w:lineRule="auto"/>
    </w:pPr>
    <w:rPr>
      <w:rFonts w:ascii="Calibri Light" w:hAnsi="Calibri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56FA"/>
    <w:pPr>
      <w:outlineLvl w:val="0"/>
    </w:pPr>
    <w:rPr>
      <w:rFonts w:ascii="Segoe UI Light" w:hAnsi="Segoe UI Light"/>
      <w:b/>
      <w:color w:val="FFFFFF" w:themeColor="background1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56FA"/>
    <w:pPr>
      <w:outlineLvl w:val="1"/>
    </w:pPr>
    <w:rPr>
      <w:rFonts w:ascii="Segoe UI Light" w:hAnsi="Segoe UI Light"/>
      <w:b/>
      <w:color w:val="1F497D" w:themeColor="text2"/>
      <w:sz w:val="40"/>
      <w:szCs w:val="4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E77A2"/>
    <w:pPr>
      <w:keepNext/>
      <w:spacing w:before="240"/>
      <w:ind w:firstLine="357"/>
      <w:outlineLvl w:val="2"/>
    </w:pPr>
    <w:rPr>
      <w:color w:val="8FBCE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507D"/>
    <w:rPr>
      <w:color w:val="1F497D" w:themeColor="text2"/>
      <w:u w:val="single"/>
    </w:rPr>
  </w:style>
  <w:style w:type="paragraph" w:styleId="ListParagraph">
    <w:name w:val="List Paragraph"/>
    <w:basedOn w:val="Normal"/>
    <w:uiPriority w:val="34"/>
    <w:qFormat/>
    <w:rsid w:val="002256FA"/>
    <w:pPr>
      <w:numPr>
        <w:numId w:val="10"/>
      </w:numPr>
      <w:spacing w:after="0"/>
    </w:pPr>
    <w:rPr>
      <w:rFonts w:cs="Times New Roman"/>
    </w:rPr>
  </w:style>
  <w:style w:type="character" w:customStyle="1" w:styleId="BulletChar">
    <w:name w:val="Bullet Char"/>
    <w:aliases w:val="b Char,b + line Char Char,b Char Char,b1 Char,b + line Char,Body Char,level 1 Char"/>
    <w:basedOn w:val="DefaultParagraphFont"/>
    <w:link w:val="Bullet"/>
    <w:locked/>
    <w:rsid w:val="000E07A0"/>
    <w:rPr>
      <w:rFonts w:ascii="Calibri Light" w:hAnsi="Calibri Light"/>
    </w:rPr>
  </w:style>
  <w:style w:type="paragraph" w:customStyle="1" w:styleId="Bullet">
    <w:name w:val="Bullet"/>
    <w:aliases w:val="b,b + line,b1,Body,level 1"/>
    <w:basedOn w:val="Normal"/>
    <w:link w:val="BulletChar"/>
    <w:qFormat/>
    <w:rsid w:val="000E07A0"/>
    <w:pPr>
      <w:numPr>
        <w:numId w:val="6"/>
      </w:numPr>
    </w:pPr>
  </w:style>
  <w:style w:type="paragraph" w:customStyle="1" w:styleId="Dash">
    <w:name w:val="Dash"/>
    <w:basedOn w:val="Normal"/>
    <w:rsid w:val="0098345D"/>
    <w:pPr>
      <w:numPr>
        <w:ilvl w:val="1"/>
        <w:numId w:val="1"/>
      </w:numPr>
    </w:pPr>
    <w:rPr>
      <w:rFonts w:ascii="Calibri" w:hAnsi="Calibri" w:cs="Times New Roman"/>
    </w:rPr>
  </w:style>
  <w:style w:type="paragraph" w:customStyle="1" w:styleId="DoubleDot">
    <w:name w:val="Double Dot"/>
    <w:basedOn w:val="Normal"/>
    <w:rsid w:val="0098345D"/>
    <w:pPr>
      <w:numPr>
        <w:ilvl w:val="2"/>
        <w:numId w:val="1"/>
      </w:numPr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E07A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E07A0"/>
  </w:style>
  <w:style w:type="paragraph" w:styleId="Footer">
    <w:name w:val="footer"/>
    <w:basedOn w:val="Normal"/>
    <w:link w:val="FooterChar"/>
    <w:uiPriority w:val="99"/>
    <w:unhideWhenUsed/>
    <w:rsid w:val="000E07A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E07A0"/>
  </w:style>
  <w:style w:type="paragraph" w:styleId="BalloonText">
    <w:name w:val="Balloon Text"/>
    <w:basedOn w:val="Normal"/>
    <w:link w:val="BalloonTextChar"/>
    <w:uiPriority w:val="99"/>
    <w:semiHidden/>
    <w:unhideWhenUsed/>
    <w:rsid w:val="000E07A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7A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56FA"/>
    <w:rPr>
      <w:rFonts w:ascii="Segoe UI Light" w:hAnsi="Segoe UI Light"/>
      <w:b/>
      <w:color w:val="FFFFFF" w:themeColor="background1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256FA"/>
    <w:rPr>
      <w:rFonts w:ascii="Segoe UI Light" w:hAnsi="Segoe UI Light"/>
      <w:b/>
      <w:color w:val="1F497D" w:themeColor="text2"/>
      <w:sz w:val="40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E77A2"/>
    <w:rPr>
      <w:rFonts w:ascii="Segoe UI Light" w:hAnsi="Segoe UI Light"/>
      <w:color w:val="8FBCE2"/>
      <w:sz w:val="40"/>
      <w:szCs w:val="48"/>
    </w:rPr>
  </w:style>
  <w:style w:type="table" w:styleId="TableGrid">
    <w:name w:val="Table Grid"/>
    <w:basedOn w:val="TableNormal"/>
    <w:uiPriority w:val="59"/>
    <w:rsid w:val="004A7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D5E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E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EC6"/>
    <w:rPr>
      <w:rFonts w:ascii="Calibri Light" w:hAnsi="Calibri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E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EC6"/>
    <w:rPr>
      <w:rFonts w:ascii="Calibri Light" w:hAnsi="Calibri Light"/>
      <w:b/>
      <w:bCs/>
      <w:sz w:val="20"/>
      <w:szCs w:val="20"/>
    </w:rPr>
  </w:style>
  <w:style w:type="paragraph" w:customStyle="1" w:styleId="Default">
    <w:name w:val="Default"/>
    <w:rsid w:val="009804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OutlineNumbered1">
    <w:name w:val="Outline Numbered 1"/>
    <w:basedOn w:val="Normal"/>
    <w:link w:val="OutlineNumbered1Char"/>
    <w:rsid w:val="00BF5B26"/>
    <w:pPr>
      <w:numPr>
        <w:numId w:val="20"/>
      </w:numPr>
      <w:spacing w:before="0" w:after="240"/>
    </w:pPr>
    <w:rPr>
      <w:rFonts w:ascii="Calibri" w:eastAsia="Times New Roman" w:hAnsi="Calibri" w:cs="Calibri"/>
      <w:sz w:val="24"/>
      <w:szCs w:val="24"/>
      <w:lang w:eastAsia="en-AU"/>
    </w:rPr>
  </w:style>
  <w:style w:type="character" w:customStyle="1" w:styleId="OutlineNumbered1Char">
    <w:name w:val="Outline Numbered 1 Char"/>
    <w:basedOn w:val="DefaultParagraphFont"/>
    <w:link w:val="OutlineNumbered1"/>
    <w:rsid w:val="00BF5B26"/>
    <w:rPr>
      <w:rFonts w:ascii="Calibri" w:eastAsia="Times New Roman" w:hAnsi="Calibri" w:cs="Calibri"/>
      <w:sz w:val="24"/>
      <w:szCs w:val="24"/>
      <w:lang w:eastAsia="en-AU"/>
    </w:rPr>
  </w:style>
  <w:style w:type="paragraph" w:customStyle="1" w:styleId="OutlineNumbered2">
    <w:name w:val="Outline Numbered 2"/>
    <w:basedOn w:val="Normal"/>
    <w:link w:val="OutlineNumbered2Char"/>
    <w:rsid w:val="00BF5B26"/>
    <w:pPr>
      <w:numPr>
        <w:ilvl w:val="1"/>
        <w:numId w:val="20"/>
      </w:numPr>
      <w:spacing w:before="0" w:after="240"/>
    </w:pPr>
    <w:rPr>
      <w:rFonts w:ascii="Calibri" w:eastAsia="Times New Roman" w:hAnsi="Calibri" w:cs="Calibri"/>
      <w:sz w:val="24"/>
      <w:szCs w:val="24"/>
      <w:lang w:eastAsia="en-AU"/>
    </w:rPr>
  </w:style>
  <w:style w:type="paragraph" w:customStyle="1" w:styleId="OutlineNumbered3">
    <w:name w:val="Outline Numbered 3"/>
    <w:basedOn w:val="Normal"/>
    <w:link w:val="OutlineNumbered3Char"/>
    <w:rsid w:val="00BF5B26"/>
    <w:pPr>
      <w:numPr>
        <w:ilvl w:val="2"/>
        <w:numId w:val="20"/>
      </w:numPr>
      <w:spacing w:before="0" w:after="240"/>
    </w:pPr>
    <w:rPr>
      <w:rFonts w:ascii="Calibri" w:eastAsia="Times New Roman" w:hAnsi="Calibri" w:cs="Calibri"/>
      <w:sz w:val="24"/>
      <w:szCs w:val="24"/>
      <w:lang w:eastAsia="en-AU"/>
    </w:rPr>
  </w:style>
  <w:style w:type="character" w:customStyle="1" w:styleId="OutlineNumbered2Char">
    <w:name w:val="Outline Numbered 2 Char"/>
    <w:basedOn w:val="DefaultParagraphFont"/>
    <w:link w:val="OutlineNumbered2"/>
    <w:rsid w:val="005826BB"/>
    <w:rPr>
      <w:rFonts w:ascii="Calibri" w:eastAsia="Times New Roman" w:hAnsi="Calibri" w:cs="Calibri"/>
      <w:sz w:val="24"/>
      <w:szCs w:val="24"/>
      <w:lang w:eastAsia="en-AU"/>
    </w:rPr>
  </w:style>
  <w:style w:type="character" w:customStyle="1" w:styleId="OutlineNumbered3Char">
    <w:name w:val="Outline Numbered 3 Char"/>
    <w:basedOn w:val="DefaultParagraphFont"/>
    <w:link w:val="OutlineNumbered3"/>
    <w:rsid w:val="005826BB"/>
    <w:rPr>
      <w:rFonts w:ascii="Calibri" w:eastAsia="Times New Roman" w:hAnsi="Calibri" w:cs="Calibri"/>
      <w:sz w:val="24"/>
      <w:szCs w:val="24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2598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2598"/>
    <w:rPr>
      <w:rFonts w:ascii="Calibri Light" w:hAnsi="Calibri Light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259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14F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6FA"/>
    <w:pPr>
      <w:spacing w:before="120" w:after="120" w:line="240" w:lineRule="auto"/>
    </w:pPr>
    <w:rPr>
      <w:rFonts w:ascii="Calibri Light" w:hAnsi="Calibri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56FA"/>
    <w:pPr>
      <w:outlineLvl w:val="0"/>
    </w:pPr>
    <w:rPr>
      <w:rFonts w:ascii="Segoe UI Light" w:hAnsi="Segoe UI Light"/>
      <w:b/>
      <w:color w:val="FFFFFF" w:themeColor="background1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56FA"/>
    <w:pPr>
      <w:outlineLvl w:val="1"/>
    </w:pPr>
    <w:rPr>
      <w:rFonts w:ascii="Segoe UI Light" w:hAnsi="Segoe UI Light"/>
      <w:b/>
      <w:color w:val="1F497D" w:themeColor="text2"/>
      <w:sz w:val="40"/>
      <w:szCs w:val="4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E77A2"/>
    <w:pPr>
      <w:keepNext/>
      <w:spacing w:before="240"/>
      <w:ind w:firstLine="357"/>
      <w:outlineLvl w:val="2"/>
    </w:pPr>
    <w:rPr>
      <w:color w:val="8FBCE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507D"/>
    <w:rPr>
      <w:color w:val="1F497D" w:themeColor="text2"/>
      <w:u w:val="single"/>
    </w:rPr>
  </w:style>
  <w:style w:type="paragraph" w:styleId="ListParagraph">
    <w:name w:val="List Paragraph"/>
    <w:basedOn w:val="Normal"/>
    <w:uiPriority w:val="34"/>
    <w:qFormat/>
    <w:rsid w:val="002256FA"/>
    <w:pPr>
      <w:numPr>
        <w:numId w:val="10"/>
      </w:numPr>
      <w:spacing w:after="0"/>
    </w:pPr>
    <w:rPr>
      <w:rFonts w:cs="Times New Roman"/>
    </w:rPr>
  </w:style>
  <w:style w:type="character" w:customStyle="1" w:styleId="BulletChar">
    <w:name w:val="Bullet Char"/>
    <w:aliases w:val="b Char,b + line Char Char,b Char Char,b1 Char,b + line Char,Body Char,level 1 Char"/>
    <w:basedOn w:val="DefaultParagraphFont"/>
    <w:link w:val="Bullet"/>
    <w:locked/>
    <w:rsid w:val="000E07A0"/>
    <w:rPr>
      <w:rFonts w:ascii="Calibri Light" w:hAnsi="Calibri Light"/>
    </w:rPr>
  </w:style>
  <w:style w:type="paragraph" w:customStyle="1" w:styleId="Bullet">
    <w:name w:val="Bullet"/>
    <w:aliases w:val="b,b + line,b1,Body,level 1"/>
    <w:basedOn w:val="Normal"/>
    <w:link w:val="BulletChar"/>
    <w:qFormat/>
    <w:rsid w:val="000E07A0"/>
    <w:pPr>
      <w:numPr>
        <w:numId w:val="6"/>
      </w:numPr>
    </w:pPr>
  </w:style>
  <w:style w:type="paragraph" w:customStyle="1" w:styleId="Dash">
    <w:name w:val="Dash"/>
    <w:basedOn w:val="Normal"/>
    <w:rsid w:val="0098345D"/>
    <w:pPr>
      <w:numPr>
        <w:ilvl w:val="1"/>
        <w:numId w:val="1"/>
      </w:numPr>
    </w:pPr>
    <w:rPr>
      <w:rFonts w:ascii="Calibri" w:hAnsi="Calibri" w:cs="Times New Roman"/>
    </w:rPr>
  </w:style>
  <w:style w:type="paragraph" w:customStyle="1" w:styleId="DoubleDot">
    <w:name w:val="Double Dot"/>
    <w:basedOn w:val="Normal"/>
    <w:rsid w:val="0098345D"/>
    <w:pPr>
      <w:numPr>
        <w:ilvl w:val="2"/>
        <w:numId w:val="1"/>
      </w:numPr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E07A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E07A0"/>
  </w:style>
  <w:style w:type="paragraph" w:styleId="Footer">
    <w:name w:val="footer"/>
    <w:basedOn w:val="Normal"/>
    <w:link w:val="FooterChar"/>
    <w:uiPriority w:val="99"/>
    <w:unhideWhenUsed/>
    <w:rsid w:val="000E07A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E07A0"/>
  </w:style>
  <w:style w:type="paragraph" w:styleId="BalloonText">
    <w:name w:val="Balloon Text"/>
    <w:basedOn w:val="Normal"/>
    <w:link w:val="BalloonTextChar"/>
    <w:uiPriority w:val="99"/>
    <w:semiHidden/>
    <w:unhideWhenUsed/>
    <w:rsid w:val="000E07A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7A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56FA"/>
    <w:rPr>
      <w:rFonts w:ascii="Segoe UI Light" w:hAnsi="Segoe UI Light"/>
      <w:b/>
      <w:color w:val="FFFFFF" w:themeColor="background1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256FA"/>
    <w:rPr>
      <w:rFonts w:ascii="Segoe UI Light" w:hAnsi="Segoe UI Light"/>
      <w:b/>
      <w:color w:val="1F497D" w:themeColor="text2"/>
      <w:sz w:val="40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E77A2"/>
    <w:rPr>
      <w:rFonts w:ascii="Segoe UI Light" w:hAnsi="Segoe UI Light"/>
      <w:color w:val="8FBCE2"/>
      <w:sz w:val="40"/>
      <w:szCs w:val="48"/>
    </w:rPr>
  </w:style>
  <w:style w:type="table" w:styleId="TableGrid">
    <w:name w:val="Table Grid"/>
    <w:basedOn w:val="TableNormal"/>
    <w:uiPriority w:val="59"/>
    <w:rsid w:val="004A7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D5E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E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EC6"/>
    <w:rPr>
      <w:rFonts w:ascii="Calibri Light" w:hAnsi="Calibri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E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EC6"/>
    <w:rPr>
      <w:rFonts w:ascii="Calibri Light" w:hAnsi="Calibri Light"/>
      <w:b/>
      <w:bCs/>
      <w:sz w:val="20"/>
      <w:szCs w:val="20"/>
    </w:rPr>
  </w:style>
  <w:style w:type="paragraph" w:customStyle="1" w:styleId="Default">
    <w:name w:val="Default"/>
    <w:rsid w:val="009804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OutlineNumbered1">
    <w:name w:val="Outline Numbered 1"/>
    <w:basedOn w:val="Normal"/>
    <w:link w:val="OutlineNumbered1Char"/>
    <w:rsid w:val="00BF5B26"/>
    <w:pPr>
      <w:numPr>
        <w:numId w:val="20"/>
      </w:numPr>
      <w:spacing w:before="0" w:after="240"/>
    </w:pPr>
    <w:rPr>
      <w:rFonts w:ascii="Calibri" w:eastAsia="Times New Roman" w:hAnsi="Calibri" w:cs="Calibri"/>
      <w:sz w:val="24"/>
      <w:szCs w:val="24"/>
      <w:lang w:eastAsia="en-AU"/>
    </w:rPr>
  </w:style>
  <w:style w:type="character" w:customStyle="1" w:styleId="OutlineNumbered1Char">
    <w:name w:val="Outline Numbered 1 Char"/>
    <w:basedOn w:val="DefaultParagraphFont"/>
    <w:link w:val="OutlineNumbered1"/>
    <w:rsid w:val="00BF5B26"/>
    <w:rPr>
      <w:rFonts w:ascii="Calibri" w:eastAsia="Times New Roman" w:hAnsi="Calibri" w:cs="Calibri"/>
      <w:sz w:val="24"/>
      <w:szCs w:val="24"/>
      <w:lang w:eastAsia="en-AU"/>
    </w:rPr>
  </w:style>
  <w:style w:type="paragraph" w:customStyle="1" w:styleId="OutlineNumbered2">
    <w:name w:val="Outline Numbered 2"/>
    <w:basedOn w:val="Normal"/>
    <w:link w:val="OutlineNumbered2Char"/>
    <w:rsid w:val="00BF5B26"/>
    <w:pPr>
      <w:numPr>
        <w:ilvl w:val="1"/>
        <w:numId w:val="20"/>
      </w:numPr>
      <w:spacing w:before="0" w:after="240"/>
    </w:pPr>
    <w:rPr>
      <w:rFonts w:ascii="Calibri" w:eastAsia="Times New Roman" w:hAnsi="Calibri" w:cs="Calibri"/>
      <w:sz w:val="24"/>
      <w:szCs w:val="24"/>
      <w:lang w:eastAsia="en-AU"/>
    </w:rPr>
  </w:style>
  <w:style w:type="paragraph" w:customStyle="1" w:styleId="OutlineNumbered3">
    <w:name w:val="Outline Numbered 3"/>
    <w:basedOn w:val="Normal"/>
    <w:link w:val="OutlineNumbered3Char"/>
    <w:rsid w:val="00BF5B26"/>
    <w:pPr>
      <w:numPr>
        <w:ilvl w:val="2"/>
        <w:numId w:val="20"/>
      </w:numPr>
      <w:spacing w:before="0" w:after="240"/>
    </w:pPr>
    <w:rPr>
      <w:rFonts w:ascii="Calibri" w:eastAsia="Times New Roman" w:hAnsi="Calibri" w:cs="Calibri"/>
      <w:sz w:val="24"/>
      <w:szCs w:val="24"/>
      <w:lang w:eastAsia="en-AU"/>
    </w:rPr>
  </w:style>
  <w:style w:type="character" w:customStyle="1" w:styleId="OutlineNumbered2Char">
    <w:name w:val="Outline Numbered 2 Char"/>
    <w:basedOn w:val="DefaultParagraphFont"/>
    <w:link w:val="OutlineNumbered2"/>
    <w:rsid w:val="005826BB"/>
    <w:rPr>
      <w:rFonts w:ascii="Calibri" w:eastAsia="Times New Roman" w:hAnsi="Calibri" w:cs="Calibri"/>
      <w:sz w:val="24"/>
      <w:szCs w:val="24"/>
      <w:lang w:eastAsia="en-AU"/>
    </w:rPr>
  </w:style>
  <w:style w:type="character" w:customStyle="1" w:styleId="OutlineNumbered3Char">
    <w:name w:val="Outline Numbered 3 Char"/>
    <w:basedOn w:val="DefaultParagraphFont"/>
    <w:link w:val="OutlineNumbered3"/>
    <w:rsid w:val="005826BB"/>
    <w:rPr>
      <w:rFonts w:ascii="Calibri" w:eastAsia="Times New Roman" w:hAnsi="Calibri" w:cs="Calibri"/>
      <w:sz w:val="24"/>
      <w:szCs w:val="24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2598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2598"/>
    <w:rPr>
      <w:rFonts w:ascii="Calibri Light" w:hAnsi="Calibri Light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259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14F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9179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5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5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29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11920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399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576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023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279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090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693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230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5908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3682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http://taxboard.gov.au/publications-and-media/publication/" TargetMode="External"/><Relationship Id="rId26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taxboard.gov.au/" TargetMode="Externa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http://kmo.ministers.treasury.gov.au/media-release/014-2018/" TargetMode="External"/><Relationship Id="rId25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hyperlink" Target="http://taxboard.gov.au/consultation/tax-treatment-of-bare-trusts/" TargetMode="External"/><Relationship Id="rId20" Type="http://schemas.openxmlformats.org/officeDocument/2006/relationships/hyperlink" Target="mailto:karen.payne@treasury.gov.au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taxboard.ideascale.com/" TargetMode="External"/><Relationship Id="rId23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hyperlink" Target="mailto:taxboard@treasury.gov.au" TargetMode="Externa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g"/><Relationship Id="rId22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Treasury\Workgroup%20Templates\Tax%20Board\Board%20of%20Taxation%20CEO%20Upd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6BB8DE7EC542E42A8B2E98CC20CB697|1757814118" UniqueId="eb9354fb-4177-4e01-8c43-989761893d04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508a4dc5e84436a0fe496b536466aa xmlns="9f7bc583-7cbe-45b9-a2bd-8bbb6543b3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GRA26-21135 - Retain as national archives</TermName>
          <TermId xmlns="http://schemas.microsoft.com/office/infopath/2007/PartnerControls">f1e1d764-3604-4ca6-bc54-6b106e291d6f</TermId>
        </TermInfo>
      </Terms>
    </lb508a4dc5e84436a0fe496b536466aa>
    <IconOverlay xmlns="http://schemas.microsoft.com/sharepoint/v4" xsi:nil="true"/>
    <TaxCatchAll xmlns="9f7bc583-7cbe-45b9-a2bd-8bbb6543b37e">
      <Value>18</Value>
    </TaxCatchAll>
    <_dlc_DocId xmlns="9f7bc583-7cbe-45b9-a2bd-8bbb6543b37e">2018RG-356-7083</_dlc_DocId>
    <_dlc_DocIdUrl xmlns="9f7bc583-7cbe-45b9-a2bd-8bbb6543b37e">
      <Url>http://tweb/sites/rg/bots/boards/_layouts/15/DocIdRedir.aspx?ID=2018RG-356-7083</Url>
      <Description>2018RG-356-7083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6BB8DE7EC542E42A8B2E98CC20CB69700132942A41F818743B7FB7DAFB5B6D77B" ma:contentTypeVersion="9804" ma:contentTypeDescription="" ma:contentTypeScope="" ma:versionID="070a8548a3e5e7becb08ba0fa1257561">
  <xsd:schema xmlns:xsd="http://www.w3.org/2001/XMLSchema" xmlns:xs="http://www.w3.org/2001/XMLSchema" xmlns:p="http://schemas.microsoft.com/office/2006/metadata/properties" xmlns:ns1="http://schemas.microsoft.com/sharepoint/v3" xmlns:ns2="9f7bc583-7cbe-45b9-a2bd-8bbb6543b37e" xmlns:ns4="http://schemas.microsoft.com/sharepoint/v4" targetNamespace="http://schemas.microsoft.com/office/2006/metadata/properties" ma:root="true" ma:fieldsID="48ff628207e125b56f0638089dec2023" ns1:_="" ns2:_="" ns4:_="">
    <xsd:import namespace="http://schemas.microsoft.com/sharepoint/v3"/>
    <xsd:import namespace="9f7bc583-7cbe-45b9-a2bd-8bbb6543b37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lb508a4dc5e84436a0fe496b536466aa" minOccurs="0"/>
                <xsd:element ref="ns2:TaxCatchAll" minOccurs="0"/>
                <xsd:element ref="ns2:TaxCatchAllLabel" minOccurs="0"/>
                <xsd:element ref="ns1:_dlc_Exempt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bc583-7cbe-45b9-a2bd-8bbb6543b37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b508a4dc5e84436a0fe496b536466aa" ma:index="11" nillable="true" ma:taxonomy="true" ma:internalName="lb508a4dc5e84436a0fe496b536466aa" ma:taxonomyFieldName="TSYRecordClass" ma:displayName="Record Class" ma:readOnly="false" ma:default="18;#GRA26-21135 - Retain as national archives|f1e1d764-3604-4ca6-bc54-6b106e291d6f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5426e91-c895-42ba-91bf-fe5e23c4f0ec}" ma:internalName="TaxCatchAll" ma:showField="CatchAllData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5426e91-c895-42ba-91bf-fe5e23c4f0ec}" ma:internalName="TaxCatchAllLabel" ma:readOnly="true" ma:showField="CatchAllDataLabel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CAF67-321B-43C7-956C-0B2FE36873D1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235C64EF-D181-4A28-957B-FD3C6FB74E6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A204F58-9936-43C8-BCA0-589AD3836680}">
  <ds:schemaRefs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9f7bc583-7cbe-45b9-a2bd-8bbb6543b37e"/>
    <ds:schemaRef ds:uri="http://purl.org/dc/dcmitype/"/>
    <ds:schemaRef ds:uri="http://schemas.microsoft.com/sharepoint/v3"/>
    <ds:schemaRef ds:uri="http://schemas.microsoft.com/office/infopath/2007/PartnerControls"/>
    <ds:schemaRef ds:uri="http://schemas.microsoft.com/sharepoint/v4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C9142C4-C99B-4080-9FEB-79A50F79C8C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908A5EC-0CCA-453B-94F5-304A86820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f7bc583-7cbe-45b9-a2bd-8bbb6543b37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74C0FA3-CB38-4CE0-9A13-B01EE4CCC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Board of Taxation CEO Update.dotx</Template>
  <TotalTime>280</TotalTime>
  <Pages>3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 - The Treasury</Company>
  <LinksUpToDate>false</LinksUpToDate>
  <CharactersWithSpaces>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Foster, Lynda</dc:creator>
  <cp:lastModifiedBy>Atkinson, Paul</cp:lastModifiedBy>
  <cp:revision>26</cp:revision>
  <cp:lastPrinted>2018-03-08T01:17:00Z</cp:lastPrinted>
  <dcterms:created xsi:type="dcterms:W3CDTF">2018-02-19T01:51:00Z</dcterms:created>
  <dcterms:modified xsi:type="dcterms:W3CDTF">2018-03-15T23:42:00Z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0x01010036BB8DE7EC542E42A8B2E98CC20CB69700132942A41F818743B7FB7DAFB5B6D77B</vt:lpwstr>
  </property>
  <property fmtid="{D5CDD505-2E9C-101B-9397-08002B2CF9AE}" pid="3" name="TSYRecordClass">
    <vt:lpwstr>18;#GRA26-21135 - Retain as national archives|f1e1d764-3604-4ca6-bc54-6b106e291d6f</vt:lpwstr>
  </property>
  <property fmtid="{D5CDD505-2E9C-101B-9397-08002B2CF9AE}" pid="4" name="_dlc_DocIdItemGuid">
    <vt:lpwstr>e6abe802-fea5-4c37-a0bd-0f21f935f2ae</vt:lpwstr>
  </property>
  <property fmtid="{D5CDD505-2E9C-101B-9397-08002B2CF9AE}" pid="5" name="RecordPoint_WorkflowType">
    <vt:lpwstr>ActiveSubmitStub</vt:lpwstr>
  </property>
  <property fmtid="{D5CDD505-2E9C-101B-9397-08002B2CF9AE}" pid="6" name="RecordPoint_ActiveItemListId">
    <vt:lpwstr>{d6775dc5-8a38-4781-95bf-d3f0d1237c48}</vt:lpwstr>
  </property>
  <property fmtid="{D5CDD505-2E9C-101B-9397-08002B2CF9AE}" pid="7" name="RecordPoint_ActiveItemWebId">
    <vt:lpwstr>{cebcee45-40e2-45ca-9d22-89ff5bfe4e7b}</vt:lpwstr>
  </property>
  <property fmtid="{D5CDD505-2E9C-101B-9397-08002B2CF9AE}" pid="8" name="RecordPoint_ActiveItemSiteId">
    <vt:lpwstr>{5b52b9a5-e5b2-4521-8814-a1e24ca2869d}</vt:lpwstr>
  </property>
  <property fmtid="{D5CDD505-2E9C-101B-9397-08002B2CF9AE}" pid="9" name="_NewReviewCycle">
    <vt:lpwstr/>
  </property>
  <property fmtid="{D5CDD505-2E9C-101B-9397-08002B2CF9AE}" pid="10" name="RecordPoint_SubmissionDate">
    <vt:lpwstr/>
  </property>
  <property fmtid="{D5CDD505-2E9C-101B-9397-08002B2CF9AE}" pid="11" name="RecordPoint_ActiveItemMoved">
    <vt:lpwstr/>
  </property>
  <property fmtid="{D5CDD505-2E9C-101B-9397-08002B2CF9AE}" pid="12" name="RecordPoint_RecordFormat">
    <vt:lpwstr/>
  </property>
  <property fmtid="{D5CDD505-2E9C-101B-9397-08002B2CF9AE}" pid="13" name="RecordPoint_ActiveItemUniqueId">
    <vt:lpwstr>{e6abe802-fea5-4c37-a0bd-0f21f935f2ae}</vt:lpwstr>
  </property>
  <property fmtid="{D5CDD505-2E9C-101B-9397-08002B2CF9AE}" pid="14" name="RecordPoint_RecordNumberSubmitted">
    <vt:lpwstr>R0001594163</vt:lpwstr>
  </property>
  <property fmtid="{D5CDD505-2E9C-101B-9397-08002B2CF9AE}" pid="15" name="RecordPoint_SubmissionCompleted">
    <vt:lpwstr>2018-03-13T10:02:55.5664387+11:00</vt:lpwstr>
  </property>
  <property fmtid="{D5CDD505-2E9C-101B-9397-08002B2CF9AE}" pid="16" name="_AdHocReviewCycleID">
    <vt:i4>150434506</vt:i4>
  </property>
  <property fmtid="{D5CDD505-2E9C-101B-9397-08002B2CF9AE}" pid="17" name="_EmailSubject">
    <vt:lpwstr>Update - Change to Existing Webpage Request #S66759 [SEC=UNCLASSIFIED]</vt:lpwstr>
  </property>
  <property fmtid="{D5CDD505-2E9C-101B-9397-08002B2CF9AE}" pid="18" name="_AuthorEmail">
    <vt:lpwstr>Paul.Atkinson@TREASURY.GOV.AU</vt:lpwstr>
  </property>
  <property fmtid="{D5CDD505-2E9C-101B-9397-08002B2CF9AE}" pid="19" name="_AuthorEmailDisplayName">
    <vt:lpwstr>Atkinson, Paul</vt:lpwstr>
  </property>
</Properties>
</file>