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67993" w14:textId="77777777" w:rsidR="00E4212B" w:rsidRPr="001E68C9" w:rsidRDefault="00076F9B" w:rsidP="001E68C9">
      <w:pPr>
        <w:rPr>
          <w:rFonts w:cs="Arial"/>
          <w:b/>
          <w:sz w:val="28"/>
          <w:szCs w:val="28"/>
        </w:rPr>
      </w:pPr>
      <w:bookmarkStart w:id="0" w:name="_GoBack"/>
      <w:bookmarkEnd w:id="0"/>
      <w:r>
        <w:rPr>
          <w:rFonts w:cs="Arial"/>
          <w:b/>
          <w:noProof/>
          <w:sz w:val="28"/>
          <w:szCs w:val="28"/>
          <w:lang w:val="en-US" w:eastAsia="en-US"/>
        </w:rPr>
        <w:drawing>
          <wp:anchor distT="0" distB="0" distL="114300" distR="114300" simplePos="0" relativeHeight="251657728" behindDoc="0" locked="0" layoutInCell="1" allowOverlap="1" wp14:anchorId="7A6D29B1" wp14:editId="48E57099">
            <wp:simplePos x="0" y="0"/>
            <wp:positionH relativeFrom="column">
              <wp:posOffset>3427095</wp:posOffset>
            </wp:positionH>
            <wp:positionV relativeFrom="paragraph">
              <wp:posOffset>-749935</wp:posOffset>
            </wp:positionV>
            <wp:extent cx="2895600" cy="1438275"/>
            <wp:effectExtent l="0" t="0" r="0" b="9525"/>
            <wp:wrapSquare wrapText="bothSides"/>
            <wp:docPr id="10" name="Picture 10" descr="tj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j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20">
        <w:rPr>
          <w:rFonts w:cs="Arial"/>
          <w:szCs w:val="22"/>
        </w:rPr>
        <w:t>The Board of Taxation</w:t>
      </w:r>
    </w:p>
    <w:p w14:paraId="4872C1B6" w14:textId="77777777" w:rsidR="001F3D20" w:rsidRDefault="001F3D20" w:rsidP="00E4212B">
      <w:pPr>
        <w:rPr>
          <w:rFonts w:cs="Arial"/>
          <w:szCs w:val="22"/>
        </w:rPr>
      </w:pPr>
      <w:r>
        <w:rPr>
          <w:rFonts w:cs="Arial"/>
          <w:szCs w:val="22"/>
        </w:rPr>
        <w:t>c/ The Treasury</w:t>
      </w:r>
    </w:p>
    <w:p w14:paraId="757E3DA1" w14:textId="77777777" w:rsidR="001F3D20" w:rsidRPr="00E4212B" w:rsidRDefault="001F3D20" w:rsidP="00E4212B">
      <w:pPr>
        <w:rPr>
          <w:rFonts w:cs="Arial"/>
          <w:szCs w:val="22"/>
        </w:rPr>
      </w:pPr>
      <w:r>
        <w:rPr>
          <w:rFonts w:cs="Arial"/>
          <w:szCs w:val="22"/>
        </w:rPr>
        <w:t>Langton Crescent</w:t>
      </w:r>
    </w:p>
    <w:p w14:paraId="070F3384" w14:textId="77777777" w:rsidR="00EB36C2" w:rsidRDefault="001F3D20" w:rsidP="00E4212B">
      <w:pPr>
        <w:rPr>
          <w:rFonts w:cs="Arial"/>
          <w:szCs w:val="22"/>
        </w:rPr>
      </w:pPr>
      <w:r>
        <w:rPr>
          <w:rFonts w:cs="Arial"/>
          <w:szCs w:val="22"/>
        </w:rPr>
        <w:t>CANBERRA</w:t>
      </w:r>
      <w:r w:rsidR="00E4212B" w:rsidRPr="00E4212B">
        <w:rPr>
          <w:rFonts w:cs="Arial"/>
          <w:szCs w:val="22"/>
        </w:rPr>
        <w:t xml:space="preserve"> ACT 2600</w:t>
      </w:r>
    </w:p>
    <w:p w14:paraId="6D380353" w14:textId="77777777" w:rsidR="00E4212B" w:rsidRDefault="00E4212B" w:rsidP="00E4212B">
      <w:pPr>
        <w:rPr>
          <w:rFonts w:cs="Arial"/>
          <w:szCs w:val="22"/>
        </w:rPr>
      </w:pPr>
      <w:r>
        <w:rPr>
          <w:rFonts w:cs="Arial"/>
          <w:szCs w:val="22"/>
        </w:rPr>
        <w:t xml:space="preserve">E-mail: </w:t>
      </w:r>
      <w:r w:rsidR="001F3D20">
        <w:rPr>
          <w:rFonts w:cs="Arial"/>
          <w:szCs w:val="22"/>
        </w:rPr>
        <w:t>taxtransparency@taxboard.gov.au</w:t>
      </w:r>
    </w:p>
    <w:p w14:paraId="18E48615" w14:textId="77777777" w:rsidR="00E4212B" w:rsidRDefault="00E4212B" w:rsidP="00E4212B">
      <w:pPr>
        <w:rPr>
          <w:rFonts w:cs="Arial"/>
          <w:b/>
          <w:sz w:val="28"/>
          <w:szCs w:val="28"/>
        </w:rPr>
      </w:pPr>
    </w:p>
    <w:p w14:paraId="11F8A1EF" w14:textId="77777777" w:rsidR="001F3D20" w:rsidRDefault="006D6569" w:rsidP="001F3D20">
      <w:pPr>
        <w:jc w:val="center"/>
        <w:rPr>
          <w:rFonts w:cs="Arial"/>
          <w:b/>
          <w:sz w:val="28"/>
          <w:szCs w:val="28"/>
        </w:rPr>
      </w:pPr>
      <w:r>
        <w:rPr>
          <w:rFonts w:cs="Arial"/>
          <w:b/>
          <w:sz w:val="28"/>
          <w:szCs w:val="28"/>
        </w:rPr>
        <w:t xml:space="preserve">Tax Justice Network Australia </w:t>
      </w:r>
      <w:r w:rsidR="001F3D20">
        <w:rPr>
          <w:rFonts w:cs="Arial"/>
          <w:b/>
          <w:sz w:val="28"/>
          <w:szCs w:val="28"/>
        </w:rPr>
        <w:t xml:space="preserve">Submission on </w:t>
      </w:r>
    </w:p>
    <w:p w14:paraId="0A68FA2F" w14:textId="77777777" w:rsidR="00921465" w:rsidRPr="001F3D20" w:rsidRDefault="001F3D20" w:rsidP="001F3D20">
      <w:pPr>
        <w:jc w:val="center"/>
        <w:rPr>
          <w:rFonts w:cs="Arial"/>
          <w:b/>
          <w:sz w:val="28"/>
          <w:szCs w:val="28"/>
        </w:rPr>
      </w:pPr>
      <w:r>
        <w:rPr>
          <w:rFonts w:cs="Arial"/>
          <w:b/>
          <w:sz w:val="28"/>
          <w:szCs w:val="28"/>
        </w:rPr>
        <w:t>‘A tax transparency code’</w:t>
      </w:r>
    </w:p>
    <w:p w14:paraId="7852A4ED" w14:textId="77777777" w:rsidR="008A3AEA" w:rsidRDefault="001F3D20" w:rsidP="00ED2C69">
      <w:pPr>
        <w:jc w:val="center"/>
        <w:rPr>
          <w:rFonts w:cs="Arial"/>
          <w:b/>
        </w:rPr>
      </w:pPr>
      <w:r>
        <w:rPr>
          <w:rFonts w:cs="Arial"/>
          <w:b/>
        </w:rPr>
        <w:t>29</w:t>
      </w:r>
      <w:r w:rsidR="006D6569">
        <w:rPr>
          <w:rFonts w:cs="Arial"/>
          <w:b/>
        </w:rPr>
        <w:t xml:space="preserve"> </w:t>
      </w:r>
      <w:r w:rsidR="00E4212B">
        <w:rPr>
          <w:rFonts w:cs="Arial"/>
          <w:b/>
        </w:rPr>
        <w:t>January 2016</w:t>
      </w:r>
    </w:p>
    <w:p w14:paraId="158E1FB9" w14:textId="77777777" w:rsidR="00ED2C69" w:rsidRDefault="00ED2C69" w:rsidP="00ED2C69">
      <w:pPr>
        <w:jc w:val="center"/>
        <w:rPr>
          <w:rFonts w:cs="Arial"/>
          <w:b/>
        </w:rPr>
      </w:pPr>
    </w:p>
    <w:p w14:paraId="0863A6D8" w14:textId="77777777" w:rsidR="00E21F4F" w:rsidRDefault="00E4212B" w:rsidP="001F3D20">
      <w:pPr>
        <w:jc w:val="both"/>
        <w:rPr>
          <w:rFonts w:cs="Arial"/>
          <w:szCs w:val="22"/>
        </w:rPr>
      </w:pPr>
      <w:r>
        <w:rPr>
          <w:rFonts w:cs="Arial"/>
          <w:szCs w:val="22"/>
        </w:rPr>
        <w:t>The Tax Justice Network Australia (TJN-Aus) welcomes the opportunity to make a submission to</w:t>
      </w:r>
      <w:r w:rsidR="001F3D20">
        <w:rPr>
          <w:rFonts w:cs="Arial"/>
          <w:szCs w:val="22"/>
        </w:rPr>
        <w:t xml:space="preserve"> the Board of Taxation ‘A tax transparency code’. </w:t>
      </w:r>
      <w:r w:rsidR="00E21F4F">
        <w:rPr>
          <w:rFonts w:cs="Arial"/>
          <w:szCs w:val="22"/>
        </w:rPr>
        <w:t>It is welcome that the Board is encouraging businesses to make a greater effort to explain their tax affairs.</w:t>
      </w:r>
      <w:r w:rsidR="00533D66">
        <w:rPr>
          <w:rFonts w:cs="Arial"/>
          <w:szCs w:val="22"/>
        </w:rPr>
        <w:t xml:space="preserve"> However, the Board’s recommendations are currently so flawed, the Code should be abandoned as it will serve no useful purpose. Businesses will continue to be subject to public pressure to explain their tax affairs. Given the weak nature of the Board’s recommendations, government should simply let businesses develop voluntary disclosures of their own</w:t>
      </w:r>
      <w:r w:rsidR="00EA2AF5">
        <w:rPr>
          <w:rFonts w:cs="Arial"/>
          <w:szCs w:val="22"/>
        </w:rPr>
        <w:t>. Government should continue</w:t>
      </w:r>
      <w:r w:rsidR="00533D66">
        <w:rPr>
          <w:rFonts w:cs="Arial"/>
          <w:szCs w:val="22"/>
        </w:rPr>
        <w:t xml:space="preserve"> to increase mandatory </w:t>
      </w:r>
      <w:r w:rsidR="00EA2AF5">
        <w:rPr>
          <w:rFonts w:cs="Arial"/>
          <w:szCs w:val="22"/>
        </w:rPr>
        <w:t xml:space="preserve">disclosure measures to level the playing field between those businesses that lead by example with </w:t>
      </w:r>
      <w:r w:rsidR="001E68C9">
        <w:rPr>
          <w:rFonts w:cs="Arial"/>
          <w:szCs w:val="22"/>
        </w:rPr>
        <w:t xml:space="preserve">accurate </w:t>
      </w:r>
      <w:r w:rsidR="00EA2AF5">
        <w:rPr>
          <w:rFonts w:cs="Arial"/>
          <w:szCs w:val="22"/>
        </w:rPr>
        <w:t xml:space="preserve">voluntary disclosures and those that continue to hide behind a veil secrecy over their tax affairs. </w:t>
      </w:r>
      <w:r w:rsidR="00533D66">
        <w:rPr>
          <w:rFonts w:cs="Arial"/>
          <w:szCs w:val="22"/>
        </w:rPr>
        <w:t xml:space="preserve"> </w:t>
      </w:r>
    </w:p>
    <w:p w14:paraId="72046D81" w14:textId="77777777" w:rsidR="00E21F4F" w:rsidRDefault="00E21F4F" w:rsidP="001F3D20">
      <w:pPr>
        <w:jc w:val="both"/>
        <w:rPr>
          <w:rFonts w:cs="Arial"/>
          <w:szCs w:val="22"/>
        </w:rPr>
      </w:pPr>
    </w:p>
    <w:p w14:paraId="2EE9E12E" w14:textId="77777777" w:rsidR="00F27484" w:rsidRDefault="001F3D20" w:rsidP="001F3D20">
      <w:pPr>
        <w:jc w:val="both"/>
        <w:rPr>
          <w:rFonts w:cs="Arial"/>
          <w:szCs w:val="22"/>
        </w:rPr>
      </w:pPr>
      <w:r>
        <w:rPr>
          <w:rFonts w:cs="Arial"/>
          <w:szCs w:val="22"/>
        </w:rPr>
        <w:t>While the content of the proposed Code would add some additional tax information for some companies that choose to comply with the Code, it is deeply disappoi</w:t>
      </w:r>
      <w:r w:rsidR="00533D66">
        <w:rPr>
          <w:rFonts w:cs="Arial"/>
          <w:szCs w:val="22"/>
        </w:rPr>
        <w:t>nting the Board has</w:t>
      </w:r>
      <w:r>
        <w:rPr>
          <w:rFonts w:cs="Arial"/>
          <w:szCs w:val="22"/>
        </w:rPr>
        <w:t xml:space="preserve"> recommend</w:t>
      </w:r>
      <w:r w:rsidR="00533D66">
        <w:rPr>
          <w:rFonts w:cs="Arial"/>
          <w:szCs w:val="22"/>
        </w:rPr>
        <w:t xml:space="preserve">ed against any reporting </w:t>
      </w:r>
      <w:r>
        <w:rPr>
          <w:rFonts w:cs="Arial"/>
          <w:szCs w:val="22"/>
        </w:rPr>
        <w:t>on a country-by-country basis</w:t>
      </w:r>
      <w:r w:rsidR="00552811">
        <w:rPr>
          <w:rFonts w:cs="Arial"/>
          <w:szCs w:val="22"/>
        </w:rPr>
        <w:t xml:space="preserve"> of corporate revenue, profits, taxes paid, assets and employees, which would allow the community to gain a picture of if the location of a company’s profits are being “taxed where the economic activities deriving the profits are performed and where value is created.”</w:t>
      </w:r>
      <w:r w:rsidR="00552811">
        <w:rPr>
          <w:rStyle w:val="FootnoteReference"/>
          <w:rFonts w:cs="Arial"/>
          <w:szCs w:val="22"/>
        </w:rPr>
        <w:footnoteReference w:id="1"/>
      </w:r>
      <w:r w:rsidR="00552811">
        <w:rPr>
          <w:rFonts w:cs="Arial"/>
          <w:szCs w:val="22"/>
        </w:rPr>
        <w:t xml:space="preserve"> </w:t>
      </w:r>
      <w:r w:rsidR="009D7C52">
        <w:rPr>
          <w:rFonts w:cs="Arial"/>
          <w:szCs w:val="22"/>
        </w:rPr>
        <w:t xml:space="preserve">This is </w:t>
      </w:r>
      <w:r w:rsidR="00533D66">
        <w:rPr>
          <w:rFonts w:cs="Arial"/>
          <w:szCs w:val="22"/>
        </w:rPr>
        <w:t>contrary to what has largely already required been a</w:t>
      </w:r>
      <w:r w:rsidR="009D7C52">
        <w:rPr>
          <w:rFonts w:cs="Arial"/>
          <w:szCs w:val="22"/>
        </w:rPr>
        <w:t xml:space="preserve"> mandatory measure in th</w:t>
      </w:r>
      <w:r w:rsidR="00533D66">
        <w:rPr>
          <w:rFonts w:cs="Arial"/>
          <w:szCs w:val="22"/>
        </w:rPr>
        <w:t>e EU for financial institutions. S</w:t>
      </w:r>
      <w:r w:rsidR="009D7C52">
        <w:rPr>
          <w:rFonts w:cs="Arial"/>
          <w:szCs w:val="22"/>
        </w:rPr>
        <w:t xml:space="preserve">ee for example the reporting by Deutsche Bank at </w:t>
      </w:r>
      <w:r w:rsidR="009D7C52" w:rsidRPr="009D7C52">
        <w:rPr>
          <w:rFonts w:cs="Arial"/>
          <w:szCs w:val="22"/>
        </w:rPr>
        <w:t>https://annualreport.deutsche-bank.com/2014/ar/notes/additional-notes/45-country-by-country-reporting.html</w:t>
      </w:r>
      <w:r w:rsidR="009D7C52">
        <w:rPr>
          <w:rFonts w:cs="Arial"/>
          <w:szCs w:val="22"/>
        </w:rPr>
        <w:t>.</w:t>
      </w:r>
    </w:p>
    <w:p w14:paraId="5D706A2A" w14:textId="77777777" w:rsidR="00F27484" w:rsidRDefault="00F27484" w:rsidP="001F3D20">
      <w:pPr>
        <w:jc w:val="both"/>
        <w:rPr>
          <w:rFonts w:cs="Arial"/>
          <w:szCs w:val="22"/>
        </w:rPr>
      </w:pPr>
    </w:p>
    <w:p w14:paraId="3CA5BFE6" w14:textId="77777777" w:rsidR="009A7452" w:rsidRDefault="00552811" w:rsidP="001F3D20">
      <w:pPr>
        <w:jc w:val="both"/>
        <w:rPr>
          <w:rFonts w:cs="Arial"/>
          <w:szCs w:val="22"/>
        </w:rPr>
      </w:pPr>
      <w:r>
        <w:rPr>
          <w:rFonts w:cs="Arial"/>
          <w:szCs w:val="22"/>
        </w:rPr>
        <w:t>Further, the Code is undermined by decision there will be no verification of the information in the reports made by the companies and no penalties for companies making false or misleading reports. It would seem obvious that a company wilfully engaged in tax avoidance or aggressive tax planning that is skirting what might be legal, would be likely to have little concern about making false or misleading reports against the Code if they believe no one will detect that the information is false or misleading and where no penalty exists for doing so. This is likely to result, understandably, in a high degree of scepticism about the Code. Further, the Code could even serve to provide cover to a company engaged in tax avoidance, to create a false impression of voluntary transparency</w:t>
      </w:r>
      <w:r w:rsidR="00F27484">
        <w:rPr>
          <w:rFonts w:cs="Arial"/>
          <w:szCs w:val="22"/>
        </w:rPr>
        <w:t>. Should this be publicly discovered to happen, the credibility of the Code will be further damaged.</w:t>
      </w:r>
      <w:r>
        <w:rPr>
          <w:rFonts w:cs="Arial"/>
          <w:szCs w:val="22"/>
        </w:rPr>
        <w:t xml:space="preserve">  </w:t>
      </w:r>
      <w:r w:rsidR="00E4212B">
        <w:rPr>
          <w:rFonts w:cs="Arial"/>
          <w:szCs w:val="22"/>
        </w:rPr>
        <w:t xml:space="preserve"> </w:t>
      </w:r>
    </w:p>
    <w:p w14:paraId="3DBFB0F3" w14:textId="77777777" w:rsidR="00EA2AF5" w:rsidRDefault="00EA2AF5" w:rsidP="001F3D20">
      <w:pPr>
        <w:jc w:val="both"/>
        <w:rPr>
          <w:rFonts w:cs="Arial"/>
          <w:szCs w:val="22"/>
        </w:rPr>
      </w:pPr>
    </w:p>
    <w:p w14:paraId="7DF41E4F" w14:textId="77777777" w:rsidR="00EA2AF5" w:rsidRDefault="00EA2AF5" w:rsidP="001F3D20">
      <w:pPr>
        <w:jc w:val="both"/>
        <w:rPr>
          <w:rFonts w:cs="Arial"/>
          <w:szCs w:val="22"/>
        </w:rPr>
      </w:pPr>
      <w:r>
        <w:rPr>
          <w:rFonts w:cs="Arial"/>
          <w:szCs w:val="22"/>
        </w:rPr>
        <w:t xml:space="preserve">If the Code will not be subject to any verification of its accuracy by the body assigned to administer it, then the ATO should not be the body to administer the Code. The ATO being associated with what might later be exposed as false or misleading reports would greatly damage the credibility and reputation of the ATO. It would be better, in such circumstances that the Code reports simply be </w:t>
      </w:r>
      <w:r w:rsidR="00B0336D">
        <w:rPr>
          <w:rFonts w:cs="Arial"/>
          <w:szCs w:val="22"/>
        </w:rPr>
        <w:t>published on a website administered by a private</w:t>
      </w:r>
      <w:r w:rsidR="001E68C9">
        <w:rPr>
          <w:rFonts w:cs="Arial"/>
          <w:szCs w:val="22"/>
        </w:rPr>
        <w:t xml:space="preserve"> business body or on the businesses</w:t>
      </w:r>
      <w:r w:rsidR="00B0336D">
        <w:rPr>
          <w:rFonts w:cs="Arial"/>
          <w:szCs w:val="22"/>
        </w:rPr>
        <w:t>’ own website</w:t>
      </w:r>
      <w:r w:rsidR="001E68C9">
        <w:rPr>
          <w:rFonts w:cs="Arial"/>
          <w:szCs w:val="22"/>
        </w:rPr>
        <w:t>s</w:t>
      </w:r>
      <w:r w:rsidR="00B0336D">
        <w:rPr>
          <w:rFonts w:cs="Arial"/>
          <w:szCs w:val="22"/>
        </w:rPr>
        <w:t xml:space="preserve">, so that government in no way adds credibility to the reports. In that way, each Code report can simply be assessed on its own merits by the community and interested parties. Businesses that make accurate and </w:t>
      </w:r>
      <w:r w:rsidR="001E68C9">
        <w:rPr>
          <w:rFonts w:cs="Arial"/>
          <w:szCs w:val="22"/>
        </w:rPr>
        <w:t>informative disclosures</w:t>
      </w:r>
      <w:r w:rsidR="00B0336D">
        <w:rPr>
          <w:rFonts w:cs="Arial"/>
          <w:szCs w:val="22"/>
        </w:rPr>
        <w:t xml:space="preserve"> will still receive</w:t>
      </w:r>
      <w:r w:rsidR="001E68C9">
        <w:rPr>
          <w:rFonts w:cs="Arial"/>
          <w:szCs w:val="22"/>
        </w:rPr>
        <w:t xml:space="preserve"> positive</w:t>
      </w:r>
      <w:r w:rsidR="00B0336D">
        <w:rPr>
          <w:rFonts w:cs="Arial"/>
          <w:szCs w:val="22"/>
        </w:rPr>
        <w:t xml:space="preserve"> acknowledgement for having done so.</w:t>
      </w:r>
    </w:p>
    <w:p w14:paraId="193BBA35" w14:textId="77777777" w:rsidR="00F27484" w:rsidRDefault="00F27484" w:rsidP="001F3D20">
      <w:pPr>
        <w:jc w:val="both"/>
        <w:rPr>
          <w:rFonts w:cs="Arial"/>
          <w:szCs w:val="22"/>
        </w:rPr>
      </w:pPr>
    </w:p>
    <w:p w14:paraId="23634053" w14:textId="77777777" w:rsidR="00F27484" w:rsidRDefault="00F27484" w:rsidP="001F3D20">
      <w:pPr>
        <w:jc w:val="both"/>
        <w:rPr>
          <w:rFonts w:cs="Arial"/>
          <w:szCs w:val="22"/>
        </w:rPr>
      </w:pPr>
      <w:r>
        <w:rPr>
          <w:rFonts w:cs="Arial"/>
          <w:szCs w:val="22"/>
        </w:rPr>
        <w:t xml:space="preserve">Contrary to the optimism of the Board of Taxation for voluntary disclosure, the evidence that an increasing number of companies operating in Australia are choosing to reduce the amount of financial information they voluntarily place in the public sphere. </w:t>
      </w:r>
      <w:r w:rsidR="00E21F4F">
        <w:rPr>
          <w:rFonts w:cs="Arial"/>
          <w:szCs w:val="22"/>
        </w:rPr>
        <w:t>While there are commendable examples of corporations that have increased their tax transparency, m</w:t>
      </w:r>
      <w:r>
        <w:rPr>
          <w:rFonts w:cs="Arial"/>
          <w:szCs w:val="22"/>
        </w:rPr>
        <w:t>any do not disclose any financial information (ALDI and Ikea being examples), others produce very basic special purpose financial statements (P&amp;G, Unilever and Johnson &amp; Johnson), which are almost useless</w:t>
      </w:r>
      <w:r w:rsidR="0080626C">
        <w:rPr>
          <w:rFonts w:cs="Arial"/>
          <w:szCs w:val="22"/>
        </w:rPr>
        <w:t xml:space="preserve"> and large numbers use Reduced Disclosure Requirements of the Australian Accounting Standards Board. Given these trends, the optimism of the Board of Taxation that the Code will generate greater voluntary and credible financial reporting on tax affairs seems misplaced.</w:t>
      </w:r>
    </w:p>
    <w:p w14:paraId="31A7650E" w14:textId="77777777" w:rsidR="001E68C9" w:rsidRDefault="001E68C9" w:rsidP="001F3D20">
      <w:pPr>
        <w:jc w:val="both"/>
        <w:rPr>
          <w:rFonts w:cs="Arial"/>
          <w:szCs w:val="22"/>
        </w:rPr>
      </w:pPr>
    </w:p>
    <w:p w14:paraId="7DDC86B3" w14:textId="77777777" w:rsidR="001E68C9" w:rsidRDefault="001E68C9" w:rsidP="001F3D20">
      <w:pPr>
        <w:jc w:val="both"/>
        <w:rPr>
          <w:rFonts w:cs="Arial"/>
          <w:szCs w:val="22"/>
        </w:rPr>
      </w:pPr>
      <w:r>
        <w:t>Using the example of declining voluntary disclosure from another jurisdiction,</w:t>
      </w:r>
      <w:r w:rsidRPr="00434B88">
        <w:t xml:space="preserve"> Jeffrey Gramlich of the Hoops Institute at Washington State University and Janie Whiteaker-Poe of Baylor University crunched data at </w:t>
      </w:r>
      <w:r w:rsidRPr="00434B88">
        <w:rPr>
          <w:i/>
          <w:iCs/>
        </w:rPr>
        <w:t>The Economist</w:t>
      </w:r>
      <w:r w:rsidRPr="00434B88">
        <w:t>’s request and found a sharp increase since 2010 in the number of American firms dramatically reducing the number of tax-haven subsidiaries they disclosed. In one extreme case Google reported more than 100 divisions in 2009, but just two (both in Ireland) in 2012.</w:t>
      </w:r>
      <w:r w:rsidRPr="00434B88">
        <w:rPr>
          <w:vertAlign w:val="superscript"/>
        </w:rPr>
        <w:footnoteReference w:id="2"/>
      </w:r>
      <w:r w:rsidRPr="00434B88">
        <w:t xml:space="preserve"> Mr Gramlich argued that there is a mass redefinition of subsidiaries as not “significant”. Only material holdings have to be disclosed in US and Australia (whereas in, say, Germany all have to be reported). </w:t>
      </w:r>
      <w:r w:rsidRPr="00434B88">
        <w:rPr>
          <w:i/>
        </w:rPr>
        <w:t>The</w:t>
      </w:r>
      <w:r w:rsidRPr="00434B88">
        <w:t xml:space="preserve"> </w:t>
      </w:r>
      <w:r w:rsidRPr="00434B88">
        <w:rPr>
          <w:i/>
        </w:rPr>
        <w:t xml:space="preserve">Economist </w:t>
      </w:r>
      <w:r w:rsidRPr="00434B88">
        <w:t>speculated that firms would never admit it, but the likely reason for this redefinition is increased scrutiny of their tax affairs.</w:t>
      </w:r>
      <w:r w:rsidRPr="00434B88">
        <w:rPr>
          <w:vertAlign w:val="superscript"/>
        </w:rPr>
        <w:footnoteReference w:id="3"/>
      </w:r>
      <w:r w:rsidRPr="00434B88">
        <w:t xml:space="preserve"> </w:t>
      </w:r>
      <w:r w:rsidRPr="00434B88">
        <w:rPr>
          <w:i/>
        </w:rPr>
        <w:t xml:space="preserve">The Economist </w:t>
      </w:r>
      <w:r w:rsidRPr="00434B88">
        <w:t>argued that MNEs “move into the dark coincided with a surge in investigative articles about profit-shifting by multinationals.”</w:t>
      </w:r>
      <w:r w:rsidRPr="00434B88">
        <w:rPr>
          <w:vertAlign w:val="superscript"/>
        </w:rPr>
        <w:footnoteReference w:id="4"/>
      </w:r>
      <w:r w:rsidRPr="00434B88">
        <w:t xml:space="preserve"> </w:t>
      </w:r>
      <w:r w:rsidRPr="00434B88">
        <w:rPr>
          <w:i/>
        </w:rPr>
        <w:t xml:space="preserve">The Economist </w:t>
      </w:r>
      <w:r w:rsidRPr="00434B88">
        <w:t>took the view that not all the redefining is likely to be legal, but the companies are willing to take the risk: the most they can be fined in the US for de-disclosing significant subsidiaries is US$100 a day.</w:t>
      </w:r>
      <w:r w:rsidRPr="00434B88">
        <w:rPr>
          <w:vertAlign w:val="superscript"/>
        </w:rPr>
        <w:footnoteReference w:id="5"/>
      </w:r>
    </w:p>
    <w:p w14:paraId="10287F36" w14:textId="77777777" w:rsidR="00E21F4F" w:rsidRDefault="00E21F4F" w:rsidP="001F3D20">
      <w:pPr>
        <w:jc w:val="both"/>
        <w:rPr>
          <w:rFonts w:cs="Arial"/>
          <w:szCs w:val="22"/>
        </w:rPr>
      </w:pPr>
    </w:p>
    <w:p w14:paraId="7CA4E998" w14:textId="77777777" w:rsidR="00E21F4F" w:rsidRDefault="00E21F4F" w:rsidP="001F3D20">
      <w:pPr>
        <w:jc w:val="both"/>
        <w:rPr>
          <w:rFonts w:cs="Arial"/>
          <w:szCs w:val="22"/>
        </w:rPr>
      </w:pPr>
      <w:r>
        <w:rPr>
          <w:rFonts w:cs="Arial"/>
          <w:szCs w:val="22"/>
        </w:rPr>
        <w:t xml:space="preserve">It is very disappointing that the Board has rejected the ATO ‘effective tax borne’ method for inclusion in the Code. </w:t>
      </w:r>
    </w:p>
    <w:p w14:paraId="5DA26826" w14:textId="77777777" w:rsidR="00E21F4F" w:rsidRDefault="00E21F4F" w:rsidP="001F3D20">
      <w:pPr>
        <w:jc w:val="both"/>
        <w:rPr>
          <w:rFonts w:cs="Arial"/>
          <w:szCs w:val="22"/>
        </w:rPr>
      </w:pPr>
    </w:p>
    <w:p w14:paraId="3A826447" w14:textId="77777777" w:rsidR="00E21F4F" w:rsidRDefault="00E21F4F" w:rsidP="001F3D20">
      <w:pPr>
        <w:jc w:val="both"/>
        <w:rPr>
          <w:rFonts w:cs="Arial"/>
          <w:szCs w:val="22"/>
        </w:rPr>
      </w:pPr>
      <w:r>
        <w:rPr>
          <w:rFonts w:cs="Arial"/>
          <w:szCs w:val="22"/>
        </w:rPr>
        <w:t>Royalties should not be included in the Code, as these are usually not taxes. For example, in the case of mineral deposits, these are payments a mining company makes to the owner of the deposit (in this case a government), to purchase this raw material.</w:t>
      </w:r>
    </w:p>
    <w:p w14:paraId="374DD5E7" w14:textId="77777777" w:rsidR="00533D66" w:rsidRDefault="00533D66" w:rsidP="001F3D20">
      <w:pPr>
        <w:jc w:val="both"/>
        <w:rPr>
          <w:rFonts w:cs="Arial"/>
          <w:szCs w:val="22"/>
        </w:rPr>
      </w:pPr>
    </w:p>
    <w:p w14:paraId="4013DE27" w14:textId="77777777" w:rsidR="00533D66" w:rsidRDefault="00533D66" w:rsidP="001F3D20">
      <w:pPr>
        <w:jc w:val="both"/>
        <w:rPr>
          <w:rFonts w:cs="Arial"/>
          <w:szCs w:val="22"/>
        </w:rPr>
      </w:pPr>
      <w:r>
        <w:rPr>
          <w:rFonts w:cs="Arial"/>
          <w:szCs w:val="22"/>
        </w:rPr>
        <w:t xml:space="preserve">The Code should not include a recommendation that it include taxes collected by the business on behalf of others, as the focus of the Code should be strictly on the taxes paid by the business. </w:t>
      </w:r>
    </w:p>
    <w:p w14:paraId="553E52D6" w14:textId="77777777" w:rsidR="00533D66" w:rsidRDefault="00533D66" w:rsidP="001F3D20">
      <w:pPr>
        <w:jc w:val="both"/>
        <w:rPr>
          <w:rFonts w:cs="Arial"/>
          <w:szCs w:val="22"/>
        </w:rPr>
      </w:pPr>
    </w:p>
    <w:p w14:paraId="52FCBF52" w14:textId="77777777" w:rsidR="00533D66" w:rsidRDefault="00533D66" w:rsidP="001F3D20">
      <w:pPr>
        <w:jc w:val="both"/>
        <w:rPr>
          <w:rFonts w:cs="Arial"/>
          <w:szCs w:val="22"/>
        </w:rPr>
      </w:pPr>
      <w:r>
        <w:rPr>
          <w:rFonts w:cs="Arial"/>
          <w:szCs w:val="22"/>
        </w:rPr>
        <w:t xml:space="preserve">The TJN-Aus supports disclosures being made in plain English with the use of charts, diagrams and trend data over a number of years. </w:t>
      </w:r>
    </w:p>
    <w:p w14:paraId="454495FD" w14:textId="77777777" w:rsidR="001E68C9" w:rsidRDefault="001E68C9" w:rsidP="001F3D20">
      <w:pPr>
        <w:jc w:val="both"/>
        <w:rPr>
          <w:rFonts w:cs="Arial"/>
          <w:szCs w:val="22"/>
        </w:rPr>
      </w:pPr>
    </w:p>
    <w:p w14:paraId="733AE5A5" w14:textId="77777777" w:rsidR="001E68C9" w:rsidRPr="001E68C9" w:rsidRDefault="001E68C9" w:rsidP="001E68C9">
      <w:pPr>
        <w:jc w:val="both"/>
        <w:rPr>
          <w:rFonts w:cs="Arial"/>
          <w:szCs w:val="22"/>
        </w:rPr>
      </w:pPr>
      <w:r>
        <w:rPr>
          <w:rFonts w:cs="Arial"/>
          <w:szCs w:val="22"/>
        </w:rPr>
        <w:t xml:space="preserve">Tax transparency can have a positive effect in reducing aggressive tax practices of businesses, but this is most effective where the tax transparency has been mandated or companies have been exposed as engaging in aggressive tax practices. </w:t>
      </w:r>
      <w:r w:rsidRPr="001E68C9">
        <w:rPr>
          <w:rFonts w:cs="Arial"/>
          <w:szCs w:val="22"/>
        </w:rPr>
        <w:t>The Oxford University Centre for Business Taxation found that FTSE 100 firms that were exposed by ActionAid as not compliant with subsidiary disclosure rules (non-compliant firms) report</w:t>
      </w:r>
      <w:r>
        <w:rPr>
          <w:rFonts w:cs="Arial"/>
          <w:szCs w:val="22"/>
        </w:rPr>
        <w:t>ed</w:t>
      </w:r>
      <w:r w:rsidRPr="001E68C9">
        <w:rPr>
          <w:rFonts w:cs="Arial"/>
          <w:szCs w:val="22"/>
        </w:rPr>
        <w:t xml:space="preserve"> higher effective tax rates (ETRs) following the public scrutiny. In the view of the Centre for Business Taxation this indicated a decrease in tax avoidance relative to FTSE 100 firms that were not affected by the scrutiny (compliant firms). Specifically, their estimates suggest a 3.7 percentage point increase in the ETRs of non-compliant firms relative to the ETRs of </w:t>
      </w:r>
      <w:r w:rsidRPr="001E68C9">
        <w:rPr>
          <w:rFonts w:cs="Arial"/>
          <w:szCs w:val="22"/>
        </w:rPr>
        <w:lastRenderedPageBreak/>
        <w:t>compliant firms in the years following the initial public pressure to comply with disclosure of all subsidiaries.</w:t>
      </w:r>
      <w:r w:rsidRPr="001E68C9">
        <w:rPr>
          <w:rFonts w:cs="Arial"/>
          <w:szCs w:val="22"/>
          <w:vertAlign w:val="superscript"/>
        </w:rPr>
        <w:footnoteReference w:id="6"/>
      </w:r>
      <w:r w:rsidRPr="001E68C9">
        <w:rPr>
          <w:rFonts w:cs="Arial"/>
          <w:szCs w:val="22"/>
        </w:rPr>
        <w:t xml:space="preserve"> The 34 firms subject to the scrutiny treatment in 2010 had median pre-tax book income of £618 million. Using a simple calculation, a 3.7 percent increase in ETR indicates increased tax expense of roughly £23 million per firm.</w:t>
      </w:r>
      <w:r w:rsidRPr="001E68C9">
        <w:rPr>
          <w:rFonts w:cs="Arial"/>
          <w:szCs w:val="22"/>
          <w:vertAlign w:val="superscript"/>
        </w:rPr>
        <w:footnoteReference w:id="7"/>
      </w:r>
    </w:p>
    <w:p w14:paraId="3588E9DF" w14:textId="77777777" w:rsidR="001E68C9" w:rsidRPr="001E68C9" w:rsidRDefault="001E68C9" w:rsidP="001E68C9">
      <w:pPr>
        <w:jc w:val="both"/>
        <w:rPr>
          <w:rFonts w:cs="Arial"/>
          <w:szCs w:val="22"/>
        </w:rPr>
      </w:pPr>
    </w:p>
    <w:p w14:paraId="6080DE4F" w14:textId="77777777" w:rsidR="001E68C9" w:rsidRDefault="001E68C9" w:rsidP="001E68C9">
      <w:pPr>
        <w:jc w:val="both"/>
        <w:rPr>
          <w:rFonts w:cs="Arial"/>
          <w:szCs w:val="22"/>
        </w:rPr>
      </w:pPr>
      <w:r w:rsidRPr="001E68C9">
        <w:rPr>
          <w:rFonts w:cs="Arial"/>
          <w:szCs w:val="22"/>
        </w:rPr>
        <w:t>In addition, the Centre of Business Taxation found the decrease in tax avoidance for non-compliant firms in the post-scrutiny period is most pronounced in the subsample of firms that experience a decrease in the percentage of total subsidiaries located in small tax haven countries – countries where subsidiaries are unlikely to have operational substance. In their view, these results suggest that non-compliant firms responded to negative public scrutiny by decreasing subsidiary use in locations where they would incur high disclosure costs (for example, political and reputational costs arising from increased scrutiny from tax authorities, customer and political outcry, or market penalties) and where it would be relatively easy to close subsidiaries without generation significant operating costs.</w:t>
      </w:r>
      <w:r w:rsidRPr="001E68C9">
        <w:rPr>
          <w:rFonts w:cs="Arial"/>
          <w:szCs w:val="22"/>
          <w:vertAlign w:val="superscript"/>
        </w:rPr>
        <w:footnoteReference w:id="8"/>
      </w:r>
    </w:p>
    <w:p w14:paraId="4ADD75C8" w14:textId="77777777" w:rsidR="001E68C9" w:rsidRDefault="001E68C9" w:rsidP="001E68C9">
      <w:pPr>
        <w:jc w:val="both"/>
        <w:rPr>
          <w:rFonts w:cs="Arial"/>
          <w:szCs w:val="22"/>
        </w:rPr>
      </w:pPr>
    </w:p>
    <w:p w14:paraId="2CFC67E1" w14:textId="77777777" w:rsidR="001E68C9" w:rsidRPr="001E68C9" w:rsidRDefault="001E68C9" w:rsidP="001E68C9">
      <w:pPr>
        <w:jc w:val="both"/>
      </w:pPr>
      <w:r w:rsidRPr="00434B88">
        <w:t>The Oxford University Centre for Business Taxation found that the evidence suggested that firms behave as though public scrutiny of tax avoidance activities is costly. They posited that reputational concerns of tax avoidance are likely to be concentrated in a specific kind of firm that is sensitivity to public scrutiny of disclosure that reveals tax-related information.</w:t>
      </w:r>
      <w:r w:rsidRPr="00434B88">
        <w:rPr>
          <w:vertAlign w:val="superscript"/>
        </w:rPr>
        <w:footnoteReference w:id="9"/>
      </w:r>
    </w:p>
    <w:p w14:paraId="6A29DDA1" w14:textId="77777777" w:rsidR="008F0B7F" w:rsidRDefault="008F0B7F" w:rsidP="008F0B7F">
      <w:pPr>
        <w:pStyle w:val="Heading1"/>
      </w:pPr>
      <w:bookmarkStart w:id="1" w:name="_Toc440699872"/>
      <w:r>
        <w:t>Recommendations</w:t>
      </w:r>
      <w:bookmarkEnd w:id="1"/>
    </w:p>
    <w:p w14:paraId="632860D9" w14:textId="77777777" w:rsidR="00D60AFB" w:rsidRDefault="009A2D2B" w:rsidP="001F3D20">
      <w:pPr>
        <w:jc w:val="both"/>
        <w:rPr>
          <w:rFonts w:cs="Arial"/>
          <w:szCs w:val="22"/>
        </w:rPr>
      </w:pPr>
      <w:r>
        <w:rPr>
          <w:rFonts w:cs="Arial"/>
          <w:szCs w:val="22"/>
        </w:rPr>
        <w:t xml:space="preserve">The </w:t>
      </w:r>
      <w:r w:rsidR="009D7C52">
        <w:rPr>
          <w:rFonts w:cs="Arial"/>
          <w:szCs w:val="22"/>
        </w:rPr>
        <w:t>TJN-Aus recommends the proposed Tax Transpa</w:t>
      </w:r>
      <w:r w:rsidR="00EA2AF5">
        <w:rPr>
          <w:rFonts w:cs="Arial"/>
          <w:szCs w:val="22"/>
        </w:rPr>
        <w:t>rency Code</w:t>
      </w:r>
      <w:r w:rsidR="00B0336D">
        <w:rPr>
          <w:rFonts w:cs="Arial"/>
          <w:szCs w:val="22"/>
        </w:rPr>
        <w:t xml:space="preserve"> be abandoned</w:t>
      </w:r>
      <w:r w:rsidR="00EA2AF5">
        <w:rPr>
          <w:rFonts w:cs="Arial"/>
          <w:szCs w:val="22"/>
        </w:rPr>
        <w:t xml:space="preserve"> with unless the following the following two measures are adopted</w:t>
      </w:r>
      <w:r w:rsidR="009D7C52">
        <w:rPr>
          <w:rFonts w:cs="Arial"/>
          <w:szCs w:val="22"/>
        </w:rPr>
        <w:t>:</w:t>
      </w:r>
    </w:p>
    <w:p w14:paraId="1F184C3C" w14:textId="77777777" w:rsidR="009D7C52" w:rsidRDefault="009D7C52" w:rsidP="009D7C52">
      <w:pPr>
        <w:pStyle w:val="ListParagraph"/>
        <w:numPr>
          <w:ilvl w:val="0"/>
          <w:numId w:val="48"/>
        </w:numPr>
        <w:jc w:val="both"/>
        <w:rPr>
          <w:rFonts w:cs="Arial"/>
          <w:szCs w:val="22"/>
        </w:rPr>
      </w:pPr>
      <w:r>
        <w:rPr>
          <w:rFonts w:cs="Arial"/>
          <w:szCs w:val="22"/>
        </w:rPr>
        <w:t>Require country-by-country disclosure of revenue, profits, taxes paid, assets and employees as part of the Code;</w:t>
      </w:r>
    </w:p>
    <w:p w14:paraId="023166C1" w14:textId="77777777" w:rsidR="009D7C52" w:rsidRDefault="009D7C52" w:rsidP="009D7C52">
      <w:pPr>
        <w:pStyle w:val="ListParagraph"/>
        <w:numPr>
          <w:ilvl w:val="0"/>
          <w:numId w:val="48"/>
        </w:numPr>
        <w:jc w:val="both"/>
        <w:rPr>
          <w:rFonts w:cs="Arial"/>
          <w:szCs w:val="22"/>
        </w:rPr>
      </w:pPr>
      <w:r>
        <w:rPr>
          <w:rFonts w:cs="Arial"/>
          <w:szCs w:val="22"/>
        </w:rPr>
        <w:t>Require verification of the information reported by companies by the ATO, to avoid false or misleading information being presented that undermi</w:t>
      </w:r>
      <w:r w:rsidR="00E21F4F">
        <w:rPr>
          <w:rFonts w:cs="Arial"/>
          <w:szCs w:val="22"/>
        </w:rPr>
        <w:t>nes the credibility of the Code</w:t>
      </w:r>
      <w:r w:rsidR="00B0336D">
        <w:rPr>
          <w:rFonts w:cs="Arial"/>
          <w:szCs w:val="22"/>
        </w:rPr>
        <w:t xml:space="preserve"> and any government agency associated with reports made under the Code</w:t>
      </w:r>
      <w:r w:rsidR="00EA2AF5">
        <w:rPr>
          <w:rFonts w:cs="Arial"/>
          <w:szCs w:val="22"/>
        </w:rPr>
        <w:t>.</w:t>
      </w:r>
    </w:p>
    <w:p w14:paraId="3C3F9C22" w14:textId="77777777" w:rsidR="00EA2AF5" w:rsidRDefault="00EA2AF5" w:rsidP="00EA2AF5">
      <w:pPr>
        <w:jc w:val="both"/>
        <w:rPr>
          <w:rFonts w:cs="Arial"/>
          <w:szCs w:val="22"/>
        </w:rPr>
      </w:pPr>
    </w:p>
    <w:p w14:paraId="6F5589A9" w14:textId="77777777" w:rsidR="00EA2AF5" w:rsidRPr="00EA2AF5" w:rsidRDefault="00EA2AF5" w:rsidP="00EA2AF5">
      <w:pPr>
        <w:jc w:val="both"/>
        <w:rPr>
          <w:rFonts w:cs="Arial"/>
          <w:szCs w:val="22"/>
        </w:rPr>
      </w:pPr>
      <w:r>
        <w:rPr>
          <w:rFonts w:cs="Arial"/>
          <w:szCs w:val="22"/>
        </w:rPr>
        <w:t>Further:</w:t>
      </w:r>
    </w:p>
    <w:p w14:paraId="3F8F09E9" w14:textId="77777777" w:rsidR="00E21F4F" w:rsidRDefault="00E21F4F" w:rsidP="009D7C52">
      <w:pPr>
        <w:pStyle w:val="ListParagraph"/>
        <w:numPr>
          <w:ilvl w:val="0"/>
          <w:numId w:val="48"/>
        </w:numPr>
        <w:jc w:val="both"/>
        <w:rPr>
          <w:rFonts w:cs="Arial"/>
          <w:szCs w:val="22"/>
        </w:rPr>
      </w:pPr>
      <w:r>
        <w:rPr>
          <w:rFonts w:cs="Arial"/>
          <w:szCs w:val="22"/>
        </w:rPr>
        <w:t>The Board should work with the ATO to develop a credible effective tax rate, that the ATO would consider gives the community the most useful indication of the tax rate relevant to the business;</w:t>
      </w:r>
    </w:p>
    <w:p w14:paraId="6D7C10AD" w14:textId="77777777" w:rsidR="00E21F4F" w:rsidRDefault="00E21F4F" w:rsidP="009D7C52">
      <w:pPr>
        <w:pStyle w:val="ListParagraph"/>
        <w:numPr>
          <w:ilvl w:val="0"/>
          <w:numId w:val="48"/>
        </w:numPr>
        <w:jc w:val="both"/>
        <w:rPr>
          <w:rFonts w:cs="Arial"/>
          <w:szCs w:val="22"/>
        </w:rPr>
      </w:pPr>
      <w:r>
        <w:rPr>
          <w:rFonts w:cs="Arial"/>
          <w:szCs w:val="22"/>
        </w:rPr>
        <w:t>The Code should not include royalty payments in any way that implies they are taxes.</w:t>
      </w:r>
    </w:p>
    <w:p w14:paraId="4B989F4E" w14:textId="77777777" w:rsidR="00533D66" w:rsidRPr="00533D66" w:rsidRDefault="00533D66" w:rsidP="00533D66">
      <w:pPr>
        <w:pStyle w:val="ListParagraph"/>
        <w:numPr>
          <w:ilvl w:val="0"/>
          <w:numId w:val="48"/>
        </w:numPr>
        <w:jc w:val="both"/>
        <w:rPr>
          <w:rFonts w:cs="Arial"/>
          <w:szCs w:val="22"/>
        </w:rPr>
      </w:pPr>
      <w:r>
        <w:rPr>
          <w:rFonts w:cs="Arial"/>
          <w:szCs w:val="22"/>
        </w:rPr>
        <w:t>The Code should not include a recommendation that it include taxes collected by the business on behalf of others.</w:t>
      </w:r>
    </w:p>
    <w:p w14:paraId="392440BD" w14:textId="77777777" w:rsidR="00E21F4F" w:rsidRDefault="00E21F4F" w:rsidP="009D7C52">
      <w:pPr>
        <w:jc w:val="both"/>
        <w:rPr>
          <w:rFonts w:cs="Arial"/>
          <w:szCs w:val="22"/>
        </w:rPr>
      </w:pPr>
    </w:p>
    <w:p w14:paraId="3ED45E7D" w14:textId="77777777" w:rsidR="001E68C9" w:rsidRDefault="001E68C9" w:rsidP="009D7C52">
      <w:pPr>
        <w:jc w:val="both"/>
        <w:rPr>
          <w:rFonts w:cs="Arial"/>
          <w:szCs w:val="22"/>
        </w:rPr>
      </w:pPr>
    </w:p>
    <w:p w14:paraId="7439B45A" w14:textId="77777777" w:rsidR="00D1130A" w:rsidRPr="009D7C52" w:rsidRDefault="00D1130A" w:rsidP="009D7C52">
      <w:pPr>
        <w:jc w:val="both"/>
        <w:rPr>
          <w:rFonts w:cs="Arial"/>
          <w:szCs w:val="22"/>
        </w:rPr>
      </w:pPr>
      <w:r w:rsidRPr="009D7C52">
        <w:rPr>
          <w:rFonts w:cs="Arial"/>
          <w:szCs w:val="22"/>
        </w:rPr>
        <w:t>Dr Mark Zirnsak</w:t>
      </w:r>
    </w:p>
    <w:p w14:paraId="64C8E3D1" w14:textId="77777777" w:rsidR="00D1130A" w:rsidRDefault="00D1130A" w:rsidP="00D1130A">
      <w:pPr>
        <w:jc w:val="both"/>
        <w:rPr>
          <w:rFonts w:cs="Arial"/>
          <w:szCs w:val="22"/>
        </w:rPr>
      </w:pPr>
      <w:r>
        <w:rPr>
          <w:rFonts w:cs="Arial"/>
          <w:szCs w:val="22"/>
        </w:rPr>
        <w:t>Secretariat</w:t>
      </w:r>
    </w:p>
    <w:p w14:paraId="09D8C430" w14:textId="77777777" w:rsidR="00D1130A" w:rsidRDefault="00D1130A" w:rsidP="00D1130A">
      <w:pPr>
        <w:jc w:val="both"/>
        <w:rPr>
          <w:rFonts w:cs="Arial"/>
          <w:szCs w:val="22"/>
        </w:rPr>
      </w:pPr>
      <w:r>
        <w:rPr>
          <w:rFonts w:cs="Arial"/>
          <w:szCs w:val="22"/>
        </w:rPr>
        <w:t>Tax Justice Network Australia</w:t>
      </w:r>
    </w:p>
    <w:p w14:paraId="5BEB1132" w14:textId="77777777" w:rsidR="00D1130A" w:rsidRDefault="00D1130A" w:rsidP="00D1130A">
      <w:pPr>
        <w:jc w:val="both"/>
        <w:rPr>
          <w:rFonts w:cs="Arial"/>
          <w:szCs w:val="22"/>
        </w:rPr>
      </w:pPr>
      <w:r>
        <w:rPr>
          <w:rFonts w:cs="Arial"/>
          <w:szCs w:val="22"/>
        </w:rPr>
        <w:t>c/- 130 Little Collins Street</w:t>
      </w:r>
    </w:p>
    <w:p w14:paraId="63FF8800" w14:textId="77777777" w:rsidR="00D1130A" w:rsidRDefault="00D1130A" w:rsidP="00D1130A">
      <w:pPr>
        <w:jc w:val="both"/>
        <w:rPr>
          <w:rFonts w:cs="Arial"/>
          <w:szCs w:val="22"/>
        </w:rPr>
      </w:pPr>
      <w:r>
        <w:rPr>
          <w:rFonts w:cs="Arial"/>
          <w:szCs w:val="22"/>
        </w:rPr>
        <w:t>Melbourne, Victoria, 3000</w:t>
      </w:r>
    </w:p>
    <w:p w14:paraId="5D1143DC" w14:textId="77777777" w:rsidR="00D1130A" w:rsidRPr="007E20D6" w:rsidRDefault="00D1130A" w:rsidP="00D1130A">
      <w:pPr>
        <w:jc w:val="both"/>
        <w:rPr>
          <w:rFonts w:cs="Arial"/>
          <w:szCs w:val="22"/>
        </w:rPr>
      </w:pPr>
      <w:r w:rsidRPr="007E20D6">
        <w:rPr>
          <w:rFonts w:cs="Arial"/>
          <w:szCs w:val="22"/>
        </w:rPr>
        <w:t>Phone: (03) 9251 5265</w:t>
      </w:r>
    </w:p>
    <w:p w14:paraId="7A654348" w14:textId="77777777" w:rsidR="00F3000D" w:rsidRPr="00B0336D" w:rsidRDefault="00D1130A" w:rsidP="00B0336D">
      <w:pPr>
        <w:jc w:val="both"/>
        <w:rPr>
          <w:rFonts w:cs="Arial"/>
          <w:szCs w:val="22"/>
          <w:lang w:val="fr-FR"/>
        </w:rPr>
      </w:pPr>
      <w:r w:rsidRPr="006872E4">
        <w:rPr>
          <w:rFonts w:cs="Arial"/>
          <w:szCs w:val="22"/>
          <w:lang w:val="fr-FR"/>
        </w:rPr>
        <w:t xml:space="preserve">E-mail: </w:t>
      </w:r>
      <w:hyperlink r:id="rId9" w:history="1">
        <w:r w:rsidRPr="00A15EF5">
          <w:rPr>
            <w:rStyle w:val="Hyperlink"/>
            <w:rFonts w:cs="Arial"/>
            <w:szCs w:val="22"/>
            <w:lang w:val="fr-FR"/>
          </w:rPr>
          <w:t>mark.zirnsak@victas.uca.org.au</w:t>
        </w:r>
      </w:hyperlink>
    </w:p>
    <w:p w14:paraId="19D324BC" w14:textId="77777777" w:rsidR="0031480D" w:rsidRPr="00B96D1F" w:rsidRDefault="00D1130A" w:rsidP="001E54C3">
      <w:pPr>
        <w:pStyle w:val="Heading1"/>
      </w:pPr>
      <w:r w:rsidRPr="00F3000D">
        <w:br w:type="page"/>
      </w:r>
      <w:bookmarkStart w:id="2" w:name="_Toc440699878"/>
      <w:r w:rsidR="001E54C3">
        <w:lastRenderedPageBreak/>
        <w:t xml:space="preserve">Appendix: </w:t>
      </w:r>
      <w:r w:rsidR="0031480D" w:rsidRPr="00B96D1F">
        <w:t>Background on the Tax Justice Network Australia</w:t>
      </w:r>
      <w:bookmarkEnd w:id="2"/>
    </w:p>
    <w:p w14:paraId="5434F246" w14:textId="77777777" w:rsidR="0031480D" w:rsidRPr="00B96D1F" w:rsidRDefault="0031480D" w:rsidP="0031480D">
      <w:pPr>
        <w:keepNext/>
        <w:jc w:val="both"/>
        <w:rPr>
          <w:rFonts w:cs="Arial"/>
          <w:szCs w:val="22"/>
        </w:rPr>
      </w:pPr>
      <w:r w:rsidRPr="00B96D1F">
        <w:rPr>
          <w:rFonts w:cs="Arial"/>
          <w:szCs w:val="22"/>
        </w:rPr>
        <w:t>The Tax Justice Network Australia (TJN-Aus) is the Australian branch of the Tax Justice Network (TJN)</w:t>
      </w:r>
      <w:r w:rsidR="005A5DE3">
        <w:rPr>
          <w:rFonts w:cs="Arial"/>
          <w:szCs w:val="22"/>
        </w:rPr>
        <w:t xml:space="preserve"> and the Global Alliance for Tax Justice</w:t>
      </w:r>
      <w:r w:rsidRPr="00B96D1F">
        <w:rPr>
          <w:rFonts w:cs="Arial"/>
          <w:szCs w:val="22"/>
        </w:rPr>
        <w:t xml:space="preserve">. TJN is an independent organisation launched in the British Houses of Parliament in March 2003. It is dedicated to high-level research, analysis and advocacy in the field of tax and regulation. TJN works to map, analyse and explain the role of taxation and the harmful impacts of tax evasion, tax avoidance, tax competition and tax havens. </w:t>
      </w:r>
      <w:r>
        <w:rPr>
          <w:rFonts w:cs="Arial"/>
          <w:szCs w:val="22"/>
        </w:rPr>
        <w:t>TJN’s objective is to encourage</w:t>
      </w:r>
      <w:r w:rsidRPr="00B96D1F">
        <w:rPr>
          <w:rFonts w:cs="Arial"/>
          <w:szCs w:val="22"/>
        </w:rPr>
        <w:t xml:space="preserve"> re</w:t>
      </w:r>
      <w:r>
        <w:rPr>
          <w:rFonts w:cs="Arial"/>
          <w:szCs w:val="22"/>
        </w:rPr>
        <w:t>form at the global and national</w:t>
      </w:r>
      <w:r w:rsidRPr="00B96D1F">
        <w:rPr>
          <w:rFonts w:cs="Arial"/>
          <w:szCs w:val="22"/>
        </w:rPr>
        <w:t xml:space="preserve"> levels. </w:t>
      </w:r>
    </w:p>
    <w:p w14:paraId="0E3F4731" w14:textId="77777777" w:rsidR="0031480D" w:rsidRPr="00B96D1F" w:rsidRDefault="0031480D" w:rsidP="0031480D">
      <w:pPr>
        <w:jc w:val="both"/>
        <w:rPr>
          <w:rFonts w:cs="Arial"/>
          <w:szCs w:val="22"/>
        </w:rPr>
      </w:pPr>
    </w:p>
    <w:p w14:paraId="2C9ADB86" w14:textId="77777777" w:rsidR="0031480D" w:rsidRPr="00B96D1F" w:rsidRDefault="0031480D" w:rsidP="0031480D">
      <w:pPr>
        <w:jc w:val="both"/>
        <w:rPr>
          <w:rFonts w:cs="Arial"/>
          <w:szCs w:val="22"/>
        </w:rPr>
      </w:pPr>
      <w:r w:rsidRPr="00B96D1F">
        <w:rPr>
          <w:rFonts w:cs="Arial"/>
          <w:szCs w:val="22"/>
        </w:rPr>
        <w:t>The Tax Justice Network aims to:</w:t>
      </w:r>
    </w:p>
    <w:p w14:paraId="4BE46A69" w14:textId="77777777" w:rsidR="0031480D" w:rsidRPr="00B96D1F" w:rsidRDefault="0031480D" w:rsidP="0031480D">
      <w:pPr>
        <w:jc w:val="both"/>
        <w:rPr>
          <w:rFonts w:cs="Arial"/>
          <w:szCs w:val="22"/>
        </w:rPr>
      </w:pPr>
      <w:r w:rsidRPr="00B96D1F">
        <w:rPr>
          <w:rFonts w:cs="Arial"/>
          <w:szCs w:val="22"/>
        </w:rPr>
        <w:t>(a)</w:t>
      </w:r>
      <w:r w:rsidRPr="00B96D1F">
        <w:rPr>
          <w:rFonts w:cs="Arial"/>
          <w:szCs w:val="22"/>
        </w:rPr>
        <w:tab/>
        <w:t>promote sustainable finance for development;</w:t>
      </w:r>
    </w:p>
    <w:p w14:paraId="14D329F8" w14:textId="77777777" w:rsidR="0031480D" w:rsidRPr="00B96D1F" w:rsidRDefault="0031480D" w:rsidP="0031480D">
      <w:pPr>
        <w:jc w:val="both"/>
        <w:rPr>
          <w:rFonts w:cs="Arial"/>
          <w:szCs w:val="22"/>
        </w:rPr>
      </w:pPr>
      <w:r w:rsidRPr="00B96D1F">
        <w:rPr>
          <w:rFonts w:cs="Arial"/>
          <w:szCs w:val="22"/>
        </w:rPr>
        <w:t>(b)</w:t>
      </w:r>
      <w:r w:rsidRPr="00B96D1F">
        <w:rPr>
          <w:rFonts w:cs="Arial"/>
          <w:szCs w:val="22"/>
        </w:rPr>
        <w:tab/>
        <w:t>promote international co-operation on tax regulation and tax related crimes;</w:t>
      </w:r>
    </w:p>
    <w:p w14:paraId="03FDD12F" w14:textId="77777777" w:rsidR="0031480D" w:rsidRPr="00B96D1F" w:rsidRDefault="0031480D" w:rsidP="0031480D">
      <w:pPr>
        <w:jc w:val="both"/>
        <w:rPr>
          <w:rFonts w:cs="Arial"/>
          <w:szCs w:val="22"/>
        </w:rPr>
      </w:pPr>
      <w:r w:rsidRPr="00B96D1F">
        <w:rPr>
          <w:rFonts w:cs="Arial"/>
          <w:szCs w:val="22"/>
        </w:rPr>
        <w:t>(c)</w:t>
      </w:r>
      <w:r w:rsidRPr="00B96D1F">
        <w:rPr>
          <w:rFonts w:cs="Arial"/>
          <w:szCs w:val="22"/>
        </w:rPr>
        <w:tab/>
        <w:t>oppose tax havens;</w:t>
      </w:r>
    </w:p>
    <w:p w14:paraId="3B4EB37E" w14:textId="77777777" w:rsidR="0031480D" w:rsidRPr="00B96D1F" w:rsidRDefault="0031480D" w:rsidP="0031480D">
      <w:pPr>
        <w:jc w:val="both"/>
        <w:rPr>
          <w:rFonts w:cs="Arial"/>
          <w:szCs w:val="22"/>
        </w:rPr>
      </w:pPr>
      <w:r w:rsidRPr="00B96D1F">
        <w:rPr>
          <w:rFonts w:cs="Arial"/>
          <w:szCs w:val="22"/>
        </w:rPr>
        <w:t>(d)</w:t>
      </w:r>
      <w:r w:rsidRPr="00B96D1F">
        <w:rPr>
          <w:rFonts w:cs="Arial"/>
          <w:szCs w:val="22"/>
        </w:rPr>
        <w:tab/>
        <w:t>promote progressive and equitable taxation;</w:t>
      </w:r>
    </w:p>
    <w:p w14:paraId="5548C42F" w14:textId="77777777" w:rsidR="0031480D" w:rsidRPr="00B96D1F" w:rsidRDefault="0031480D" w:rsidP="0031480D">
      <w:pPr>
        <w:jc w:val="both"/>
        <w:rPr>
          <w:rFonts w:cs="Arial"/>
          <w:szCs w:val="22"/>
        </w:rPr>
      </w:pPr>
      <w:r w:rsidRPr="00B96D1F">
        <w:rPr>
          <w:rFonts w:cs="Arial"/>
          <w:szCs w:val="22"/>
        </w:rPr>
        <w:t>(e)</w:t>
      </w:r>
      <w:r w:rsidRPr="00B96D1F">
        <w:rPr>
          <w:rFonts w:cs="Arial"/>
          <w:szCs w:val="22"/>
        </w:rPr>
        <w:tab/>
        <w:t>promote corporate responsibility and accountability; and</w:t>
      </w:r>
    </w:p>
    <w:p w14:paraId="639B2FFD" w14:textId="77777777" w:rsidR="0031480D" w:rsidRPr="00B96D1F" w:rsidRDefault="0031480D" w:rsidP="0031480D">
      <w:pPr>
        <w:jc w:val="both"/>
        <w:rPr>
          <w:rFonts w:cs="Arial"/>
          <w:szCs w:val="22"/>
        </w:rPr>
      </w:pPr>
      <w:r w:rsidRPr="00B96D1F">
        <w:rPr>
          <w:rFonts w:cs="Arial"/>
          <w:szCs w:val="22"/>
        </w:rPr>
        <w:t>(f)</w:t>
      </w:r>
      <w:r w:rsidRPr="00B96D1F">
        <w:rPr>
          <w:rFonts w:cs="Arial"/>
          <w:szCs w:val="22"/>
        </w:rPr>
        <w:tab/>
        <w:t>promote tax compliance and a culture of responsibility.</w:t>
      </w:r>
    </w:p>
    <w:p w14:paraId="538CF2D9" w14:textId="77777777" w:rsidR="0031480D" w:rsidRPr="00B96D1F" w:rsidRDefault="0031480D" w:rsidP="0031480D">
      <w:pPr>
        <w:jc w:val="both"/>
        <w:rPr>
          <w:rFonts w:cs="Arial"/>
          <w:szCs w:val="22"/>
        </w:rPr>
      </w:pPr>
    </w:p>
    <w:p w14:paraId="614D44EC" w14:textId="77777777" w:rsidR="005A5DE3" w:rsidRPr="004F677E" w:rsidRDefault="005A5DE3" w:rsidP="005A5DE3">
      <w:pPr>
        <w:jc w:val="both"/>
        <w:rPr>
          <w:rFonts w:cs="Arial"/>
          <w:szCs w:val="22"/>
        </w:rPr>
      </w:pPr>
      <w:r w:rsidRPr="004F677E">
        <w:rPr>
          <w:rFonts w:cs="Arial"/>
          <w:szCs w:val="22"/>
        </w:rPr>
        <w:t>In Australia the current members of TJN-Aus are:</w:t>
      </w:r>
    </w:p>
    <w:p w14:paraId="6C5A069F" w14:textId="77777777" w:rsidR="00521DED" w:rsidRPr="00032A03" w:rsidRDefault="00521DED" w:rsidP="00521DED">
      <w:pPr>
        <w:numPr>
          <w:ilvl w:val="0"/>
          <w:numId w:val="35"/>
        </w:numPr>
        <w:jc w:val="both"/>
        <w:rPr>
          <w:rFonts w:cs="Arial"/>
          <w:szCs w:val="22"/>
        </w:rPr>
      </w:pPr>
      <w:r w:rsidRPr="00032A03">
        <w:rPr>
          <w:rFonts w:cs="Arial"/>
          <w:szCs w:val="22"/>
        </w:rPr>
        <w:t>ActionAid Australia</w:t>
      </w:r>
    </w:p>
    <w:p w14:paraId="54BCE963" w14:textId="77777777" w:rsidR="00521DED" w:rsidRPr="00032A03" w:rsidRDefault="00521DED" w:rsidP="00521DED">
      <w:pPr>
        <w:numPr>
          <w:ilvl w:val="0"/>
          <w:numId w:val="35"/>
        </w:numPr>
        <w:jc w:val="both"/>
        <w:rPr>
          <w:rFonts w:cs="Arial"/>
          <w:szCs w:val="22"/>
        </w:rPr>
      </w:pPr>
      <w:r w:rsidRPr="00032A03">
        <w:rPr>
          <w:rFonts w:cs="Arial"/>
          <w:szCs w:val="22"/>
        </w:rPr>
        <w:t>Aid/Watch</w:t>
      </w:r>
    </w:p>
    <w:p w14:paraId="6E525CE5" w14:textId="77777777" w:rsidR="00521DED" w:rsidRPr="00032A03" w:rsidRDefault="00521DED" w:rsidP="00521DED">
      <w:pPr>
        <w:numPr>
          <w:ilvl w:val="0"/>
          <w:numId w:val="35"/>
        </w:numPr>
        <w:jc w:val="both"/>
        <w:rPr>
          <w:rFonts w:cs="Arial"/>
          <w:szCs w:val="22"/>
        </w:rPr>
      </w:pPr>
      <w:r w:rsidRPr="00032A03">
        <w:rPr>
          <w:rFonts w:cs="Arial"/>
          <w:szCs w:val="22"/>
        </w:rPr>
        <w:t>Australian Council for International Development (ACFID)</w:t>
      </w:r>
    </w:p>
    <w:p w14:paraId="68C2A68A" w14:textId="77777777" w:rsidR="00521DED" w:rsidRPr="00032A03" w:rsidRDefault="00521DED" w:rsidP="00521DED">
      <w:pPr>
        <w:numPr>
          <w:ilvl w:val="0"/>
          <w:numId w:val="35"/>
        </w:numPr>
        <w:jc w:val="both"/>
        <w:rPr>
          <w:rFonts w:cs="Arial"/>
          <w:szCs w:val="22"/>
        </w:rPr>
      </w:pPr>
      <w:r w:rsidRPr="00032A03">
        <w:rPr>
          <w:rFonts w:cs="Arial"/>
          <w:szCs w:val="22"/>
        </w:rPr>
        <w:t>Australian Council of Trade Unions (ACTU)</w:t>
      </w:r>
    </w:p>
    <w:p w14:paraId="0E7BE4D0" w14:textId="77777777" w:rsidR="00521DED" w:rsidRPr="00032A03" w:rsidRDefault="00521DED" w:rsidP="00521DED">
      <w:pPr>
        <w:numPr>
          <w:ilvl w:val="0"/>
          <w:numId w:val="35"/>
        </w:numPr>
        <w:jc w:val="both"/>
        <w:rPr>
          <w:rFonts w:cs="Arial"/>
          <w:szCs w:val="22"/>
        </w:rPr>
      </w:pPr>
      <w:r w:rsidRPr="00032A03">
        <w:rPr>
          <w:rFonts w:cs="Arial"/>
          <w:szCs w:val="22"/>
        </w:rPr>
        <w:t>Australian Education Union</w:t>
      </w:r>
    </w:p>
    <w:p w14:paraId="4205A986" w14:textId="77777777" w:rsidR="00521DED" w:rsidRPr="00032A03" w:rsidRDefault="00521DED" w:rsidP="00521DED">
      <w:pPr>
        <w:numPr>
          <w:ilvl w:val="0"/>
          <w:numId w:val="35"/>
        </w:numPr>
        <w:jc w:val="both"/>
        <w:rPr>
          <w:rFonts w:cs="Arial"/>
          <w:szCs w:val="22"/>
        </w:rPr>
      </w:pPr>
      <w:r w:rsidRPr="00032A03">
        <w:rPr>
          <w:rFonts w:cs="Arial"/>
          <w:szCs w:val="22"/>
        </w:rPr>
        <w:t>Anglican Overseas Aid</w:t>
      </w:r>
    </w:p>
    <w:p w14:paraId="6E4548BA" w14:textId="77777777" w:rsidR="00521DED" w:rsidRPr="00032A03" w:rsidRDefault="00521DED" w:rsidP="00521DED">
      <w:pPr>
        <w:numPr>
          <w:ilvl w:val="0"/>
          <w:numId w:val="35"/>
        </w:numPr>
        <w:jc w:val="both"/>
        <w:rPr>
          <w:rFonts w:cs="Arial"/>
          <w:szCs w:val="22"/>
        </w:rPr>
      </w:pPr>
      <w:r w:rsidRPr="00032A03">
        <w:rPr>
          <w:rFonts w:cs="Arial"/>
          <w:szCs w:val="22"/>
        </w:rPr>
        <w:t>Baptist World Aid</w:t>
      </w:r>
    </w:p>
    <w:p w14:paraId="7303F99C" w14:textId="77777777" w:rsidR="00521DED" w:rsidRPr="00032A03" w:rsidRDefault="00521DED" w:rsidP="00521DED">
      <w:pPr>
        <w:numPr>
          <w:ilvl w:val="0"/>
          <w:numId w:val="35"/>
        </w:numPr>
        <w:jc w:val="both"/>
        <w:rPr>
          <w:rFonts w:cs="Arial"/>
          <w:szCs w:val="22"/>
        </w:rPr>
      </w:pPr>
      <w:r w:rsidRPr="00032A03">
        <w:rPr>
          <w:rFonts w:cs="Arial"/>
          <w:szCs w:val="22"/>
        </w:rPr>
        <w:t>Caritas Australia</w:t>
      </w:r>
    </w:p>
    <w:p w14:paraId="7A8BC10A" w14:textId="77777777" w:rsidR="00521DED" w:rsidRDefault="00521DED" w:rsidP="00521DED">
      <w:pPr>
        <w:numPr>
          <w:ilvl w:val="0"/>
          <w:numId w:val="35"/>
        </w:numPr>
        <w:jc w:val="both"/>
        <w:rPr>
          <w:rFonts w:cs="Arial"/>
          <w:szCs w:val="22"/>
        </w:rPr>
      </w:pPr>
      <w:r w:rsidRPr="00032A03">
        <w:rPr>
          <w:rFonts w:cs="Arial"/>
          <w:szCs w:val="22"/>
        </w:rPr>
        <w:t>Columban Mission Institute, Centr</w:t>
      </w:r>
      <w:r>
        <w:rPr>
          <w:rFonts w:cs="Arial"/>
          <w:szCs w:val="22"/>
        </w:rPr>
        <w:t>e for Peace Ecology and Justice</w:t>
      </w:r>
    </w:p>
    <w:p w14:paraId="5E79A813" w14:textId="77777777" w:rsidR="00521DED" w:rsidRPr="00032A03" w:rsidRDefault="00521DED" w:rsidP="00521DED">
      <w:pPr>
        <w:numPr>
          <w:ilvl w:val="0"/>
          <w:numId w:val="35"/>
        </w:numPr>
        <w:jc w:val="both"/>
        <w:rPr>
          <w:rFonts w:cs="Arial"/>
          <w:szCs w:val="22"/>
        </w:rPr>
      </w:pPr>
      <w:r>
        <w:rPr>
          <w:rFonts w:cs="Arial"/>
          <w:szCs w:val="22"/>
        </w:rPr>
        <w:t>Community and Public Service Union</w:t>
      </w:r>
    </w:p>
    <w:p w14:paraId="7C31BC16" w14:textId="77777777" w:rsidR="00521DED" w:rsidRPr="00032A03" w:rsidRDefault="00521DED" w:rsidP="00521DED">
      <w:pPr>
        <w:numPr>
          <w:ilvl w:val="0"/>
          <w:numId w:val="35"/>
        </w:numPr>
        <w:jc w:val="both"/>
        <w:rPr>
          <w:rFonts w:cs="Arial"/>
          <w:szCs w:val="22"/>
        </w:rPr>
      </w:pPr>
      <w:r w:rsidRPr="00032A03">
        <w:rPr>
          <w:rFonts w:cs="Arial"/>
          <w:szCs w:val="22"/>
        </w:rPr>
        <w:t>Friends of the Earth</w:t>
      </w:r>
    </w:p>
    <w:p w14:paraId="1B099A5F" w14:textId="77777777" w:rsidR="00E4212B" w:rsidRDefault="00E4212B" w:rsidP="00521DED">
      <w:pPr>
        <w:numPr>
          <w:ilvl w:val="0"/>
          <w:numId w:val="35"/>
        </w:numPr>
        <w:jc w:val="both"/>
        <w:rPr>
          <w:rFonts w:cs="Arial"/>
          <w:szCs w:val="22"/>
        </w:rPr>
      </w:pPr>
      <w:r>
        <w:rPr>
          <w:rFonts w:cs="Arial"/>
          <w:szCs w:val="22"/>
        </w:rPr>
        <w:t>GetUp!</w:t>
      </w:r>
    </w:p>
    <w:p w14:paraId="5A73E416" w14:textId="77777777" w:rsidR="00521DED" w:rsidRPr="00032A03" w:rsidRDefault="00521DED" w:rsidP="00521DED">
      <w:pPr>
        <w:numPr>
          <w:ilvl w:val="0"/>
          <w:numId w:val="35"/>
        </w:numPr>
        <w:jc w:val="both"/>
        <w:rPr>
          <w:rFonts w:cs="Arial"/>
          <w:szCs w:val="22"/>
        </w:rPr>
      </w:pPr>
      <w:r w:rsidRPr="00032A03">
        <w:rPr>
          <w:rFonts w:cs="Arial"/>
          <w:szCs w:val="22"/>
        </w:rPr>
        <w:t>Global Poverty Project</w:t>
      </w:r>
    </w:p>
    <w:p w14:paraId="2B01F4F6" w14:textId="77777777" w:rsidR="00521DED" w:rsidRDefault="00521DED" w:rsidP="00521DED">
      <w:pPr>
        <w:numPr>
          <w:ilvl w:val="0"/>
          <w:numId w:val="35"/>
        </w:numPr>
        <w:jc w:val="both"/>
        <w:rPr>
          <w:rFonts w:cs="Arial"/>
          <w:szCs w:val="22"/>
        </w:rPr>
      </w:pPr>
      <w:r w:rsidRPr="00032A03">
        <w:rPr>
          <w:rFonts w:cs="Arial"/>
          <w:szCs w:val="22"/>
        </w:rPr>
        <w:t>Greenpeace Australia Pacific</w:t>
      </w:r>
    </w:p>
    <w:p w14:paraId="051F5A76" w14:textId="77777777" w:rsidR="00521DED" w:rsidRPr="00032A03" w:rsidRDefault="00521DED" w:rsidP="00521DED">
      <w:pPr>
        <w:numPr>
          <w:ilvl w:val="0"/>
          <w:numId w:val="35"/>
        </w:numPr>
        <w:jc w:val="both"/>
        <w:rPr>
          <w:rFonts w:cs="Arial"/>
          <w:szCs w:val="22"/>
        </w:rPr>
      </w:pPr>
      <w:r>
        <w:rPr>
          <w:rFonts w:cs="Arial"/>
          <w:szCs w:val="22"/>
        </w:rPr>
        <w:t>International Transport Workers Federation</w:t>
      </w:r>
    </w:p>
    <w:p w14:paraId="1EDE1339" w14:textId="77777777" w:rsidR="00521DED" w:rsidRDefault="00521DED" w:rsidP="00521DED">
      <w:pPr>
        <w:numPr>
          <w:ilvl w:val="0"/>
          <w:numId w:val="35"/>
        </w:numPr>
        <w:jc w:val="both"/>
        <w:rPr>
          <w:rFonts w:cs="Arial"/>
          <w:szCs w:val="22"/>
        </w:rPr>
      </w:pPr>
      <w:r w:rsidRPr="00032A03">
        <w:rPr>
          <w:rFonts w:cs="Arial"/>
          <w:szCs w:val="22"/>
        </w:rPr>
        <w:t>Jubilee Australia</w:t>
      </w:r>
    </w:p>
    <w:p w14:paraId="48942795" w14:textId="77777777" w:rsidR="00521DED" w:rsidRPr="00032A03" w:rsidRDefault="00521DED" w:rsidP="00521DED">
      <w:pPr>
        <w:numPr>
          <w:ilvl w:val="0"/>
          <w:numId w:val="35"/>
        </w:numPr>
        <w:jc w:val="both"/>
        <w:rPr>
          <w:rFonts w:cs="Arial"/>
          <w:szCs w:val="22"/>
        </w:rPr>
      </w:pPr>
      <w:r>
        <w:rPr>
          <w:rFonts w:cs="Arial"/>
          <w:szCs w:val="22"/>
        </w:rPr>
        <w:t>Maritime Union of Australia</w:t>
      </w:r>
    </w:p>
    <w:p w14:paraId="76BF499B" w14:textId="77777777" w:rsidR="00521DED" w:rsidRPr="00032A03" w:rsidRDefault="00521DED" w:rsidP="00521DED">
      <w:pPr>
        <w:numPr>
          <w:ilvl w:val="0"/>
          <w:numId w:val="35"/>
        </w:numPr>
        <w:jc w:val="both"/>
        <w:rPr>
          <w:rFonts w:cs="Arial"/>
          <w:szCs w:val="22"/>
        </w:rPr>
      </w:pPr>
      <w:r w:rsidRPr="00032A03">
        <w:rPr>
          <w:rFonts w:cs="Arial"/>
          <w:szCs w:val="22"/>
        </w:rPr>
        <w:t>National Tertiary Education Union</w:t>
      </w:r>
    </w:p>
    <w:p w14:paraId="2377AE48" w14:textId="77777777" w:rsidR="00521DED" w:rsidRPr="00032A03" w:rsidRDefault="00521DED" w:rsidP="00521DED">
      <w:pPr>
        <w:numPr>
          <w:ilvl w:val="0"/>
          <w:numId w:val="35"/>
        </w:numPr>
        <w:jc w:val="both"/>
        <w:rPr>
          <w:rFonts w:cs="Arial"/>
          <w:szCs w:val="22"/>
        </w:rPr>
      </w:pPr>
      <w:r w:rsidRPr="00032A03">
        <w:rPr>
          <w:rFonts w:cs="Arial"/>
          <w:szCs w:val="22"/>
        </w:rPr>
        <w:t>New South Wales Nurses and Midwives’</w:t>
      </w:r>
      <w:r>
        <w:rPr>
          <w:rFonts w:cs="Arial"/>
          <w:szCs w:val="22"/>
        </w:rPr>
        <w:t xml:space="preserve"> Association</w:t>
      </w:r>
    </w:p>
    <w:p w14:paraId="4165B415" w14:textId="77777777" w:rsidR="00521DED" w:rsidRPr="00032A03" w:rsidRDefault="00521DED" w:rsidP="00521DED">
      <w:pPr>
        <w:numPr>
          <w:ilvl w:val="0"/>
          <w:numId w:val="35"/>
        </w:numPr>
        <w:jc w:val="both"/>
        <w:rPr>
          <w:rFonts w:cs="Arial"/>
          <w:szCs w:val="22"/>
        </w:rPr>
      </w:pPr>
      <w:r w:rsidRPr="00032A03">
        <w:rPr>
          <w:rFonts w:cs="Arial"/>
          <w:szCs w:val="22"/>
        </w:rPr>
        <w:t>Oaktree Foundation</w:t>
      </w:r>
    </w:p>
    <w:p w14:paraId="75BA5EBF" w14:textId="77777777" w:rsidR="00521DED" w:rsidRPr="00032A03" w:rsidRDefault="00521DED" w:rsidP="00521DED">
      <w:pPr>
        <w:numPr>
          <w:ilvl w:val="0"/>
          <w:numId w:val="35"/>
        </w:numPr>
        <w:jc w:val="both"/>
        <w:rPr>
          <w:rFonts w:cs="Arial"/>
          <w:szCs w:val="22"/>
        </w:rPr>
      </w:pPr>
      <w:r w:rsidRPr="00032A03">
        <w:rPr>
          <w:rFonts w:cs="Arial"/>
          <w:szCs w:val="22"/>
        </w:rPr>
        <w:t>Oxfam Australia</w:t>
      </w:r>
    </w:p>
    <w:p w14:paraId="09D1AC6B" w14:textId="77777777" w:rsidR="00521DED" w:rsidRPr="00032A03" w:rsidRDefault="00521DED" w:rsidP="00521DED">
      <w:pPr>
        <w:numPr>
          <w:ilvl w:val="0"/>
          <w:numId w:val="35"/>
        </w:numPr>
        <w:jc w:val="both"/>
        <w:rPr>
          <w:rFonts w:cs="Arial"/>
          <w:szCs w:val="22"/>
        </w:rPr>
      </w:pPr>
      <w:r w:rsidRPr="00032A03">
        <w:rPr>
          <w:rFonts w:cs="Arial"/>
          <w:szCs w:val="22"/>
        </w:rPr>
        <w:t>Save the Children Australia</w:t>
      </w:r>
    </w:p>
    <w:p w14:paraId="4BD02F0E" w14:textId="77777777" w:rsidR="00521DED" w:rsidRPr="00032A03" w:rsidRDefault="00521DED" w:rsidP="00521DED">
      <w:pPr>
        <w:numPr>
          <w:ilvl w:val="0"/>
          <w:numId w:val="35"/>
        </w:numPr>
        <w:jc w:val="both"/>
        <w:rPr>
          <w:rFonts w:cs="Arial"/>
          <w:szCs w:val="22"/>
        </w:rPr>
      </w:pPr>
      <w:r w:rsidRPr="00032A03">
        <w:rPr>
          <w:rFonts w:cs="Arial"/>
          <w:szCs w:val="22"/>
        </w:rPr>
        <w:t>SEARCH Foundation</w:t>
      </w:r>
    </w:p>
    <w:p w14:paraId="0CAA100B" w14:textId="77777777" w:rsidR="00521DED" w:rsidRPr="00032A03" w:rsidRDefault="00521DED" w:rsidP="00521DED">
      <w:pPr>
        <w:numPr>
          <w:ilvl w:val="0"/>
          <w:numId w:val="35"/>
        </w:numPr>
        <w:jc w:val="both"/>
        <w:rPr>
          <w:rFonts w:cs="Arial"/>
          <w:szCs w:val="22"/>
        </w:rPr>
      </w:pPr>
      <w:r w:rsidRPr="00032A03">
        <w:rPr>
          <w:rFonts w:cs="Arial"/>
          <w:szCs w:val="22"/>
        </w:rPr>
        <w:t>SJ around the Bay</w:t>
      </w:r>
    </w:p>
    <w:p w14:paraId="7336354F" w14:textId="77777777" w:rsidR="00521DED" w:rsidRPr="00032A03" w:rsidRDefault="00521DED" w:rsidP="00521DED">
      <w:pPr>
        <w:numPr>
          <w:ilvl w:val="0"/>
          <w:numId w:val="35"/>
        </w:numPr>
        <w:jc w:val="both"/>
        <w:rPr>
          <w:rFonts w:cs="Arial"/>
          <w:szCs w:val="22"/>
        </w:rPr>
      </w:pPr>
      <w:r w:rsidRPr="00032A03">
        <w:rPr>
          <w:rFonts w:cs="Arial"/>
          <w:szCs w:val="22"/>
        </w:rPr>
        <w:t>Social Policy Connections</w:t>
      </w:r>
    </w:p>
    <w:p w14:paraId="01A80433" w14:textId="77777777" w:rsidR="00521DED" w:rsidRPr="00032A03" w:rsidRDefault="00521DED" w:rsidP="00521DED">
      <w:pPr>
        <w:numPr>
          <w:ilvl w:val="0"/>
          <w:numId w:val="35"/>
        </w:numPr>
        <w:jc w:val="both"/>
        <w:rPr>
          <w:rFonts w:cs="Arial"/>
          <w:szCs w:val="22"/>
        </w:rPr>
      </w:pPr>
      <w:r w:rsidRPr="00032A03">
        <w:rPr>
          <w:rFonts w:cs="Arial"/>
          <w:szCs w:val="22"/>
        </w:rPr>
        <w:t>Synod of Victoria and Tasmania, Uniting Church in Australia</w:t>
      </w:r>
    </w:p>
    <w:p w14:paraId="25B5CC9B" w14:textId="77777777" w:rsidR="00521DED" w:rsidRPr="00032A03" w:rsidRDefault="00521DED" w:rsidP="00521DED">
      <w:pPr>
        <w:numPr>
          <w:ilvl w:val="0"/>
          <w:numId w:val="35"/>
        </w:numPr>
        <w:jc w:val="both"/>
        <w:rPr>
          <w:rFonts w:cs="Arial"/>
          <w:szCs w:val="22"/>
        </w:rPr>
      </w:pPr>
      <w:r w:rsidRPr="00032A03">
        <w:rPr>
          <w:rFonts w:cs="Arial"/>
          <w:szCs w:val="22"/>
        </w:rPr>
        <w:t>TEAR Australia</w:t>
      </w:r>
    </w:p>
    <w:p w14:paraId="4A771300" w14:textId="77777777" w:rsidR="00521DED" w:rsidRPr="00032A03" w:rsidRDefault="00521DED" w:rsidP="00521DED">
      <w:pPr>
        <w:numPr>
          <w:ilvl w:val="0"/>
          <w:numId w:val="35"/>
        </w:numPr>
        <w:jc w:val="both"/>
        <w:rPr>
          <w:rFonts w:cs="Arial"/>
          <w:szCs w:val="22"/>
        </w:rPr>
      </w:pPr>
      <w:r w:rsidRPr="00032A03">
        <w:rPr>
          <w:rFonts w:cs="Arial"/>
          <w:szCs w:val="22"/>
        </w:rPr>
        <w:t>Union Aid Abroad – APHEDA</w:t>
      </w:r>
    </w:p>
    <w:p w14:paraId="5520D149" w14:textId="77777777" w:rsidR="00521DED" w:rsidRPr="00032A03" w:rsidRDefault="00521DED" w:rsidP="00521DED">
      <w:pPr>
        <w:numPr>
          <w:ilvl w:val="0"/>
          <w:numId w:val="35"/>
        </w:numPr>
        <w:jc w:val="both"/>
        <w:rPr>
          <w:rFonts w:cs="Arial"/>
          <w:szCs w:val="22"/>
        </w:rPr>
      </w:pPr>
      <w:r w:rsidRPr="00032A03">
        <w:rPr>
          <w:rFonts w:cs="Arial"/>
          <w:szCs w:val="22"/>
        </w:rPr>
        <w:t>UnitedVoice</w:t>
      </w:r>
    </w:p>
    <w:p w14:paraId="6709BD6D" w14:textId="77777777" w:rsidR="00521DED" w:rsidRPr="00032A03" w:rsidRDefault="00521DED" w:rsidP="00521DED">
      <w:pPr>
        <w:numPr>
          <w:ilvl w:val="0"/>
          <w:numId w:val="35"/>
        </w:numPr>
        <w:jc w:val="both"/>
        <w:rPr>
          <w:rFonts w:cs="Arial"/>
          <w:szCs w:val="22"/>
        </w:rPr>
      </w:pPr>
      <w:r w:rsidRPr="00032A03">
        <w:rPr>
          <w:rFonts w:cs="Arial"/>
          <w:szCs w:val="22"/>
        </w:rPr>
        <w:t>UnitingWorld</w:t>
      </w:r>
    </w:p>
    <w:p w14:paraId="7BB4EB9D" w14:textId="77777777" w:rsidR="00521DED" w:rsidRPr="00032A03" w:rsidRDefault="00521DED" w:rsidP="00521DED">
      <w:pPr>
        <w:numPr>
          <w:ilvl w:val="0"/>
          <w:numId w:val="35"/>
        </w:numPr>
        <w:jc w:val="both"/>
        <w:rPr>
          <w:rFonts w:cs="Arial"/>
          <w:szCs w:val="22"/>
        </w:rPr>
      </w:pPr>
      <w:r w:rsidRPr="00032A03">
        <w:rPr>
          <w:rFonts w:cs="Arial"/>
          <w:szCs w:val="22"/>
        </w:rPr>
        <w:t>UnitingJustice</w:t>
      </w:r>
    </w:p>
    <w:p w14:paraId="66BFF140" w14:textId="77777777" w:rsidR="00521DED" w:rsidRPr="00032A03" w:rsidRDefault="00521DED" w:rsidP="00521DED">
      <w:pPr>
        <w:numPr>
          <w:ilvl w:val="0"/>
          <w:numId w:val="35"/>
        </w:numPr>
        <w:jc w:val="both"/>
        <w:rPr>
          <w:rFonts w:cs="Arial"/>
          <w:szCs w:val="22"/>
        </w:rPr>
      </w:pPr>
      <w:r w:rsidRPr="00032A03">
        <w:rPr>
          <w:rFonts w:cs="Arial"/>
          <w:szCs w:val="22"/>
        </w:rPr>
        <w:t>Victorian Trades Hall Council</w:t>
      </w:r>
    </w:p>
    <w:p w14:paraId="6C9710D2" w14:textId="77777777" w:rsidR="00AA4BD4" w:rsidRPr="006E4783" w:rsidRDefault="00521DED" w:rsidP="00EC1A2C">
      <w:pPr>
        <w:numPr>
          <w:ilvl w:val="0"/>
          <w:numId w:val="35"/>
        </w:numPr>
        <w:jc w:val="both"/>
        <w:rPr>
          <w:rFonts w:cs="Arial"/>
          <w:szCs w:val="22"/>
        </w:rPr>
      </w:pPr>
      <w:r w:rsidRPr="00032A03">
        <w:rPr>
          <w:rFonts w:cs="Arial"/>
          <w:szCs w:val="22"/>
        </w:rPr>
        <w:t>World Vision Australia</w:t>
      </w:r>
    </w:p>
    <w:sectPr w:rsidR="00AA4BD4" w:rsidRPr="006E4783" w:rsidSect="00D1130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89C60" w14:textId="77777777" w:rsidR="00C64CD3" w:rsidRDefault="00C64CD3">
      <w:r>
        <w:separator/>
      </w:r>
    </w:p>
  </w:endnote>
  <w:endnote w:type="continuationSeparator" w:id="0">
    <w:p w14:paraId="545674C0" w14:textId="77777777" w:rsidR="00C64CD3" w:rsidRDefault="00C6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F0456" w14:textId="77777777" w:rsidR="00AC4620" w:rsidRDefault="00AC4620" w:rsidP="00BD3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F638B9" w14:textId="77777777" w:rsidR="00AC4620" w:rsidRDefault="00AC46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6C837" w14:textId="77777777" w:rsidR="00AC4620" w:rsidRDefault="00AC4620" w:rsidP="00BD3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1003">
      <w:rPr>
        <w:rStyle w:val="PageNumber"/>
        <w:noProof/>
      </w:rPr>
      <w:t>2</w:t>
    </w:r>
    <w:r>
      <w:rPr>
        <w:rStyle w:val="PageNumber"/>
      </w:rPr>
      <w:fldChar w:fldCharType="end"/>
    </w:r>
  </w:p>
  <w:p w14:paraId="3E0B8DC5" w14:textId="77777777" w:rsidR="00AC4620" w:rsidRDefault="00AC46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606D2" w14:textId="77777777" w:rsidR="00031003" w:rsidRDefault="00031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CE474" w14:textId="77777777" w:rsidR="00C64CD3" w:rsidRDefault="00C64CD3">
      <w:r>
        <w:separator/>
      </w:r>
    </w:p>
  </w:footnote>
  <w:footnote w:type="continuationSeparator" w:id="0">
    <w:p w14:paraId="478A1B0F" w14:textId="77777777" w:rsidR="00C64CD3" w:rsidRDefault="00C64CD3">
      <w:r>
        <w:continuationSeparator/>
      </w:r>
    </w:p>
  </w:footnote>
  <w:footnote w:id="1">
    <w:p w14:paraId="1138C342" w14:textId="77777777" w:rsidR="00552811" w:rsidRPr="00E21906" w:rsidRDefault="00552811" w:rsidP="00552811">
      <w:pPr>
        <w:pStyle w:val="FootnoteText"/>
        <w:rPr>
          <w:rFonts w:cs="Arial"/>
        </w:rPr>
      </w:pPr>
      <w:r w:rsidRPr="00E21906">
        <w:rPr>
          <w:rStyle w:val="FootnoteReference"/>
          <w:rFonts w:cs="Arial"/>
        </w:rPr>
        <w:footnoteRef/>
      </w:r>
      <w:r w:rsidRPr="00E21906">
        <w:rPr>
          <w:rFonts w:cs="Arial"/>
        </w:rPr>
        <w:t xml:space="preserve"> G20 Leaders’</w:t>
      </w:r>
      <w:r>
        <w:rPr>
          <w:rFonts w:cs="Arial"/>
        </w:rPr>
        <w:t xml:space="preserve"> Communique, Brisbane Summit, 15-16 November 2014, p. 2.</w:t>
      </w:r>
    </w:p>
  </w:footnote>
  <w:footnote w:id="2">
    <w:p w14:paraId="49A76CA7" w14:textId="77777777" w:rsidR="001E68C9" w:rsidRPr="008D4C49" w:rsidRDefault="001E68C9" w:rsidP="001E68C9">
      <w:pPr>
        <w:pStyle w:val="FootnoteText"/>
        <w:rPr>
          <w:rFonts w:cs="Arial"/>
        </w:rPr>
      </w:pPr>
      <w:r w:rsidRPr="008D4C49">
        <w:rPr>
          <w:rStyle w:val="FootnoteReference"/>
          <w:rFonts w:cs="Arial"/>
        </w:rPr>
        <w:footnoteRef/>
      </w:r>
      <w:r w:rsidRPr="008D4C49">
        <w:rPr>
          <w:rFonts w:cs="Arial"/>
        </w:rPr>
        <w:t xml:space="preserve"> ‘Corporate transparency: The openness revolution’, </w:t>
      </w:r>
      <w:r w:rsidRPr="008D4C49">
        <w:rPr>
          <w:rFonts w:cs="Arial"/>
          <w:i/>
        </w:rPr>
        <w:t>The Economist</w:t>
      </w:r>
      <w:r w:rsidRPr="008D4C49">
        <w:rPr>
          <w:rFonts w:cs="Arial"/>
        </w:rPr>
        <w:t>, 13 December 2014.</w:t>
      </w:r>
    </w:p>
  </w:footnote>
  <w:footnote w:id="3">
    <w:p w14:paraId="37002CEB" w14:textId="77777777" w:rsidR="001E68C9" w:rsidRDefault="001E68C9" w:rsidP="001E68C9">
      <w:pPr>
        <w:pStyle w:val="FootnoteText"/>
      </w:pPr>
      <w:r>
        <w:rPr>
          <w:rStyle w:val="FootnoteReference"/>
        </w:rPr>
        <w:footnoteRef/>
      </w:r>
      <w:r>
        <w:t xml:space="preserve"> ‘</w:t>
      </w:r>
      <w:r w:rsidRPr="008D4C49">
        <w:rPr>
          <w:rFonts w:cs="Arial"/>
        </w:rPr>
        <w:t xml:space="preserve">Corporate transparency: The openness revolution’, </w:t>
      </w:r>
      <w:r w:rsidRPr="008D4C49">
        <w:rPr>
          <w:rFonts w:cs="Arial"/>
          <w:i/>
        </w:rPr>
        <w:t>The Economist</w:t>
      </w:r>
      <w:r w:rsidRPr="008D4C49">
        <w:rPr>
          <w:rFonts w:cs="Arial"/>
        </w:rPr>
        <w:t>, 13 December 2014.</w:t>
      </w:r>
    </w:p>
  </w:footnote>
  <w:footnote w:id="4">
    <w:p w14:paraId="1CC7FC94" w14:textId="77777777" w:rsidR="001E68C9" w:rsidRDefault="001E68C9" w:rsidP="001E68C9">
      <w:pPr>
        <w:pStyle w:val="FootnoteText"/>
      </w:pPr>
      <w:r>
        <w:rPr>
          <w:rStyle w:val="FootnoteReference"/>
        </w:rPr>
        <w:footnoteRef/>
      </w:r>
      <w:r>
        <w:t xml:space="preserve"> ‘</w:t>
      </w:r>
      <w:r w:rsidRPr="008D4C49">
        <w:rPr>
          <w:rFonts w:cs="Arial"/>
        </w:rPr>
        <w:t xml:space="preserve">Corporate transparency: The openness revolution’, </w:t>
      </w:r>
      <w:r w:rsidRPr="008D4C49">
        <w:rPr>
          <w:rFonts w:cs="Arial"/>
          <w:i/>
        </w:rPr>
        <w:t>The Economist</w:t>
      </w:r>
      <w:r w:rsidRPr="008D4C49">
        <w:rPr>
          <w:rFonts w:cs="Arial"/>
        </w:rPr>
        <w:t>, 13 December 2014.</w:t>
      </w:r>
    </w:p>
  </w:footnote>
  <w:footnote w:id="5">
    <w:p w14:paraId="3F317F00" w14:textId="77777777" w:rsidR="001E68C9" w:rsidRDefault="001E68C9" w:rsidP="001E68C9">
      <w:pPr>
        <w:pStyle w:val="FootnoteText"/>
      </w:pPr>
      <w:r>
        <w:rPr>
          <w:rStyle w:val="FootnoteReference"/>
        </w:rPr>
        <w:footnoteRef/>
      </w:r>
      <w:r>
        <w:t xml:space="preserve"> ‘</w:t>
      </w:r>
      <w:r w:rsidRPr="008D4C49">
        <w:rPr>
          <w:rFonts w:cs="Arial"/>
        </w:rPr>
        <w:t xml:space="preserve">Corporate transparency: The openness revolution’, </w:t>
      </w:r>
      <w:r w:rsidRPr="008D4C49">
        <w:rPr>
          <w:rFonts w:cs="Arial"/>
          <w:i/>
        </w:rPr>
        <w:t>The Economist</w:t>
      </w:r>
      <w:r w:rsidRPr="008D4C49">
        <w:rPr>
          <w:rFonts w:cs="Arial"/>
        </w:rPr>
        <w:t>, 13 December 2014.</w:t>
      </w:r>
    </w:p>
  </w:footnote>
  <w:footnote w:id="6">
    <w:p w14:paraId="68E1F68B" w14:textId="77777777" w:rsidR="001E68C9" w:rsidRDefault="001E68C9" w:rsidP="001E68C9">
      <w:pPr>
        <w:pStyle w:val="FootnoteText"/>
      </w:pPr>
      <w:r>
        <w:rPr>
          <w:rStyle w:val="FootnoteReference"/>
        </w:rPr>
        <w:footnoteRef/>
      </w:r>
      <w:r>
        <w:t xml:space="preserve"> </w:t>
      </w:r>
      <w:r>
        <w:rPr>
          <w:rFonts w:cs="Arial"/>
        </w:rPr>
        <w:t>Scott D. Dyreng, Jeffrey L. Hoopes and Jaron H. Wilde, ‘</w:t>
      </w:r>
      <w:r w:rsidRPr="00473FF6">
        <w:rPr>
          <w:rFonts w:cs="Arial"/>
        </w:rPr>
        <w:t>Public Pressure and Corporate Tax Behaviour</w:t>
      </w:r>
      <w:r>
        <w:rPr>
          <w:rFonts w:cs="Arial"/>
        </w:rPr>
        <w:t>’, Oxford University Centre for Business Taxation, September 2014,</w:t>
      </w:r>
      <w:r w:rsidRPr="00473FF6">
        <w:rPr>
          <w:rFonts w:cs="Arial"/>
        </w:rPr>
        <w:t xml:space="preserve"> </w:t>
      </w:r>
      <w:r>
        <w:rPr>
          <w:rFonts w:cs="Arial"/>
        </w:rPr>
        <w:t>p. 4</w:t>
      </w:r>
      <w:r w:rsidRPr="00473FF6">
        <w:rPr>
          <w:rFonts w:cs="Arial"/>
        </w:rPr>
        <w:t>.</w:t>
      </w:r>
    </w:p>
  </w:footnote>
  <w:footnote w:id="7">
    <w:p w14:paraId="3FBC20A4" w14:textId="77777777" w:rsidR="001E68C9" w:rsidRDefault="001E68C9" w:rsidP="001E68C9">
      <w:pPr>
        <w:pStyle w:val="FootnoteText"/>
      </w:pPr>
      <w:r>
        <w:rPr>
          <w:rStyle w:val="FootnoteReference"/>
        </w:rPr>
        <w:footnoteRef/>
      </w:r>
      <w:r>
        <w:t xml:space="preserve"> </w:t>
      </w:r>
      <w:r>
        <w:rPr>
          <w:rFonts w:cs="Arial"/>
        </w:rPr>
        <w:t>Scott D. Dyreng, Jeffrey L. Hoopes and Jaron H. Wilde, ‘</w:t>
      </w:r>
      <w:r w:rsidRPr="00473FF6">
        <w:rPr>
          <w:rFonts w:cs="Arial"/>
        </w:rPr>
        <w:t>Public Pressure and Corporate Tax Behaviour</w:t>
      </w:r>
      <w:r>
        <w:rPr>
          <w:rFonts w:cs="Arial"/>
        </w:rPr>
        <w:t>’, Oxford University Centre for Business Taxation, September 2014,</w:t>
      </w:r>
      <w:r w:rsidRPr="00473FF6">
        <w:rPr>
          <w:rFonts w:cs="Arial"/>
        </w:rPr>
        <w:t xml:space="preserve"> </w:t>
      </w:r>
      <w:r>
        <w:rPr>
          <w:rFonts w:cs="Arial"/>
        </w:rPr>
        <w:t>p. 21</w:t>
      </w:r>
      <w:r w:rsidRPr="00473FF6">
        <w:rPr>
          <w:rFonts w:cs="Arial"/>
        </w:rPr>
        <w:t>.</w:t>
      </w:r>
    </w:p>
  </w:footnote>
  <w:footnote w:id="8">
    <w:p w14:paraId="2F3D0DDE" w14:textId="77777777" w:rsidR="001E68C9" w:rsidRDefault="001E68C9" w:rsidP="001E68C9">
      <w:pPr>
        <w:pStyle w:val="FootnoteText"/>
      </w:pPr>
      <w:r>
        <w:rPr>
          <w:rStyle w:val="FootnoteReference"/>
        </w:rPr>
        <w:footnoteRef/>
      </w:r>
      <w:r>
        <w:t xml:space="preserve"> </w:t>
      </w:r>
      <w:r>
        <w:rPr>
          <w:rFonts w:cs="Arial"/>
        </w:rPr>
        <w:t>Scott D. Dyreng, Jeffrey L. Hoopes and Jaron H. Wilde, ‘</w:t>
      </w:r>
      <w:r w:rsidRPr="00473FF6">
        <w:rPr>
          <w:rFonts w:cs="Arial"/>
        </w:rPr>
        <w:t>Public Pressure and Corporate Tax Behaviour</w:t>
      </w:r>
      <w:r>
        <w:rPr>
          <w:rFonts w:cs="Arial"/>
        </w:rPr>
        <w:t>’, Oxford University Centre for Business Taxation, September 2014,</w:t>
      </w:r>
      <w:r w:rsidRPr="00473FF6">
        <w:rPr>
          <w:rFonts w:cs="Arial"/>
        </w:rPr>
        <w:t xml:space="preserve"> </w:t>
      </w:r>
      <w:r>
        <w:rPr>
          <w:rFonts w:cs="Arial"/>
        </w:rPr>
        <w:t>pp. 4-5</w:t>
      </w:r>
      <w:r w:rsidRPr="00473FF6">
        <w:rPr>
          <w:rFonts w:cs="Arial"/>
        </w:rPr>
        <w:t>.</w:t>
      </w:r>
    </w:p>
  </w:footnote>
  <w:footnote w:id="9">
    <w:p w14:paraId="5449D2C4" w14:textId="77777777" w:rsidR="001E68C9" w:rsidRDefault="001E68C9" w:rsidP="001E68C9">
      <w:pPr>
        <w:pStyle w:val="FootnoteText"/>
      </w:pPr>
      <w:r>
        <w:rPr>
          <w:rStyle w:val="FootnoteReference"/>
        </w:rPr>
        <w:footnoteRef/>
      </w:r>
      <w:r>
        <w:t xml:space="preserve"> </w:t>
      </w:r>
      <w:r>
        <w:rPr>
          <w:rFonts w:cs="Arial"/>
        </w:rPr>
        <w:t>Scott D. Dyreng, Jeffrey L. Hoopes and Jaron H. Wilde, ‘</w:t>
      </w:r>
      <w:r w:rsidRPr="00473FF6">
        <w:rPr>
          <w:rFonts w:cs="Arial"/>
        </w:rPr>
        <w:t>Public Pressure and Corporate Tax Behaviour</w:t>
      </w:r>
      <w:r>
        <w:rPr>
          <w:rFonts w:cs="Arial"/>
        </w:rPr>
        <w:t>’, Oxford University Centre for Business Taxation, September 2014,</w:t>
      </w:r>
      <w:r w:rsidRPr="00473FF6">
        <w:rPr>
          <w:rFonts w:cs="Arial"/>
        </w:rPr>
        <w:t xml:space="preserve"> </w:t>
      </w:r>
      <w:r>
        <w:rPr>
          <w:rFonts w:cs="Arial"/>
        </w:rPr>
        <w:t>p. 6</w:t>
      </w:r>
      <w:r w:rsidRPr="00473FF6">
        <w:rPr>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CE3EC" w14:textId="77777777" w:rsidR="00031003" w:rsidRDefault="000310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7E01" w14:textId="77777777" w:rsidR="00031003" w:rsidRDefault="000310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5D73C" w14:textId="77777777" w:rsidR="00031003" w:rsidRDefault="00031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164D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45AB3"/>
    <w:multiLevelType w:val="hybridMultilevel"/>
    <w:tmpl w:val="8FF4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4305D8"/>
    <w:multiLevelType w:val="hybridMultilevel"/>
    <w:tmpl w:val="9A08C1DA"/>
    <w:lvl w:ilvl="0" w:tplc="45809968">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06A06A41"/>
    <w:multiLevelType w:val="hybridMultilevel"/>
    <w:tmpl w:val="F692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FF3135"/>
    <w:multiLevelType w:val="hybridMultilevel"/>
    <w:tmpl w:val="199CF986"/>
    <w:lvl w:ilvl="0" w:tplc="4D4CC67A">
      <w:numFmt w:val="bullet"/>
      <w:lvlText w:val="-"/>
      <w:lvlJc w:val="left"/>
      <w:pPr>
        <w:tabs>
          <w:tab w:val="num" w:pos="720"/>
        </w:tabs>
        <w:ind w:left="720" w:hanging="360"/>
      </w:pPr>
      <w:rPr>
        <w:rFonts w:ascii="Agency FB" w:eastAsia="Agency FB" w:hAnsi="Agency FB" w:cs="Agency FB"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F184F4B"/>
    <w:multiLevelType w:val="hybridMultilevel"/>
    <w:tmpl w:val="743812F2"/>
    <w:lvl w:ilvl="0" w:tplc="CB865378">
      <w:start w:val="1"/>
      <w:numFmt w:val="lowerLetter"/>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nsid w:val="10C80247"/>
    <w:multiLevelType w:val="hybridMultilevel"/>
    <w:tmpl w:val="042C76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120D39CC"/>
    <w:multiLevelType w:val="hybridMultilevel"/>
    <w:tmpl w:val="171CD3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50A5C9E"/>
    <w:multiLevelType w:val="hybridMultilevel"/>
    <w:tmpl w:val="D4020A2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9DC4903"/>
    <w:multiLevelType w:val="hybridMultilevel"/>
    <w:tmpl w:val="5E5AF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CF46171"/>
    <w:multiLevelType w:val="hybridMultilevel"/>
    <w:tmpl w:val="C98EC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0300B24"/>
    <w:multiLevelType w:val="hybridMultilevel"/>
    <w:tmpl w:val="44ACE1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23BB75BD"/>
    <w:multiLevelType w:val="hybridMultilevel"/>
    <w:tmpl w:val="3B1AC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60A19BE"/>
    <w:multiLevelType w:val="hybridMultilevel"/>
    <w:tmpl w:val="9D80E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8A866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2FD82B40"/>
    <w:multiLevelType w:val="hybridMultilevel"/>
    <w:tmpl w:val="EB64F6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0C11383"/>
    <w:multiLevelType w:val="hybridMultilevel"/>
    <w:tmpl w:val="603EC0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4B41CCD"/>
    <w:multiLevelType w:val="hybridMultilevel"/>
    <w:tmpl w:val="6314969A"/>
    <w:lvl w:ilvl="0" w:tplc="3C0C0F4E">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8">
    <w:nsid w:val="3721266C"/>
    <w:multiLevelType w:val="hybridMultilevel"/>
    <w:tmpl w:val="4D3ED3DA"/>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9">
    <w:nsid w:val="3C2066FE"/>
    <w:multiLevelType w:val="hybridMultilevel"/>
    <w:tmpl w:val="49C2E5D2"/>
    <w:lvl w:ilvl="0" w:tplc="4B602178">
      <w:start w:val="1"/>
      <w:numFmt w:val="decimal"/>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3C926413"/>
    <w:multiLevelType w:val="hybridMultilevel"/>
    <w:tmpl w:val="AFEEE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D2B5148"/>
    <w:multiLevelType w:val="hybridMultilevel"/>
    <w:tmpl w:val="E59A06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E837A3F"/>
    <w:multiLevelType w:val="hybridMultilevel"/>
    <w:tmpl w:val="02302932"/>
    <w:lvl w:ilvl="0" w:tplc="393AE68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FEB65E6"/>
    <w:multiLevelType w:val="hybridMultilevel"/>
    <w:tmpl w:val="FDAA30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5941060"/>
    <w:multiLevelType w:val="hybridMultilevel"/>
    <w:tmpl w:val="D7DCB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7252829"/>
    <w:multiLevelType w:val="hybridMultilevel"/>
    <w:tmpl w:val="CDC4848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4CB73B32"/>
    <w:multiLevelType w:val="hybridMultilevel"/>
    <w:tmpl w:val="584E07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E752E9E"/>
    <w:multiLevelType w:val="hybridMultilevel"/>
    <w:tmpl w:val="3D288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FC56F1B"/>
    <w:multiLevelType w:val="multilevel"/>
    <w:tmpl w:val="6B52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F011EC"/>
    <w:multiLevelType w:val="multilevel"/>
    <w:tmpl w:val="87E277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A041A0"/>
    <w:multiLevelType w:val="multilevel"/>
    <w:tmpl w:val="87E277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CE188D"/>
    <w:multiLevelType w:val="hybridMultilevel"/>
    <w:tmpl w:val="2490F76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7645024"/>
    <w:multiLevelType w:val="hybridMultilevel"/>
    <w:tmpl w:val="906AB3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584A4CC2"/>
    <w:multiLevelType w:val="hybridMultilevel"/>
    <w:tmpl w:val="F588FA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597947EE"/>
    <w:multiLevelType w:val="hybridMultilevel"/>
    <w:tmpl w:val="70806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CB264FA"/>
    <w:multiLevelType w:val="hybridMultilevel"/>
    <w:tmpl w:val="4642A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CC4061B"/>
    <w:multiLevelType w:val="hybridMultilevel"/>
    <w:tmpl w:val="D430A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D8B5B79"/>
    <w:multiLevelType w:val="hybridMultilevel"/>
    <w:tmpl w:val="EE829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6140ED"/>
    <w:multiLevelType w:val="hybridMultilevel"/>
    <w:tmpl w:val="EF622F2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68DD3945"/>
    <w:multiLevelType w:val="hybridMultilevel"/>
    <w:tmpl w:val="9812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2E01C8"/>
    <w:multiLevelType w:val="hybridMultilevel"/>
    <w:tmpl w:val="24B833D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6C733461"/>
    <w:multiLevelType w:val="hybridMultilevel"/>
    <w:tmpl w:val="63AC1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6E70185C"/>
    <w:multiLevelType w:val="hybridMultilevel"/>
    <w:tmpl w:val="81F03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B068E7"/>
    <w:multiLevelType w:val="hybridMultilevel"/>
    <w:tmpl w:val="F5EAD6BC"/>
    <w:lvl w:ilvl="0" w:tplc="CA42EE60">
      <w:start w:val="1"/>
      <w:numFmt w:val="lowerRoman"/>
      <w:lvlText w:val="(%1)"/>
      <w:lvlJc w:val="left"/>
      <w:pPr>
        <w:tabs>
          <w:tab w:val="num" w:pos="1080"/>
        </w:tabs>
        <w:ind w:left="1080" w:hanging="720"/>
      </w:pPr>
      <w:rPr>
        <w:rFonts w:hint="default"/>
      </w:rPr>
    </w:lvl>
    <w:lvl w:ilvl="1" w:tplc="6DACBE7A">
      <w:start w:val="1"/>
      <w:numFmt w:val="lowerRoman"/>
      <w:lvlText w:val="(%2)"/>
      <w:lvlJc w:val="left"/>
      <w:pPr>
        <w:tabs>
          <w:tab w:val="num" w:pos="1800"/>
        </w:tabs>
        <w:ind w:left="1800" w:hanging="720"/>
      </w:pPr>
      <w:rPr>
        <w:rFonts w:hint="default"/>
      </w:rPr>
    </w:lvl>
    <w:lvl w:ilvl="2" w:tplc="1AA227BE">
      <w:start w:val="1"/>
      <w:numFmt w:val="lowerLetter"/>
      <w:lvlText w:val="(%3)"/>
      <w:lvlJc w:val="left"/>
      <w:pPr>
        <w:tabs>
          <w:tab w:val="num" w:pos="2340"/>
        </w:tabs>
        <w:ind w:left="234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nsid w:val="71C316E8"/>
    <w:multiLevelType w:val="hybridMultilevel"/>
    <w:tmpl w:val="F15042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34C73E7"/>
    <w:multiLevelType w:val="hybridMultilevel"/>
    <w:tmpl w:val="EE20E610"/>
    <w:lvl w:ilvl="0" w:tplc="FC90DCDE">
      <w:start w:val="95"/>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7A9860C9"/>
    <w:multiLevelType w:val="multilevel"/>
    <w:tmpl w:val="87E277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D05E3"/>
    <w:multiLevelType w:val="hybridMultilevel"/>
    <w:tmpl w:val="8F10C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2"/>
  </w:num>
  <w:num w:numId="3">
    <w:abstractNumId w:val="2"/>
  </w:num>
  <w:num w:numId="4">
    <w:abstractNumId w:val="17"/>
  </w:num>
  <w:num w:numId="5">
    <w:abstractNumId w:val="4"/>
  </w:num>
  <w:num w:numId="6">
    <w:abstractNumId w:val="16"/>
  </w:num>
  <w:num w:numId="7">
    <w:abstractNumId w:val="43"/>
  </w:num>
  <w:num w:numId="8">
    <w:abstractNumId w:val="14"/>
  </w:num>
  <w:num w:numId="9">
    <w:abstractNumId w:val="23"/>
  </w:num>
  <w:num w:numId="10">
    <w:abstractNumId w:val="40"/>
  </w:num>
  <w:num w:numId="11">
    <w:abstractNumId w:val="7"/>
  </w:num>
  <w:num w:numId="12">
    <w:abstractNumId w:val="6"/>
  </w:num>
  <w:num w:numId="13">
    <w:abstractNumId w:val="25"/>
  </w:num>
  <w:num w:numId="14">
    <w:abstractNumId w:val="33"/>
  </w:num>
  <w:num w:numId="15">
    <w:abstractNumId w:val="15"/>
  </w:num>
  <w:num w:numId="16">
    <w:abstractNumId w:val="38"/>
  </w:num>
  <w:num w:numId="17">
    <w:abstractNumId w:val="31"/>
  </w:num>
  <w:num w:numId="18">
    <w:abstractNumId w:val="18"/>
  </w:num>
  <w:num w:numId="19">
    <w:abstractNumId w:val="8"/>
  </w:num>
  <w:num w:numId="20">
    <w:abstractNumId w:val="27"/>
  </w:num>
  <w:num w:numId="21">
    <w:abstractNumId w:val="36"/>
  </w:num>
  <w:num w:numId="22">
    <w:abstractNumId w:val="5"/>
  </w:num>
  <w:num w:numId="23">
    <w:abstractNumId w:val="37"/>
  </w:num>
  <w:num w:numId="24">
    <w:abstractNumId w:val="41"/>
  </w:num>
  <w:num w:numId="25">
    <w:abstractNumId w:val="1"/>
  </w:num>
  <w:num w:numId="26">
    <w:abstractNumId w:val="44"/>
  </w:num>
  <w:num w:numId="27">
    <w:abstractNumId w:val="39"/>
  </w:num>
  <w:num w:numId="28">
    <w:abstractNumId w:val="45"/>
  </w:num>
  <w:num w:numId="29">
    <w:abstractNumId w:val="28"/>
  </w:num>
  <w:num w:numId="30">
    <w:abstractNumId w:val="30"/>
  </w:num>
  <w:num w:numId="31">
    <w:abstractNumId w:val="46"/>
  </w:num>
  <w:num w:numId="32">
    <w:abstractNumId w:val="29"/>
  </w:num>
  <w:num w:numId="33">
    <w:abstractNumId w:val="19"/>
  </w:num>
  <w:num w:numId="34">
    <w:abstractNumId w:val="24"/>
  </w:num>
  <w:num w:numId="35">
    <w:abstractNumId w:val="3"/>
  </w:num>
  <w:num w:numId="36">
    <w:abstractNumId w:val="34"/>
  </w:num>
  <w:num w:numId="37">
    <w:abstractNumId w:val="13"/>
  </w:num>
  <w:num w:numId="38">
    <w:abstractNumId w:val="0"/>
  </w:num>
  <w:num w:numId="39">
    <w:abstractNumId w:val="9"/>
  </w:num>
  <w:num w:numId="40">
    <w:abstractNumId w:val="21"/>
  </w:num>
  <w:num w:numId="41">
    <w:abstractNumId w:val="10"/>
  </w:num>
  <w:num w:numId="42">
    <w:abstractNumId w:val="47"/>
  </w:num>
  <w:num w:numId="43">
    <w:abstractNumId w:val="42"/>
  </w:num>
  <w:num w:numId="44">
    <w:abstractNumId w:val="32"/>
  </w:num>
  <w:num w:numId="45">
    <w:abstractNumId w:val="26"/>
  </w:num>
  <w:num w:numId="46">
    <w:abstractNumId w:val="20"/>
  </w:num>
  <w:num w:numId="47">
    <w:abstractNumId w:val="35"/>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EA"/>
    <w:rsid w:val="00012847"/>
    <w:rsid w:val="00025A1F"/>
    <w:rsid w:val="00026273"/>
    <w:rsid w:val="00031003"/>
    <w:rsid w:val="00032A03"/>
    <w:rsid w:val="0003545C"/>
    <w:rsid w:val="00047E8E"/>
    <w:rsid w:val="00052936"/>
    <w:rsid w:val="0005479A"/>
    <w:rsid w:val="0006453B"/>
    <w:rsid w:val="0007379C"/>
    <w:rsid w:val="00075FBF"/>
    <w:rsid w:val="00076F9B"/>
    <w:rsid w:val="00077AC4"/>
    <w:rsid w:val="00077C46"/>
    <w:rsid w:val="000813FF"/>
    <w:rsid w:val="0008517E"/>
    <w:rsid w:val="00086ED0"/>
    <w:rsid w:val="00094E44"/>
    <w:rsid w:val="000A20FB"/>
    <w:rsid w:val="000A2560"/>
    <w:rsid w:val="000A4160"/>
    <w:rsid w:val="000B60B2"/>
    <w:rsid w:val="000C1EF2"/>
    <w:rsid w:val="000C4341"/>
    <w:rsid w:val="000D0C2D"/>
    <w:rsid w:val="000E01D4"/>
    <w:rsid w:val="000E214C"/>
    <w:rsid w:val="000E4043"/>
    <w:rsid w:val="000E5902"/>
    <w:rsid w:val="000F7535"/>
    <w:rsid w:val="000F7E15"/>
    <w:rsid w:val="00107332"/>
    <w:rsid w:val="001138F9"/>
    <w:rsid w:val="0011567C"/>
    <w:rsid w:val="00117E30"/>
    <w:rsid w:val="00122777"/>
    <w:rsid w:val="001242C9"/>
    <w:rsid w:val="001248CB"/>
    <w:rsid w:val="00124D5A"/>
    <w:rsid w:val="001270E5"/>
    <w:rsid w:val="0013035A"/>
    <w:rsid w:val="0013095D"/>
    <w:rsid w:val="00134A45"/>
    <w:rsid w:val="001353BF"/>
    <w:rsid w:val="001458A5"/>
    <w:rsid w:val="001465B4"/>
    <w:rsid w:val="00153546"/>
    <w:rsid w:val="001774A5"/>
    <w:rsid w:val="001857C6"/>
    <w:rsid w:val="0019195E"/>
    <w:rsid w:val="00191E48"/>
    <w:rsid w:val="00195046"/>
    <w:rsid w:val="001969E8"/>
    <w:rsid w:val="001A02A6"/>
    <w:rsid w:val="001A28E4"/>
    <w:rsid w:val="001B14F3"/>
    <w:rsid w:val="001C6645"/>
    <w:rsid w:val="001D1069"/>
    <w:rsid w:val="001D42D1"/>
    <w:rsid w:val="001D43B0"/>
    <w:rsid w:val="001D48AC"/>
    <w:rsid w:val="001D527A"/>
    <w:rsid w:val="001E54C3"/>
    <w:rsid w:val="001E5D04"/>
    <w:rsid w:val="001E68C9"/>
    <w:rsid w:val="001E7482"/>
    <w:rsid w:val="001F05DC"/>
    <w:rsid w:val="001F119B"/>
    <w:rsid w:val="001F3A3F"/>
    <w:rsid w:val="001F3D20"/>
    <w:rsid w:val="001F4AA7"/>
    <w:rsid w:val="001F51D6"/>
    <w:rsid w:val="001F6A78"/>
    <w:rsid w:val="00202BC1"/>
    <w:rsid w:val="00203A69"/>
    <w:rsid w:val="0020553E"/>
    <w:rsid w:val="002076FE"/>
    <w:rsid w:val="00210249"/>
    <w:rsid w:val="00211930"/>
    <w:rsid w:val="00213873"/>
    <w:rsid w:val="00224CF6"/>
    <w:rsid w:val="00255209"/>
    <w:rsid w:val="00256719"/>
    <w:rsid w:val="0026148D"/>
    <w:rsid w:val="00264DF6"/>
    <w:rsid w:val="00265BEA"/>
    <w:rsid w:val="002719FA"/>
    <w:rsid w:val="002831F9"/>
    <w:rsid w:val="002947B4"/>
    <w:rsid w:val="00295B8C"/>
    <w:rsid w:val="002A1B23"/>
    <w:rsid w:val="002A1E6C"/>
    <w:rsid w:val="002B282D"/>
    <w:rsid w:val="002B53DC"/>
    <w:rsid w:val="002B7D0A"/>
    <w:rsid w:val="002B7D42"/>
    <w:rsid w:val="002C07EA"/>
    <w:rsid w:val="002C1732"/>
    <w:rsid w:val="002C3641"/>
    <w:rsid w:val="002C5BB7"/>
    <w:rsid w:val="002D11FD"/>
    <w:rsid w:val="002D4674"/>
    <w:rsid w:val="002D54B9"/>
    <w:rsid w:val="002E0E20"/>
    <w:rsid w:val="002E44B3"/>
    <w:rsid w:val="002E75FD"/>
    <w:rsid w:val="002E7AF5"/>
    <w:rsid w:val="002F20C5"/>
    <w:rsid w:val="0031480D"/>
    <w:rsid w:val="00320051"/>
    <w:rsid w:val="003270E5"/>
    <w:rsid w:val="00331783"/>
    <w:rsid w:val="0033352B"/>
    <w:rsid w:val="0034504F"/>
    <w:rsid w:val="003505F7"/>
    <w:rsid w:val="00353088"/>
    <w:rsid w:val="00357436"/>
    <w:rsid w:val="003610E6"/>
    <w:rsid w:val="00367A39"/>
    <w:rsid w:val="00373BBA"/>
    <w:rsid w:val="0038652A"/>
    <w:rsid w:val="00386D4F"/>
    <w:rsid w:val="00397667"/>
    <w:rsid w:val="003A409D"/>
    <w:rsid w:val="003A7400"/>
    <w:rsid w:val="003B3D7C"/>
    <w:rsid w:val="003C3297"/>
    <w:rsid w:val="003C403C"/>
    <w:rsid w:val="003C670B"/>
    <w:rsid w:val="003C7530"/>
    <w:rsid w:val="003D723D"/>
    <w:rsid w:val="003F3505"/>
    <w:rsid w:val="003F79A2"/>
    <w:rsid w:val="00401E26"/>
    <w:rsid w:val="0040324E"/>
    <w:rsid w:val="00405B91"/>
    <w:rsid w:val="00414105"/>
    <w:rsid w:val="00427ACF"/>
    <w:rsid w:val="00430FBF"/>
    <w:rsid w:val="00441B75"/>
    <w:rsid w:val="004529A9"/>
    <w:rsid w:val="00453B5E"/>
    <w:rsid w:val="00455C9E"/>
    <w:rsid w:val="00463476"/>
    <w:rsid w:val="00471F61"/>
    <w:rsid w:val="00473F51"/>
    <w:rsid w:val="0048010B"/>
    <w:rsid w:val="00481893"/>
    <w:rsid w:val="00495890"/>
    <w:rsid w:val="0049750B"/>
    <w:rsid w:val="004A3EC5"/>
    <w:rsid w:val="004A3F0D"/>
    <w:rsid w:val="004B2A54"/>
    <w:rsid w:val="004B5B7F"/>
    <w:rsid w:val="004C09DA"/>
    <w:rsid w:val="004C4676"/>
    <w:rsid w:val="004F0D18"/>
    <w:rsid w:val="004F1694"/>
    <w:rsid w:val="004F3E67"/>
    <w:rsid w:val="004F4AFB"/>
    <w:rsid w:val="004F6F98"/>
    <w:rsid w:val="004F7AB7"/>
    <w:rsid w:val="00504882"/>
    <w:rsid w:val="00507763"/>
    <w:rsid w:val="00521DED"/>
    <w:rsid w:val="00524F00"/>
    <w:rsid w:val="00533D66"/>
    <w:rsid w:val="005412E0"/>
    <w:rsid w:val="00544A1A"/>
    <w:rsid w:val="00550934"/>
    <w:rsid w:val="0055160C"/>
    <w:rsid w:val="00552811"/>
    <w:rsid w:val="0055339E"/>
    <w:rsid w:val="00564ED0"/>
    <w:rsid w:val="00565B56"/>
    <w:rsid w:val="005743D0"/>
    <w:rsid w:val="005803A7"/>
    <w:rsid w:val="00590C0C"/>
    <w:rsid w:val="00591B3A"/>
    <w:rsid w:val="00592390"/>
    <w:rsid w:val="00592407"/>
    <w:rsid w:val="005936F9"/>
    <w:rsid w:val="00594496"/>
    <w:rsid w:val="00597DB2"/>
    <w:rsid w:val="005A11C4"/>
    <w:rsid w:val="005A1649"/>
    <w:rsid w:val="005A18A1"/>
    <w:rsid w:val="005A18CE"/>
    <w:rsid w:val="005A1CEE"/>
    <w:rsid w:val="005A5590"/>
    <w:rsid w:val="005A5AD6"/>
    <w:rsid w:val="005A5DE3"/>
    <w:rsid w:val="005A642A"/>
    <w:rsid w:val="005A72BA"/>
    <w:rsid w:val="005C1765"/>
    <w:rsid w:val="005C2A75"/>
    <w:rsid w:val="005C6F1B"/>
    <w:rsid w:val="005D00E0"/>
    <w:rsid w:val="005D02CE"/>
    <w:rsid w:val="005D6471"/>
    <w:rsid w:val="005E2736"/>
    <w:rsid w:val="005E49A9"/>
    <w:rsid w:val="005F4FF3"/>
    <w:rsid w:val="005F54C3"/>
    <w:rsid w:val="006070BB"/>
    <w:rsid w:val="00607506"/>
    <w:rsid w:val="00615774"/>
    <w:rsid w:val="006224F7"/>
    <w:rsid w:val="0062339E"/>
    <w:rsid w:val="006253A3"/>
    <w:rsid w:val="00625FD4"/>
    <w:rsid w:val="00634666"/>
    <w:rsid w:val="00642930"/>
    <w:rsid w:val="0065794C"/>
    <w:rsid w:val="006601C7"/>
    <w:rsid w:val="00660F51"/>
    <w:rsid w:val="0066286A"/>
    <w:rsid w:val="00664B3F"/>
    <w:rsid w:val="0066520F"/>
    <w:rsid w:val="00665596"/>
    <w:rsid w:val="0067249D"/>
    <w:rsid w:val="00672A77"/>
    <w:rsid w:val="006872E4"/>
    <w:rsid w:val="006A0E74"/>
    <w:rsid w:val="006A45DA"/>
    <w:rsid w:val="006A4976"/>
    <w:rsid w:val="006A5615"/>
    <w:rsid w:val="006A5E52"/>
    <w:rsid w:val="006A643E"/>
    <w:rsid w:val="006B24E4"/>
    <w:rsid w:val="006B401D"/>
    <w:rsid w:val="006D12B1"/>
    <w:rsid w:val="006D2106"/>
    <w:rsid w:val="006D4935"/>
    <w:rsid w:val="006D6159"/>
    <w:rsid w:val="006D6569"/>
    <w:rsid w:val="006E3D38"/>
    <w:rsid w:val="006E4783"/>
    <w:rsid w:val="006F0183"/>
    <w:rsid w:val="006F136C"/>
    <w:rsid w:val="006F24B8"/>
    <w:rsid w:val="006F7F45"/>
    <w:rsid w:val="00702508"/>
    <w:rsid w:val="00706264"/>
    <w:rsid w:val="0070788D"/>
    <w:rsid w:val="00710A30"/>
    <w:rsid w:val="0071435B"/>
    <w:rsid w:val="007163ED"/>
    <w:rsid w:val="00720D93"/>
    <w:rsid w:val="00724507"/>
    <w:rsid w:val="00725A9D"/>
    <w:rsid w:val="0072665D"/>
    <w:rsid w:val="00730889"/>
    <w:rsid w:val="00731B3C"/>
    <w:rsid w:val="007328E6"/>
    <w:rsid w:val="00734A5D"/>
    <w:rsid w:val="0074404A"/>
    <w:rsid w:val="00745140"/>
    <w:rsid w:val="00747D48"/>
    <w:rsid w:val="00753797"/>
    <w:rsid w:val="0075501A"/>
    <w:rsid w:val="00755E5F"/>
    <w:rsid w:val="00762A8F"/>
    <w:rsid w:val="007715EE"/>
    <w:rsid w:val="00774CAC"/>
    <w:rsid w:val="00793869"/>
    <w:rsid w:val="00794346"/>
    <w:rsid w:val="0079489B"/>
    <w:rsid w:val="00794F91"/>
    <w:rsid w:val="007A4620"/>
    <w:rsid w:val="007A6B37"/>
    <w:rsid w:val="007B1BDE"/>
    <w:rsid w:val="007B6094"/>
    <w:rsid w:val="007B7646"/>
    <w:rsid w:val="007C32B3"/>
    <w:rsid w:val="007C3808"/>
    <w:rsid w:val="007D01EE"/>
    <w:rsid w:val="007D1C66"/>
    <w:rsid w:val="007D2484"/>
    <w:rsid w:val="007E0524"/>
    <w:rsid w:val="007E0873"/>
    <w:rsid w:val="007E20D6"/>
    <w:rsid w:val="007E2168"/>
    <w:rsid w:val="007E3877"/>
    <w:rsid w:val="007E6DD6"/>
    <w:rsid w:val="007E7116"/>
    <w:rsid w:val="007F3045"/>
    <w:rsid w:val="007F473E"/>
    <w:rsid w:val="007F54F8"/>
    <w:rsid w:val="00805217"/>
    <w:rsid w:val="0080626C"/>
    <w:rsid w:val="008075C3"/>
    <w:rsid w:val="0081004A"/>
    <w:rsid w:val="008115B5"/>
    <w:rsid w:val="00816191"/>
    <w:rsid w:val="00817123"/>
    <w:rsid w:val="008171C4"/>
    <w:rsid w:val="0082006B"/>
    <w:rsid w:val="008204EF"/>
    <w:rsid w:val="00824990"/>
    <w:rsid w:val="00825EF0"/>
    <w:rsid w:val="00826942"/>
    <w:rsid w:val="00832EAA"/>
    <w:rsid w:val="00833C10"/>
    <w:rsid w:val="00834503"/>
    <w:rsid w:val="00840D8C"/>
    <w:rsid w:val="00842E98"/>
    <w:rsid w:val="008466A2"/>
    <w:rsid w:val="00851EAD"/>
    <w:rsid w:val="00854F49"/>
    <w:rsid w:val="008632FF"/>
    <w:rsid w:val="008637D4"/>
    <w:rsid w:val="00872862"/>
    <w:rsid w:val="00875868"/>
    <w:rsid w:val="008765E9"/>
    <w:rsid w:val="00881065"/>
    <w:rsid w:val="00883DF8"/>
    <w:rsid w:val="0089350F"/>
    <w:rsid w:val="008957DF"/>
    <w:rsid w:val="008A3AEA"/>
    <w:rsid w:val="008A499C"/>
    <w:rsid w:val="008C261D"/>
    <w:rsid w:val="008C48C5"/>
    <w:rsid w:val="008C5766"/>
    <w:rsid w:val="008C6545"/>
    <w:rsid w:val="008D0668"/>
    <w:rsid w:val="008D1EA7"/>
    <w:rsid w:val="008D26CB"/>
    <w:rsid w:val="008D6122"/>
    <w:rsid w:val="008D7036"/>
    <w:rsid w:val="008D7344"/>
    <w:rsid w:val="008E106D"/>
    <w:rsid w:val="008E4CA1"/>
    <w:rsid w:val="008F0B7F"/>
    <w:rsid w:val="008F518F"/>
    <w:rsid w:val="008F702D"/>
    <w:rsid w:val="00901E01"/>
    <w:rsid w:val="00905F53"/>
    <w:rsid w:val="009156E3"/>
    <w:rsid w:val="00921465"/>
    <w:rsid w:val="00923E1F"/>
    <w:rsid w:val="00924C24"/>
    <w:rsid w:val="00925279"/>
    <w:rsid w:val="00927CAE"/>
    <w:rsid w:val="00931A38"/>
    <w:rsid w:val="00932AF1"/>
    <w:rsid w:val="0095052E"/>
    <w:rsid w:val="00950889"/>
    <w:rsid w:val="009643A3"/>
    <w:rsid w:val="00971101"/>
    <w:rsid w:val="00975FA0"/>
    <w:rsid w:val="00977AE9"/>
    <w:rsid w:val="009805C1"/>
    <w:rsid w:val="009812CE"/>
    <w:rsid w:val="00994429"/>
    <w:rsid w:val="00996AF6"/>
    <w:rsid w:val="009A2D2B"/>
    <w:rsid w:val="009A7452"/>
    <w:rsid w:val="009A7F3B"/>
    <w:rsid w:val="009C5654"/>
    <w:rsid w:val="009C7D3E"/>
    <w:rsid w:val="009D211D"/>
    <w:rsid w:val="009D7C52"/>
    <w:rsid w:val="009E5E4E"/>
    <w:rsid w:val="009E67C9"/>
    <w:rsid w:val="009E6941"/>
    <w:rsid w:val="009F7F44"/>
    <w:rsid w:val="00A0130E"/>
    <w:rsid w:val="00A019AC"/>
    <w:rsid w:val="00A12310"/>
    <w:rsid w:val="00A13928"/>
    <w:rsid w:val="00A21484"/>
    <w:rsid w:val="00A245AD"/>
    <w:rsid w:val="00A25359"/>
    <w:rsid w:val="00A37417"/>
    <w:rsid w:val="00A41534"/>
    <w:rsid w:val="00A56F7E"/>
    <w:rsid w:val="00A60AE9"/>
    <w:rsid w:val="00A6325A"/>
    <w:rsid w:val="00A652C8"/>
    <w:rsid w:val="00A664D8"/>
    <w:rsid w:val="00A73CBB"/>
    <w:rsid w:val="00A81F62"/>
    <w:rsid w:val="00A82C7F"/>
    <w:rsid w:val="00A86822"/>
    <w:rsid w:val="00A90965"/>
    <w:rsid w:val="00A9123E"/>
    <w:rsid w:val="00A96886"/>
    <w:rsid w:val="00AA27BC"/>
    <w:rsid w:val="00AA443B"/>
    <w:rsid w:val="00AA4BD4"/>
    <w:rsid w:val="00AB03FA"/>
    <w:rsid w:val="00AB2221"/>
    <w:rsid w:val="00AB7C54"/>
    <w:rsid w:val="00AC4620"/>
    <w:rsid w:val="00AC6E36"/>
    <w:rsid w:val="00AE1B01"/>
    <w:rsid w:val="00AF3809"/>
    <w:rsid w:val="00AF5EDD"/>
    <w:rsid w:val="00AF6C9C"/>
    <w:rsid w:val="00B0336D"/>
    <w:rsid w:val="00B043D7"/>
    <w:rsid w:val="00B0558A"/>
    <w:rsid w:val="00B05ED0"/>
    <w:rsid w:val="00B0618C"/>
    <w:rsid w:val="00B17B71"/>
    <w:rsid w:val="00B21795"/>
    <w:rsid w:val="00B24891"/>
    <w:rsid w:val="00B308D6"/>
    <w:rsid w:val="00B425E8"/>
    <w:rsid w:val="00B47D79"/>
    <w:rsid w:val="00B5185F"/>
    <w:rsid w:val="00B51BB7"/>
    <w:rsid w:val="00B6054C"/>
    <w:rsid w:val="00B642F7"/>
    <w:rsid w:val="00B65D35"/>
    <w:rsid w:val="00B6793A"/>
    <w:rsid w:val="00B715B9"/>
    <w:rsid w:val="00B7202E"/>
    <w:rsid w:val="00B76244"/>
    <w:rsid w:val="00B80C36"/>
    <w:rsid w:val="00B81149"/>
    <w:rsid w:val="00B849E7"/>
    <w:rsid w:val="00B9193E"/>
    <w:rsid w:val="00B96D1F"/>
    <w:rsid w:val="00B97AB9"/>
    <w:rsid w:val="00BA1801"/>
    <w:rsid w:val="00BA43F2"/>
    <w:rsid w:val="00BB7C99"/>
    <w:rsid w:val="00BC0A65"/>
    <w:rsid w:val="00BC502B"/>
    <w:rsid w:val="00BC57BD"/>
    <w:rsid w:val="00BD33BB"/>
    <w:rsid w:val="00BE0B79"/>
    <w:rsid w:val="00BE2178"/>
    <w:rsid w:val="00BE70B9"/>
    <w:rsid w:val="00BF1CA7"/>
    <w:rsid w:val="00BF22A8"/>
    <w:rsid w:val="00C02398"/>
    <w:rsid w:val="00C035DE"/>
    <w:rsid w:val="00C0679E"/>
    <w:rsid w:val="00C10E8A"/>
    <w:rsid w:val="00C15975"/>
    <w:rsid w:val="00C22FE8"/>
    <w:rsid w:val="00C25EFF"/>
    <w:rsid w:val="00C264F3"/>
    <w:rsid w:val="00C27E54"/>
    <w:rsid w:val="00C30030"/>
    <w:rsid w:val="00C504BB"/>
    <w:rsid w:val="00C64CD3"/>
    <w:rsid w:val="00C665CA"/>
    <w:rsid w:val="00C81BB8"/>
    <w:rsid w:val="00C82EF6"/>
    <w:rsid w:val="00C92D58"/>
    <w:rsid w:val="00C93921"/>
    <w:rsid w:val="00CB1035"/>
    <w:rsid w:val="00CC606C"/>
    <w:rsid w:val="00CE165C"/>
    <w:rsid w:val="00CE2A6E"/>
    <w:rsid w:val="00CE307C"/>
    <w:rsid w:val="00CE6129"/>
    <w:rsid w:val="00CF274F"/>
    <w:rsid w:val="00CF3E74"/>
    <w:rsid w:val="00CF5C24"/>
    <w:rsid w:val="00D00D1C"/>
    <w:rsid w:val="00D05EEA"/>
    <w:rsid w:val="00D0693B"/>
    <w:rsid w:val="00D1130A"/>
    <w:rsid w:val="00D12F88"/>
    <w:rsid w:val="00D14A7C"/>
    <w:rsid w:val="00D34363"/>
    <w:rsid w:val="00D409D0"/>
    <w:rsid w:val="00D442DA"/>
    <w:rsid w:val="00D4650A"/>
    <w:rsid w:val="00D47EC9"/>
    <w:rsid w:val="00D55EA0"/>
    <w:rsid w:val="00D60AFB"/>
    <w:rsid w:val="00D6136F"/>
    <w:rsid w:val="00D961F4"/>
    <w:rsid w:val="00DA4382"/>
    <w:rsid w:val="00DA726B"/>
    <w:rsid w:val="00DA7DA3"/>
    <w:rsid w:val="00DB4D11"/>
    <w:rsid w:val="00DB59D4"/>
    <w:rsid w:val="00DC3920"/>
    <w:rsid w:val="00DC4BC3"/>
    <w:rsid w:val="00DD0218"/>
    <w:rsid w:val="00DD32EB"/>
    <w:rsid w:val="00DD614F"/>
    <w:rsid w:val="00DD6773"/>
    <w:rsid w:val="00DD7C05"/>
    <w:rsid w:val="00DE1D03"/>
    <w:rsid w:val="00DE1E1A"/>
    <w:rsid w:val="00DE721F"/>
    <w:rsid w:val="00DF072E"/>
    <w:rsid w:val="00E027D1"/>
    <w:rsid w:val="00E04E89"/>
    <w:rsid w:val="00E06DA1"/>
    <w:rsid w:val="00E1292D"/>
    <w:rsid w:val="00E2165F"/>
    <w:rsid w:val="00E21F4F"/>
    <w:rsid w:val="00E27CAB"/>
    <w:rsid w:val="00E32CA0"/>
    <w:rsid w:val="00E4212B"/>
    <w:rsid w:val="00E44538"/>
    <w:rsid w:val="00E461DA"/>
    <w:rsid w:val="00E47DBB"/>
    <w:rsid w:val="00E634C2"/>
    <w:rsid w:val="00E66DFC"/>
    <w:rsid w:val="00E71942"/>
    <w:rsid w:val="00E83483"/>
    <w:rsid w:val="00E8497C"/>
    <w:rsid w:val="00E91AA6"/>
    <w:rsid w:val="00E9364B"/>
    <w:rsid w:val="00EA2AF5"/>
    <w:rsid w:val="00EA4859"/>
    <w:rsid w:val="00EA5828"/>
    <w:rsid w:val="00EA7316"/>
    <w:rsid w:val="00EB0108"/>
    <w:rsid w:val="00EB36C2"/>
    <w:rsid w:val="00EC1A2C"/>
    <w:rsid w:val="00EC57B7"/>
    <w:rsid w:val="00ED2C69"/>
    <w:rsid w:val="00ED48FD"/>
    <w:rsid w:val="00ED6A64"/>
    <w:rsid w:val="00ED6ECE"/>
    <w:rsid w:val="00ED7619"/>
    <w:rsid w:val="00EE55BA"/>
    <w:rsid w:val="00EE6C5E"/>
    <w:rsid w:val="00EF0F23"/>
    <w:rsid w:val="00F00F4C"/>
    <w:rsid w:val="00F07A3C"/>
    <w:rsid w:val="00F115B5"/>
    <w:rsid w:val="00F169A5"/>
    <w:rsid w:val="00F203CF"/>
    <w:rsid w:val="00F27484"/>
    <w:rsid w:val="00F3000D"/>
    <w:rsid w:val="00F5048E"/>
    <w:rsid w:val="00F56659"/>
    <w:rsid w:val="00F7266F"/>
    <w:rsid w:val="00F72714"/>
    <w:rsid w:val="00F7607D"/>
    <w:rsid w:val="00F83CBF"/>
    <w:rsid w:val="00F926FF"/>
    <w:rsid w:val="00F9361D"/>
    <w:rsid w:val="00FA10BE"/>
    <w:rsid w:val="00FA7F7B"/>
    <w:rsid w:val="00FB1477"/>
    <w:rsid w:val="00FB21BE"/>
    <w:rsid w:val="00FB2C9A"/>
    <w:rsid w:val="00FB359A"/>
    <w:rsid w:val="00FB515C"/>
    <w:rsid w:val="00FB5E13"/>
    <w:rsid w:val="00FB6E4A"/>
    <w:rsid w:val="00FC2BAE"/>
    <w:rsid w:val="00FC6311"/>
    <w:rsid w:val="00FE1996"/>
    <w:rsid w:val="00FE78D1"/>
    <w:rsid w:val="00FE796D"/>
    <w:rsid w:val="00FF7609"/>
    <w:rsid w:val="00FF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7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B7F"/>
    <w:rPr>
      <w:rFonts w:ascii="Arial" w:hAnsi="Arial"/>
      <w:sz w:val="22"/>
      <w:szCs w:val="24"/>
      <w:lang w:val="en-AU" w:eastAsia="en-AU"/>
    </w:rPr>
  </w:style>
  <w:style w:type="paragraph" w:styleId="Heading1">
    <w:name w:val="heading 1"/>
    <w:basedOn w:val="Normal"/>
    <w:next w:val="Normal"/>
    <w:link w:val="Heading1Char"/>
    <w:qFormat/>
    <w:rsid w:val="000F7535"/>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086ED0"/>
    <w:pPr>
      <w:keepNext/>
      <w:spacing w:before="240" w:after="60"/>
      <w:outlineLvl w:val="2"/>
    </w:pPr>
    <w:rPr>
      <w:rFonts w:cs="Arial"/>
      <w:b/>
      <w:bCs/>
      <w:sz w:val="26"/>
      <w:szCs w:val="26"/>
    </w:rPr>
  </w:style>
  <w:style w:type="paragraph" w:styleId="Heading4">
    <w:name w:val="heading 4"/>
    <w:basedOn w:val="Normal"/>
    <w:next w:val="Normal"/>
    <w:link w:val="Heading4Char"/>
    <w:qFormat/>
    <w:rsid w:val="00295B8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Heading3"/>
    <w:autoRedefine/>
    <w:rsid w:val="00086ED0"/>
    <w:pPr>
      <w:spacing w:before="0" w:after="0"/>
    </w:pPr>
    <w:rPr>
      <w:rFonts w:cs="Times New Roman"/>
      <w:b w:val="0"/>
      <w:bCs w:val="0"/>
      <w:i/>
      <w:sz w:val="22"/>
      <w:szCs w:val="24"/>
    </w:rPr>
  </w:style>
  <w:style w:type="paragraph" w:styleId="Header">
    <w:name w:val="header"/>
    <w:basedOn w:val="Normal"/>
    <w:rsid w:val="008A3AEA"/>
    <w:pPr>
      <w:tabs>
        <w:tab w:val="center" w:pos="4153"/>
        <w:tab w:val="right" w:pos="8306"/>
      </w:tabs>
    </w:pPr>
  </w:style>
  <w:style w:type="paragraph" w:styleId="Footer">
    <w:name w:val="footer"/>
    <w:basedOn w:val="Normal"/>
    <w:rsid w:val="008A3AEA"/>
    <w:pPr>
      <w:tabs>
        <w:tab w:val="center" w:pos="4153"/>
        <w:tab w:val="right" w:pos="8306"/>
      </w:tabs>
    </w:pPr>
  </w:style>
  <w:style w:type="paragraph" w:styleId="FootnoteText">
    <w:name w:val="footnote text"/>
    <w:basedOn w:val="Normal"/>
    <w:link w:val="FootnoteTextChar"/>
    <w:uiPriority w:val="99"/>
    <w:rsid w:val="00825EF0"/>
    <w:rPr>
      <w:sz w:val="20"/>
      <w:szCs w:val="20"/>
    </w:rPr>
  </w:style>
  <w:style w:type="character" w:styleId="FootnoteReference">
    <w:name w:val="footnote reference"/>
    <w:uiPriority w:val="99"/>
    <w:rsid w:val="00825EF0"/>
    <w:rPr>
      <w:vertAlign w:val="superscript"/>
    </w:rPr>
  </w:style>
  <w:style w:type="paragraph" w:styleId="BodyTextIndent">
    <w:name w:val="Body Text Indent"/>
    <w:basedOn w:val="Normal"/>
    <w:rsid w:val="00A37417"/>
    <w:pPr>
      <w:widowControl w:val="0"/>
      <w:tabs>
        <w:tab w:val="left" w:pos="-1152"/>
        <w:tab w:val="left" w:pos="-720"/>
        <w:tab w:val="left" w:pos="1053"/>
        <w:tab w:val="left" w:pos="1621"/>
      </w:tabs>
      <w:ind w:left="1053" w:hanging="1046"/>
    </w:pPr>
    <w:rPr>
      <w:snapToGrid w:val="0"/>
      <w:sz w:val="20"/>
      <w:szCs w:val="20"/>
      <w:lang w:eastAsia="en-US"/>
    </w:rPr>
  </w:style>
  <w:style w:type="character" w:styleId="PageNumber">
    <w:name w:val="page number"/>
    <w:basedOn w:val="DefaultParagraphFont"/>
    <w:rsid w:val="00AA27BC"/>
  </w:style>
  <w:style w:type="character" w:styleId="Hyperlink">
    <w:name w:val="Hyperlink"/>
    <w:uiPriority w:val="99"/>
    <w:rsid w:val="00634666"/>
    <w:rPr>
      <w:color w:val="0000FF"/>
      <w:u w:val="single"/>
    </w:rPr>
  </w:style>
  <w:style w:type="paragraph" w:styleId="BalloonText">
    <w:name w:val="Balloon Text"/>
    <w:basedOn w:val="Normal"/>
    <w:semiHidden/>
    <w:rsid w:val="005F4FF3"/>
    <w:rPr>
      <w:rFonts w:ascii="Tahoma" w:hAnsi="Tahoma" w:cs="Tahoma"/>
      <w:sz w:val="16"/>
      <w:szCs w:val="16"/>
    </w:rPr>
  </w:style>
  <w:style w:type="character" w:styleId="CommentReference">
    <w:name w:val="annotation reference"/>
    <w:semiHidden/>
    <w:rsid w:val="00932AF1"/>
    <w:rPr>
      <w:sz w:val="16"/>
      <w:szCs w:val="16"/>
    </w:rPr>
  </w:style>
  <w:style w:type="paragraph" w:styleId="CommentText">
    <w:name w:val="annotation text"/>
    <w:basedOn w:val="Normal"/>
    <w:semiHidden/>
    <w:rsid w:val="00932AF1"/>
    <w:rPr>
      <w:sz w:val="20"/>
      <w:szCs w:val="20"/>
    </w:rPr>
  </w:style>
  <w:style w:type="paragraph" w:styleId="CommentSubject">
    <w:name w:val="annotation subject"/>
    <w:basedOn w:val="CommentText"/>
    <w:next w:val="CommentText"/>
    <w:semiHidden/>
    <w:rsid w:val="00932AF1"/>
    <w:rPr>
      <w:b/>
      <w:bCs/>
    </w:rPr>
  </w:style>
  <w:style w:type="character" w:customStyle="1" w:styleId="FootnoteTextChar">
    <w:name w:val="Footnote Text Char"/>
    <w:link w:val="FootnoteText"/>
    <w:uiPriority w:val="99"/>
    <w:rsid w:val="00B47D79"/>
    <w:rPr>
      <w:lang w:val="en-AU" w:eastAsia="en-AU" w:bidi="ar-SA"/>
    </w:rPr>
  </w:style>
  <w:style w:type="paragraph" w:customStyle="1" w:styleId="ColorfulList-Accent11">
    <w:name w:val="Colorful List - Accent 11"/>
    <w:basedOn w:val="Normal"/>
    <w:uiPriority w:val="34"/>
    <w:qFormat/>
    <w:rsid w:val="00B96D1F"/>
    <w:pPr>
      <w:spacing w:after="200" w:line="276" w:lineRule="auto"/>
      <w:ind w:left="720"/>
      <w:contextualSpacing/>
    </w:pPr>
    <w:rPr>
      <w:rFonts w:ascii="Calibri" w:eastAsia="Calibri" w:hAnsi="Calibri"/>
      <w:szCs w:val="22"/>
      <w:lang w:eastAsia="en-US"/>
    </w:rPr>
  </w:style>
  <w:style w:type="character" w:customStyle="1" w:styleId="Heading4Char">
    <w:name w:val="Heading 4 Char"/>
    <w:link w:val="Heading4"/>
    <w:semiHidden/>
    <w:rsid w:val="00295B8C"/>
    <w:rPr>
      <w:rFonts w:ascii="Calibri" w:eastAsia="Times New Roman" w:hAnsi="Calibri" w:cs="Times New Roman"/>
      <w:b/>
      <w:bCs/>
      <w:sz w:val="28"/>
      <w:szCs w:val="28"/>
    </w:rPr>
  </w:style>
  <w:style w:type="character" w:customStyle="1" w:styleId="Heading1Char">
    <w:name w:val="Heading 1 Char"/>
    <w:link w:val="Heading1"/>
    <w:rsid w:val="000F7535"/>
    <w:rPr>
      <w:rFonts w:ascii="Cambria" w:eastAsia="Times New Roman" w:hAnsi="Cambria" w:cs="Times New Roman"/>
      <w:b/>
      <w:bCs/>
      <w:kern w:val="32"/>
      <w:sz w:val="32"/>
      <w:szCs w:val="32"/>
    </w:rPr>
  </w:style>
  <w:style w:type="paragraph" w:styleId="ListParagraph">
    <w:name w:val="List Paragraph"/>
    <w:basedOn w:val="Normal"/>
    <w:uiPriority w:val="34"/>
    <w:qFormat/>
    <w:rsid w:val="00FF7BF9"/>
    <w:pPr>
      <w:ind w:left="720"/>
      <w:contextualSpacing/>
    </w:pPr>
  </w:style>
  <w:style w:type="paragraph" w:styleId="EndnoteText">
    <w:name w:val="endnote text"/>
    <w:basedOn w:val="Normal"/>
    <w:link w:val="EndnoteTextChar"/>
    <w:uiPriority w:val="99"/>
    <w:unhideWhenUsed/>
    <w:rsid w:val="00357436"/>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357436"/>
    <w:rPr>
      <w:rFonts w:asciiTheme="minorHAnsi" w:eastAsiaTheme="minorHAnsi" w:hAnsiTheme="minorHAnsi" w:cstheme="minorBidi"/>
      <w:lang w:val="en-AU"/>
    </w:rPr>
  </w:style>
  <w:style w:type="character" w:styleId="EndnoteReference">
    <w:name w:val="endnote reference"/>
    <w:basedOn w:val="DefaultParagraphFont"/>
    <w:uiPriority w:val="99"/>
    <w:unhideWhenUsed/>
    <w:rsid w:val="00357436"/>
    <w:rPr>
      <w:vertAlign w:val="superscript"/>
    </w:rPr>
  </w:style>
  <w:style w:type="paragraph" w:styleId="TOCHeading">
    <w:name w:val="TOC Heading"/>
    <w:basedOn w:val="Heading1"/>
    <w:next w:val="Normal"/>
    <w:uiPriority w:val="39"/>
    <w:semiHidden/>
    <w:unhideWhenUsed/>
    <w:qFormat/>
    <w:rsid w:val="006E478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6E4783"/>
    <w:pPr>
      <w:spacing w:after="100"/>
    </w:pPr>
  </w:style>
  <w:style w:type="table" w:styleId="TableGrid">
    <w:name w:val="Table Grid"/>
    <w:basedOn w:val="TableNormal"/>
    <w:rsid w:val="00C9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B7F"/>
    <w:rPr>
      <w:rFonts w:ascii="Arial" w:hAnsi="Arial"/>
      <w:sz w:val="22"/>
      <w:szCs w:val="24"/>
      <w:lang w:val="en-AU" w:eastAsia="en-AU"/>
    </w:rPr>
  </w:style>
  <w:style w:type="paragraph" w:styleId="Heading1">
    <w:name w:val="heading 1"/>
    <w:basedOn w:val="Normal"/>
    <w:next w:val="Normal"/>
    <w:link w:val="Heading1Char"/>
    <w:qFormat/>
    <w:rsid w:val="000F7535"/>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086ED0"/>
    <w:pPr>
      <w:keepNext/>
      <w:spacing w:before="240" w:after="60"/>
      <w:outlineLvl w:val="2"/>
    </w:pPr>
    <w:rPr>
      <w:rFonts w:cs="Arial"/>
      <w:b/>
      <w:bCs/>
      <w:sz w:val="26"/>
      <w:szCs w:val="26"/>
    </w:rPr>
  </w:style>
  <w:style w:type="paragraph" w:styleId="Heading4">
    <w:name w:val="heading 4"/>
    <w:basedOn w:val="Normal"/>
    <w:next w:val="Normal"/>
    <w:link w:val="Heading4Char"/>
    <w:qFormat/>
    <w:rsid w:val="00295B8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Heading3"/>
    <w:autoRedefine/>
    <w:rsid w:val="00086ED0"/>
    <w:pPr>
      <w:spacing w:before="0" w:after="0"/>
    </w:pPr>
    <w:rPr>
      <w:rFonts w:cs="Times New Roman"/>
      <w:b w:val="0"/>
      <w:bCs w:val="0"/>
      <w:i/>
      <w:sz w:val="22"/>
      <w:szCs w:val="24"/>
    </w:rPr>
  </w:style>
  <w:style w:type="paragraph" w:styleId="Header">
    <w:name w:val="header"/>
    <w:basedOn w:val="Normal"/>
    <w:rsid w:val="008A3AEA"/>
    <w:pPr>
      <w:tabs>
        <w:tab w:val="center" w:pos="4153"/>
        <w:tab w:val="right" w:pos="8306"/>
      </w:tabs>
    </w:pPr>
  </w:style>
  <w:style w:type="paragraph" w:styleId="Footer">
    <w:name w:val="footer"/>
    <w:basedOn w:val="Normal"/>
    <w:rsid w:val="008A3AEA"/>
    <w:pPr>
      <w:tabs>
        <w:tab w:val="center" w:pos="4153"/>
        <w:tab w:val="right" w:pos="8306"/>
      </w:tabs>
    </w:pPr>
  </w:style>
  <w:style w:type="paragraph" w:styleId="FootnoteText">
    <w:name w:val="footnote text"/>
    <w:basedOn w:val="Normal"/>
    <w:link w:val="FootnoteTextChar"/>
    <w:uiPriority w:val="99"/>
    <w:rsid w:val="00825EF0"/>
    <w:rPr>
      <w:sz w:val="20"/>
      <w:szCs w:val="20"/>
    </w:rPr>
  </w:style>
  <w:style w:type="character" w:styleId="FootnoteReference">
    <w:name w:val="footnote reference"/>
    <w:uiPriority w:val="99"/>
    <w:rsid w:val="00825EF0"/>
    <w:rPr>
      <w:vertAlign w:val="superscript"/>
    </w:rPr>
  </w:style>
  <w:style w:type="paragraph" w:styleId="BodyTextIndent">
    <w:name w:val="Body Text Indent"/>
    <w:basedOn w:val="Normal"/>
    <w:rsid w:val="00A37417"/>
    <w:pPr>
      <w:widowControl w:val="0"/>
      <w:tabs>
        <w:tab w:val="left" w:pos="-1152"/>
        <w:tab w:val="left" w:pos="-720"/>
        <w:tab w:val="left" w:pos="1053"/>
        <w:tab w:val="left" w:pos="1621"/>
      </w:tabs>
      <w:ind w:left="1053" w:hanging="1046"/>
    </w:pPr>
    <w:rPr>
      <w:snapToGrid w:val="0"/>
      <w:sz w:val="20"/>
      <w:szCs w:val="20"/>
      <w:lang w:eastAsia="en-US"/>
    </w:rPr>
  </w:style>
  <w:style w:type="character" w:styleId="PageNumber">
    <w:name w:val="page number"/>
    <w:basedOn w:val="DefaultParagraphFont"/>
    <w:rsid w:val="00AA27BC"/>
  </w:style>
  <w:style w:type="character" w:styleId="Hyperlink">
    <w:name w:val="Hyperlink"/>
    <w:uiPriority w:val="99"/>
    <w:rsid w:val="00634666"/>
    <w:rPr>
      <w:color w:val="0000FF"/>
      <w:u w:val="single"/>
    </w:rPr>
  </w:style>
  <w:style w:type="paragraph" w:styleId="BalloonText">
    <w:name w:val="Balloon Text"/>
    <w:basedOn w:val="Normal"/>
    <w:semiHidden/>
    <w:rsid w:val="005F4FF3"/>
    <w:rPr>
      <w:rFonts w:ascii="Tahoma" w:hAnsi="Tahoma" w:cs="Tahoma"/>
      <w:sz w:val="16"/>
      <w:szCs w:val="16"/>
    </w:rPr>
  </w:style>
  <w:style w:type="character" w:styleId="CommentReference">
    <w:name w:val="annotation reference"/>
    <w:semiHidden/>
    <w:rsid w:val="00932AF1"/>
    <w:rPr>
      <w:sz w:val="16"/>
      <w:szCs w:val="16"/>
    </w:rPr>
  </w:style>
  <w:style w:type="paragraph" w:styleId="CommentText">
    <w:name w:val="annotation text"/>
    <w:basedOn w:val="Normal"/>
    <w:semiHidden/>
    <w:rsid w:val="00932AF1"/>
    <w:rPr>
      <w:sz w:val="20"/>
      <w:szCs w:val="20"/>
    </w:rPr>
  </w:style>
  <w:style w:type="paragraph" w:styleId="CommentSubject">
    <w:name w:val="annotation subject"/>
    <w:basedOn w:val="CommentText"/>
    <w:next w:val="CommentText"/>
    <w:semiHidden/>
    <w:rsid w:val="00932AF1"/>
    <w:rPr>
      <w:b/>
      <w:bCs/>
    </w:rPr>
  </w:style>
  <w:style w:type="character" w:customStyle="1" w:styleId="FootnoteTextChar">
    <w:name w:val="Footnote Text Char"/>
    <w:link w:val="FootnoteText"/>
    <w:uiPriority w:val="99"/>
    <w:rsid w:val="00B47D79"/>
    <w:rPr>
      <w:lang w:val="en-AU" w:eastAsia="en-AU" w:bidi="ar-SA"/>
    </w:rPr>
  </w:style>
  <w:style w:type="paragraph" w:customStyle="1" w:styleId="ColorfulList-Accent11">
    <w:name w:val="Colorful List - Accent 11"/>
    <w:basedOn w:val="Normal"/>
    <w:uiPriority w:val="34"/>
    <w:qFormat/>
    <w:rsid w:val="00B96D1F"/>
    <w:pPr>
      <w:spacing w:after="200" w:line="276" w:lineRule="auto"/>
      <w:ind w:left="720"/>
      <w:contextualSpacing/>
    </w:pPr>
    <w:rPr>
      <w:rFonts w:ascii="Calibri" w:eastAsia="Calibri" w:hAnsi="Calibri"/>
      <w:szCs w:val="22"/>
      <w:lang w:eastAsia="en-US"/>
    </w:rPr>
  </w:style>
  <w:style w:type="character" w:customStyle="1" w:styleId="Heading4Char">
    <w:name w:val="Heading 4 Char"/>
    <w:link w:val="Heading4"/>
    <w:semiHidden/>
    <w:rsid w:val="00295B8C"/>
    <w:rPr>
      <w:rFonts w:ascii="Calibri" w:eastAsia="Times New Roman" w:hAnsi="Calibri" w:cs="Times New Roman"/>
      <w:b/>
      <w:bCs/>
      <w:sz w:val="28"/>
      <w:szCs w:val="28"/>
    </w:rPr>
  </w:style>
  <w:style w:type="character" w:customStyle="1" w:styleId="Heading1Char">
    <w:name w:val="Heading 1 Char"/>
    <w:link w:val="Heading1"/>
    <w:rsid w:val="000F7535"/>
    <w:rPr>
      <w:rFonts w:ascii="Cambria" w:eastAsia="Times New Roman" w:hAnsi="Cambria" w:cs="Times New Roman"/>
      <w:b/>
      <w:bCs/>
      <w:kern w:val="32"/>
      <w:sz w:val="32"/>
      <w:szCs w:val="32"/>
    </w:rPr>
  </w:style>
  <w:style w:type="paragraph" w:styleId="ListParagraph">
    <w:name w:val="List Paragraph"/>
    <w:basedOn w:val="Normal"/>
    <w:uiPriority w:val="34"/>
    <w:qFormat/>
    <w:rsid w:val="00FF7BF9"/>
    <w:pPr>
      <w:ind w:left="720"/>
      <w:contextualSpacing/>
    </w:pPr>
  </w:style>
  <w:style w:type="paragraph" w:styleId="EndnoteText">
    <w:name w:val="endnote text"/>
    <w:basedOn w:val="Normal"/>
    <w:link w:val="EndnoteTextChar"/>
    <w:uiPriority w:val="99"/>
    <w:unhideWhenUsed/>
    <w:rsid w:val="00357436"/>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357436"/>
    <w:rPr>
      <w:rFonts w:asciiTheme="minorHAnsi" w:eastAsiaTheme="minorHAnsi" w:hAnsiTheme="minorHAnsi" w:cstheme="minorBidi"/>
      <w:lang w:val="en-AU"/>
    </w:rPr>
  </w:style>
  <w:style w:type="character" w:styleId="EndnoteReference">
    <w:name w:val="endnote reference"/>
    <w:basedOn w:val="DefaultParagraphFont"/>
    <w:uiPriority w:val="99"/>
    <w:unhideWhenUsed/>
    <w:rsid w:val="00357436"/>
    <w:rPr>
      <w:vertAlign w:val="superscript"/>
    </w:rPr>
  </w:style>
  <w:style w:type="paragraph" w:styleId="TOCHeading">
    <w:name w:val="TOC Heading"/>
    <w:basedOn w:val="Heading1"/>
    <w:next w:val="Normal"/>
    <w:uiPriority w:val="39"/>
    <w:semiHidden/>
    <w:unhideWhenUsed/>
    <w:qFormat/>
    <w:rsid w:val="006E478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6E4783"/>
    <w:pPr>
      <w:spacing w:after="100"/>
    </w:pPr>
  </w:style>
  <w:style w:type="table" w:styleId="TableGrid">
    <w:name w:val="Table Grid"/>
    <w:basedOn w:val="TableNormal"/>
    <w:rsid w:val="00C9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0700">
      <w:bodyDiv w:val="1"/>
      <w:marLeft w:val="0"/>
      <w:marRight w:val="0"/>
      <w:marTop w:val="0"/>
      <w:marBottom w:val="0"/>
      <w:divBdr>
        <w:top w:val="none" w:sz="0" w:space="0" w:color="auto"/>
        <w:left w:val="none" w:sz="0" w:space="0" w:color="auto"/>
        <w:bottom w:val="none" w:sz="0" w:space="0" w:color="auto"/>
        <w:right w:val="none" w:sz="0" w:space="0" w:color="auto"/>
      </w:divBdr>
    </w:div>
    <w:div w:id="459806082">
      <w:bodyDiv w:val="1"/>
      <w:marLeft w:val="0"/>
      <w:marRight w:val="0"/>
      <w:marTop w:val="0"/>
      <w:marBottom w:val="0"/>
      <w:divBdr>
        <w:top w:val="none" w:sz="0" w:space="0" w:color="auto"/>
        <w:left w:val="none" w:sz="0" w:space="0" w:color="auto"/>
        <w:bottom w:val="none" w:sz="0" w:space="0" w:color="auto"/>
        <w:right w:val="none" w:sz="0" w:space="0" w:color="auto"/>
      </w:divBdr>
    </w:div>
    <w:div w:id="796294465">
      <w:bodyDiv w:val="1"/>
      <w:marLeft w:val="0"/>
      <w:marRight w:val="0"/>
      <w:marTop w:val="0"/>
      <w:marBottom w:val="0"/>
      <w:divBdr>
        <w:top w:val="none" w:sz="0" w:space="0" w:color="auto"/>
        <w:left w:val="none" w:sz="0" w:space="0" w:color="auto"/>
        <w:bottom w:val="none" w:sz="0" w:space="0" w:color="auto"/>
        <w:right w:val="none" w:sz="0" w:space="0" w:color="auto"/>
      </w:divBdr>
    </w:div>
    <w:div w:id="1096824316">
      <w:bodyDiv w:val="1"/>
      <w:marLeft w:val="0"/>
      <w:marRight w:val="0"/>
      <w:marTop w:val="0"/>
      <w:marBottom w:val="0"/>
      <w:divBdr>
        <w:top w:val="none" w:sz="0" w:space="0" w:color="auto"/>
        <w:left w:val="none" w:sz="0" w:space="0" w:color="auto"/>
        <w:bottom w:val="none" w:sz="0" w:space="0" w:color="auto"/>
        <w:right w:val="none" w:sz="0" w:space="0" w:color="auto"/>
      </w:divBdr>
    </w:div>
    <w:div w:id="1234699861">
      <w:bodyDiv w:val="1"/>
      <w:marLeft w:val="0"/>
      <w:marRight w:val="0"/>
      <w:marTop w:val="0"/>
      <w:marBottom w:val="0"/>
      <w:divBdr>
        <w:top w:val="none" w:sz="0" w:space="0" w:color="auto"/>
        <w:left w:val="none" w:sz="0" w:space="0" w:color="auto"/>
        <w:bottom w:val="none" w:sz="0" w:space="0" w:color="auto"/>
        <w:right w:val="none" w:sz="0" w:space="0" w:color="auto"/>
      </w:divBdr>
    </w:div>
    <w:div w:id="1410690384">
      <w:bodyDiv w:val="1"/>
      <w:marLeft w:val="0"/>
      <w:marRight w:val="0"/>
      <w:marTop w:val="0"/>
      <w:marBottom w:val="0"/>
      <w:divBdr>
        <w:top w:val="none" w:sz="0" w:space="0" w:color="auto"/>
        <w:left w:val="none" w:sz="0" w:space="0" w:color="auto"/>
        <w:bottom w:val="none" w:sz="0" w:space="0" w:color="auto"/>
        <w:right w:val="none" w:sz="0" w:space="0" w:color="auto"/>
      </w:divBdr>
      <w:divsChild>
        <w:div w:id="725106548">
          <w:marLeft w:val="0"/>
          <w:marRight w:val="0"/>
          <w:marTop w:val="0"/>
          <w:marBottom w:val="0"/>
          <w:divBdr>
            <w:top w:val="none" w:sz="0" w:space="0" w:color="auto"/>
            <w:left w:val="none" w:sz="0" w:space="0" w:color="auto"/>
            <w:bottom w:val="none" w:sz="0" w:space="0" w:color="auto"/>
            <w:right w:val="none" w:sz="0" w:space="0" w:color="auto"/>
          </w:divBdr>
          <w:divsChild>
            <w:div w:id="1889759111">
              <w:marLeft w:val="0"/>
              <w:marRight w:val="0"/>
              <w:marTop w:val="0"/>
              <w:marBottom w:val="0"/>
              <w:divBdr>
                <w:top w:val="none" w:sz="0" w:space="0" w:color="auto"/>
                <w:left w:val="none" w:sz="0" w:space="0" w:color="auto"/>
                <w:bottom w:val="none" w:sz="0" w:space="0" w:color="auto"/>
                <w:right w:val="none" w:sz="0" w:space="0" w:color="auto"/>
              </w:divBdr>
              <w:divsChild>
                <w:div w:id="950623945">
                  <w:marLeft w:val="0"/>
                  <w:marRight w:val="0"/>
                  <w:marTop w:val="0"/>
                  <w:marBottom w:val="0"/>
                  <w:divBdr>
                    <w:top w:val="none" w:sz="0" w:space="0" w:color="auto"/>
                    <w:left w:val="none" w:sz="0" w:space="0" w:color="auto"/>
                    <w:bottom w:val="none" w:sz="0" w:space="0" w:color="auto"/>
                    <w:right w:val="none" w:sz="0" w:space="0" w:color="auto"/>
                  </w:divBdr>
                  <w:divsChild>
                    <w:div w:id="1395197460">
                      <w:marLeft w:val="0"/>
                      <w:marRight w:val="0"/>
                      <w:marTop w:val="0"/>
                      <w:marBottom w:val="0"/>
                      <w:divBdr>
                        <w:top w:val="none" w:sz="0" w:space="0" w:color="auto"/>
                        <w:left w:val="none" w:sz="0" w:space="0" w:color="auto"/>
                        <w:bottom w:val="none" w:sz="0" w:space="0" w:color="auto"/>
                        <w:right w:val="none" w:sz="0" w:space="0" w:color="auto"/>
                      </w:divBdr>
                      <w:divsChild>
                        <w:div w:id="1529248098">
                          <w:marLeft w:val="0"/>
                          <w:marRight w:val="0"/>
                          <w:marTop w:val="0"/>
                          <w:marBottom w:val="0"/>
                          <w:divBdr>
                            <w:top w:val="none" w:sz="0" w:space="0" w:color="auto"/>
                            <w:left w:val="none" w:sz="0" w:space="0" w:color="auto"/>
                            <w:bottom w:val="none" w:sz="0" w:space="0" w:color="auto"/>
                            <w:right w:val="none" w:sz="0" w:space="0" w:color="auto"/>
                          </w:divBdr>
                          <w:divsChild>
                            <w:div w:id="1504123211">
                              <w:marLeft w:val="0"/>
                              <w:marRight w:val="0"/>
                              <w:marTop w:val="0"/>
                              <w:marBottom w:val="0"/>
                              <w:divBdr>
                                <w:top w:val="none" w:sz="0" w:space="0" w:color="auto"/>
                                <w:left w:val="none" w:sz="0" w:space="0" w:color="auto"/>
                                <w:bottom w:val="none" w:sz="0" w:space="0" w:color="auto"/>
                                <w:right w:val="none" w:sz="0" w:space="0" w:color="auto"/>
                              </w:divBdr>
                              <w:divsChild>
                                <w:div w:id="1092438527">
                                  <w:marLeft w:val="0"/>
                                  <w:marRight w:val="0"/>
                                  <w:marTop w:val="0"/>
                                  <w:marBottom w:val="0"/>
                                  <w:divBdr>
                                    <w:top w:val="none" w:sz="0" w:space="0" w:color="auto"/>
                                    <w:left w:val="none" w:sz="0" w:space="0" w:color="auto"/>
                                    <w:bottom w:val="none" w:sz="0" w:space="0" w:color="auto"/>
                                    <w:right w:val="none" w:sz="0" w:space="0" w:color="auto"/>
                                  </w:divBdr>
                                  <w:divsChild>
                                    <w:div w:id="1316448151">
                                      <w:marLeft w:val="0"/>
                                      <w:marRight w:val="0"/>
                                      <w:marTop w:val="0"/>
                                      <w:marBottom w:val="0"/>
                                      <w:divBdr>
                                        <w:top w:val="none" w:sz="0" w:space="0" w:color="auto"/>
                                        <w:left w:val="none" w:sz="0" w:space="0" w:color="auto"/>
                                        <w:bottom w:val="none" w:sz="0" w:space="0" w:color="auto"/>
                                        <w:right w:val="none" w:sz="0" w:space="0" w:color="auto"/>
                                      </w:divBdr>
                                      <w:divsChild>
                                        <w:div w:id="1222910236">
                                          <w:marLeft w:val="0"/>
                                          <w:marRight w:val="0"/>
                                          <w:marTop w:val="0"/>
                                          <w:marBottom w:val="0"/>
                                          <w:divBdr>
                                            <w:top w:val="none" w:sz="0" w:space="0" w:color="auto"/>
                                            <w:left w:val="none" w:sz="0" w:space="0" w:color="auto"/>
                                            <w:bottom w:val="none" w:sz="0" w:space="0" w:color="auto"/>
                                            <w:right w:val="none" w:sz="0" w:space="0" w:color="auto"/>
                                          </w:divBdr>
                                          <w:divsChild>
                                            <w:div w:id="1250846038">
                                              <w:marLeft w:val="0"/>
                                              <w:marRight w:val="0"/>
                                              <w:marTop w:val="0"/>
                                              <w:marBottom w:val="0"/>
                                              <w:divBdr>
                                                <w:top w:val="none" w:sz="0" w:space="0" w:color="auto"/>
                                                <w:left w:val="none" w:sz="0" w:space="0" w:color="auto"/>
                                                <w:bottom w:val="none" w:sz="0" w:space="0" w:color="auto"/>
                                                <w:right w:val="none" w:sz="0" w:space="0" w:color="auto"/>
                                              </w:divBdr>
                                              <w:divsChild>
                                                <w:div w:id="185532451">
                                                  <w:marLeft w:val="150"/>
                                                  <w:marRight w:val="0"/>
                                                  <w:marTop w:val="0"/>
                                                  <w:marBottom w:val="0"/>
                                                  <w:divBdr>
                                                    <w:top w:val="none" w:sz="0" w:space="0" w:color="auto"/>
                                                    <w:left w:val="none" w:sz="0" w:space="0" w:color="auto"/>
                                                    <w:bottom w:val="none" w:sz="0" w:space="0" w:color="auto"/>
                                                    <w:right w:val="none" w:sz="0" w:space="0" w:color="auto"/>
                                                  </w:divBdr>
                                                  <w:divsChild>
                                                    <w:div w:id="147989490">
                                                      <w:marLeft w:val="0"/>
                                                      <w:marRight w:val="0"/>
                                                      <w:marTop w:val="0"/>
                                                      <w:marBottom w:val="0"/>
                                                      <w:divBdr>
                                                        <w:top w:val="none" w:sz="0" w:space="0" w:color="auto"/>
                                                        <w:left w:val="none" w:sz="0" w:space="0" w:color="auto"/>
                                                        <w:bottom w:val="none" w:sz="0" w:space="0" w:color="auto"/>
                                                        <w:right w:val="none" w:sz="0" w:space="0" w:color="auto"/>
                                                      </w:divBdr>
                                                      <w:divsChild>
                                                        <w:div w:id="1690837415">
                                                          <w:marLeft w:val="0"/>
                                                          <w:marRight w:val="0"/>
                                                          <w:marTop w:val="0"/>
                                                          <w:marBottom w:val="0"/>
                                                          <w:divBdr>
                                                            <w:top w:val="none" w:sz="0" w:space="0" w:color="auto"/>
                                                            <w:left w:val="none" w:sz="0" w:space="0" w:color="auto"/>
                                                            <w:bottom w:val="none" w:sz="0" w:space="0" w:color="auto"/>
                                                            <w:right w:val="none" w:sz="0" w:space="0" w:color="auto"/>
                                                          </w:divBdr>
                                                          <w:divsChild>
                                                            <w:div w:id="1487476814">
                                                              <w:marLeft w:val="0"/>
                                                              <w:marRight w:val="0"/>
                                                              <w:marTop w:val="0"/>
                                                              <w:marBottom w:val="0"/>
                                                              <w:divBdr>
                                                                <w:top w:val="none" w:sz="0" w:space="0" w:color="auto"/>
                                                                <w:left w:val="none" w:sz="0" w:space="0" w:color="auto"/>
                                                                <w:bottom w:val="none" w:sz="0" w:space="0" w:color="auto"/>
                                                                <w:right w:val="none" w:sz="0" w:space="0" w:color="auto"/>
                                                              </w:divBdr>
                                                              <w:divsChild>
                                                                <w:div w:id="368534104">
                                                                  <w:marLeft w:val="0"/>
                                                                  <w:marRight w:val="0"/>
                                                                  <w:marTop w:val="0"/>
                                                                  <w:marBottom w:val="0"/>
                                                                  <w:divBdr>
                                                                    <w:top w:val="none" w:sz="0" w:space="0" w:color="auto"/>
                                                                    <w:left w:val="none" w:sz="0" w:space="0" w:color="auto"/>
                                                                    <w:bottom w:val="none" w:sz="0" w:space="0" w:color="auto"/>
                                                                    <w:right w:val="none" w:sz="0" w:space="0" w:color="auto"/>
                                                                  </w:divBdr>
                                                                </w:div>
                                                                <w:div w:id="1665862405">
                                                                  <w:marLeft w:val="0"/>
                                                                  <w:marRight w:val="0"/>
                                                                  <w:marTop w:val="0"/>
                                                                  <w:marBottom w:val="0"/>
                                                                  <w:divBdr>
                                                                    <w:top w:val="none" w:sz="0" w:space="0" w:color="auto"/>
                                                                    <w:left w:val="none" w:sz="0" w:space="0" w:color="auto"/>
                                                                    <w:bottom w:val="none" w:sz="0" w:space="0" w:color="auto"/>
                                                                    <w:right w:val="none" w:sz="0" w:space="0" w:color="auto"/>
                                                                  </w:divBdr>
                                                                </w:div>
                                                                <w:div w:id="1699310074">
                                                                  <w:marLeft w:val="0"/>
                                                                  <w:marRight w:val="0"/>
                                                                  <w:marTop w:val="0"/>
                                                                  <w:marBottom w:val="0"/>
                                                                  <w:divBdr>
                                                                    <w:top w:val="none" w:sz="0" w:space="0" w:color="auto"/>
                                                                    <w:left w:val="none" w:sz="0" w:space="0" w:color="auto"/>
                                                                    <w:bottom w:val="none" w:sz="0" w:space="0" w:color="auto"/>
                                                                    <w:right w:val="none" w:sz="0" w:space="0" w:color="auto"/>
                                                                  </w:divBdr>
                                                                </w:div>
                                                                <w:div w:id="18390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1851580">
      <w:bodyDiv w:val="1"/>
      <w:marLeft w:val="0"/>
      <w:marRight w:val="0"/>
      <w:marTop w:val="0"/>
      <w:marBottom w:val="0"/>
      <w:divBdr>
        <w:top w:val="none" w:sz="0" w:space="0" w:color="auto"/>
        <w:left w:val="none" w:sz="0" w:space="0" w:color="auto"/>
        <w:bottom w:val="none" w:sz="0" w:space="0" w:color="auto"/>
        <w:right w:val="none" w:sz="0" w:space="0" w:color="auto"/>
      </w:divBdr>
    </w:div>
    <w:div w:id="1633440288">
      <w:bodyDiv w:val="1"/>
      <w:marLeft w:val="0"/>
      <w:marRight w:val="0"/>
      <w:marTop w:val="0"/>
      <w:marBottom w:val="0"/>
      <w:divBdr>
        <w:top w:val="none" w:sz="0" w:space="0" w:color="auto"/>
        <w:left w:val="none" w:sz="0" w:space="0" w:color="auto"/>
        <w:bottom w:val="none" w:sz="0" w:space="0" w:color="auto"/>
        <w:right w:val="none" w:sz="0" w:space="0" w:color="auto"/>
      </w:divBdr>
    </w:div>
    <w:div w:id="2024548600">
      <w:bodyDiv w:val="1"/>
      <w:marLeft w:val="0"/>
      <w:marRight w:val="0"/>
      <w:marTop w:val="0"/>
      <w:marBottom w:val="0"/>
      <w:divBdr>
        <w:top w:val="none" w:sz="0" w:space="0" w:color="auto"/>
        <w:left w:val="none" w:sz="0" w:space="0" w:color="auto"/>
        <w:bottom w:val="none" w:sz="0" w:space="0" w:color="auto"/>
        <w:right w:val="none" w:sz="0" w:space="0" w:color="auto"/>
      </w:divBdr>
    </w:div>
    <w:div w:id="2036536151">
      <w:bodyDiv w:val="1"/>
      <w:marLeft w:val="0"/>
      <w:marRight w:val="0"/>
      <w:marTop w:val="0"/>
      <w:marBottom w:val="0"/>
      <w:divBdr>
        <w:top w:val="none" w:sz="0" w:space="0" w:color="auto"/>
        <w:left w:val="none" w:sz="0" w:space="0" w:color="auto"/>
        <w:bottom w:val="none" w:sz="0" w:space="0" w:color="auto"/>
        <w:right w:val="none" w:sz="0" w:space="0" w:color="auto"/>
      </w:divBdr>
    </w:div>
    <w:div w:id="208437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k.zirnsak@victas.uca.org.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CharactersWithSpaces>
  <SharedDoc>false</SharedDoc>
  <HLinks>
    <vt:vector size="102" baseType="variant">
      <vt:variant>
        <vt:i4>6684699</vt:i4>
      </vt:variant>
      <vt:variant>
        <vt:i4>0</vt:i4>
      </vt:variant>
      <vt:variant>
        <vt:i4>0</vt:i4>
      </vt:variant>
      <vt:variant>
        <vt:i4>5</vt:i4>
      </vt:variant>
      <vt:variant>
        <vt:lpwstr>mailto:mark.zirnsak@victas.uca.org.au</vt:lpwstr>
      </vt:variant>
      <vt:variant>
        <vt:lpwstr/>
      </vt:variant>
      <vt:variant>
        <vt:i4>3342442</vt:i4>
      </vt:variant>
      <vt:variant>
        <vt:i4>45</vt:i4>
      </vt:variant>
      <vt:variant>
        <vt:i4>0</vt:i4>
      </vt:variant>
      <vt:variant>
        <vt:i4>5</vt:i4>
      </vt:variant>
      <vt:variant>
        <vt:lpwstr>https://www.ato.gov.au/Media-centre/Speeches/Other/Tax-administration-in-a-global-environment/</vt:lpwstr>
      </vt:variant>
      <vt:variant>
        <vt:lpwstr/>
      </vt:variant>
      <vt:variant>
        <vt:i4>2555961</vt:i4>
      </vt:variant>
      <vt:variant>
        <vt:i4>42</vt:i4>
      </vt:variant>
      <vt:variant>
        <vt:i4>0</vt:i4>
      </vt:variant>
      <vt:variant>
        <vt:i4>5</vt:i4>
      </vt:variant>
      <vt:variant>
        <vt:lpwstr>https://www.ato.gov.au/Media-centre/Media-releases/No-safe-havens/</vt:lpwstr>
      </vt:variant>
      <vt:variant>
        <vt:lpwstr/>
      </vt:variant>
      <vt:variant>
        <vt:i4>2555961</vt:i4>
      </vt:variant>
      <vt:variant>
        <vt:i4>39</vt:i4>
      </vt:variant>
      <vt:variant>
        <vt:i4>0</vt:i4>
      </vt:variant>
      <vt:variant>
        <vt:i4>5</vt:i4>
      </vt:variant>
      <vt:variant>
        <vt:lpwstr>https://www.ato.gov.au/Media-centre/Media-releases/No-safe-havens/</vt:lpwstr>
      </vt:variant>
      <vt:variant>
        <vt:lpwstr/>
      </vt:variant>
      <vt:variant>
        <vt:i4>6750309</vt:i4>
      </vt:variant>
      <vt:variant>
        <vt:i4>36</vt:i4>
      </vt:variant>
      <vt:variant>
        <vt:i4>0</vt:i4>
      </vt:variant>
      <vt:variant>
        <vt:i4>5</vt:i4>
      </vt:variant>
      <vt:variant>
        <vt:lpwstr>http://www.icij.org/project/luxembourg-leaks/big-4-audit-firms-play-big-role-offshore-murk</vt:lpwstr>
      </vt:variant>
      <vt:variant>
        <vt:lpwstr/>
      </vt:variant>
      <vt:variant>
        <vt:i4>6750309</vt:i4>
      </vt:variant>
      <vt:variant>
        <vt:i4>33</vt:i4>
      </vt:variant>
      <vt:variant>
        <vt:i4>0</vt:i4>
      </vt:variant>
      <vt:variant>
        <vt:i4>5</vt:i4>
      </vt:variant>
      <vt:variant>
        <vt:lpwstr>http://www.icij.org/project/luxembourg-leaks/big-4-audit-firms-play-big-role-offshore-murk</vt:lpwstr>
      </vt:variant>
      <vt:variant>
        <vt:lpwstr/>
      </vt:variant>
      <vt:variant>
        <vt:i4>6750309</vt:i4>
      </vt:variant>
      <vt:variant>
        <vt:i4>30</vt:i4>
      </vt:variant>
      <vt:variant>
        <vt:i4>0</vt:i4>
      </vt:variant>
      <vt:variant>
        <vt:i4>5</vt:i4>
      </vt:variant>
      <vt:variant>
        <vt:lpwstr>http://www.icij.org/project/luxembourg-leaks/big-4-audit-firms-play-big-role-offshore-murk</vt:lpwstr>
      </vt:variant>
      <vt:variant>
        <vt:lpwstr/>
      </vt:variant>
      <vt:variant>
        <vt:i4>6750309</vt:i4>
      </vt:variant>
      <vt:variant>
        <vt:i4>27</vt:i4>
      </vt:variant>
      <vt:variant>
        <vt:i4>0</vt:i4>
      </vt:variant>
      <vt:variant>
        <vt:i4>5</vt:i4>
      </vt:variant>
      <vt:variant>
        <vt:lpwstr>http://www.icij.org/project/luxembourg-leaks/big-4-audit-firms-play-big-role-offshore-murk</vt:lpwstr>
      </vt:variant>
      <vt:variant>
        <vt:lpwstr/>
      </vt:variant>
      <vt:variant>
        <vt:i4>1769560</vt:i4>
      </vt:variant>
      <vt:variant>
        <vt:i4>24</vt:i4>
      </vt:variant>
      <vt:variant>
        <vt:i4>0</vt:i4>
      </vt:variant>
      <vt:variant>
        <vt:i4>5</vt:i4>
      </vt:variant>
      <vt:variant>
        <vt:lpwstr>http://data.parliament.uk/writtenevidence/committeeevidence.svc/evidencedocument/public-accounts-committee/tax-avoidance-the-role-of-large-accountancy-firms-followup/oral/16207.pdf</vt:lpwstr>
      </vt:variant>
      <vt:variant>
        <vt:lpwstr/>
      </vt:variant>
      <vt:variant>
        <vt:i4>2555955</vt:i4>
      </vt:variant>
      <vt:variant>
        <vt:i4>21</vt:i4>
      </vt:variant>
      <vt:variant>
        <vt:i4>0</vt:i4>
      </vt:variant>
      <vt:variant>
        <vt:i4>5</vt:i4>
      </vt:variant>
      <vt:variant>
        <vt:lpwstr>http://dx.doi.org/10.1787/9789264192744-en</vt:lpwstr>
      </vt:variant>
      <vt:variant>
        <vt:lpwstr/>
      </vt:variant>
      <vt:variant>
        <vt:i4>2555955</vt:i4>
      </vt:variant>
      <vt:variant>
        <vt:i4>18</vt:i4>
      </vt:variant>
      <vt:variant>
        <vt:i4>0</vt:i4>
      </vt:variant>
      <vt:variant>
        <vt:i4>5</vt:i4>
      </vt:variant>
      <vt:variant>
        <vt:lpwstr>http://dx.doi.org/10.1787/9789264192744-en</vt:lpwstr>
      </vt:variant>
      <vt:variant>
        <vt:lpwstr/>
      </vt:variant>
      <vt:variant>
        <vt:i4>2555955</vt:i4>
      </vt:variant>
      <vt:variant>
        <vt:i4>15</vt:i4>
      </vt:variant>
      <vt:variant>
        <vt:i4>0</vt:i4>
      </vt:variant>
      <vt:variant>
        <vt:i4>5</vt:i4>
      </vt:variant>
      <vt:variant>
        <vt:lpwstr>http://dx.doi.org/10.1787/9789264192744-en</vt:lpwstr>
      </vt:variant>
      <vt:variant>
        <vt:lpwstr/>
      </vt:variant>
      <vt:variant>
        <vt:i4>2949178</vt:i4>
      </vt:variant>
      <vt:variant>
        <vt:i4>12</vt:i4>
      </vt:variant>
      <vt:variant>
        <vt:i4>0</vt:i4>
      </vt:variant>
      <vt:variant>
        <vt:i4>5</vt:i4>
      </vt:variant>
      <vt:variant>
        <vt:lpwstr>https://www.ato.gov.au/Media-centre/Speeches/Other/Base-erosion-and-profit-shifting/?page=1</vt:lpwstr>
      </vt:variant>
      <vt:variant>
        <vt:lpwstr>Footnotes</vt:lpwstr>
      </vt:variant>
      <vt:variant>
        <vt:i4>7864438</vt:i4>
      </vt:variant>
      <vt:variant>
        <vt:i4>9</vt:i4>
      </vt:variant>
      <vt:variant>
        <vt:i4>0</vt:i4>
      </vt:variant>
      <vt:variant>
        <vt:i4>5</vt:i4>
      </vt:variant>
      <vt:variant>
        <vt:lpwstr>https://www.ato.gov.au/Media-centre/Speeches/Other/BEPS---a-progress-report-on-G20/OECD-action/</vt:lpwstr>
      </vt:variant>
      <vt:variant>
        <vt:lpwstr/>
      </vt:variant>
      <vt:variant>
        <vt:i4>7471200</vt:i4>
      </vt:variant>
      <vt:variant>
        <vt:i4>6</vt:i4>
      </vt:variant>
      <vt:variant>
        <vt:i4>0</vt:i4>
      </vt:variant>
      <vt:variant>
        <vt:i4>5</vt:i4>
      </vt:variant>
      <vt:variant>
        <vt:lpwstr>https://www.ato.gov.au/Media-centre/Speeches/Other/I-ve-looked-at-tax-from-both-sides-now/</vt:lpwstr>
      </vt:variant>
      <vt:variant>
        <vt:lpwstr/>
      </vt:variant>
      <vt:variant>
        <vt:i4>6029380</vt:i4>
      </vt:variant>
      <vt:variant>
        <vt:i4>3</vt:i4>
      </vt:variant>
      <vt:variant>
        <vt:i4>0</vt:i4>
      </vt:variant>
      <vt:variant>
        <vt:i4>5</vt:i4>
      </vt:variant>
      <vt:variant>
        <vt:lpwstr>https://www.ato.gov.au/Media-centre/Speeches/Commissioner/Reinventing-the-ATO---building-trust-in-Australia-s-tax-administration/</vt:lpwstr>
      </vt:variant>
      <vt:variant>
        <vt:lpwstr/>
      </vt:variant>
      <vt:variant>
        <vt:i4>786527</vt:i4>
      </vt:variant>
      <vt:variant>
        <vt:i4>0</vt:i4>
      </vt:variant>
      <vt:variant>
        <vt:i4>0</vt:i4>
      </vt:variant>
      <vt:variant>
        <vt:i4>5</vt:i4>
      </vt:variant>
      <vt:variant>
        <vt:lpwstr>https://www.ato.gov.au/Media-centre/Speeches/Commissioner/Commissioner-s-speech-to-ICAA-Practice-Forum-2014/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Justice Network Australia - Submission: Consultation Paper on the Voluntary Tax Transparency Code - December 2015</dc:title>
  <dc:subject/>
  <dc:creator/>
  <cp:lastModifiedBy/>
  <cp:revision>1</cp:revision>
  <dcterms:created xsi:type="dcterms:W3CDTF">2016-02-15T00:42:00Z</dcterms:created>
  <dcterms:modified xsi:type="dcterms:W3CDTF">2016-02-15T00:42:00Z</dcterms:modified>
</cp:coreProperties>
</file>